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C217B3BC-A4C7-49BD-9303-2E8BEB4271BB" style="width:450.75pt;height:492.7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ANNEXE</w:t>
      </w: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  <w:r>
        <w:rPr>
          <w:b/>
          <w:noProof/>
        </w:rPr>
        <w:t>DÉCISION N° .../2017</w:t>
      </w: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  <w:r>
        <w:rPr>
          <w:b/>
          <w:noProof/>
        </w:rPr>
        <w:t>DU COMITÉ DES AMBASSADEURS ACP-UE</w:t>
      </w: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  <w:r>
        <w:rPr>
          <w:b/>
          <w:noProof/>
        </w:rPr>
        <w:t>du ../../2017</w:t>
      </w: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</w:p>
    <w:p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bCs/>
          <w:noProof/>
          <w:szCs w:val="24"/>
        </w:rPr>
      </w:pPr>
      <w:r>
        <w:rPr>
          <w:b/>
          <w:noProof/>
        </w:rPr>
        <w:t>concernant la mise en œuvre de l’article 68 de l’accord de partenariat ACP-UE</w:t>
      </w:r>
    </w:p>
    <w:p>
      <w:pPr>
        <w:pStyle w:val="Institutionquiagit"/>
        <w:rPr>
          <w:noProof/>
        </w:rPr>
      </w:pPr>
      <w:r>
        <w:rPr>
          <w:noProof/>
        </w:rPr>
        <w:t>LE</w:t>
      </w:r>
      <w:r>
        <w:rPr>
          <w:rFonts w:ascii="Calibri" w:hAnsi="Calibri"/>
          <w:noProof/>
          <w:sz w:val="22"/>
        </w:rPr>
        <w:t xml:space="preserve"> </w:t>
      </w:r>
      <w:r>
        <w:rPr>
          <w:noProof/>
        </w:rPr>
        <w:t>COMITÉ DES AMBASSADEURS ACP-UE,</w:t>
      </w:r>
    </w:p>
    <w:p>
      <w:pPr>
        <w:outlineLvl w:val="0"/>
        <w:rPr>
          <w:noProof/>
        </w:rPr>
      </w:pPr>
      <w:r>
        <w:rPr>
          <w:noProof/>
        </w:rPr>
        <w:t>vu l’accord de partenariat entre les membres du groupe des États d’Afrique, des Caraïbes et du Pacifique, d’une part, et la Communauté européenne et ses États membres, d’autre part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(ci-après dénommé l’«accord de partenariat ACP-UE»), et notamment son article 100, en liaison avec son article 15, paragraphe 4, et son article 16, paragraphe 2, </w:t>
      </w:r>
    </w:p>
    <w:p>
      <w:pPr>
        <w:outlineLvl w:val="0"/>
        <w:rPr>
          <w:noProof/>
        </w:rPr>
      </w:pPr>
    </w:p>
    <w:p>
      <w:pPr>
        <w:outlineLvl w:val="0"/>
        <w:rPr>
          <w:noProof/>
        </w:rPr>
      </w:pPr>
      <w:r>
        <w:rPr>
          <w:noProof/>
        </w:rPr>
        <w:t>considérant ce qui suit:</w:t>
      </w:r>
    </w:p>
    <w:p>
      <w:pPr>
        <w:pStyle w:val="Considrant"/>
        <w:numPr>
          <w:ilvl w:val="0"/>
          <w:numId w:val="9"/>
        </w:numPr>
        <w:rPr>
          <w:noProof/>
        </w:rPr>
      </w:pPr>
      <w:r>
        <w:rPr>
          <w:noProof/>
        </w:rPr>
        <w:t>L’article 68 de l’accord de partenariat ACP-UE prévoit qu’un mécanisme de soutien supplémentaire doit être mis en place dans le but d’atténuer les effets négatifs à court terme de chocs exogènes portant atteinte à l’économie des États ACP. Le paragraphe 4 dudit article précise que les modalités du mécanisme de soutien sont énoncées à l’annexe II de l’accord.</w:t>
      </w:r>
    </w:p>
    <w:p>
      <w:pPr>
        <w:pStyle w:val="Considrant"/>
        <w:rPr>
          <w:noProof/>
        </w:rPr>
      </w:pPr>
      <w:r>
        <w:rPr>
          <w:noProof/>
        </w:rPr>
        <w:t>Le mécanisme, tel qu’il est actuellement défini à l’annexe II de l’accord de partenariat, doit être modulé pour correspondre aux besoins des parties et pour garantir une mise en œuvre souple et rapide de l’aide.</w:t>
      </w:r>
    </w:p>
    <w:p>
      <w:pPr>
        <w:pStyle w:val="Considrant"/>
        <w:rPr>
          <w:noProof/>
        </w:rPr>
      </w:pPr>
      <w:r>
        <w:rPr>
          <w:noProof/>
        </w:rPr>
        <w:t>L’article 100 de l’accord de partenariat ACP-UE dispose que les annexes Ia, Ib, II, IV et VI de l’accord en question peuvent être révisées, adaptées et/ou amendées par décision du Conseil des ministres ACP-UE sur la base d’une recommandation du Comité ACP-UE de coopération pour le financement du développement.</w:t>
      </w:r>
    </w:p>
    <w:p>
      <w:pPr>
        <w:pStyle w:val="Considrant"/>
        <w:rPr>
          <w:noProof/>
        </w:rPr>
      </w:pPr>
      <w:r>
        <w:rPr>
          <w:noProof/>
        </w:rPr>
        <w:t>L’article 15, paragraphe 4, de l’accord de partenariat ACP-UE dispose que le Conseil des ministres ACP-UE peut déléguer des compétences au Comité des ambassadeurs ACP-UE.</w:t>
      </w:r>
    </w:p>
    <w:p>
      <w:pPr>
        <w:pStyle w:val="Considrant"/>
        <w:rPr>
          <w:noProof/>
        </w:rPr>
      </w:pPr>
      <w:r>
        <w:rPr>
          <w:noProof/>
        </w:rPr>
        <w:t>L’article 16, paragraphe 2, de l’accord de partenariat ACP-UE dispose que le Comité des ambassadeurs ACP-UE exécute tout mandat qui lui est confié par le Conseil.</w:t>
      </w:r>
    </w:p>
    <w:p>
      <w:pPr>
        <w:pStyle w:val="Considrant"/>
        <w:rPr>
          <w:noProof/>
        </w:rPr>
      </w:pPr>
      <w:r>
        <w:rPr>
          <w:noProof/>
        </w:rPr>
        <w:t>Le Conseil des ministres ACP-UE réuni le 5 mai 2017 a chargé le Comité des ambassadeurs ACP-UE d’adopter une décision relative à la mise en œuvre de l’article 68 de l’accord de partenariat ACP-UE concernant les chocs exogènes et modifiant l’annexe II, chapitre 3.</w:t>
      </w:r>
    </w:p>
    <w:p>
      <w:pPr>
        <w:pStyle w:val="Considrant"/>
        <w:rPr>
          <w:noProof/>
        </w:rPr>
      </w:pPr>
      <w:r>
        <w:rPr>
          <w:noProof/>
        </w:rPr>
        <w:t>Il convient que le Comité des ambassadeurs ACP-UE adopte la présente décision,</w:t>
      </w:r>
    </w:p>
    <w:p>
      <w:pPr>
        <w:rPr>
          <w:noProof/>
        </w:rPr>
      </w:pPr>
    </w:p>
    <w:p>
      <w:pPr>
        <w:pStyle w:val="Formuledadoption"/>
        <w:rPr>
          <w:noProof/>
        </w:rPr>
      </w:pPr>
      <w:r>
        <w:rPr>
          <w:noProof/>
        </w:rPr>
        <w:t xml:space="preserve">DÉCIDE: </w:t>
      </w:r>
    </w:p>
    <w:p>
      <w:pPr>
        <w:pStyle w:val="Titrearticle"/>
        <w:rPr>
          <w:noProof/>
        </w:rPr>
      </w:pPr>
      <w:r>
        <w:rPr>
          <w:noProof/>
        </w:rPr>
        <w:t>Article premier</w:t>
      </w:r>
    </w:p>
    <w:p>
      <w:pPr>
        <w:outlineLvl w:val="0"/>
        <w:rPr>
          <w:noProof/>
        </w:rPr>
      </w:pPr>
      <w:r>
        <w:rPr>
          <w:noProof/>
        </w:rPr>
        <w:t>Le soutien financier apporté aux pays ACP en cas d’instabilité macroéconomique résultant de chocs exogènes, prévu à l’article 68 de l’accord de partenariat ACP-UE («l’accord»), est régi par les dispositions de la présente décision.</w:t>
      </w:r>
    </w:p>
    <w:p>
      <w:pPr>
        <w:pStyle w:val="Titrearticle"/>
        <w:rPr>
          <w:noProof/>
        </w:rPr>
      </w:pPr>
      <w:r>
        <w:rPr>
          <w:noProof/>
        </w:rPr>
        <w:t>Article 2</w:t>
      </w:r>
    </w:p>
    <w:p>
      <w:pPr>
        <w:pStyle w:val="NumPar1"/>
        <w:numPr>
          <w:ilvl w:val="0"/>
          <w:numId w:val="10"/>
        </w:numPr>
        <w:rPr>
          <w:noProof/>
        </w:rPr>
      </w:pPr>
      <w:r>
        <w:rPr>
          <w:noProof/>
        </w:rPr>
        <w:t>Un soutien financier additionnel peut être mobilisé sur la réserve du 11</w:t>
      </w:r>
      <w:r>
        <w:rPr>
          <w:noProof/>
          <w:vertAlign w:val="superscript"/>
        </w:rPr>
        <w:t>e</w:t>
      </w:r>
      <w:r>
        <w:rPr>
          <w:noProof/>
        </w:rPr>
        <w:t xml:space="preserve"> Fonds européen de développement destinée à couvrir les besoins imprévus, afin d’atténuer les effets négatifs à court terme de chocs exogènes, y compris les effets sur les recettes d’exportation, et de préserver les réformes et politiques socio</w:t>
      </w:r>
      <w:r>
        <w:rPr>
          <w:noProof/>
        </w:rPr>
        <w:noBreakHyphen/>
        <w:t xml:space="preserve">économiques menacées par la baisse des recettes. </w:t>
      </w:r>
    </w:p>
    <w:p>
      <w:pPr>
        <w:pStyle w:val="NumPar1"/>
        <w:rPr>
          <w:noProof/>
        </w:rPr>
      </w:pPr>
      <w:r>
        <w:rPr>
          <w:noProof/>
        </w:rPr>
        <w:t xml:space="preserve">Les pays ACP qui sont frappés par des chocs exogènes doivent adresser une demande de soutien financier à la Commission européenne. Cette demande sera examinée selon une démarche au cas par cas, axée sur les besoins, conformément au cadre financier pluriannuel de coopération au titre de l’accord. </w:t>
      </w:r>
    </w:p>
    <w:p>
      <w:pPr>
        <w:pStyle w:val="NumPar1"/>
        <w:rPr>
          <w:noProof/>
        </w:rPr>
      </w:pPr>
      <w:r>
        <w:rPr>
          <w:noProof/>
        </w:rPr>
        <w:t xml:space="preserve">L’aide est gérée et mise en œuvre selon des procédures permettant des opérations rapides, flexibles et efficaces. La Commission européenne fera périodiquement rapport au Comité de coopération ACP-UE pour le financement du développement. </w:t>
      </w:r>
    </w:p>
    <w:p>
      <w:pPr>
        <w:pStyle w:val="Titrearticle"/>
        <w:rPr>
          <w:noProof/>
        </w:rPr>
      </w:pPr>
      <w:r>
        <w:rPr>
          <w:noProof/>
        </w:rPr>
        <w:t>Article 3</w:t>
      </w:r>
    </w:p>
    <w:p>
      <w:pPr>
        <w:outlineLvl w:val="0"/>
        <w:rPr>
          <w:noProof/>
          <w:szCs w:val="24"/>
        </w:rPr>
      </w:pPr>
      <w:r>
        <w:rPr>
          <w:noProof/>
        </w:rPr>
        <w:t xml:space="preserve">Les parties contractantes à l’accord, la Commission européenne et le secrétariat ACP doivent être tenus informés des modalités pratiques de mise en œuvre de l’article 68. </w:t>
      </w:r>
    </w:p>
    <w:p>
      <w:pPr>
        <w:pStyle w:val="Titrearticle"/>
        <w:rPr>
          <w:noProof/>
        </w:rPr>
      </w:pPr>
      <w:r>
        <w:rPr>
          <w:noProof/>
        </w:rPr>
        <w:t>Article 4</w:t>
      </w:r>
    </w:p>
    <w:p>
      <w:pPr>
        <w:outlineLvl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Le chapitre 3 de l’annexe II de l’accord de partenariat ACP-UE est appliqué conformément à la présente décision.</w:t>
      </w:r>
    </w:p>
    <w:p>
      <w:pPr>
        <w:pStyle w:val="Titrearticle"/>
        <w:rPr>
          <w:noProof/>
        </w:rPr>
      </w:pPr>
      <w:r>
        <w:rPr>
          <w:noProof/>
        </w:rPr>
        <w:t>Article 5</w:t>
      </w:r>
    </w:p>
    <w:p>
      <w:pPr>
        <w:outlineLvl w:val="0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La présente décision entre en vigueur dès son adoption. </w:t>
      </w:r>
    </w:p>
    <w:p>
      <w:pPr>
        <w:outlineLvl w:val="0"/>
        <w:rPr>
          <w:noProof/>
          <w:color w:val="000000" w:themeColor="text1"/>
        </w:rPr>
      </w:pPr>
    </w:p>
    <w:p>
      <w:pPr>
        <w:pStyle w:val="Fait"/>
        <w:rPr>
          <w:noProof/>
        </w:rPr>
      </w:pPr>
      <w:r>
        <w:rPr>
          <w:noProof/>
        </w:rPr>
        <w:t>Fait à […], le […]</w:t>
      </w:r>
    </w:p>
    <w:p>
      <w:pPr>
        <w:pStyle w:val="Institutionquisigne"/>
        <w:rPr>
          <w:noProof/>
        </w:rPr>
      </w:pPr>
      <w:r>
        <w:rPr>
          <w:noProof/>
        </w:rPr>
        <w:tab/>
        <w:t>Par le Comité des ambassadeurs ACP-UE</w:t>
      </w:r>
    </w:p>
    <w:p>
      <w:pPr>
        <w:pStyle w:val="Personnequisigne"/>
        <w:rPr>
          <w:noProof/>
        </w:rPr>
      </w:pPr>
      <w:r>
        <w:rPr>
          <w:noProof/>
        </w:rPr>
        <w:tab/>
        <w:t>Le président</w:t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ab/>
        <w:t>Accord (JO L 317 du 15.12.2000, p. 3) modifié par l’accord signé à Luxembourg le 25 juin 2005 (JO L 209 du 11.8.2005, p. 27) et par l’accord signé à Ouagadougou le 22 juin 2010 (JO L 287 du 4.11.2010, p. 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142D9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F545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A6E70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02AE07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48C01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5BC57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6A8CEB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6825D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 w:numId="25">
    <w:abstractNumId w:val="18"/>
  </w:num>
  <w:num w:numId="26">
    <w:abstractNumId w:val="12"/>
  </w:num>
  <w:num w:numId="27">
    <w:abstractNumId w:val="20"/>
  </w:num>
  <w:num w:numId="28">
    <w:abstractNumId w:val="11"/>
  </w:num>
  <w:num w:numId="29">
    <w:abstractNumId w:val="13"/>
  </w:num>
  <w:num w:numId="30">
    <w:abstractNumId w:val="9"/>
  </w:num>
  <w:num w:numId="31">
    <w:abstractNumId w:val="19"/>
  </w:num>
  <w:num w:numId="32">
    <w:abstractNumId w:val="8"/>
  </w:num>
  <w:num w:numId="33">
    <w:abstractNumId w:val="14"/>
  </w:num>
  <w:num w:numId="34">
    <w:abstractNumId w:val="16"/>
  </w:num>
  <w:num w:numId="35">
    <w:abstractNumId w:val="17"/>
  </w:num>
  <w:num w:numId="36">
    <w:abstractNumId w:val="10"/>
  </w:num>
  <w:num w:numId="37">
    <w:abstractNumId w:val="15"/>
  </w:num>
  <w:num w:numId="3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7-10-30 10:26:2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7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de la"/>
    <w:docVar w:name="LW_ACCOMPAGNANT.CP" w:val="de la"/>
    <w:docVar w:name="LW_ANNEX_NBR_FIRST" w:val="1"/>
    <w:docVar w:name="LW_ANNEX_NBR_LAST" w:val="1"/>
    <w:docVar w:name="LW_CORRIGENDUM" w:val="&lt;UNUSED&gt;"/>
    <w:docVar w:name="LW_COVERPAGE_EXISTS" w:val="True"/>
    <w:docVar w:name="LW_COVERPAGE_GUID" w:val="C217B3BC-A4C7-49BD-9303-2E8BEB4271BB"/>
    <w:docVar w:name="LW_COVERPAGE_TYPE" w:val="1"/>
    <w:docVar w:name="LW_CROSSREFERENCE" w:val="&lt;UNUSED&gt;"/>
    <w:docVar w:name="LW_DocType" w:val="ANNEX"/>
    <w:docVar w:name="LW_EMISSION" w:val="6.11.2017"/>
    <w:docVar w:name="LW_EMISSION_ISODATE" w:val="2017-11-06"/>
    <w:docVar w:name="LW_EMISSION_LOCATION" w:val="BRX"/>
    <w:docVar w:name="LW_EMISSION_PREFIX" w:val="Bruxelles, le "/>
    <w:docVar w:name="LW_EMISSION_SUFFIX" w:val=" "/>
    <w:docVar w:name="LW_ID_DOCSTRUCTURE" w:val="COM/ANNEX"/>
    <w:docVar w:name="LW_ID_DOCTYPE" w:val="SG-017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" w:val="relative à la position à prendre au nom de l\u8217?Union européenne au sein du Comité des ambassadeurs ACP-UE concernant la mise en \u339?uvre de l\u8217?article&lt;LWCR:NBS&gt;68 de l\u8217?accord de partenariat ACP-UE_x000b__x000b__x000b_"/>
    <w:docVar w:name="LW_OBJETACTEPRINCIPAL.CP" w:val="relative à la position à prendre au nom de l\u8217?Union européenne au sein du Comité des ambassadeurs ACP-UE concernant la mise en \u339?uvre de l\u8217?article 68 de l\u8217?accord de partenariat ACP-UE_x000b__x000b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64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E"/>
    <w:docVar w:name="LW_TYPE.DOC.CP" w:val="ANNEXE"/>
    <w:docVar w:name="LW_TYPEACTEPRINCIPAL" w:val="_x000b_proposition de_x000b__x000b_DÉCISION DU CONSEIL_x000b_"/>
    <w:docVar w:name="LW_TYPEACTEPRINCIPAL.CP" w:val="_x000b_proposition de_x000b__x000b_DÉCISION DU CONSEIL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tabs>
        <w:tab w:val="clear" w:pos="643"/>
        <w:tab w:val="num" w:pos="360"/>
      </w:tabs>
      <w:ind w:left="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qFormat/>
    <w:pPr>
      <w:suppressAutoHyphens/>
      <w:spacing w:before="0" w:after="0"/>
      <w:ind w:left="720"/>
      <w:jc w:val="left"/>
    </w:pPr>
    <w:rPr>
      <w:rFonts w:eastAsia="MS Mincho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Declassification">
    <w:name w:val="Declassification"/>
    <w:basedOn w:val="Normal"/>
    <w:next w:val="Normal"/>
    <w:pPr>
      <w:spacing w:before="0" w:after="0"/>
    </w:pPr>
    <w:rPr>
      <w:lang w:eastAsia="en-US" w:bidi="ar-SA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tabs>
        <w:tab w:val="clear" w:pos="643"/>
        <w:tab w:val="num" w:pos="360"/>
      </w:tabs>
      <w:ind w:left="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qFormat/>
    <w:pPr>
      <w:suppressAutoHyphens/>
      <w:spacing w:before="0" w:after="0"/>
      <w:ind w:left="720"/>
      <w:jc w:val="left"/>
    </w:pPr>
    <w:rPr>
      <w:rFonts w:eastAsia="MS Mincho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Declassification">
    <w:name w:val="Declassification"/>
    <w:basedOn w:val="Normal"/>
    <w:next w:val="Normal"/>
    <w:pPr>
      <w:spacing w:before="0" w:after="0"/>
    </w:pPr>
    <w:rPr>
      <w:lang w:eastAsia="en-US" w:bidi="ar-SA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27D6-0679-4649-8A38-0CDAF8E5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3</Pages>
  <Words>589</Words>
  <Characters>3157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Kerry (DEVCO)</dc:creator>
  <cp:lastModifiedBy>DIGIT/A3</cp:lastModifiedBy>
  <cp:revision>8</cp:revision>
  <cp:lastPrinted>2017-09-29T11:24:00Z</cp:lastPrinted>
  <dcterms:created xsi:type="dcterms:W3CDTF">2017-10-24T14:46:00Z</dcterms:created>
  <dcterms:modified xsi:type="dcterms:W3CDTF">2017-10-30T09:26:00Z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5.84.2.0</vt:lpwstr>
  </property>
  <property fmtid="{D5CDD505-2E9C-101B-9397-08002B2CF9AE}" pid="4" name="Last edited using">
    <vt:lpwstr>LW 5.8.4, Build 20150407</vt:lpwstr>
  </property>
  <property fmtid="{D5CDD505-2E9C-101B-9397-08002B2CF9AE}" pid="5" name="Created using">
    <vt:lpwstr>LW 5.8.4, Build 20150407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SG-017</vt:lpwstr>
  </property>
  <property fmtid="{D5CDD505-2E9C-101B-9397-08002B2CF9AE}" pid="11" name="DQCStatus">
    <vt:lpwstr>Green (DQC version 03)</vt:lpwstr>
  </property>
  <property fmtid="{D5CDD505-2E9C-101B-9397-08002B2CF9AE}" pid="12" name="Level of sensitivity">
    <vt:lpwstr>Standard treatment</vt:lpwstr>
  </property>
</Properties>
</file>