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5E82FB30-D099-4B5E-AEE1-BEBD977C84D6"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w:t>
      </w:r>
    </w:p>
    <w:p>
      <w:pPr>
        <w:autoSpaceDE w:val="0"/>
        <w:autoSpaceDN w:val="0"/>
        <w:adjustRightInd w:val="0"/>
        <w:spacing w:before="0" w:after="0"/>
        <w:jc w:val="center"/>
        <w:rPr>
          <w:rFonts w:eastAsia="Calibri"/>
          <w:b/>
          <w:bCs/>
          <w:noProof/>
          <w:szCs w:val="24"/>
          <w:lang w:eastAsia="en-GB"/>
        </w:rPr>
      </w:pPr>
    </w:p>
    <w:p>
      <w:pPr>
        <w:autoSpaceDE w:val="0"/>
        <w:autoSpaceDN w:val="0"/>
        <w:adjustRightInd w:val="0"/>
        <w:spacing w:before="0" w:after="0"/>
        <w:jc w:val="center"/>
        <w:rPr>
          <w:rFonts w:eastAsia="Calibri"/>
          <w:b/>
          <w:bCs/>
          <w:noProof/>
          <w:szCs w:val="24"/>
          <w:lang w:eastAsia="en-GB"/>
        </w:rPr>
      </w:pPr>
      <w:r>
        <w:rPr>
          <w:rFonts w:eastAsia="Calibri"/>
          <w:b/>
          <w:bCs/>
          <w:noProof/>
          <w:szCs w:val="24"/>
          <w:lang w:eastAsia="en-GB"/>
        </w:rPr>
        <w:t>DECISION N° … /2017</w:t>
      </w:r>
    </w:p>
    <w:p>
      <w:pPr>
        <w:autoSpaceDE w:val="0"/>
        <w:autoSpaceDN w:val="0"/>
        <w:adjustRightInd w:val="0"/>
        <w:spacing w:before="0" w:after="0"/>
        <w:jc w:val="center"/>
        <w:rPr>
          <w:rFonts w:eastAsia="Calibri"/>
          <w:b/>
          <w:bCs/>
          <w:noProof/>
          <w:szCs w:val="24"/>
          <w:lang w:eastAsia="en-GB"/>
        </w:rPr>
      </w:pPr>
    </w:p>
    <w:p>
      <w:pPr>
        <w:autoSpaceDE w:val="0"/>
        <w:autoSpaceDN w:val="0"/>
        <w:adjustRightInd w:val="0"/>
        <w:spacing w:before="0" w:after="0"/>
        <w:jc w:val="center"/>
        <w:rPr>
          <w:rFonts w:eastAsia="Calibri"/>
          <w:b/>
          <w:bCs/>
          <w:noProof/>
          <w:szCs w:val="24"/>
          <w:lang w:eastAsia="en-GB"/>
        </w:rPr>
      </w:pPr>
      <w:r>
        <w:rPr>
          <w:rFonts w:eastAsia="Calibri"/>
          <w:b/>
          <w:bCs/>
          <w:noProof/>
          <w:szCs w:val="24"/>
          <w:lang w:eastAsia="en-GB"/>
        </w:rPr>
        <w:t>OF THE ACP-EU COMMITTEE OF AMBASSADORS</w:t>
      </w:r>
    </w:p>
    <w:p>
      <w:pPr>
        <w:autoSpaceDE w:val="0"/>
        <w:autoSpaceDN w:val="0"/>
        <w:adjustRightInd w:val="0"/>
        <w:spacing w:before="0" w:after="0"/>
        <w:jc w:val="center"/>
        <w:rPr>
          <w:rFonts w:eastAsia="Calibri"/>
          <w:b/>
          <w:bCs/>
          <w:noProof/>
          <w:szCs w:val="24"/>
          <w:lang w:eastAsia="en-GB"/>
        </w:rPr>
      </w:pPr>
    </w:p>
    <w:p>
      <w:pPr>
        <w:autoSpaceDE w:val="0"/>
        <w:autoSpaceDN w:val="0"/>
        <w:adjustRightInd w:val="0"/>
        <w:spacing w:before="0" w:after="0"/>
        <w:jc w:val="center"/>
        <w:rPr>
          <w:rFonts w:eastAsia="Calibri"/>
          <w:b/>
          <w:bCs/>
          <w:noProof/>
          <w:szCs w:val="24"/>
          <w:lang w:eastAsia="en-GB"/>
        </w:rPr>
      </w:pPr>
      <w:r>
        <w:rPr>
          <w:rFonts w:eastAsia="Calibri"/>
          <w:b/>
          <w:bCs/>
          <w:noProof/>
          <w:szCs w:val="24"/>
          <w:lang w:eastAsia="en-GB"/>
        </w:rPr>
        <w:t>of ../../2017</w:t>
      </w:r>
    </w:p>
    <w:p>
      <w:pPr>
        <w:autoSpaceDE w:val="0"/>
        <w:autoSpaceDN w:val="0"/>
        <w:adjustRightInd w:val="0"/>
        <w:spacing w:before="0" w:after="0"/>
        <w:jc w:val="center"/>
        <w:rPr>
          <w:rFonts w:eastAsia="Calibri"/>
          <w:b/>
          <w:bCs/>
          <w:noProof/>
          <w:szCs w:val="24"/>
          <w:lang w:eastAsia="en-GB"/>
        </w:rPr>
      </w:pPr>
    </w:p>
    <w:p>
      <w:pPr>
        <w:autoSpaceDE w:val="0"/>
        <w:autoSpaceDN w:val="0"/>
        <w:adjustRightInd w:val="0"/>
        <w:spacing w:before="0" w:after="0"/>
        <w:jc w:val="center"/>
        <w:rPr>
          <w:rFonts w:eastAsia="Calibri"/>
          <w:b/>
          <w:bCs/>
          <w:noProof/>
          <w:szCs w:val="24"/>
          <w:lang w:eastAsia="en-GB"/>
        </w:rPr>
      </w:pPr>
      <w:r>
        <w:rPr>
          <w:rFonts w:eastAsia="Calibri"/>
          <w:b/>
          <w:bCs/>
          <w:noProof/>
          <w:szCs w:val="24"/>
          <w:lang w:eastAsia="en-GB"/>
        </w:rPr>
        <w:t>regarding the implementation of Article 68 of the ACP-EU Partnership Agreement</w:t>
      </w:r>
    </w:p>
    <w:p>
      <w:pPr>
        <w:pStyle w:val="Institutionquiagit"/>
        <w:rPr>
          <w:noProof/>
          <w:lang w:eastAsia="en-GB"/>
        </w:rPr>
      </w:pPr>
      <w:r>
        <w:rPr>
          <w:noProof/>
          <w:lang w:eastAsia="en-GB"/>
        </w:rPr>
        <w:t>THE</w:t>
      </w:r>
      <w:r>
        <w:rPr>
          <w:rFonts w:ascii="Calibri" w:hAnsi="Calibri"/>
          <w:noProof/>
          <w:sz w:val="22"/>
        </w:rPr>
        <w:t xml:space="preserve"> </w:t>
      </w:r>
      <w:r>
        <w:rPr>
          <w:noProof/>
          <w:lang w:eastAsia="en-GB"/>
        </w:rPr>
        <w:t>ACP-EU COMMITTEE OF AMBASSADORS,</w:t>
      </w:r>
    </w:p>
    <w:p>
      <w:pPr>
        <w:outlineLvl w:val="0"/>
        <w:rPr>
          <w:noProof/>
        </w:rPr>
      </w:pPr>
      <w:r>
        <w:rPr>
          <w:noProof/>
        </w:rPr>
        <w:t>Having regard to the partnership agreement between the Members of the African, Caribbean and Pacific Group of States, of the one part, and the European Community and its Member States of the other part</w:t>
      </w:r>
      <w:r>
        <w:rPr>
          <w:rStyle w:val="FootnoteReference"/>
          <w:noProof/>
        </w:rPr>
        <w:footnoteReference w:id="1"/>
      </w:r>
      <w:r>
        <w:rPr>
          <w:noProof/>
        </w:rPr>
        <w:t xml:space="preserve">, (hereinafter referred to as “the ACP-EU Partnership Agreement”), and in particular Article 100 thereof, in conjunction with its Articles 15(4) and 16(2); </w:t>
      </w:r>
    </w:p>
    <w:p>
      <w:pPr>
        <w:outlineLvl w:val="0"/>
        <w:rPr>
          <w:noProof/>
        </w:rPr>
      </w:pPr>
    </w:p>
    <w:p>
      <w:pPr>
        <w:outlineLvl w:val="0"/>
        <w:rPr>
          <w:noProof/>
        </w:rPr>
      </w:pPr>
      <w:r>
        <w:rPr>
          <w:noProof/>
        </w:rPr>
        <w:t>Whereas</w:t>
      </w:r>
    </w:p>
    <w:p>
      <w:pPr>
        <w:pStyle w:val="Considrant"/>
        <w:numPr>
          <w:ilvl w:val="0"/>
          <w:numId w:val="9"/>
        </w:numPr>
        <w:rPr>
          <w:noProof/>
        </w:rPr>
      </w:pPr>
      <w:r>
        <w:rPr>
          <w:noProof/>
        </w:rPr>
        <w:t>Article 68 of the ACP-EU Partnership Agreement stipulates that a system of additional support mechanism is to be put in place in order to mitigate the short-term adverse effects resulting from exogenous shocks affecting the economy of ACP States. Paragraph 4 of that Article sets out that the modalities of the support mechanism are laid down in Annex II of the Agreement.</w:t>
      </w:r>
    </w:p>
    <w:p>
      <w:pPr>
        <w:pStyle w:val="Considrant"/>
        <w:rPr>
          <w:noProof/>
        </w:rPr>
      </w:pPr>
      <w:r>
        <w:rPr>
          <w:noProof/>
        </w:rPr>
        <w:t>The mechanism as currently defined in Annex II of the ACP-EU Partnership Agreement needs to be adapted to reflect the needs of the Parties and to ensure a flexible and rapid delivery of assistance.</w:t>
      </w:r>
    </w:p>
    <w:p>
      <w:pPr>
        <w:pStyle w:val="Considrant"/>
        <w:rPr>
          <w:noProof/>
        </w:rPr>
      </w:pPr>
      <w:r>
        <w:rPr>
          <w:noProof/>
        </w:rPr>
        <w:t>Article 100 of the ACP-EU Partnership Agreement stipulates that Annexes Ia, Ib, II, IV, and VI of the Agreement in question may be revised, reviewed and/or amended by the ACP-EU Council of Ministers on the basis of a recommendation from the ACP–EU Development Finance Cooperation Committee.</w:t>
      </w:r>
    </w:p>
    <w:p>
      <w:pPr>
        <w:pStyle w:val="Considrant"/>
        <w:rPr>
          <w:noProof/>
        </w:rPr>
      </w:pPr>
      <w:r>
        <w:rPr>
          <w:noProof/>
        </w:rPr>
        <w:t>Article 15(4) of the ACP-EU Partnership Agreement stipulates that the ACP-EU Council of Ministers may delegate powers to the ACP-EU Committee of Ambassadors.</w:t>
      </w:r>
    </w:p>
    <w:p>
      <w:pPr>
        <w:pStyle w:val="Considrant"/>
        <w:rPr>
          <w:noProof/>
        </w:rPr>
      </w:pPr>
      <w:r>
        <w:rPr>
          <w:noProof/>
        </w:rPr>
        <w:t>Article 16(2) of the ACP-EU Partnership Agreement stipulates that the ACP-EU Committee of Ambassadors shall carry out any mandate entrusted to it by the Council.</w:t>
      </w:r>
    </w:p>
    <w:p>
      <w:pPr>
        <w:pStyle w:val="Considrant"/>
        <w:rPr>
          <w:noProof/>
        </w:rPr>
      </w:pPr>
      <w:r>
        <w:rPr>
          <w:noProof/>
        </w:rPr>
        <w:t>The ACP-EU Council of Ministers meeting of 5 May 2017 mandated the ACP-EU Committee of Ambassadors to adopt a decision on the implementation of Article 68 of the ACP-EU Partnership Agreement regarding exogenous shocks and amending Annex II, Chapter 3.</w:t>
      </w:r>
    </w:p>
    <w:p>
      <w:pPr>
        <w:pStyle w:val="Considrant"/>
        <w:rPr>
          <w:noProof/>
        </w:rPr>
      </w:pPr>
      <w:r>
        <w:rPr>
          <w:noProof/>
        </w:rPr>
        <w:t>The ACP-EU Committee of Ambassadors should adopt the present decision.</w:t>
      </w:r>
    </w:p>
    <w:p>
      <w:pPr>
        <w:rPr>
          <w:noProof/>
          <w:lang w:eastAsia="en-GB"/>
        </w:rPr>
      </w:pPr>
    </w:p>
    <w:p>
      <w:pPr>
        <w:pStyle w:val="Formuledadoption"/>
        <w:rPr>
          <w:noProof/>
          <w:lang w:eastAsia="en-GB"/>
        </w:rPr>
      </w:pPr>
      <w:r>
        <w:rPr>
          <w:noProof/>
          <w:lang w:eastAsia="en-GB"/>
        </w:rPr>
        <w:t xml:space="preserve">HAS DECIDED AS FOLLOWS </w:t>
      </w:r>
    </w:p>
    <w:p>
      <w:pPr>
        <w:pStyle w:val="Titrearticle"/>
        <w:rPr>
          <w:noProof/>
          <w:lang w:eastAsia="en-GB"/>
        </w:rPr>
      </w:pPr>
      <w:r>
        <w:rPr>
          <w:noProof/>
          <w:lang w:eastAsia="en-GB"/>
        </w:rPr>
        <w:t>Article 1</w:t>
      </w:r>
    </w:p>
    <w:p>
      <w:pPr>
        <w:outlineLvl w:val="0"/>
        <w:rPr>
          <w:noProof/>
          <w:lang w:val="en-TT"/>
        </w:rPr>
      </w:pPr>
      <w:r>
        <w:rPr>
          <w:bCs/>
          <w:noProof/>
          <w:lang w:val="en-TT"/>
        </w:rPr>
        <w:t>The financial support to ACP countries in the event of macroeconomic instability resulting from exogenous shocks, provided for in Article 68 of the ACP-EU Partnership Agreement ('the Agreement'), is governed by the provisions of this decision</w:t>
      </w:r>
      <w:r>
        <w:rPr>
          <w:noProof/>
          <w:szCs w:val="24"/>
        </w:rPr>
        <w:t>.</w:t>
      </w:r>
    </w:p>
    <w:p>
      <w:pPr>
        <w:pStyle w:val="Titrearticle"/>
        <w:rPr>
          <w:noProof/>
          <w:lang w:eastAsia="en-GB"/>
        </w:rPr>
      </w:pPr>
      <w:r>
        <w:rPr>
          <w:noProof/>
          <w:lang w:eastAsia="en-GB"/>
        </w:rPr>
        <w:t>Article 2</w:t>
      </w:r>
    </w:p>
    <w:p>
      <w:pPr>
        <w:pStyle w:val="NumPar1"/>
        <w:numPr>
          <w:ilvl w:val="0"/>
          <w:numId w:val="10"/>
        </w:numPr>
        <w:rPr>
          <w:noProof/>
        </w:rPr>
      </w:pPr>
      <w:r>
        <w:rPr>
          <w:noProof/>
        </w:rPr>
        <w:t>Additional financial support may be mobilised from the 11</w:t>
      </w:r>
      <w:r>
        <w:rPr>
          <w:noProof/>
          <w:vertAlign w:val="superscript"/>
        </w:rPr>
        <w:t>th</w:t>
      </w:r>
      <w:r>
        <w:rPr>
          <w:noProof/>
        </w:rPr>
        <w:t xml:space="preserve"> European Development Fund reserve for unforeseen needs, in order to mitigate the short term adverse effects resulting from exogenous shocks, including the effects on export earnings, and safeguard the socioeconomic reforms and policies jeopardised by the drop in revenue, </w:t>
      </w:r>
    </w:p>
    <w:p>
      <w:pPr>
        <w:pStyle w:val="NumPar1"/>
        <w:rPr>
          <w:noProof/>
        </w:rPr>
      </w:pPr>
      <w:r>
        <w:rPr>
          <w:noProof/>
        </w:rPr>
        <w:t xml:space="preserve">ACP countries, struck by exogenous shocks, shall address a request to European Commission for financial support for this purpose, which will be examined through a needs </w:t>
      </w:r>
      <w:r>
        <w:rPr>
          <w:noProof/>
          <w:color w:val="000000"/>
        </w:rPr>
        <w:t>oriented</w:t>
      </w:r>
      <w:r>
        <w:rPr>
          <w:noProof/>
        </w:rPr>
        <w:t xml:space="preserve"> case by case approach in the multi-annual financial framework of cooperation under the Agreement. </w:t>
      </w:r>
    </w:p>
    <w:p>
      <w:pPr>
        <w:pStyle w:val="NumPar1"/>
        <w:rPr>
          <w:noProof/>
        </w:rPr>
      </w:pPr>
      <w:r>
        <w:rPr>
          <w:noProof/>
        </w:rPr>
        <w:t xml:space="preserve">Assistance shall be administered and implemented under procedures permitting operations that are rapid, flexible and effective. The European Commission will report periodically to the ACP-EU Development, Finance Cooperation Committee. </w:t>
      </w:r>
    </w:p>
    <w:p>
      <w:pPr>
        <w:pStyle w:val="Titrearticle"/>
        <w:rPr>
          <w:noProof/>
          <w:lang w:eastAsia="en-GB"/>
        </w:rPr>
      </w:pPr>
      <w:r>
        <w:rPr>
          <w:noProof/>
          <w:lang w:eastAsia="en-GB"/>
        </w:rPr>
        <w:t>Article 3</w:t>
      </w:r>
    </w:p>
    <w:p>
      <w:pPr>
        <w:outlineLvl w:val="0"/>
        <w:rPr>
          <w:noProof/>
          <w:szCs w:val="24"/>
        </w:rPr>
      </w:pPr>
      <w:r>
        <w:rPr>
          <w:noProof/>
          <w:szCs w:val="24"/>
        </w:rPr>
        <w:t xml:space="preserve">The Contracting Parties to the Agreement, the European Commission and the ACP Secretariat shall be informed of the practical implementation modalities of Article 68. </w:t>
      </w:r>
    </w:p>
    <w:p>
      <w:pPr>
        <w:pStyle w:val="Titrearticle"/>
        <w:rPr>
          <w:noProof/>
          <w:lang w:eastAsia="en-GB"/>
        </w:rPr>
      </w:pPr>
      <w:r>
        <w:rPr>
          <w:noProof/>
          <w:lang w:eastAsia="en-GB"/>
        </w:rPr>
        <w:t>Article 4</w:t>
      </w:r>
    </w:p>
    <w:p>
      <w:pPr>
        <w:outlineLvl w:val="0"/>
        <w:rPr>
          <w:noProof/>
          <w:color w:val="000000" w:themeColor="text1"/>
          <w:szCs w:val="24"/>
        </w:rPr>
      </w:pPr>
      <w:r>
        <w:rPr>
          <w:noProof/>
          <w:color w:val="000000" w:themeColor="text1"/>
        </w:rPr>
        <w:t>Annex II, Chapter 3 of the ACP-EU Partnership Agreement shall be applied in accordance with the present decision</w:t>
      </w:r>
      <w:r>
        <w:rPr>
          <w:noProof/>
          <w:color w:val="000000" w:themeColor="text1"/>
          <w:szCs w:val="24"/>
        </w:rPr>
        <w:t>.</w:t>
      </w:r>
    </w:p>
    <w:p>
      <w:pPr>
        <w:pStyle w:val="Titrearticle"/>
        <w:rPr>
          <w:noProof/>
          <w:lang w:eastAsia="en-GB"/>
        </w:rPr>
      </w:pPr>
      <w:r>
        <w:rPr>
          <w:noProof/>
          <w:lang w:eastAsia="en-GB"/>
        </w:rPr>
        <w:t>Article 5</w:t>
      </w:r>
    </w:p>
    <w:p>
      <w:pPr>
        <w:outlineLvl w:val="0"/>
        <w:rPr>
          <w:noProof/>
          <w:color w:val="000000" w:themeColor="text1"/>
        </w:rPr>
      </w:pPr>
      <w:r>
        <w:rPr>
          <w:noProof/>
          <w:color w:val="000000" w:themeColor="text1"/>
        </w:rPr>
        <w:t xml:space="preserve">This present decision shall enter into force upon its adoption. </w:t>
      </w:r>
    </w:p>
    <w:p>
      <w:pPr>
        <w:outlineLvl w:val="0"/>
        <w:rPr>
          <w:noProof/>
          <w:color w:val="000000" w:themeColor="text1"/>
        </w:rPr>
      </w:pPr>
    </w:p>
    <w:p>
      <w:pPr>
        <w:pStyle w:val="Fait"/>
        <w:rPr>
          <w:noProof/>
          <w:lang w:eastAsia="en-GB"/>
        </w:rPr>
      </w:pPr>
      <w:r>
        <w:rPr>
          <w:noProof/>
          <w:lang w:eastAsia="en-GB"/>
        </w:rPr>
        <w:t>Done at [...], [...]</w:t>
      </w:r>
    </w:p>
    <w:p>
      <w:pPr>
        <w:pStyle w:val="Institutionquisigne"/>
        <w:rPr>
          <w:noProof/>
          <w:lang w:eastAsia="en-GB"/>
        </w:rPr>
      </w:pPr>
      <w:r>
        <w:rPr>
          <w:noProof/>
          <w:lang w:eastAsia="en-GB"/>
        </w:rPr>
        <w:tab/>
        <w:t>For the ACP-EU Committee of Ambassadors</w:t>
      </w:r>
    </w:p>
    <w:p>
      <w:pPr>
        <w:pStyle w:val="Personnequisigne"/>
        <w:rPr>
          <w:noProof/>
        </w:rPr>
      </w:pPr>
      <w:r>
        <w:rPr>
          <w:noProof/>
          <w:lang w:eastAsia="en-GB"/>
        </w:rPr>
        <w:tab/>
        <w:t>The President</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Agreement (OJ L317, 15.12.2000, p. 3) as amended by the Agreement signed in Luxembourg on 25 June 2005 (OJ L209, 11.8.2005, p.27) and by the Agreement signed in Ouagadougou on 22 June 2010 (OJ L287, 4.11.2010,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142D9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F545D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A6E70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AE07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48C01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5BC57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A8CEB0E"/>
    <w:lvl w:ilvl="0">
      <w:start w:val="1"/>
      <w:numFmt w:val="decimal"/>
      <w:pStyle w:val="ListNumber"/>
      <w:lvlText w:val="%1."/>
      <w:lvlJc w:val="left"/>
      <w:pPr>
        <w:tabs>
          <w:tab w:val="num" w:pos="360"/>
        </w:tabs>
        <w:ind w:left="360" w:hanging="360"/>
      </w:pPr>
    </w:lvl>
  </w:abstractNum>
  <w:abstractNum w:abstractNumId="7">
    <w:nsid w:val="FFFFFF89"/>
    <w:multiLevelType w:val="singleLevel"/>
    <w:tmpl w:val="A6825D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30 10:29: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CORRIGENDUM" w:val="&lt;UNUSED&gt;"/>
    <w:docVar w:name="LW_COVERPAGE_EXISTS" w:val="True"/>
    <w:docVar w:name="LW_COVERPAGE_GUID" w:val="5E82FB30-D099-4B5E-AEE1-BEBD977C84D6"/>
    <w:docVar w:name="LW_COVERPAGE_TYPE" w:val="1"/>
    <w:docVar w:name="LW_CROSSREFERENCE" w:val="&lt;UNUSED&gt;"/>
    <w:docVar w:name="LW_DocType" w:val="ANNEX"/>
    <w:docVar w:name="LW_EMISSION" w:val="6.11.2017"/>
    <w:docVar w:name="LW_EMISSION_ISODATE" w:val="2017-11-06"/>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within the ACP-EU Committee of Ambassadors regarding the implementation of Article 68 of the ACP-EU Partnership Agreement"/>
    <w:docVar w:name="LW_OBJETACTEPRINCIPAL.CP" w:val="on the position to be taken on behalf of the European Union within the ACP-EU Committee of Ambassadors regarding the implementation of Article 68 of the ACP-EU Partnership Agreement"/>
    <w:docVar w:name="LW_PART_NBR" w:val="1"/>
    <w:docVar w:name="LW_PART_NBR_TOTAL" w:val="1"/>
    <w:docVar w:name="LW_REF.INST.NEW" w:val="COM"/>
    <w:docVar w:name="LW_REF.INST.NEW_ADOPTED" w:val="final"/>
    <w:docVar w:name="LW_REF.INST.NEW_TEXT" w:val="(2017) 6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_x000b__x000b_COUNCIL DECISION"/>
    <w:docVar w:name="LW_TYPEACTEPRINCIPAL.CP" w:val="Proposal for a_x000b__x000b_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qFormat/>
    <w:pPr>
      <w:suppressAutoHyphens/>
      <w:spacing w:before="0" w:after="0"/>
      <w:ind w:left="720"/>
      <w:jc w:val="left"/>
    </w:pPr>
    <w:rPr>
      <w:rFonts w:eastAsia="MS Mincho"/>
      <w:szCs w:val="24"/>
      <w:lang w:val="en-US" w:eastAsia="ar-SA"/>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qFormat/>
    <w:pPr>
      <w:suppressAutoHyphens/>
      <w:spacing w:before="0" w:after="0"/>
      <w:ind w:left="720"/>
      <w:jc w:val="left"/>
    </w:pPr>
    <w:rPr>
      <w:rFonts w:eastAsia="MS Mincho"/>
      <w:szCs w:val="24"/>
      <w:lang w:val="en-US" w:eastAsia="ar-SA"/>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C5498-3E50-4A82-BAEB-4059474E1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Pages>
  <Words>567</Words>
  <Characters>3097</Characters>
  <Application>Microsoft Office Word</Application>
  <DocSecurity>0</DocSecurity>
  <Lines>72</Lines>
  <Paragraphs>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Kerry (DEVCO)</dc:creator>
  <cp:lastModifiedBy>DIGIT/A3</cp:lastModifiedBy>
  <cp:revision>8</cp:revision>
  <cp:lastPrinted>2017-09-29T11:24:00Z</cp:lastPrinted>
  <dcterms:created xsi:type="dcterms:W3CDTF">2017-10-17T14:10:00Z</dcterms:created>
  <dcterms:modified xsi:type="dcterms:W3CDTF">2017-10-30T09:29:00Z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DQCStatus">
    <vt:lpwstr>Green (DQC version 03)</vt:lpwstr>
  </property>
  <property fmtid="{D5CDD505-2E9C-101B-9397-08002B2CF9AE}" pid="12" name="Level of sensitivity">
    <vt:lpwstr>Standard treatment</vt:lpwstr>
  </property>
</Properties>
</file>