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A61FF922-BD82-4CC3-9442-2B61F6F24A15" style="width:450.8pt;height:365.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noProof/>
        </w:rPr>
      </w:pPr>
      <w:r>
        <w:rPr>
          <w:rFonts w:eastAsia="Arial Unicode MS"/>
          <w:noProof/>
        </w:rPr>
        <w:t xml:space="preserve">This proposal concerns the decision establishing the position to be taken on the Union's behalf </w:t>
      </w:r>
      <w:r>
        <w:rPr>
          <w:noProof/>
        </w:rPr>
        <w:t xml:space="preserve">in the ACP-EU Committee of Ambassadors </w:t>
      </w:r>
      <w:r>
        <w:rPr>
          <w:rFonts w:eastAsia="Arial Unicode MS"/>
          <w:noProof/>
        </w:rPr>
        <w:t xml:space="preserve">in connection with the envisaged adoption of </w:t>
      </w:r>
      <w:r>
        <w:rPr>
          <w:noProof/>
        </w:rPr>
        <w:t>a decision of the Committee of Ambassadors concerning the implementation of Article 68 of the ACP-EU Partnership Agreement.</w:t>
      </w:r>
    </w:p>
    <w:p>
      <w:pPr>
        <w:pStyle w:val="ManualHeading1"/>
        <w:rPr>
          <w:noProof/>
        </w:rPr>
      </w:pPr>
      <w:r>
        <w:t>2.</w:t>
      </w:r>
      <w:r>
        <w:tab/>
      </w:r>
      <w:r>
        <w:rPr>
          <w:noProof/>
        </w:rPr>
        <w:t>Context of the proposal</w:t>
      </w:r>
    </w:p>
    <w:p>
      <w:pPr>
        <w:pStyle w:val="ManualHeading2"/>
        <w:rPr>
          <w:noProof/>
        </w:rPr>
      </w:pPr>
      <w:r>
        <w:t>2.1.</w:t>
      </w:r>
      <w:r>
        <w:tab/>
      </w:r>
      <w:r>
        <w:rPr>
          <w:noProof/>
        </w:rPr>
        <w:t xml:space="preserve">The </w:t>
      </w:r>
      <w:r>
        <w:rPr>
          <w:noProof/>
          <w:lang w:eastAsia="en-GB"/>
        </w:rPr>
        <w:t>ACP-EU Partnership Agreement ("the Cotonou Agreement")</w:t>
      </w:r>
    </w:p>
    <w:p>
      <w:pPr>
        <w:rPr>
          <w:noProof/>
          <w:szCs w:val="24"/>
          <w:lang w:eastAsia="en-GB"/>
        </w:rPr>
      </w:pPr>
      <w:r>
        <w:rPr>
          <w:rFonts w:eastAsia="Arial Unicode MS"/>
          <w:noProof/>
        </w:rPr>
        <w:t xml:space="preserve">The </w:t>
      </w:r>
      <w:r>
        <w:rPr>
          <w:noProof/>
          <w:szCs w:val="24"/>
          <w:lang w:eastAsia="en-GB"/>
        </w:rPr>
        <w:t>ACP-EU Partnership Agreement</w:t>
      </w:r>
      <w:r>
        <w:rPr>
          <w:rStyle w:val="FootnoteReference"/>
          <w:rFonts w:eastAsia="Arial Unicode MS"/>
          <w:noProof/>
        </w:rPr>
        <w:footnoteReference w:id="1"/>
      </w:r>
      <w:r>
        <w:rPr>
          <w:rFonts w:eastAsia="Arial Unicode MS"/>
          <w:noProof/>
        </w:rPr>
        <w:t xml:space="preserve"> (‘the Agreement’) aims to </w:t>
      </w:r>
      <w:r>
        <w:rPr>
          <w:noProof/>
        </w:rPr>
        <w:t>set up an association between the European Union and the ACP States</w:t>
      </w:r>
      <w:r>
        <w:rPr>
          <w:rFonts w:eastAsia="Arial Unicode MS"/>
          <w:noProof/>
        </w:rPr>
        <w:t xml:space="preserve">. The Agreement entered into force on </w:t>
      </w:r>
      <w:r>
        <w:rPr>
          <w:noProof/>
          <w:szCs w:val="24"/>
          <w:lang w:eastAsia="en-GB"/>
        </w:rPr>
        <w:t>01/04/2003.</w:t>
      </w:r>
    </w:p>
    <w:p>
      <w:pPr>
        <w:tabs>
          <w:tab w:val="left" w:pos="0"/>
        </w:tabs>
        <w:rPr>
          <w:noProof/>
          <w:szCs w:val="24"/>
          <w:lang w:eastAsia="en-GB"/>
        </w:rPr>
      </w:pPr>
      <w:r>
        <w:rPr>
          <w:noProof/>
          <w:szCs w:val="24"/>
          <w:lang w:eastAsia="en-GB"/>
        </w:rPr>
        <w:t>Article 100 of the ACP-EU Partnership Agreement states that its Annexes Ia, Ib, II, III, IV and VI may be revised, reviewed and/or amended by the ACP-EU Council of Ministers on the basis of a recommendation from the ACP-EU Development Finance Cooperation Committee.</w:t>
      </w:r>
    </w:p>
    <w:p>
      <w:pPr>
        <w:tabs>
          <w:tab w:val="left" w:pos="0"/>
        </w:tabs>
        <w:rPr>
          <w:noProof/>
          <w:szCs w:val="24"/>
          <w:lang w:eastAsia="en-GB"/>
        </w:rPr>
      </w:pPr>
      <w:r>
        <w:rPr>
          <w:noProof/>
          <w:szCs w:val="24"/>
          <w:lang w:eastAsia="en-GB"/>
        </w:rPr>
        <w:t>Article 15(4) of the ACP-EU Partnership Agreement states that the ACP-EU Council of Ministers may delegate powers to the ACP-EU Committee of Ambassadors.</w:t>
      </w:r>
    </w:p>
    <w:p>
      <w:pPr>
        <w:tabs>
          <w:tab w:val="left" w:pos="0"/>
        </w:tabs>
        <w:rPr>
          <w:noProof/>
        </w:rPr>
      </w:pPr>
      <w:r>
        <w:rPr>
          <w:noProof/>
          <w:szCs w:val="24"/>
          <w:lang w:eastAsia="en-GB"/>
        </w:rPr>
        <w:t>The ACP-EU Council of Ministers decided to grant a delegation of powers to the ACP-EU Committee of Ambassadors in Dakar during the Joint Ministerial Council meeting of 6 May 2017, for the purpose of taking a decision on the implementation of Article 68 of the ACP-EU Partnership Agreement before 31 December 2017.</w:t>
      </w:r>
    </w:p>
    <w:p>
      <w:pPr>
        <w:pStyle w:val="ManualHeading2"/>
        <w:rPr>
          <w:noProof/>
        </w:rPr>
      </w:pPr>
      <w:r>
        <w:t>2.2.</w:t>
      </w:r>
      <w:r>
        <w:tab/>
      </w:r>
      <w:r>
        <w:rPr>
          <w:noProof/>
        </w:rPr>
        <w:t>The ACP-EU Committee of Ambassadors</w:t>
      </w:r>
    </w:p>
    <w:p>
      <w:pPr>
        <w:rPr>
          <w:noProof/>
          <w:szCs w:val="24"/>
          <w:lang w:eastAsia="en-GB"/>
        </w:rPr>
      </w:pPr>
      <w:r>
        <w:rPr>
          <w:rFonts w:eastAsia="Arial Unicode MS"/>
          <w:noProof/>
        </w:rPr>
        <w:t xml:space="preserve">The </w:t>
      </w:r>
      <w:r>
        <w:rPr>
          <w:noProof/>
        </w:rPr>
        <w:t xml:space="preserve">ACP-EU </w:t>
      </w:r>
      <w:r>
        <w:rPr>
          <w:noProof/>
          <w:szCs w:val="24"/>
          <w:lang w:eastAsia="en-GB"/>
        </w:rPr>
        <w:t>Committee of Ambassadors can take decisions that are legally binding on the Parties. The Committee of Ambassadors comprises, on the one hand, the permanent representative of each Member State to the European Union and a representative of the Commission and, on the other, the head of mission of each ACP State to the European Union. The office of Chairman of the Committee of Ambassadors is held alternately by a Permanent Representative of a Member State designated by the Community, and a head of mission representing an ACP State, designated by the ACP States. The Committee assists the Council of Ministers in the fulfilment of its tasks and carries out any mandate entrusted to it by the Council. In this context, it monitors implementation of this Agreement and progress towards achieving the objectives set therein. The Committee of Ambassadors meets regularly, in particular to prepare the Council sessions and whenever it proves necessary.</w:t>
      </w:r>
    </w:p>
    <w:p>
      <w:pPr>
        <w:pStyle w:val="ManualHeading2"/>
        <w:rPr>
          <w:noProof/>
        </w:rPr>
      </w:pPr>
      <w:r>
        <w:t>2.3.</w:t>
      </w:r>
      <w:r>
        <w:tab/>
      </w:r>
      <w:r>
        <w:rPr>
          <w:noProof/>
        </w:rPr>
        <w:t>The envisaged act of the ACP-EU Committee of Ambassadors</w:t>
      </w:r>
    </w:p>
    <w:p>
      <w:pPr>
        <w:tabs>
          <w:tab w:val="left" w:pos="0"/>
        </w:tabs>
        <w:rPr>
          <w:rFonts w:eastAsia="Arial Unicode MS"/>
          <w:noProof/>
        </w:rPr>
      </w:pPr>
      <w:r>
        <w:rPr>
          <w:rFonts w:eastAsia="Arial Unicode MS"/>
          <w:noProof/>
        </w:rPr>
        <w:t>Before 31/12/2017, the</w:t>
      </w:r>
      <w:r>
        <w:rPr>
          <w:noProof/>
        </w:rPr>
        <w:t xml:space="preserve"> ACP-EU Committee of Ambassadors is to adopt a decision regarding the implementation of Article 68 of the ACP-EU Partnership Agreement </w:t>
      </w:r>
      <w:r>
        <w:rPr>
          <w:rFonts w:eastAsia="Arial Unicode MS"/>
          <w:noProof/>
        </w:rPr>
        <w:t>(‘the envisaged act’).</w:t>
      </w:r>
    </w:p>
    <w:p>
      <w:pPr>
        <w:rPr>
          <w:rFonts w:eastAsia="Arial Unicode MS"/>
          <w:noProof/>
        </w:rPr>
      </w:pPr>
      <w:r>
        <w:rPr>
          <w:noProof/>
          <w:szCs w:val="24"/>
          <w:lang w:eastAsia="en-GB"/>
        </w:rPr>
        <w:t xml:space="preserve">The Decision will apply to Annex II Chapter 3 and aims at </w:t>
      </w:r>
      <w:r>
        <w:rPr>
          <w:noProof/>
          <w:lang w:eastAsia="en-GB"/>
        </w:rPr>
        <w:t>improving the functioning of the system of financing for support in case of exogenous shocks.</w:t>
      </w:r>
    </w:p>
    <w:p>
      <w:pPr>
        <w:rPr>
          <w:rFonts w:eastAsia="Arial Unicode MS"/>
          <w:noProof/>
        </w:rPr>
      </w:pPr>
      <w:r>
        <w:rPr>
          <w:rFonts w:eastAsia="Arial Unicode MS"/>
          <w:noProof/>
        </w:rPr>
        <w:lastRenderedPageBreak/>
        <w:t xml:space="preserve">The envisaged act will become binding on the parties in accordance with Article 15.3 of the Agreement which provides that 'The ACP-EU Council of Ministers may take decisions that are binding on the Parties' and with Article </w:t>
      </w:r>
      <w:r>
        <w:rPr>
          <w:noProof/>
        </w:rPr>
        <w:t xml:space="preserve">15.4 </w:t>
      </w:r>
      <w:r>
        <w:rPr>
          <w:rFonts w:eastAsia="Arial Unicode MS"/>
          <w:noProof/>
        </w:rPr>
        <w:t>of the Agreement, which provides:</w:t>
      </w:r>
      <w:r>
        <w:rPr>
          <w:noProof/>
        </w:rPr>
        <w:t xml:space="preserve"> </w:t>
      </w:r>
      <w:r>
        <w:rPr>
          <w:rFonts w:eastAsia="Arial Unicode MS"/>
          <w:noProof/>
        </w:rPr>
        <w:t>‘</w:t>
      </w:r>
      <w:r>
        <w:rPr>
          <w:noProof/>
        </w:rPr>
        <w:t>The ACP-EU Council of Ministers may delegate powers to the ACP-EU Committee of Ambassadors.</w:t>
      </w:r>
      <w:r>
        <w:rPr>
          <w:rFonts w:eastAsia="Arial Unicode MS"/>
          <w:noProof/>
        </w:rPr>
        <w:t>’</w:t>
      </w:r>
      <w:r>
        <w:rPr>
          <w:noProof/>
        </w:rPr>
        <w:t xml:space="preserve">. </w:t>
      </w:r>
    </w:p>
    <w:p>
      <w:pPr>
        <w:pStyle w:val="ManualHeading1"/>
        <w:rPr>
          <w:noProof/>
        </w:rPr>
      </w:pPr>
      <w:r>
        <w:t>3.</w:t>
      </w:r>
      <w:r>
        <w:tab/>
      </w:r>
      <w:r>
        <w:rPr>
          <w:noProof/>
        </w:rPr>
        <w:t>Position to be taken on the Union's behalf</w:t>
      </w:r>
    </w:p>
    <w:p>
      <w:pPr>
        <w:autoSpaceDE w:val="0"/>
        <w:autoSpaceDN w:val="0"/>
        <w:adjustRightInd w:val="0"/>
        <w:spacing w:after="0"/>
        <w:rPr>
          <w:noProof/>
          <w:szCs w:val="24"/>
          <w:lang w:eastAsia="en-GB"/>
        </w:rPr>
      </w:pPr>
      <w:r>
        <w:rPr>
          <w:noProof/>
          <w:szCs w:val="24"/>
          <w:lang w:eastAsia="en-GB"/>
        </w:rPr>
        <w:t>According to Article 68 of the ACP-EU Partnership Agreement "</w:t>
      </w:r>
      <w:r>
        <w:rPr>
          <w:i/>
          <w:noProof/>
          <w:szCs w:val="24"/>
          <w:lang w:eastAsia="en-GB"/>
        </w:rPr>
        <w:t>the parties recognise that macro-economic instability resulting from exogenous shocks may adversely affect the development of the ACP States and jeopardise the attainment of their development requirements. A system of additional support in order to mitigate the short-term adverse effects resulting from exogenous shocks, including the effects on export earnings, is therefore set up within the multi-annual financial framework of cooperation under this Agreement</w:t>
      </w:r>
      <w:r>
        <w:rPr>
          <w:noProof/>
          <w:szCs w:val="24"/>
          <w:lang w:eastAsia="en-GB"/>
        </w:rPr>
        <w:t>."</w:t>
      </w:r>
    </w:p>
    <w:p>
      <w:pPr>
        <w:autoSpaceDE w:val="0"/>
        <w:autoSpaceDN w:val="0"/>
        <w:adjustRightInd w:val="0"/>
        <w:spacing w:after="0"/>
        <w:rPr>
          <w:noProof/>
          <w:szCs w:val="24"/>
          <w:lang w:eastAsia="en-GB"/>
        </w:rPr>
      </w:pPr>
      <w:r>
        <w:rPr>
          <w:noProof/>
          <w:szCs w:val="24"/>
          <w:lang w:eastAsia="en-GB"/>
        </w:rPr>
        <w:t>Chapter 3 of Annex II to the ACP-EU Partnership Agreement establishes the terms and conditions on financing short-term fluctuations in export earnings (FLEX). This Annex has been amended through the ACP-EC Council decision 1/2008 of 13/06/2008</w:t>
      </w:r>
      <w:r>
        <w:rPr>
          <w:rStyle w:val="FootnoteReference"/>
          <w:noProof/>
          <w:szCs w:val="24"/>
          <w:lang w:eastAsia="en-GB"/>
        </w:rPr>
        <w:footnoteReference w:id="2"/>
      </w:r>
      <w:r>
        <w:rPr>
          <w:noProof/>
          <w:szCs w:val="24"/>
          <w:lang w:eastAsia="en-GB"/>
        </w:rPr>
        <w:t xml:space="preserve">. </w:t>
      </w:r>
    </w:p>
    <w:p>
      <w:pPr>
        <w:autoSpaceDE w:val="0"/>
        <w:autoSpaceDN w:val="0"/>
        <w:adjustRightInd w:val="0"/>
        <w:spacing w:after="0"/>
        <w:rPr>
          <w:noProof/>
          <w:szCs w:val="24"/>
          <w:lang w:eastAsia="en-GB"/>
        </w:rPr>
      </w:pPr>
      <w:r>
        <w:rPr>
          <w:noProof/>
          <w:szCs w:val="24"/>
          <w:lang w:eastAsia="en-GB"/>
        </w:rPr>
        <w:t xml:space="preserve">Developing countries are subject to large and recurrent adverse exogenous shocks that impose steep short-term output and welfare losses as well as prolonged growth slowdowns, not only related to fluctuations in export earnings. These exogenous shocks may relate to global economic developments, in particular downturn in global growth, as well as to natural disasters. </w:t>
      </w:r>
    </w:p>
    <w:p>
      <w:pPr>
        <w:autoSpaceDE w:val="0"/>
        <w:autoSpaceDN w:val="0"/>
        <w:adjustRightInd w:val="0"/>
        <w:spacing w:after="0"/>
        <w:rPr>
          <w:noProof/>
          <w:szCs w:val="24"/>
          <w:lang w:eastAsia="en-GB"/>
        </w:rPr>
      </w:pPr>
      <w:r>
        <w:rPr>
          <w:noProof/>
          <w:szCs w:val="24"/>
          <w:lang w:eastAsia="en-GB"/>
        </w:rPr>
        <w:t>Based on the experiences of FLEX, including the specific financing after the world economic and financial crisis of 2008 (the Vulnerability-FLEX), and in line with the ACP-EU Partnership Agreement, a new approach for a support to help countries to absorb shocks with a macroeconomic impact has therefore been developed, that also takes into account the fiscal space, the macroeconomic capacity of the government to respond to exogenous shocks.</w:t>
      </w:r>
    </w:p>
    <w:p>
      <w:pPr>
        <w:autoSpaceDE w:val="0"/>
        <w:autoSpaceDN w:val="0"/>
        <w:adjustRightInd w:val="0"/>
        <w:spacing w:after="0"/>
        <w:rPr>
          <w:noProof/>
          <w:szCs w:val="24"/>
          <w:lang w:eastAsia="en-GB"/>
        </w:rPr>
      </w:pPr>
      <w:r>
        <w:rPr>
          <w:noProof/>
          <w:szCs w:val="24"/>
          <w:lang w:eastAsia="en-GB"/>
        </w:rPr>
        <w:t>A harmonised treatment of requests within a single envelope for unforeseen needs would thus best ensure the flexibility to adapt the Commission's response on a case by case basis.  Agreement was then found with the ACP side to cover support to macroeconomic shocks within the envelope for unforeseen needs of the 11</w:t>
      </w:r>
      <w:r>
        <w:rPr>
          <w:noProof/>
          <w:szCs w:val="24"/>
          <w:vertAlign w:val="superscript"/>
          <w:lang w:eastAsia="en-GB"/>
        </w:rPr>
        <w:t>th</w:t>
      </w:r>
      <w:r>
        <w:rPr>
          <w:noProof/>
          <w:szCs w:val="24"/>
          <w:lang w:eastAsia="en-GB"/>
        </w:rPr>
        <w:t xml:space="preserve"> EDF.</w:t>
      </w:r>
    </w:p>
    <w:p>
      <w:pPr>
        <w:rPr>
          <w:rFonts w:asciiTheme="majorBidi" w:eastAsia="Times New Roman" w:hAnsiTheme="majorBidi" w:cstheme="majorBidi"/>
          <w:noProof/>
          <w:szCs w:val="24"/>
          <w:lang w:val="en-US" w:eastAsia="fr-FR"/>
        </w:rPr>
      </w:pPr>
      <w:r>
        <w:rPr>
          <w:rFonts w:eastAsia="Arial Unicode MS"/>
          <w:noProof/>
        </w:rPr>
        <w:t>The purpose of the envisaged act is thus to</w:t>
      </w:r>
      <w:r>
        <w:rPr>
          <w:noProof/>
        </w:rPr>
        <w:t xml:space="preserve"> </w:t>
      </w:r>
      <w:r>
        <w:rPr>
          <w:rFonts w:asciiTheme="majorBidi" w:eastAsia="Times New Roman" w:hAnsiTheme="majorBidi" w:cstheme="majorBidi"/>
          <w:noProof/>
          <w:szCs w:val="24"/>
          <w:lang w:val="en-US" w:eastAsia="fr-FR"/>
        </w:rPr>
        <w:t>provide</w:t>
      </w:r>
      <w:r>
        <w:rPr>
          <w:noProof/>
        </w:rPr>
        <w:t xml:space="preserve"> </w:t>
      </w:r>
      <w:r>
        <w:rPr>
          <w:rFonts w:asciiTheme="majorBidi" w:eastAsia="Times New Roman" w:hAnsiTheme="majorBidi" w:cstheme="majorBidi"/>
          <w:noProof/>
          <w:szCs w:val="24"/>
          <w:lang w:val="en-US" w:eastAsia="fr-FR"/>
        </w:rPr>
        <w:t xml:space="preserve">support in the event of exogenous shocks, as provided by Article 68 of the </w:t>
      </w:r>
      <w:r>
        <w:rPr>
          <w:rFonts w:eastAsia="Times New Roman"/>
          <w:noProof/>
          <w:szCs w:val="24"/>
          <w:lang w:eastAsia="en-GB"/>
        </w:rPr>
        <w:t>ACP-EU Partnership Agreement</w:t>
      </w:r>
      <w:r>
        <w:rPr>
          <w:rFonts w:asciiTheme="majorBidi" w:eastAsia="Times New Roman" w:hAnsiTheme="majorBidi" w:cstheme="majorBidi"/>
          <w:noProof/>
          <w:szCs w:val="24"/>
          <w:lang w:val="en-US" w:eastAsia="fr-FR"/>
        </w:rPr>
        <w:t>, to certain ACP countries. This support shall be covered under the single envelope for unforeseen needs.</w:t>
      </w:r>
    </w:p>
    <w:p>
      <w:pPr>
        <w:rPr>
          <w:rFonts w:asciiTheme="majorBidi" w:eastAsia="Times New Roman" w:hAnsiTheme="majorBidi" w:cstheme="majorBidi"/>
          <w:noProof/>
          <w:szCs w:val="24"/>
          <w:lang w:val="en-US" w:eastAsia="fr-FR"/>
        </w:rPr>
      </w:pPr>
      <w:r>
        <w:rPr>
          <w:rFonts w:asciiTheme="majorBidi" w:eastAsia="Times New Roman" w:hAnsiTheme="majorBidi" w:cstheme="majorBidi"/>
          <w:noProof/>
          <w:szCs w:val="24"/>
          <w:lang w:val="en-US" w:eastAsia="fr-FR"/>
        </w:rPr>
        <w:t>In order to implement the above described new approach, a legally binding decision of the decision making bodies set up under the Cotonou Agreement should be adopted.</w:t>
      </w:r>
    </w:p>
    <w:p>
      <w:pPr>
        <w:rPr>
          <w:noProof/>
        </w:rPr>
      </w:pPr>
      <w:r>
        <w:rPr>
          <w:rFonts w:eastAsia="Times New Roman"/>
          <w:noProof/>
          <w:szCs w:val="24"/>
          <w:lang w:eastAsia="en-GB"/>
        </w:rPr>
        <w:t xml:space="preserve">The ACP-EU Council of Ministers of 5 May 2017 decided </w:t>
      </w:r>
      <w:r>
        <w:rPr>
          <w:rFonts w:asciiTheme="majorBidi" w:eastAsia="Times New Roman" w:hAnsiTheme="majorBidi" w:cstheme="majorBidi"/>
          <w:noProof/>
          <w:szCs w:val="24"/>
          <w:lang w:val="en-US" w:eastAsia="fr-FR"/>
        </w:rPr>
        <w:t xml:space="preserve">that a proposal on support in the event of exogenous shocks, as provided by Article 68 of the </w:t>
      </w:r>
      <w:r>
        <w:rPr>
          <w:rFonts w:eastAsia="Times New Roman"/>
          <w:noProof/>
          <w:szCs w:val="24"/>
          <w:lang w:eastAsia="en-GB"/>
        </w:rPr>
        <w:t>ACP-EU Partnership Agreement</w:t>
      </w:r>
      <w:r>
        <w:rPr>
          <w:rFonts w:asciiTheme="majorBidi" w:eastAsia="Times New Roman" w:hAnsiTheme="majorBidi" w:cstheme="majorBidi"/>
          <w:noProof/>
          <w:szCs w:val="24"/>
          <w:lang w:val="en-US" w:eastAsia="fr-FR"/>
        </w:rPr>
        <w:t xml:space="preserve">, shall be covered under the envelope for unforeseen needs </w:t>
      </w:r>
      <w:r>
        <w:rPr>
          <w:rFonts w:eastAsia="Times New Roman"/>
          <w:noProof/>
          <w:szCs w:val="24"/>
          <w:lang w:eastAsia="en-GB"/>
        </w:rPr>
        <w:t xml:space="preserve">and </w:t>
      </w:r>
      <w:r>
        <w:rPr>
          <w:rFonts w:asciiTheme="majorBidi" w:eastAsia="Times New Roman" w:hAnsiTheme="majorBidi" w:cstheme="majorBidi"/>
          <w:noProof/>
          <w:szCs w:val="24"/>
          <w:lang w:val="en-US" w:eastAsia="fr-FR"/>
        </w:rPr>
        <w:t>granted a delegation</w:t>
      </w:r>
      <w:r>
        <w:rPr>
          <w:rFonts w:eastAsia="Times New Roman"/>
          <w:noProof/>
          <w:szCs w:val="24"/>
          <w:lang w:eastAsia="en-GB"/>
        </w:rPr>
        <w:t xml:space="preserve"> of powers to the ACP-EU Committee of Ambassadors to adopt a decision by 31 December 2017, which will apply to chapter 3 Annex II of the ACP-EU Partnership Agreement.</w:t>
      </w:r>
    </w:p>
    <w:p>
      <w:pPr>
        <w:rPr>
          <w:rFonts w:asciiTheme="majorBidi" w:eastAsia="Times New Roman" w:hAnsiTheme="majorBidi" w:cstheme="majorBidi"/>
          <w:noProof/>
          <w:szCs w:val="24"/>
          <w:lang w:val="en-US" w:eastAsia="fr-FR"/>
        </w:rPr>
      </w:pPr>
      <w:r>
        <w:rPr>
          <w:rFonts w:asciiTheme="majorBidi" w:eastAsia="Times New Roman" w:hAnsiTheme="majorBidi" w:cstheme="majorBidi"/>
          <w:noProof/>
          <w:szCs w:val="24"/>
          <w:lang w:val="en-US" w:eastAsia="fr-FR"/>
        </w:rPr>
        <w:t>The Commission is thus proposing the Council to adopt the present decision.</w:t>
      </w:r>
    </w:p>
    <w:p>
      <w:pPr>
        <w:pStyle w:val="ManualHeading1"/>
        <w:rPr>
          <w:noProof/>
        </w:rPr>
      </w:pPr>
      <w:r>
        <w:lastRenderedPageBreak/>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3"/>
      </w:r>
      <w:r>
        <w:rPr>
          <w:noProof/>
        </w:rPr>
        <w:t>.</w:t>
      </w:r>
    </w:p>
    <w:p>
      <w:pPr>
        <w:pStyle w:val="ManualHeading3"/>
        <w:rPr>
          <w:noProof/>
        </w:rPr>
      </w:pPr>
      <w:r>
        <w:t>4.1.2.</w:t>
      </w:r>
      <w:r>
        <w:tab/>
      </w:r>
      <w:r>
        <w:rPr>
          <w:noProof/>
        </w:rPr>
        <w:t>Application to the present case</w:t>
      </w:r>
    </w:p>
    <w:p>
      <w:pPr>
        <w:rPr>
          <w:noProof/>
        </w:rPr>
      </w:pPr>
      <w:r>
        <w:rPr>
          <w:noProof/>
        </w:rPr>
        <w:t>The ACP-EU Committee of Ambassadors is a body set up by an agreement, namely the Cotonou Agreement.</w:t>
      </w:r>
    </w:p>
    <w:p>
      <w:pPr>
        <w:rPr>
          <w:noProof/>
        </w:rPr>
      </w:pPr>
      <w:r>
        <w:rPr>
          <w:noProof/>
        </w:rPr>
        <w:t>The act which the ACP-EU Committee of Ambassadors is called upon to adopt constitutes an act having legal effects. The envisaged act will be binding under international law in accordance with Article 15.3 and 15.4 of the Cotonou Agreement.</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i/>
          <w:noProof/>
        </w:rPr>
      </w:pPr>
      <w:r>
        <w:rPr>
          <w:noProof/>
        </w:rPr>
        <w:t>The main objective and content of the envisaged act relate to ‘development cooperation’. Therefore, the substantive legal basis of the proposed decision is Article 209(2) TFEU.</w:t>
      </w:r>
    </w:p>
    <w:p>
      <w:pPr>
        <w:rPr>
          <w:noProof/>
        </w:rPr>
      </w:pPr>
    </w:p>
    <w:p>
      <w:pPr>
        <w:pStyle w:val="ManualHeading2"/>
        <w:rPr>
          <w:noProof/>
        </w:rPr>
      </w:pPr>
      <w:r>
        <w:t>4.3.</w:t>
      </w:r>
      <w:r>
        <w:tab/>
      </w:r>
      <w:r>
        <w:rPr>
          <w:noProof/>
        </w:rPr>
        <w:t>Conclusion</w:t>
      </w:r>
    </w:p>
    <w:p>
      <w:pPr>
        <w:rPr>
          <w:noProof/>
        </w:rPr>
      </w:pPr>
      <w:r>
        <w:rPr>
          <w:noProof/>
        </w:rPr>
        <w:t>The legal basis of the proposed decision should be Article 209(2) TFEU, in conjunction with Article 218(9) TFEU.</w:t>
      </w:r>
    </w:p>
    <w:p>
      <w:pPr>
        <w:pStyle w:val="ManualHeading1"/>
        <w:rPr>
          <w:noProof/>
        </w:rPr>
      </w:pPr>
      <w:r>
        <w:t>5.</w:t>
      </w:r>
      <w:r>
        <w:tab/>
      </w:r>
      <w:r>
        <w:rPr>
          <w:noProof/>
        </w:rPr>
        <w:t>Publication of the envisaged act</w:t>
      </w:r>
    </w:p>
    <w:p>
      <w:pPr>
        <w:rPr>
          <w:noProof/>
        </w:rPr>
      </w:pPr>
      <w:r>
        <w:rPr>
          <w:noProof/>
        </w:rPr>
        <w:t>As the act of the ACP-EU Committee of Ambassadors will apply to the annex II of the Cotonou Agreement, it is appropriate to publish it in the Official Journal of the European Union after its adoption.</w:t>
      </w:r>
    </w:p>
    <w:p>
      <w:pPr>
        <w:autoSpaceDE w:val="0"/>
        <w:autoSpaceDN w:val="0"/>
        <w:adjustRightInd w:val="0"/>
        <w:spacing w:after="0"/>
        <w:rPr>
          <w:noProof/>
          <w:szCs w:val="24"/>
          <w:lang w:eastAsia="en-GB"/>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2017/0286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ACP-EU Committee of Ambassadors regarding the implementation of Article 68 of the ACP-EU Partnership Agreement</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and in particular Article 209(2) thereof </w:t>
      </w:r>
      <w:r>
        <w:rPr>
          <w:noProof/>
          <w:szCs w:val="24"/>
          <w:lang w:eastAsia="en-GB"/>
        </w:rPr>
        <w:t>in conjunction with Article 218 (9) thereof</w:t>
      </w:r>
      <w:r>
        <w:rPr>
          <w:noProof/>
        </w:rPr>
        <w:t>,</w:t>
      </w:r>
    </w:p>
    <w:p>
      <w:pPr>
        <w:rPr>
          <w:noProof/>
        </w:rPr>
      </w:pPr>
      <w:r>
        <w:rPr>
          <w:noProof/>
          <w:szCs w:val="24"/>
          <w:lang w:eastAsia="en-GB"/>
        </w:rPr>
        <w:t>Having regard to the Partnership Agreement between the members of the African, Caribbean and Pacific Group of States of the one part, and the European Community and its Member States of the other part, (hereinafter referred to as the 'ACP-EU Partnership Agreement')</w:t>
      </w:r>
      <w:r>
        <w:rPr>
          <w:rStyle w:val="FootnoteReference"/>
          <w:noProof/>
          <w:szCs w:val="24"/>
          <w:lang w:eastAsia="en-GB"/>
        </w:rPr>
        <w:t xml:space="preserve"> </w:t>
      </w:r>
      <w:r>
        <w:rPr>
          <w:rStyle w:val="FootnoteReference"/>
          <w:noProof/>
          <w:szCs w:val="24"/>
          <w:lang w:eastAsia="en-GB"/>
        </w:rPr>
        <w:footnoteReference w:id="4"/>
      </w:r>
      <w:r>
        <w:rPr>
          <w:noProof/>
          <w:szCs w:val="24"/>
          <w:lang w:eastAsia="en-GB"/>
        </w:rPr>
        <w:t>,</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partnership agreement between the members of the African, Caribbean and Pacific Group of States ('ACP') of the one part, and the European Community and its Member States, of the other part ('the ACP-EU Partnership Agreement'), was signed in Cotonou on 23 June 2000. The ACP-EU Partnership Agreement entered into force on 1 April 2003.</w:t>
      </w:r>
    </w:p>
    <w:p>
      <w:pPr>
        <w:pStyle w:val="ManualConsidrant"/>
        <w:rPr>
          <w:noProof/>
        </w:rPr>
      </w:pPr>
      <w:r>
        <w:t>(2)</w:t>
      </w:r>
      <w:r>
        <w:tab/>
      </w:r>
      <w:r>
        <w:rPr>
          <w:noProof/>
          <w:lang w:eastAsia="en-GB"/>
        </w:rPr>
        <w:t>Pursuant to Article 100 of the ACP-EU Partnership Agreement, its Annexes Ia, Ib, II, III, IV and VI may be revised, reviewed and/or amended by the ACP-EU Council of Ministers on the basis of a recommendation from the ACP-EU Development Finance Cooperation Committee.</w:t>
      </w:r>
    </w:p>
    <w:p>
      <w:pPr>
        <w:pStyle w:val="ManualConsidrant"/>
        <w:rPr>
          <w:noProof/>
        </w:rPr>
      </w:pPr>
      <w:r>
        <w:t>(3)</w:t>
      </w:r>
      <w:r>
        <w:tab/>
      </w:r>
      <w:r>
        <w:rPr>
          <w:noProof/>
          <w:lang w:eastAsia="en-GB"/>
        </w:rPr>
        <w:t>Pursuant to Article 15(4) of the ACP-EU Partnership Agreement, the ACP-EU Council of Ministers may delegate powers to the ACP-EU Committee of Ambassadors.</w:t>
      </w:r>
    </w:p>
    <w:p>
      <w:pPr>
        <w:pStyle w:val="ManualConsidrant"/>
        <w:rPr>
          <w:noProof/>
        </w:rPr>
      </w:pPr>
      <w:r>
        <w:t>(4)</w:t>
      </w:r>
      <w:r>
        <w:tab/>
      </w:r>
      <w:r>
        <w:rPr>
          <w:noProof/>
          <w:lang w:eastAsia="en-GB"/>
        </w:rPr>
        <w:t>The ACP-EU Council of Ministers decided to grant a delegation of powers to the ACP-EU Committee of Ambassadors in Dakar during the Joint Ministerial Council meeting of 6 May 2017, for the purpose of taking a decision on the implementation of Article 68 of the ACP-EU Partnership Agreement before 31 December 2017.</w:t>
      </w:r>
    </w:p>
    <w:p>
      <w:pPr>
        <w:pStyle w:val="ManualConsidrant"/>
        <w:rPr>
          <w:noProof/>
        </w:rPr>
      </w:pPr>
      <w:r>
        <w:t>(5)</w:t>
      </w:r>
      <w:r>
        <w:tab/>
      </w:r>
      <w:r>
        <w:rPr>
          <w:noProof/>
        </w:rPr>
        <w:t>It is appropriate to establish the position to be taken on the Union's behalf in the ACP-EU Committee of Ambassadors as the Decision will be binding on the Union.</w:t>
      </w:r>
    </w:p>
    <w:p>
      <w:pPr>
        <w:pStyle w:val="ManualConsidrant"/>
        <w:rPr>
          <w:noProof/>
        </w:rPr>
      </w:pPr>
      <w:r>
        <w:t>(6)</w:t>
      </w:r>
      <w:r>
        <w:tab/>
      </w:r>
      <w:r>
        <w:rPr>
          <w:noProof/>
          <w:szCs w:val="24"/>
          <w:lang w:eastAsia="en-GB"/>
        </w:rPr>
        <w:t xml:space="preserve">The Decision will apply to Annex II Chapter 3 of the ACP-EU Partnership Agreement and aims at </w:t>
      </w:r>
      <w:r>
        <w:rPr>
          <w:noProof/>
          <w:lang w:eastAsia="en-GB"/>
        </w:rPr>
        <w:t>improving the functioning of the system of financing for support in case of exogenous shocks.</w:t>
      </w:r>
    </w:p>
    <w:p>
      <w:pPr>
        <w:pStyle w:val="Formuledadoption"/>
        <w:rPr>
          <w:noProof/>
        </w:rPr>
      </w:pPr>
      <w:r>
        <w:rPr>
          <w:noProof/>
        </w:rPr>
        <w:lastRenderedPageBreak/>
        <w:t xml:space="preserve">HAS ADOPTED THIS DECISION: </w:t>
      </w:r>
    </w:p>
    <w:p>
      <w:pPr>
        <w:pStyle w:val="Titrearticle"/>
        <w:rPr>
          <w:noProof/>
        </w:rPr>
      </w:pPr>
      <w:r>
        <w:rPr>
          <w:noProof/>
        </w:rPr>
        <w:t>Article 1</w:t>
      </w:r>
    </w:p>
    <w:p>
      <w:pPr>
        <w:pStyle w:val="ManualNumPar1"/>
        <w:rPr>
          <w:noProof/>
          <w:lang w:eastAsia="en-GB"/>
        </w:rPr>
      </w:pPr>
      <w:r>
        <w:rPr>
          <w:noProof/>
          <w:lang w:eastAsia="en-GB"/>
        </w:rPr>
        <w:t>1.</w:t>
      </w:r>
      <w:r>
        <w:rPr>
          <w:noProof/>
          <w:lang w:eastAsia="en-GB"/>
        </w:rPr>
        <w:tab/>
        <w:t xml:space="preserve">The position to be taken on the Union's behalf in the ACP-EU </w:t>
      </w:r>
      <w:r>
        <w:rPr>
          <w:noProof/>
          <w:szCs w:val="24"/>
          <w:lang w:eastAsia="en-GB"/>
        </w:rPr>
        <w:t xml:space="preserve">Committee of Ambassadors </w:t>
      </w:r>
      <w:r>
        <w:rPr>
          <w:noProof/>
          <w:lang w:eastAsia="en-GB"/>
        </w:rPr>
        <w:t xml:space="preserve">regarding the implementation of Article 68 of the ACP-EU Partnership Agreement shall be based on the draft act of the ACP-EU </w:t>
      </w:r>
      <w:r>
        <w:rPr>
          <w:noProof/>
          <w:szCs w:val="24"/>
          <w:lang w:eastAsia="en-GB"/>
        </w:rPr>
        <w:t>Committee of Ambassadors</w:t>
      </w:r>
      <w:r>
        <w:rPr>
          <w:noProof/>
          <w:lang w:eastAsia="en-GB"/>
        </w:rPr>
        <w:t xml:space="preserve"> attached to this Decision.</w:t>
      </w:r>
    </w:p>
    <w:p>
      <w:pPr>
        <w:pStyle w:val="ManualNumPar2"/>
        <w:rPr>
          <w:noProof/>
          <w:lang w:eastAsia="en-GB"/>
        </w:rPr>
      </w:pPr>
      <w:r>
        <w:rPr>
          <w:noProof/>
          <w:lang w:eastAsia="en-GB"/>
        </w:rPr>
        <w:t xml:space="preserve">2. </w:t>
      </w:r>
      <w:r>
        <w:rPr>
          <w:noProof/>
          <w:lang w:eastAsia="en-GB"/>
        </w:rPr>
        <w:tab/>
        <w:t xml:space="preserve">Minor changes to the draft Decision may be agreed by the representatives of the Union in the ACP-EU </w:t>
      </w:r>
      <w:r>
        <w:rPr>
          <w:noProof/>
          <w:szCs w:val="24"/>
          <w:lang w:eastAsia="en-GB"/>
        </w:rPr>
        <w:t xml:space="preserve">Committee of Ambassadors </w:t>
      </w:r>
      <w:r>
        <w:rPr>
          <w:noProof/>
          <w:lang w:eastAsia="en-GB"/>
        </w:rPr>
        <w:t>without further decision of the Council.</w:t>
      </w:r>
    </w:p>
    <w:p>
      <w:pPr>
        <w:pStyle w:val="Titrearticle"/>
        <w:keepNext w:val="0"/>
        <w:rPr>
          <w:noProof/>
        </w:rPr>
      </w:pPr>
      <w:r>
        <w:rPr>
          <w:noProof/>
        </w:rPr>
        <w:t>Article 2</w:t>
      </w:r>
    </w:p>
    <w:p>
      <w:pPr>
        <w:keepLines/>
        <w:rPr>
          <w:noProof/>
        </w:rPr>
      </w:pPr>
      <w:r>
        <w:rPr>
          <w:noProof/>
          <w:szCs w:val="24"/>
          <w:lang w:eastAsia="en-GB"/>
        </w:rPr>
        <w:t>After its adoption, the Decision of the ACP-EU Committee of Ambassadors shall be</w:t>
      </w:r>
      <w:r>
        <w:rPr>
          <w:noProof/>
        </w:rPr>
        <w:t xml:space="preserve"> published in the </w:t>
      </w:r>
      <w:r>
        <w:rPr>
          <w:i/>
          <w:noProof/>
        </w:rPr>
        <w:t>Official Journal of the European Union</w:t>
      </w:r>
      <w:r>
        <w:rPr>
          <w:noProof/>
        </w:rPr>
        <w:t>.</w:t>
      </w:r>
    </w:p>
    <w:p>
      <w:pPr>
        <w:pStyle w:val="Titrearticle"/>
        <w:keepNext w:val="0"/>
        <w:rPr>
          <w:noProof/>
        </w:rPr>
      </w:pPr>
      <w:r>
        <w:rPr>
          <w:noProof/>
        </w:rPr>
        <w:t>Article 3</w:t>
      </w:r>
    </w:p>
    <w:p>
      <w:pPr>
        <w:rPr>
          <w:noProof/>
        </w:rPr>
      </w:pPr>
      <w:r>
        <w:rPr>
          <w:noProof/>
        </w:rPr>
        <w:t>This Decision is addressed to the Commission.</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of 19 December 2002 concerning the conclusion of the Partnership Agreement between the African Caribbean and Pacific Group of States, of the one part, and the European Community and its Member States, of the other part, signed in Cotonou on 23 June 2000 (OJ L 65, 08.03.2003, p.27).</w:t>
      </w:r>
    </w:p>
  </w:footnote>
  <w:footnote w:id="2">
    <w:p>
      <w:pPr>
        <w:pStyle w:val="FootnoteText"/>
      </w:pPr>
      <w:r>
        <w:rPr>
          <w:rStyle w:val="FootnoteReference"/>
        </w:rPr>
        <w:footnoteRef/>
      </w:r>
      <w:r>
        <w:tab/>
      </w:r>
      <w:r>
        <w:rPr>
          <w:szCs w:val="24"/>
          <w:lang w:eastAsia="en-GB"/>
        </w:rPr>
        <w:t>OJ L 171, 1.7.2008, p. 63.</w:t>
      </w:r>
    </w:p>
  </w:footnote>
  <w:footnote w:id="3">
    <w:p>
      <w:pPr>
        <w:pStyle w:val="FootnoteText"/>
      </w:pPr>
      <w:r>
        <w:rPr>
          <w:rStyle w:val="FootnoteReference"/>
        </w:rPr>
        <w:footnoteRef/>
      </w:r>
      <w:r>
        <w:tab/>
        <w:t xml:space="preserve">Judgment of the Court of Justice of 7 October 2014, Germany v Council, Case C-399/12, ECLI:EU:C:2014:2258, paragraphs 61to 64. </w:t>
      </w:r>
    </w:p>
  </w:footnote>
  <w:footnote w:id="4">
    <w:p>
      <w:pPr>
        <w:pStyle w:val="FootnoteText"/>
        <w:rPr>
          <w:sz w:val="18"/>
        </w:rPr>
      </w:pPr>
      <w:r>
        <w:rPr>
          <w:rStyle w:val="FootnoteReference"/>
        </w:rPr>
        <w:footnoteRef/>
      </w:r>
      <w:r>
        <w:rPr>
          <w:sz w:val="18"/>
        </w:rPr>
        <w:tab/>
      </w:r>
      <w:r>
        <w:rPr>
          <w:sz w:val="18"/>
          <w:lang w:eastAsia="en-GB"/>
        </w:rPr>
        <w:t>Agreement (OJ L317, 15.12.2000, p. 3) as amended by the Agreement signed in Luxembourg on 25 June 2005 (OJ L209, 11.8.2005, p.27) and by the Agreement signed in Ouagadougou on 22 June 2010 (OJ L287, 4.11.2010, p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8542A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3B0BB96"/>
    <w:lvl w:ilvl="0">
      <w:start w:val="1"/>
      <w:numFmt w:val="decimal"/>
      <w:pStyle w:val="ListNumber3"/>
      <w:lvlText w:val="%1."/>
      <w:lvlJc w:val="left"/>
      <w:pPr>
        <w:tabs>
          <w:tab w:val="num" w:pos="926"/>
        </w:tabs>
        <w:ind w:left="926" w:hanging="360"/>
      </w:pPr>
    </w:lvl>
  </w:abstractNum>
  <w:abstractNum w:abstractNumId="2">
    <w:nsid w:val="FFFFFF7F"/>
    <w:multiLevelType w:val="singleLevel"/>
    <w:tmpl w:val="478AD8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0E60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196FB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25CCE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74A67C"/>
    <w:lvl w:ilvl="0">
      <w:start w:val="1"/>
      <w:numFmt w:val="decimal"/>
      <w:pStyle w:val="ListNumber"/>
      <w:lvlText w:val="%1."/>
      <w:lvlJc w:val="left"/>
      <w:pPr>
        <w:tabs>
          <w:tab w:val="num" w:pos="360"/>
        </w:tabs>
        <w:ind w:left="360" w:hanging="360"/>
      </w:pPr>
    </w:lvl>
  </w:abstractNum>
  <w:abstractNum w:abstractNumId="7">
    <w:nsid w:val="FFFFFF89"/>
    <w:multiLevelType w:val="singleLevel"/>
    <w:tmpl w:val="361E68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270077"/>
    <w:multiLevelType w:val="multilevel"/>
    <w:tmpl w:val="0EFA05DC"/>
    <w:styleLink w:val="Liste31"/>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747"/>
        </w:tabs>
        <w:ind w:left="1747" w:hanging="667"/>
      </w:pPr>
      <w:rPr>
        <w:position w:val="0"/>
        <w:sz w:val="28"/>
        <w:szCs w:val="28"/>
        <w:lang w:val="en-US"/>
      </w:rPr>
    </w:lvl>
    <w:lvl w:ilvl="2">
      <w:start w:val="1"/>
      <w:numFmt w:val="bullet"/>
      <w:lvlText w:val="▪"/>
      <w:lvlJc w:val="left"/>
      <w:pPr>
        <w:tabs>
          <w:tab w:val="num" w:pos="2467"/>
        </w:tabs>
        <w:ind w:left="2467" w:hanging="667"/>
      </w:pPr>
      <w:rPr>
        <w:position w:val="0"/>
        <w:sz w:val="28"/>
        <w:szCs w:val="28"/>
        <w:lang w:val="en-US"/>
      </w:rPr>
    </w:lvl>
    <w:lvl w:ilvl="3">
      <w:start w:val="1"/>
      <w:numFmt w:val="bullet"/>
      <w:lvlText w:val="•"/>
      <w:lvlJc w:val="left"/>
      <w:pPr>
        <w:tabs>
          <w:tab w:val="num" w:pos="3187"/>
        </w:tabs>
        <w:ind w:left="3187" w:hanging="667"/>
      </w:pPr>
      <w:rPr>
        <w:position w:val="0"/>
        <w:sz w:val="28"/>
        <w:szCs w:val="28"/>
        <w:lang w:val="en-US"/>
      </w:rPr>
    </w:lvl>
    <w:lvl w:ilvl="4">
      <w:start w:val="1"/>
      <w:numFmt w:val="bullet"/>
      <w:lvlText w:val="o"/>
      <w:lvlJc w:val="left"/>
      <w:pPr>
        <w:tabs>
          <w:tab w:val="num" w:pos="3907"/>
        </w:tabs>
        <w:ind w:left="3907" w:hanging="667"/>
      </w:pPr>
      <w:rPr>
        <w:position w:val="0"/>
        <w:sz w:val="28"/>
        <w:szCs w:val="28"/>
        <w:lang w:val="en-US"/>
      </w:rPr>
    </w:lvl>
    <w:lvl w:ilvl="5">
      <w:start w:val="1"/>
      <w:numFmt w:val="bullet"/>
      <w:lvlText w:val="▪"/>
      <w:lvlJc w:val="left"/>
      <w:pPr>
        <w:tabs>
          <w:tab w:val="num" w:pos="4627"/>
        </w:tabs>
        <w:ind w:left="4627" w:hanging="667"/>
      </w:pPr>
      <w:rPr>
        <w:position w:val="0"/>
        <w:sz w:val="28"/>
        <w:szCs w:val="28"/>
        <w:lang w:val="en-US"/>
      </w:rPr>
    </w:lvl>
    <w:lvl w:ilvl="6">
      <w:start w:val="1"/>
      <w:numFmt w:val="bullet"/>
      <w:lvlText w:val="•"/>
      <w:lvlJc w:val="left"/>
      <w:pPr>
        <w:tabs>
          <w:tab w:val="num" w:pos="5347"/>
        </w:tabs>
        <w:ind w:left="5347" w:hanging="667"/>
      </w:pPr>
      <w:rPr>
        <w:position w:val="0"/>
        <w:sz w:val="28"/>
        <w:szCs w:val="28"/>
        <w:lang w:val="en-US"/>
      </w:rPr>
    </w:lvl>
    <w:lvl w:ilvl="7">
      <w:start w:val="1"/>
      <w:numFmt w:val="bullet"/>
      <w:lvlText w:val="o"/>
      <w:lvlJc w:val="left"/>
      <w:pPr>
        <w:tabs>
          <w:tab w:val="num" w:pos="6067"/>
        </w:tabs>
        <w:ind w:left="6067" w:hanging="667"/>
      </w:pPr>
      <w:rPr>
        <w:position w:val="0"/>
        <w:sz w:val="28"/>
        <w:szCs w:val="28"/>
        <w:lang w:val="en-US"/>
      </w:rPr>
    </w:lvl>
    <w:lvl w:ilvl="8">
      <w:start w:val="1"/>
      <w:numFmt w:val="bullet"/>
      <w:lvlText w:val="▪"/>
      <w:lvlJc w:val="left"/>
      <w:pPr>
        <w:tabs>
          <w:tab w:val="num" w:pos="6787"/>
        </w:tabs>
        <w:ind w:left="6787" w:hanging="667"/>
      </w:pPr>
      <w:rPr>
        <w:position w:val="0"/>
        <w:sz w:val="28"/>
        <w:szCs w:val="28"/>
        <w:lang w:val="en-US"/>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0"/>
  </w:num>
  <w:num w:numId="11">
    <w:abstractNumId w:val="18"/>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2"/>
  </w:num>
  <w:num w:numId="15">
    <w:abstractNumId w:val="21"/>
  </w:num>
  <w:num w:numId="16">
    <w:abstractNumId w:val="11"/>
  </w:num>
  <w:num w:numId="17">
    <w:abstractNumId w:val="13"/>
  </w:num>
  <w:num w:numId="18">
    <w:abstractNumId w:val="9"/>
  </w:num>
  <w:num w:numId="19">
    <w:abstractNumId w:val="20"/>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0-30 10:27: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61FF922-BD82-4CC3-9442-2B61F6F24A15"/>
    <w:docVar w:name="LW_COVERPAGE_TYPE" w:val="1"/>
    <w:docVar w:name="LW_CROSSREFERENCE" w:val="&lt;UNUSED&gt;"/>
    <w:docVar w:name="LW_DocType" w:val="COM"/>
    <w:docVar w:name="LW_EMISSION" w:val="6.11.2017"/>
    <w:docVar w:name="LW_EMISSION_ISODATE" w:val="2017-11-06"/>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86"/>
    <w:docVar w:name="LW_REF.II.NEW.CP_YEAR" w:val="2017"/>
    <w:docVar w:name="LW_REF.INST.NEW" w:val="COM"/>
    <w:docVar w:name="LW_REF.INST.NEW_ADOPTED" w:val="final"/>
    <w:docVar w:name="LW_REF.INST.NEW_TEXT" w:val="(2017) 6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position to be taken on behalf of the European Union in the ACP-EU Committee of Ambassadors regarding the implementation of Article 68 of the ACP-EU Partnership Agreemen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CorpsA">
    <w:name w:val="Corps A"/>
    <w:pPr>
      <w:pBdr>
        <w:top w:val="nil"/>
        <w:left w:val="nil"/>
        <w:bottom w:val="nil"/>
        <w:right w:val="nil"/>
        <w:between w:val="nil"/>
        <w:bar w:val="nil"/>
      </w:pBdr>
      <w:spacing w:after="0"/>
    </w:pPr>
    <w:rPr>
      <w:rFonts w:ascii="Calibri" w:eastAsia="Calibri" w:hAnsi="Calibri" w:cs="Calibri"/>
      <w:color w:val="000000"/>
      <w:u w:color="000000"/>
      <w:bdr w:val="nil"/>
      <w:lang w:val="fr-FR" w:eastAsia="fr-BE"/>
    </w:rPr>
  </w:style>
  <w:style w:type="numbering" w:customStyle="1" w:styleId="Liste31">
    <w:name w:val="Liste 31"/>
    <w:basedOn w:val="NoList"/>
    <w:pPr>
      <w:numPr>
        <w:numId w:val="11"/>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CorpsA">
    <w:name w:val="Corps A"/>
    <w:pPr>
      <w:pBdr>
        <w:top w:val="nil"/>
        <w:left w:val="nil"/>
        <w:bottom w:val="nil"/>
        <w:right w:val="nil"/>
        <w:between w:val="nil"/>
        <w:bar w:val="nil"/>
      </w:pBdr>
      <w:spacing w:after="0"/>
    </w:pPr>
    <w:rPr>
      <w:rFonts w:ascii="Calibri" w:eastAsia="Calibri" w:hAnsi="Calibri" w:cs="Calibri"/>
      <w:color w:val="000000"/>
      <w:u w:color="000000"/>
      <w:bdr w:val="nil"/>
      <w:lang w:val="fr-FR" w:eastAsia="fr-BE"/>
    </w:rPr>
  </w:style>
  <w:style w:type="numbering" w:customStyle="1" w:styleId="Liste31">
    <w:name w:val="Liste 31"/>
    <w:basedOn w:val="NoList"/>
    <w:pPr>
      <w:numPr>
        <w:numId w:val="11"/>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D1AC7-DCF8-4186-9EDE-4B1569C52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1831</Words>
  <Characters>9613</Characters>
  <Application>Microsoft Office Word</Application>
  <DocSecurity>0</DocSecurity>
  <Lines>174</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2017-09-28T11:13:00Z</cp:lastPrinted>
  <dcterms:created xsi:type="dcterms:W3CDTF">2017-10-17T14:07:00Z</dcterms:created>
  <dcterms:modified xsi:type="dcterms:W3CDTF">2017-10-30T09:27:00Z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5.8.4, Build 20150407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DQCStatus">
    <vt:lpwstr>Green (DQC version 03)</vt:lpwstr>
  </property>
  <property fmtid="{D5CDD505-2E9C-101B-9397-08002B2CF9AE}" pid="10" name="Level of sensitivity">
    <vt:lpwstr>Standard treatment</vt:lpwstr>
  </property>
</Properties>
</file>