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7CB9CAEB22A9447880664119C54FCBE9" style="width:450.75pt;height:419.25pt">
            <v:imagedata r:id="rId9" o:title=""/>
          </v:shape>
        </w:pict>
      </w:r>
    </w:p>
    <w:p>
      <w:pPr>
        <w:pStyle w:val="Pagedecouverture"/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 xml:space="preserve">РЕШЕНИЕ НА СЪВМЕСТНИЯ КОМИТЕТ НА ЕИП </w:t>
      </w:r>
      <w:r>
        <w:rPr>
          <w:noProof/>
          <w:u w:val="none"/>
        </w:rPr>
        <w:br/>
        <w:t>№ …/2017</w:t>
      </w:r>
      <w:r>
        <w:rPr>
          <w:noProof/>
          <w:u w:val="none"/>
        </w:rPr>
        <w:br/>
      </w:r>
      <w:r>
        <w:rPr>
          <w:noProof/>
          <w:u w:val="none"/>
        </w:rPr>
        <w:br/>
        <w:t>от […] година</w:t>
      </w:r>
      <w:r>
        <w:rPr>
          <w:noProof/>
          <w:u w:val="none"/>
        </w:rPr>
        <w:br/>
      </w:r>
      <w:r>
        <w:rPr>
          <w:noProof/>
          <w:u w:val="none"/>
        </w:rPr>
        <w:br/>
        <w:t>за изменение на приложение II (Технически правила, стандарти, изпитвания и сертифициране) към Споразумението за ЕИП</w:t>
      </w:r>
      <w:r>
        <w:rPr>
          <w:noProof/>
          <w:u w:val="none"/>
        </w:rPr>
        <w:br/>
      </w:r>
    </w:p>
    <w:p>
      <w:pPr>
        <w:spacing w:before="600"/>
        <w:rPr>
          <w:noProof/>
          <w:color w:val="000000"/>
          <w:szCs w:val="24"/>
        </w:rPr>
      </w:pPr>
      <w:r>
        <w:rPr>
          <w:noProof/>
          <w:color w:val="000000"/>
        </w:rPr>
        <w:t>СЪВМЕСТНИЯТ КОМИТЕТ НА ЕИП,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като взе предвид Споразумението за Европейското икономическо пространство (наричано по-нататък „Споразумението за ЕИП“), и по-специално член 98 от него,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като има предвид, че:</w:t>
      </w:r>
    </w:p>
    <w:p>
      <w:pPr>
        <w:pStyle w:val="Considrant"/>
        <w:numPr>
          <w:ilvl w:val="0"/>
          <w:numId w:val="11"/>
        </w:numPr>
        <w:rPr>
          <w:noProof/>
          <w:spacing w:val="-2"/>
        </w:rPr>
      </w:pPr>
      <w:r>
        <w:rPr>
          <w:noProof/>
          <w:spacing w:val="-2"/>
        </w:rPr>
        <w:t>Директива (ЕС) 2015/1535 на Европейския парламент и на Съвета от 9 септември 2015 г. установяваща процедура за предоставянето на информация в сферата на техническите регламенти и правила относно услугите на информационното общество</w:t>
      </w:r>
      <w:r>
        <w:rPr>
          <w:rStyle w:val="FootnoteReference"/>
          <w:noProof/>
          <w:spacing w:val="-2"/>
        </w:rPr>
        <w:footnoteReference w:id="1"/>
      </w:r>
      <w:r>
        <w:rPr>
          <w:noProof/>
          <w:spacing w:val="-2"/>
        </w:rPr>
        <w:t xml:space="preserve"> следва да бъде включена в Споразумението за ЕИП.</w:t>
      </w:r>
    </w:p>
    <w:p>
      <w:pPr>
        <w:pStyle w:val="Considrant"/>
        <w:rPr>
          <w:noProof/>
        </w:rPr>
      </w:pPr>
      <w:r>
        <w:rPr>
          <w:noProof/>
        </w:rPr>
        <w:t>Директива (EС) 2015/1535 отменя Директива 98/34/ЕО на Европейския парламент и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>, която е включена в Споразумението за ЕИП, и следователно следва да отпадне от Споразумението за ЕИП.</w:t>
      </w:r>
    </w:p>
    <w:p>
      <w:pPr>
        <w:pStyle w:val="Considrant"/>
        <w:rPr>
          <w:noProof/>
          <w:color w:val="000000"/>
          <w:szCs w:val="24"/>
        </w:rPr>
      </w:pPr>
      <w:r>
        <w:rPr>
          <w:noProof/>
        </w:rPr>
        <w:t>Поради това приложение II към Споразумението за ЕИП следва да бъде съответно изменено,</w:t>
      </w:r>
    </w:p>
    <w:p>
      <w:pPr>
        <w:keepNext/>
        <w:tabs>
          <w:tab w:val="left" w:pos="709"/>
        </w:tabs>
        <w:rPr>
          <w:noProof/>
          <w:color w:val="000000"/>
          <w:szCs w:val="24"/>
        </w:rPr>
      </w:pPr>
      <w:r>
        <w:rPr>
          <w:noProof/>
          <w:color w:val="000000"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 1</w:t>
      </w:r>
    </w:p>
    <w:p>
      <w:pPr>
        <w:rPr>
          <w:noProof/>
        </w:rPr>
      </w:pPr>
      <w:r>
        <w:rPr>
          <w:noProof/>
        </w:rPr>
        <w:t>Текстът в точка 1 (Директива 98/34/ЕО на Европейския парламент и на Съвета) от глава XIX от приложение II към Споразумението за ЕИП се заменя със следното:</w:t>
      </w:r>
    </w:p>
    <w:p>
      <w:pPr>
        <w:rPr>
          <w:noProof/>
        </w:rPr>
      </w:pPr>
      <w:r>
        <w:rPr>
          <w:noProof/>
        </w:rPr>
        <w:t>„</w:t>
      </w:r>
      <w:r>
        <w:rPr>
          <w:b/>
          <w:noProof/>
        </w:rPr>
        <w:t>32015 L 1535</w:t>
      </w:r>
      <w:r>
        <w:rPr>
          <w:noProof/>
        </w:rPr>
        <w:t>: Директива (ЕС) 2015/1535 на Европейския парламент и на Съвета от 9 септември 2015 г. установяваща процедура за предоставянето на информация в сферата на техническите регламенти и правила относно услугите на информационното общество (ОВ L 241, 17.9.2015 г., стр. 1).</w:t>
      </w:r>
    </w:p>
    <w:p>
      <w:pPr>
        <w:rPr>
          <w:noProof/>
        </w:rPr>
      </w:pPr>
      <w:r>
        <w:rPr>
          <w:noProof/>
        </w:rPr>
        <w:t xml:space="preserve">За целите на настоящото споразумение разпоредбите на тази директива се четат със следните адаптации: 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Член 1, параграф 1, буква в), втора алинея се заменя със следното: </w:t>
      </w:r>
    </w:p>
    <w:p>
      <w:pPr>
        <w:pStyle w:val="Text1"/>
        <w:rPr>
          <w:noProof/>
        </w:rPr>
      </w:pPr>
      <w:r>
        <w:rPr>
          <w:noProof/>
        </w:rPr>
        <w:t xml:space="preserve">„Понятието „техническа спецификация“ включва също така производствени методи и процеси, използвани при продукти, предназначени за консумация от хората и животните, и при медицинските продукти, определени в член 1 от Директива 2001/83/ЕО (Решение на Съвместния комитет на ЕИП № 82/2002 от </w:t>
      </w:r>
      <w:r>
        <w:rPr>
          <w:noProof/>
        </w:rPr>
        <w:lastRenderedPageBreak/>
        <w:t>25 юни 2002 г.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), както и производствени методи и процеси, свързани с други продукти, когато те имат влияние върху техните характеристики.“ 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В член 5, параграф 1, първа алинея се добавя следното: </w:t>
      </w:r>
    </w:p>
    <w:p>
      <w:pPr>
        <w:pStyle w:val="Point0"/>
        <w:rPr>
          <w:noProof/>
          <w:spacing w:val="-6"/>
        </w:rPr>
      </w:pPr>
      <w:r>
        <w:rPr>
          <w:noProof/>
          <w:spacing w:val="-6"/>
        </w:rPr>
        <w:tab/>
        <w:t xml:space="preserve">„Пълният текст на оповестения проект на техническо правило се предоставя на оригиналния език, както и в пълен превод на един от официалните езици на Съюза.“ 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 xml:space="preserve">В член 5, параграф 1 се добавя следната алинея: </w:t>
      </w:r>
    </w:p>
    <w:p>
      <w:pPr>
        <w:pStyle w:val="Point0"/>
        <w:rPr>
          <w:noProof/>
        </w:rPr>
      </w:pPr>
      <w:r>
        <w:rPr>
          <w:noProof/>
        </w:rPr>
        <w:tab/>
        <w:t xml:space="preserve">„Комисията или държавите членки чрез Комисията, от една страна, и Надзорният орган на ЕАСТ или държавите от ЕАСТ чрез Надзорния орган на ЕАСТ, от друга страна, може да изискат допълнителна информация за оповестения проект на техническо правило.“ 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 xml:space="preserve">В член 5, параграф 2 се добавя следната алинея: </w:t>
      </w:r>
    </w:p>
    <w:p>
      <w:pPr>
        <w:pStyle w:val="Text1"/>
        <w:rPr>
          <w:noProof/>
        </w:rPr>
      </w:pPr>
      <w:r>
        <w:rPr>
          <w:noProof/>
        </w:rPr>
        <w:t>„Коментарите на държавите от ЕАСТ се препращат от Надзорния орган на ЕАСТ на Комисията под формата на едно-единствено координирано съобщение, а коментарите на Комисията и на държавите членки се препращат от Комисията на Надзорния орган на ЕАСТ.“</w:t>
      </w:r>
    </w:p>
    <w:p>
      <w:pPr>
        <w:pStyle w:val="Point0"/>
        <w:rPr>
          <w:noProof/>
        </w:rPr>
      </w:pPr>
      <w:r>
        <w:rPr>
          <w:noProof/>
        </w:rPr>
        <w:t>д)</w:t>
      </w:r>
      <w:r>
        <w:rPr>
          <w:noProof/>
        </w:rPr>
        <w:tab/>
        <w:t xml:space="preserve">Разпоредбите на член 6, параграфи 3, 4, 5 и 6 не се прилагат.“ </w:t>
      </w:r>
    </w:p>
    <w:p>
      <w:pPr>
        <w:pStyle w:val="Titrearticle"/>
        <w:rPr>
          <w:noProof/>
        </w:rPr>
      </w:pPr>
      <w:r>
        <w:rPr>
          <w:noProof/>
        </w:rPr>
        <w:t>Член 2</w:t>
      </w:r>
    </w:p>
    <w:p>
      <w:pPr>
        <w:rPr>
          <w:noProof/>
        </w:rPr>
      </w:pPr>
      <w:r>
        <w:rPr>
          <w:noProof/>
        </w:rPr>
        <w:t>Текстът на точка 5и (Директива 98/34/ЕО на Европейския парламент и на Съвета) от приложение XI към Споразумението за ЕИП се заличава.</w:t>
      </w:r>
    </w:p>
    <w:p>
      <w:pPr>
        <w:pStyle w:val="Titrearticle"/>
        <w:rPr>
          <w:noProof/>
        </w:rPr>
      </w:pPr>
      <w:r>
        <w:rPr>
          <w:noProof/>
        </w:rPr>
        <w:t>Член 3</w:t>
      </w:r>
    </w:p>
    <w:p>
      <w:pPr>
        <w:rPr>
          <w:noProof/>
        </w:rPr>
      </w:pPr>
      <w:r>
        <w:rPr>
          <w:noProof/>
        </w:rPr>
        <w:t xml:space="preserve">Текстовете на Директива (ЕС) 2015/1535 на исландски и норвежки език, които ще бъдат публикувани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, са автентични.</w:t>
      </w:r>
    </w:p>
    <w:p>
      <w:pPr>
        <w:pStyle w:val="Titrearticle"/>
        <w:rPr>
          <w:noProof/>
        </w:rPr>
      </w:pPr>
      <w:r>
        <w:rPr>
          <w:noProof/>
        </w:rPr>
        <w:t>Член 4</w:t>
      </w:r>
    </w:p>
    <w:p>
      <w:pPr>
        <w:rPr>
          <w:noProof/>
        </w:rPr>
      </w:pPr>
      <w:r>
        <w:rPr>
          <w:noProof/>
        </w:rPr>
        <w:t xml:space="preserve">Настоящото решение влиза в сила на </w:t>
      </w:r>
      <w:r>
        <w:rPr>
          <w:rStyle w:val="Marker"/>
          <w:noProof/>
        </w:rPr>
        <w:t>[…]</w:t>
      </w:r>
      <w:r>
        <w:rPr>
          <w:noProof/>
        </w:rPr>
        <w:t xml:space="preserve"> г., при условие че са внесени всички нотификации, предвидени в член 103, параграф 1 от Споразумението за ЕИП</w:t>
      </w:r>
      <w:r>
        <w:rPr>
          <w:rStyle w:val="FootnoteReference"/>
          <w:b/>
          <w:noProof/>
        </w:rPr>
        <w:sym w:font="Symbol" w:char="F02A"/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footnoteReference w:customMarkFollows="1" w:id="4"/>
        <w:t>Член 5</w:t>
      </w:r>
    </w:p>
    <w:p>
      <w:pPr>
        <w:rPr>
          <w:noProof/>
        </w:rPr>
      </w:pPr>
      <w:r>
        <w:rPr>
          <w:noProof/>
        </w:rPr>
        <w:t xml:space="preserve">Настоящото решение се публикува в раздела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rPr>
          <w:noProof/>
          <w:szCs w:val="24"/>
        </w:rPr>
      </w:pPr>
      <w:r>
        <w:rPr>
          <w:noProof/>
        </w:rPr>
        <w:t>Съставено в Брюксел на [...]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Съвместния комитет на ЕИП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lastRenderedPageBreak/>
        <w:br/>
      </w:r>
      <w:r>
        <w:rPr>
          <w:noProof/>
        </w:rPr>
        <w:tab/>
        <w:t>Секретари</w:t>
      </w:r>
    </w:p>
    <w:p>
      <w:pPr>
        <w:pStyle w:val="Personnequisigne"/>
        <w:rPr>
          <w:noProof/>
        </w:rPr>
      </w:pPr>
      <w:r>
        <w:rPr>
          <w:noProof/>
        </w:rPr>
        <w:tab/>
        <w:t>на Съвместния комитет на ЕИП</w:t>
      </w:r>
      <w:r>
        <w:rPr>
          <w:noProof/>
        </w:rPr>
        <w:br/>
      </w:r>
      <w:r>
        <w:rPr>
          <w:noProof/>
        </w:rPr>
        <w:tab/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color w:val="0000FF"/>
        </w:rPr>
      </w:pPr>
      <w:r>
        <w:rPr>
          <w:rStyle w:val="FootnoteReference"/>
        </w:rPr>
        <w:footnoteRef/>
      </w:r>
      <w:r>
        <w:tab/>
        <w:t>ОВ L 241, 17.9.2015 г., стр. 1.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ОВ L 204, 21.7.1998 г., стр. 37.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Притурка за ЕИП № 49, 3.10.2002 г., стр. 22.</w:t>
      </w:r>
    </w:p>
  </w:footnote>
  <w:footnote w:id="4">
    <w:p>
      <w:pPr>
        <w:pStyle w:val="FootnoteText"/>
      </w:pPr>
      <w:r>
        <w:rPr>
          <w:rStyle w:val="FootnoteReference"/>
        </w:rPr>
        <w:sym w:font="Symbol" w:char="F02A"/>
      </w:r>
      <w:r>
        <w:tab/>
        <w:t>[Без отбелязани конституционни изисквания.] [С отбелязани конституционни изисквания.]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F0C6C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1FAF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89A3D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624E5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CEE4E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E5423A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C709E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46C01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8364B0"/>
    <w:multiLevelType w:val="singleLevel"/>
    <w:tmpl w:val="D084FB54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31CD398A"/>
    <w:multiLevelType w:val="singleLevel"/>
    <w:tmpl w:val="0276BF00"/>
    <w:name w:val="List Dash 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13"/>
  </w:num>
  <w:num w:numId="11">
    <w:abstractNumId w:val="23"/>
    <w:lvlOverride w:ilvl="0">
      <w:startOverride w:val="1"/>
    </w:lvlOverride>
  </w:num>
  <w:num w:numId="12">
    <w:abstractNumId w:val="20"/>
  </w:num>
  <w:num w:numId="13">
    <w:abstractNumId w:val="14"/>
  </w:num>
  <w:num w:numId="14">
    <w:abstractNumId w:val="22"/>
  </w:num>
  <w:num w:numId="15">
    <w:abstractNumId w:val="12"/>
  </w:num>
  <w:num w:numId="16">
    <w:abstractNumId w:val="15"/>
  </w:num>
  <w:num w:numId="17">
    <w:abstractNumId w:val="10"/>
  </w:num>
  <w:num w:numId="18">
    <w:abstractNumId w:val="21"/>
  </w:num>
  <w:num w:numId="19">
    <w:abstractNumId w:val="9"/>
  </w:num>
  <w:num w:numId="20">
    <w:abstractNumId w:val="16"/>
  </w:num>
  <w:num w:numId="21">
    <w:abstractNumId w:val="18"/>
  </w:num>
  <w:num w:numId="22">
    <w:abstractNumId w:val="19"/>
  </w:num>
  <w:num w:numId="23">
    <w:abstractNumId w:val="11"/>
  </w:num>
  <w:num w:numId="24">
    <w:abstractNumId w:val="17"/>
  </w:num>
  <w:num w:numId="25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7-10-24 12:11:47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&lt;UNUSED&gt;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7CB9CAEB22A9447880664119C54FCBE9"/>
    <w:docVar w:name="LW_CROSSREFERENCE" w:val="&lt;UNUSED&gt;"/>
    <w:docVar w:name="LW_DocType" w:val="ANNEX"/>
    <w:docVar w:name="LW_EMISSION" w:val="6.11.2017"/>
    <w:docVar w:name="LW_EMISSION_ISODATE" w:val="2017-11-06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7) 640"/>
    <w:docVar w:name="LW_REF.INTERNE" w:val="&lt;UNUSED&gt;"/>
    <w:docVar w:name="LW_SUPERTITRE" w:val="&lt;UNUSED&gt;"/>
    <w:docVar w:name="LW_TITRE.OBJ" w:val="\u1082?\u1098?\u1084? \u1087?\u1088?\u1077?\u1076?\u1083?\u1086?\u1078?\u1077?\u1085?\u1080?\u1077? \u1079?\u1072?_x000b__x000b_\u1056?\u1077?\u1096?\u1077?\u1085?\u1080?\u1077? \u1085?\u1072? \u1057?\u1098?\u1074?\u1077?\u1090?\u1072?_x000b__x000b_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_x000b_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0?\u1083?\u1086?\u1078?\u1077?\u1085?\u1080?\u1077?&lt;LWCR:NBS&gt;II_x000b_(\u1058?\u1077?\u1093?\u1085?\u1080?\u1095?\u1077?\u1089?\u1082?\u1080? \u1087?\u1088?\u1072?\u1074?\u1080?\u1083?\u1072?, \u1089?\u1090?\u1072?\u1085?\u1076?\u1072?\u1088?\u1090?\u1080?, \u1080?\u1079?\u1087?\u1080?\u1090?\u1074?\u1072?\u1085?\u1080?\u1103? \u1080? \u1089?\u1077?\u1088?\u1090?\u1080?\u1092?\u1080?\u1094?\u1080?\u1088?\u1072?\u1085?\u1077?) \u1082?\u1098?\u1084? \u1057?\u1087?\u1086?\u1088?\u1072?\u1079?\u1091?\u1084?\u1077?\u1085?\u1080?\u1077?\u1090?\u1086? \u1079?\u1072? \u1045?\u1048?\u1055?"/>
    <w:docVar w:name="LW_TITRE.OBJ.CP" w:val="\u1082?\u1098?\u1084? \u1087?\u1088?\u1077?\u1076?\u1083?\u1086?\u1078?\u1077?\u1085?\u1080?\u1077? \u1079?\u1072?_x000b__x000b_\u1056?\u1077?\u1096?\u1077?\u1085?\u1080?\u1077? \u1085?\u1072? \u1057?\u1098?\u1074?\u1077?\u1090?\u1072?_x000b__x000b_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_x000b_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0?\u1083?\u1086?\u1078?\u1077?\u1085?\u1080?\u1077? II_x000b_(\u1058?\u1077?\u1093?\u1085?\u1080?\u1095?\u1077?\u1089?\u1082?\u1080? \u1087?\u1088?\u1072?\u1074?\u1080?\u1083?\u1072?, \u1089?\u1090?\u1072?\u1085?\u1076?\u1072?\u1088?\u1090?\u1080?, \u1080?\u1079?\u1087?\u1080?\u1090?\u1074?\u1072?\u1085?\u1080?\u1103? \u1080? \u1089?\u1077?\u1088?\u1090?\u1080?\u1092?\u1080?\u1094?\u1080?\u1088?\u1072?\u1085?\u1077?) \u1082?\u1098?\u1084? \u1057?\u1087?\u1086?\u1088?\u1072?\u1079?\u1091?\u1084?\u1077?\u1085?\u1080?\u1077?\u1090?\u1086? \u1079?\u1072? \u1045?\u1048?\u1055?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.CP" w:val="&lt;UNUSED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Dash3">
    <w:name w:val="List Dash 3"/>
    <w:basedOn w:val="Normal"/>
    <w:pPr>
      <w:numPr>
        <w:numId w:val="9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10"/>
      </w:numPr>
    </w:pPr>
    <w:rPr>
      <w:rFonts w:eastAsia="Times New Roman"/>
      <w:szCs w:val="24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sz w:val="20"/>
      <w:szCs w:val="20"/>
    </w:rPr>
  </w:style>
  <w:style w:type="paragraph" w:customStyle="1" w:styleId="Articleheading">
    <w:name w:val="Article heading"/>
    <w:basedOn w:val="Normal"/>
    <w:link w:val="ArticleheadingChar"/>
    <w:qFormat/>
    <w:pPr>
      <w:keepNext/>
      <w:tabs>
        <w:tab w:val="left" w:pos="709"/>
      </w:tabs>
      <w:spacing w:before="360"/>
      <w:jc w:val="center"/>
    </w:pPr>
    <w:rPr>
      <w:i/>
      <w:color w:val="000000"/>
      <w:szCs w:val="24"/>
    </w:rPr>
  </w:style>
  <w:style w:type="paragraph" w:customStyle="1" w:styleId="Articletext">
    <w:name w:val="Article text"/>
    <w:basedOn w:val="Articleheading"/>
    <w:link w:val="ArticletextChar"/>
    <w:qFormat/>
    <w:pPr>
      <w:keepNext w:val="0"/>
      <w:spacing w:before="120"/>
      <w:jc w:val="both"/>
    </w:pPr>
    <w:rPr>
      <w:i w:val="0"/>
    </w:rPr>
  </w:style>
  <w:style w:type="character" w:customStyle="1" w:styleId="ArticleheadingChar">
    <w:name w:val="Article heading Char"/>
    <w:link w:val="Articleheading"/>
    <w:rPr>
      <w:rFonts w:ascii="Times New Roman" w:hAnsi="Times New Roman"/>
      <w:i/>
      <w:color w:val="000000"/>
      <w:sz w:val="24"/>
      <w:szCs w:val="24"/>
      <w:lang w:val="bg-BG" w:eastAsia="bg-BG"/>
    </w:rPr>
  </w:style>
  <w:style w:type="character" w:customStyle="1" w:styleId="ArticletextChar">
    <w:name w:val="Article text Char"/>
    <w:link w:val="Articletext"/>
    <w:rPr>
      <w:rFonts w:ascii="Times New Roman" w:hAnsi="Times New Roman"/>
      <w:color w:val="000000"/>
      <w:sz w:val="24"/>
      <w:szCs w:val="24"/>
      <w:lang w:val="bg-BG" w:eastAsia="bg-BG"/>
    </w:rPr>
  </w:style>
  <w:style w:type="character" w:customStyle="1" w:styleId="Point0Char">
    <w:name w:val="Point 0 Char"/>
    <w:rPr>
      <w:rFonts w:ascii="Times New Roman" w:hAnsi="Times New Roman"/>
      <w:sz w:val="24"/>
      <w:szCs w:val="22"/>
    </w:rPr>
  </w:style>
  <w:style w:type="paragraph" w:customStyle="1" w:styleId="Text0">
    <w:name w:val="Text 0"/>
    <w:basedOn w:val="Point0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EDCCA-E296-4489-BE40-D0EDFE7E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560</Words>
  <Characters>3058</Characters>
  <Application>Microsoft Office Word</Application>
  <DocSecurity>0</DocSecurity>
  <Lines>76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RIBEIRO MIRANDA (EEAS)</dc:creator>
  <cp:keywords/>
  <cp:lastModifiedBy>DIGIT/A3</cp:lastModifiedBy>
  <cp:revision>7</cp:revision>
  <cp:lastPrinted>2014-02-26T13:25:00Z</cp:lastPrinted>
  <dcterms:created xsi:type="dcterms:W3CDTF">2017-10-12T07:10:00Z</dcterms:created>
  <dcterms:modified xsi:type="dcterms:W3CDTF">2017-10-24T10:11:00Z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20130911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