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DBF69BE6994BE288D8B05B3476B774" style="width:451.25pt;height:379.2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pacing w:val="-4"/>
        </w:rPr>
      </w:pPr>
      <w:r>
        <w:rPr>
          <w:noProof/>
          <w:spacing w:val="-4"/>
        </w:rPr>
        <w:t>Проектът на решение на Съвместния комитет на ЕИП (приложен към предложението за решение на Съвета) има за цел да бъде изменено приложение II (Технически правила, стандарти, изпитвания и сертифициране) към Споразумението за ЕИП, за да бъде включена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Pr>
          <w:rStyle w:val="FootnoteReference"/>
          <w:noProof/>
          <w:spacing w:val="-4"/>
        </w:rPr>
        <w:footnoteReference w:id="1"/>
      </w:r>
      <w:r>
        <w:rPr>
          <w:noProof/>
          <w:spacing w:val="-4"/>
        </w:rPr>
        <w: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С приложения проект на решение на Съвместния комитет се разширява вече съществуващата политика на ЕС, така че в нея да бъдат включени членуващите в ЕИП държави от ЕАСТ (Норвегия, Исландия и Лихтенщайн).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spacing w:val="-6"/>
        </w:rPr>
      </w:pPr>
      <w:r>
        <w:rPr>
          <w:noProof/>
          <w:spacing w:val="-6"/>
        </w:rPr>
        <w:t xml:space="preserve">Разширяването на обхвата на достиженията на правото на ЕС с включването на членуващите в ЕИП държави от ЕАСТ посредством въвеждането на тези достижения в Споразумението за ЕИП се извършва в съответствие с целите и принципите на това споразумение, като се цели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pacing w:val="-4"/>
        </w:rPr>
      </w:pPr>
      <w:r>
        <w:rPr>
          <w:noProof/>
          <w:spacing w:val="-4"/>
        </w:rPr>
        <w:t>Законодателството, което трябва да бъде включено в Споразумението за ЕИП, се основава на членове 114, 337 и 43 от Договора за функционирането на Европейския съюз.</w:t>
      </w:r>
    </w:p>
    <w:p>
      <w:pPr>
        <w:rPr>
          <w:noProof/>
        </w:rPr>
      </w:pPr>
      <w:r>
        <w:rPr>
          <w:noProof/>
        </w:rPr>
        <w:t>Съгласно член 1, параграф 3 от Регламент (ЕО) № 2894/94 на Съвета</w:t>
      </w:r>
      <w:r>
        <w:rPr>
          <w:rStyle w:val="FootnoteReference"/>
          <w:noProof/>
        </w:rPr>
        <w:footnoteReference w:id="2"/>
      </w:r>
      <w:r>
        <w:rPr>
          <w:noProof/>
        </w:rPr>
        <w:t xml:space="preserve"> относно условията за прилагане на Споразумението за Европейското икономическо пространство Съветът определя позицията, която да бъде заета от името на Съюза по отношение на подобни решения, въз основа на предложение на Комисията.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rPr>
          <w:rFonts w:cs="EUAlbertina"/>
          <w:noProof/>
          <w:color w:val="000000"/>
          <w:szCs w:val="24"/>
        </w:rPr>
      </w:pPr>
      <w:r>
        <w:rPr>
          <w:noProof/>
          <w:color w:val="000000"/>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с оглед на отражението на мярката, тази цел може да бъде постигната по-добре на равнището на Съюза. </w:t>
      </w:r>
    </w:p>
    <w:p>
      <w:pPr>
        <w:pBdr>
          <w:top w:val="nil"/>
          <w:left w:val="nil"/>
          <w:bottom w:val="nil"/>
          <w:right w:val="nil"/>
          <w:between w:val="nil"/>
          <w:bar w:val="nil"/>
        </w:pBdr>
        <w:spacing w:before="0"/>
        <w:rPr>
          <w:bCs/>
          <w:noProof/>
          <w:szCs w:val="24"/>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w:t>
      </w:r>
      <w:r>
        <w:rPr>
          <w:noProof/>
        </w:rPr>
        <w:lastRenderedPageBreak/>
        <w:t xml:space="preserve">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rPr>
          <w:rFonts w:cs="EUAlbertina"/>
          <w:noProof/>
          <w:color w:val="000000"/>
          <w:szCs w:val="24"/>
        </w:rPr>
      </w:pPr>
      <w:r>
        <w:rPr>
          <w:noProof/>
          <w:color w:val="000000"/>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rFonts w:cs="EUAlbertina"/>
          <w:noProof/>
          <w:color w:val="000000"/>
          <w:szCs w:val="24"/>
        </w:rPr>
      </w:pPr>
      <w:r>
        <w:rPr>
          <w:noProof/>
          <w:color w:val="000000"/>
        </w:rPr>
        <w:t xml:space="preserve">Не се прилага </w:t>
      </w:r>
    </w:p>
    <w:p>
      <w:pPr>
        <w:pStyle w:val="ManualHeading2"/>
        <w:rPr>
          <w:rFonts w:eastAsia="Arial Unicode MS"/>
          <w:noProof/>
          <w:u w:color="000000"/>
          <w:bdr w:val="nil"/>
        </w:rPr>
      </w:pPr>
      <w:r>
        <w:rPr>
          <w:noProof/>
        </w:rPr>
        <w:t>•</w:t>
      </w:r>
      <w:r>
        <w:rPr>
          <w:noProof/>
        </w:rPr>
        <w:tab/>
        <w:t>Оценка на въздействието</w:t>
      </w:r>
    </w:p>
    <w:p>
      <w:pPr>
        <w:rPr>
          <w:rFonts w:cs="EUAlbertina"/>
          <w:noProof/>
          <w:color w:val="000000"/>
          <w:szCs w:val="24"/>
        </w:rPr>
      </w:pPr>
      <w:r>
        <w:rPr>
          <w:noProof/>
          <w:color w:val="000000"/>
        </w:rPr>
        <w:t xml:space="preserve">Не се прилага </w:t>
      </w:r>
    </w:p>
    <w:p>
      <w:pPr>
        <w:pStyle w:val="ManualHeading2"/>
        <w:rPr>
          <w:noProof/>
        </w:rPr>
      </w:pPr>
      <w:r>
        <w:rPr>
          <w:noProof/>
        </w:rPr>
        <w:t>4.</w:t>
      </w:r>
      <w:r>
        <w:rPr>
          <w:noProof/>
        </w:rPr>
        <w:tab/>
        <w:t>ОТРАЖЕНИЕ ВЪРХУ БЮДЖЕТА</w:t>
      </w:r>
    </w:p>
    <w:p>
      <w:pPr>
        <w:autoSpaceDE w:val="0"/>
        <w:autoSpaceDN w:val="0"/>
        <w:adjustRightInd w:val="0"/>
        <w:spacing w:before="0" w:after="0"/>
        <w:rPr>
          <w:noProof/>
          <w:szCs w:val="24"/>
        </w:rPr>
      </w:pPr>
      <w:r>
        <w:rPr>
          <w:noProof/>
        </w:rPr>
        <w:t>Не се очаква отражение върху бюджета в резултат от включването на Директива (ЕС) 2015/1535 в Споразумението за ЕИП.</w:t>
      </w:r>
    </w:p>
    <w:p>
      <w:pPr>
        <w:pStyle w:val="ManualHeading1"/>
        <w:rPr>
          <w:noProof/>
        </w:rPr>
      </w:pPr>
      <w:r>
        <w:rPr>
          <w:noProof/>
        </w:rPr>
        <w:t>5.</w:t>
      </w:r>
      <w:r>
        <w:rPr>
          <w:noProof/>
        </w:rPr>
        <w:tab/>
        <w:t>ДРУГИ ЕЛЕМЕНТИ</w:t>
      </w:r>
    </w:p>
    <w:p>
      <w:pPr>
        <w:pStyle w:val="ManualHeading2"/>
        <w:rPr>
          <w:rFonts w:eastAsia="Arial Unicode MS"/>
          <w:noProof/>
          <w:u w:val="single"/>
          <w:bdr w:val="nil"/>
        </w:rPr>
      </w:pPr>
      <w:r>
        <w:rPr>
          <w:noProof/>
          <w:u w:val="single"/>
          <w:bdr w:val="nil"/>
        </w:rPr>
        <w:t xml:space="preserve">Основни адаптации, поискани от страна на ЕАСТ </w:t>
      </w:r>
    </w:p>
    <w:p>
      <w:pPr>
        <w:rPr>
          <w:noProof/>
        </w:rPr>
      </w:pPr>
      <w:r>
        <w:rPr>
          <w:noProof/>
        </w:rPr>
        <w:t>Обосновка и предложено решение:</w:t>
      </w:r>
    </w:p>
    <w:p>
      <w:pPr>
        <w:rPr>
          <w:noProof/>
          <w:u w:val="single"/>
        </w:rPr>
      </w:pPr>
      <w:r>
        <w:rPr>
          <w:noProof/>
          <w:u w:val="single"/>
        </w:rPr>
        <w:t>Определение на понятието „техническа спецификация“, член 1, параграф 1, буква в), адаптация a)</w:t>
      </w:r>
    </w:p>
    <w:p>
      <w:pPr>
        <w:rPr>
          <w:noProof/>
        </w:rPr>
      </w:pPr>
      <w:r>
        <w:rPr>
          <w:noProof/>
        </w:rPr>
        <w:t>С тази адаптация се цели изречението „селскостопански продукти, както е посочено в (…) член 38, параграф 1 от ДФЕС“ да не се прилага като част от определението на „техническа спецификация“, тъй като член 38, параграф 1 от ДФЕС се отнася за общата селскостопанска политика (ОСП) и общата политика в областта на рибарството (ОПОР) на ЕС, които не попадат в обхвата на Споразумението за ЕИП. Същата адаптация вече се прилага в рамките на Споразумението за ЕИП.</w:t>
      </w:r>
    </w:p>
    <w:p>
      <w:pPr>
        <w:rPr>
          <w:noProof/>
          <w:u w:val="single"/>
        </w:rPr>
      </w:pPr>
      <w:r>
        <w:rPr>
          <w:noProof/>
          <w:u w:val="single"/>
        </w:rPr>
        <w:t>Искания за допълнителна информация, член 5, параграф 1), адаптация в)</w:t>
      </w:r>
    </w:p>
    <w:p>
      <w:pPr>
        <w:rPr>
          <w:noProof/>
        </w:rPr>
      </w:pPr>
      <w:r>
        <w:rPr>
          <w:noProof/>
        </w:rPr>
        <w:t>Включена е адаптация с цел да се осигури достатъчен обмен на информация между стълба на ЕС и стълба на ЕАСТ. Следва да се отбележи, че подобна адаптация вече се прилага съгласно Споразумението за ЕИП.</w:t>
      </w:r>
    </w:p>
    <w:p>
      <w:pPr>
        <w:rPr>
          <w:noProof/>
          <w:u w:val="single"/>
        </w:rPr>
      </w:pPr>
      <w:r>
        <w:rPr>
          <w:noProof/>
          <w:u w:val="single"/>
        </w:rPr>
        <w:t>Препращане на коментари, член 5, параграф 2, адаптация г)</w:t>
      </w:r>
    </w:p>
    <w:p>
      <w:pPr>
        <w:rPr>
          <w:noProof/>
        </w:rPr>
      </w:pPr>
      <w:r>
        <w:rPr>
          <w:noProof/>
        </w:rPr>
        <w:t>В тази адаптация се пояснява как коментарите относно проекти на технически правила се препращат между стълба на ЕС и стълба на ЕАСТ. Следва да се отбележи, че същата адаптация вече се прилага съгласно Споразумението за ЕИП.</w:t>
      </w:r>
    </w:p>
    <w:p>
      <w:pPr>
        <w:pStyle w:val="ManualHeading2"/>
        <w:jc w:val="left"/>
        <w:rPr>
          <w:rFonts w:eastAsia="Arial Unicode MS"/>
          <w:noProof/>
          <w:u w:color="000000"/>
          <w:bdr w:val="nil"/>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2017/0282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съюзв рамките на Съвместния комитет на ЕИП във връзка с изменение на приложение II</w:t>
      </w:r>
      <w:r>
        <w:rPr>
          <w:noProof/>
        </w:rPr>
        <w:br/>
        <w:t>(Технически правила, стандарти, изпитвания и сертифициране) към Споразумението за ЕИП</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членове </w:t>
      </w:r>
      <w:r>
        <w:rPr>
          <w:noProof/>
          <w:color w:val="000000"/>
        </w:rPr>
        <w:t>114, 337 и 43</w:t>
      </w:r>
      <w:r>
        <w:rPr>
          <w:noProof/>
        </w:rPr>
        <w:t xml:space="preserve">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(наричано по-нататък „Споразумението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II (Технически правила, стандарти, изпитвания и сертифициране) към Споразумението за ЕИП.</w:t>
      </w:r>
    </w:p>
    <w:p>
      <w:pPr>
        <w:pStyle w:val="ManualConsidrant"/>
        <w:rPr>
          <w:noProof/>
        </w:rPr>
      </w:pPr>
      <w:r>
        <w:t>(3)</w:t>
      </w:r>
      <w:r>
        <w:tab/>
      </w:r>
      <w:r>
        <w:rPr>
          <w:noProof/>
        </w:rPr>
        <w:t>Директива (ЕС) № 2015/1535 на Европейския парламент и на Съвета</w:t>
      </w:r>
      <w:r>
        <w:rPr>
          <w:rStyle w:val="FootnoteReference"/>
          <w:noProof/>
        </w:rPr>
        <w:footnoteReference w:id="5"/>
      </w:r>
      <w:r>
        <w:rPr>
          <w:noProof/>
        </w:rPr>
        <w:t xml:space="preserve"> трябва да бъде включена в Споразумението за ЕИП.</w:t>
      </w:r>
    </w:p>
    <w:p>
      <w:pPr>
        <w:pStyle w:val="ManualConsidrant"/>
        <w:rPr>
          <w:noProof/>
        </w:rPr>
      </w:pPr>
      <w:r>
        <w:t>(4)</w:t>
      </w:r>
      <w:r>
        <w:tab/>
      </w:r>
      <w:r>
        <w:rPr>
          <w:noProof/>
        </w:rPr>
        <w:t xml:space="preserve">Приложение II (Технически правила, стандарти, изпитвания и сертифициране) към Споразумението за ЕИП следва да бъде съответно изменено. </w:t>
      </w:r>
    </w:p>
    <w:p>
      <w:pPr>
        <w:pStyle w:val="ManualConsidrant"/>
        <w:rPr>
          <w:noProof/>
        </w:rPr>
      </w:pPr>
      <w:r>
        <w:t>(5)</w:t>
      </w:r>
      <w:r>
        <w:tab/>
      </w:r>
      <w:r>
        <w:rPr>
          <w:noProof/>
        </w:rPr>
        <w:t>Следователно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Съюза в рамките на Съвместния комитет на ЕИП във връзка с предложеното изменение на приложение II (Технически правила, стандарти, изпитвания и сертифициране)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lang w:val="pl-PL"/>
        </w:rPr>
      </w:pPr>
      <w:r>
        <w:rPr>
          <w:rStyle w:val="FootnoteReference"/>
        </w:rPr>
        <w:footnoteRef/>
      </w:r>
      <w:r>
        <w:tab/>
        <w:t>OВ L 241, 17.9.2015 г., стр. 1.</w:t>
      </w:r>
    </w:p>
  </w:footnote>
  <w:footnote w:id="2">
    <w:p>
      <w:pPr>
        <w:pStyle w:val="FootnoteText"/>
        <w:rPr>
          <w:iCs/>
          <w:lang w:val="pl-PL"/>
        </w:rPr>
      </w:pPr>
      <w:r>
        <w:rPr>
          <w:rStyle w:val="FootnoteReference"/>
        </w:rPr>
        <w:footnoteRef/>
      </w:r>
      <w:r>
        <w:tab/>
        <w:t>ОВ L 305, 30.11.1994 г., стр. 6.</w:t>
      </w:r>
    </w:p>
  </w:footnote>
  <w:footnote w:id="3">
    <w:p>
      <w:pPr>
        <w:pStyle w:val="FootnoteText"/>
        <w:rPr>
          <w:lang w:val="pl-PL"/>
        </w:rPr>
      </w:pPr>
      <w:r>
        <w:rPr>
          <w:rStyle w:val="FootnoteReference"/>
        </w:rPr>
        <w:footnoteRef/>
      </w:r>
      <w:r>
        <w:rPr>
          <w:lang w:val="pl-PL"/>
        </w:rPr>
        <w:tab/>
      </w:r>
      <w:r>
        <w:t>ОВ</w:t>
      </w:r>
      <w:r>
        <w:rPr>
          <w:lang w:val="pl-PL"/>
        </w:rPr>
        <w:t xml:space="preserve"> L 305, 30.11.1994 </w:t>
      </w:r>
      <w:r>
        <w:t>г</w:t>
      </w:r>
      <w:r>
        <w:rPr>
          <w:lang w:val="pl-PL"/>
        </w:rPr>
        <w:t xml:space="preserve">., </w:t>
      </w:r>
      <w:r>
        <w:t>стр</w:t>
      </w:r>
      <w:r>
        <w:rPr>
          <w:lang w:val="pl-PL"/>
        </w:rPr>
        <w:t>. 6.</w:t>
      </w:r>
    </w:p>
  </w:footnote>
  <w:footnote w:id="4">
    <w:p>
      <w:pPr>
        <w:pStyle w:val="FootnoteText"/>
        <w:rPr>
          <w:lang w:val="pl-PL"/>
        </w:rPr>
      </w:pPr>
      <w:r>
        <w:rPr>
          <w:rStyle w:val="FootnoteReference"/>
        </w:rPr>
        <w:footnoteRef/>
      </w:r>
      <w:r>
        <w:rPr>
          <w:lang w:val="pl-PL"/>
        </w:rPr>
        <w:tab/>
      </w:r>
      <w:r>
        <w:t>ОВ</w:t>
      </w:r>
      <w:r>
        <w:rPr>
          <w:lang w:val="pl-PL"/>
        </w:rPr>
        <w:t xml:space="preserve"> L 1, 3.1.1994 </w:t>
      </w:r>
      <w:r>
        <w:t>г</w:t>
      </w:r>
      <w:r>
        <w:rPr>
          <w:lang w:val="pl-PL"/>
        </w:rPr>
        <w:t xml:space="preserve">., </w:t>
      </w:r>
      <w:r>
        <w:t>стр</w:t>
      </w:r>
      <w:r>
        <w:rPr>
          <w:lang w:val="pl-PL"/>
        </w:rPr>
        <w:t xml:space="preserve">. 3. </w:t>
      </w:r>
    </w:p>
  </w:footnote>
  <w:footnote w:id="5">
    <w:p>
      <w:pPr>
        <w:pStyle w:val="FootnoteText"/>
        <w:rPr>
          <w:lang w:val="pl-PL"/>
        </w:rPr>
      </w:pPr>
      <w:r>
        <w:rPr>
          <w:rStyle w:val="FootnoteReference"/>
        </w:rPr>
        <w:footnoteRef/>
      </w:r>
      <w:r>
        <w:rPr>
          <w:lang w:val="pl-PL"/>
        </w:rPr>
        <w:tab/>
      </w:r>
      <w:r>
        <w:t>Директива</w:t>
      </w:r>
      <w:r>
        <w:rPr>
          <w:lang w:val="pl-PL"/>
        </w:rPr>
        <w:t xml:space="preserve"> (</w:t>
      </w:r>
      <w:r>
        <w:t>ЕС</w:t>
      </w:r>
      <w:r>
        <w:rPr>
          <w:lang w:val="pl-PL"/>
        </w:rPr>
        <w:t xml:space="preserve">) 2015/1535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от</w:t>
      </w:r>
      <w:r>
        <w:rPr>
          <w:lang w:val="pl-PL"/>
        </w:rPr>
        <w:t xml:space="preserve"> 9 </w:t>
      </w:r>
      <w:r>
        <w:t>септември</w:t>
      </w:r>
      <w:r>
        <w:rPr>
          <w:lang w:val="pl-PL"/>
        </w:rPr>
        <w:t xml:space="preserve"> 2015 </w:t>
      </w:r>
      <w:r>
        <w:t>г</w:t>
      </w:r>
      <w:r>
        <w:rPr>
          <w:lang w:val="pl-PL"/>
        </w:rPr>
        <w:t xml:space="preserve">. </w:t>
      </w:r>
      <w:r>
        <w:t>установяваща</w:t>
      </w:r>
      <w:r>
        <w:rPr>
          <w:lang w:val="pl-PL"/>
        </w:rPr>
        <w:t xml:space="preserve"> </w:t>
      </w:r>
      <w:r>
        <w:t>процедура</w:t>
      </w:r>
      <w:r>
        <w:rPr>
          <w:lang w:val="pl-PL"/>
        </w:rPr>
        <w:t xml:space="preserve"> </w:t>
      </w:r>
      <w:r>
        <w:t>за</w:t>
      </w:r>
      <w:r>
        <w:rPr>
          <w:lang w:val="pl-PL"/>
        </w:rPr>
        <w:t xml:space="preserve"> </w:t>
      </w:r>
      <w:r>
        <w:t>предоставянето</w:t>
      </w:r>
      <w:r>
        <w:rPr>
          <w:lang w:val="pl-PL"/>
        </w:rPr>
        <w:t xml:space="preserve"> </w:t>
      </w:r>
      <w:r>
        <w:t>на</w:t>
      </w:r>
      <w:r>
        <w:rPr>
          <w:lang w:val="pl-PL"/>
        </w:rPr>
        <w:t xml:space="preserve"> </w:t>
      </w:r>
      <w:r>
        <w:t>информация</w:t>
      </w:r>
      <w:r>
        <w:rPr>
          <w:lang w:val="pl-PL"/>
        </w:rPr>
        <w:t xml:space="preserve"> </w:t>
      </w:r>
      <w:r>
        <w:t>в</w:t>
      </w:r>
      <w:r>
        <w:rPr>
          <w:lang w:val="pl-PL"/>
        </w:rPr>
        <w:t xml:space="preserve"> </w:t>
      </w:r>
      <w:r>
        <w:t>сферата</w:t>
      </w:r>
      <w:r>
        <w:rPr>
          <w:lang w:val="pl-PL"/>
        </w:rPr>
        <w:t xml:space="preserve"> </w:t>
      </w:r>
      <w:r>
        <w:t>на</w:t>
      </w:r>
      <w:r>
        <w:rPr>
          <w:lang w:val="pl-PL"/>
        </w:rPr>
        <w:t xml:space="preserve"> </w:t>
      </w:r>
      <w:r>
        <w:t>техническите</w:t>
      </w:r>
      <w:r>
        <w:rPr>
          <w:lang w:val="pl-PL"/>
        </w:rPr>
        <w:t xml:space="preserve"> </w:t>
      </w:r>
      <w:r>
        <w:t>регламенти</w:t>
      </w:r>
      <w:r>
        <w:rPr>
          <w:lang w:val="pl-PL"/>
        </w:rPr>
        <w:t xml:space="preserve"> </w:t>
      </w:r>
      <w:r>
        <w:t>и</w:t>
      </w:r>
      <w:r>
        <w:rPr>
          <w:lang w:val="pl-PL"/>
        </w:rPr>
        <w:t xml:space="preserve"> </w:t>
      </w:r>
      <w:r>
        <w:t>правила</w:t>
      </w:r>
      <w:r>
        <w:rPr>
          <w:lang w:val="pl-PL"/>
        </w:rPr>
        <w:t xml:space="preserve"> </w:t>
      </w:r>
      <w:r>
        <w:t>относно</w:t>
      </w:r>
      <w:r>
        <w:rPr>
          <w:lang w:val="pl-PL"/>
        </w:rPr>
        <w:t xml:space="preserve"> </w:t>
      </w:r>
      <w:r>
        <w:t>услугите</w:t>
      </w:r>
      <w:r>
        <w:rPr>
          <w:lang w:val="pl-PL"/>
        </w:rPr>
        <w:t xml:space="preserve"> </w:t>
      </w:r>
      <w:r>
        <w:t>на</w:t>
      </w:r>
      <w:r>
        <w:rPr>
          <w:lang w:val="pl-PL"/>
        </w:rPr>
        <w:t xml:space="preserve"> </w:t>
      </w:r>
      <w:r>
        <w:t>информационното</w:t>
      </w:r>
      <w:r>
        <w:rPr>
          <w:lang w:val="pl-PL"/>
        </w:rPr>
        <w:t xml:space="preserve"> </w:t>
      </w:r>
      <w:r>
        <w:t>общество</w:t>
      </w:r>
      <w:r>
        <w:rPr>
          <w:lang w:val="pl-PL"/>
        </w:rPr>
        <w:t xml:space="preserve"> (</w:t>
      </w:r>
      <w:r>
        <w:t>ОВ</w:t>
      </w:r>
      <w:r>
        <w:rPr>
          <w:lang w:val="pl-PL"/>
        </w:rPr>
        <w:t xml:space="preserve"> L 241, 17.9.2015 </w:t>
      </w:r>
      <w:r>
        <w:t>г</w:t>
      </w:r>
      <w:r>
        <w:rPr>
          <w:lang w:val="pl-PL"/>
        </w:rPr>
        <w:t xml:space="preserve">., </w:t>
      </w:r>
      <w:r>
        <w:t>стр</w:t>
      </w:r>
      <w:r>
        <w:rPr>
          <w:lang w:val="pl-PL"/>
        </w:rPr>
        <w: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10-24 12:10: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BDBF69BE6994BE288D8B05B3476B774"/>
    <w:docVar w:name="LW_CROSSREFERENCE" w:val="&lt;UNUSED&gt;"/>
    <w:docVar w:name="LW_DocType" w:val="COM"/>
    <w:docVar w:name="LW_EMISSION" w:val="6.11.2017"/>
    <w:docVar w:name="LW_EMISSION_ISODATE" w:val="2017-11-0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2"/>
    <w:docVar w:name="LW_REF.II.NEW.CP_YEAR" w:val="2017"/>
    <w:docVar w:name="LW_REF.INST.NEW" w:val="COM"/>
    <w:docVar w:name="LW_REF.INST.NEW_ADOPTED" w:val="final"/>
    <w:docVar w:name="LW_REF.INST.NEW_TEXT" w:val="(2017) 64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I_x000b_(\u1058?\u1077?\u1093?\u1085?\u1080?\u1095?\u1077?\u1089?\u1082?\u1080? \u1087?\u1088?\u1072?\u1074?\u1080?\u1083?\u1072?, \u1089?\u1090?\u1072?\u1085?\u1076?\u1072?\u1088?\u1090?\u1080?, \u1080?\u1079?\u1087?\u1080?\u1090?\u1074?\u1072?\u1085?\u1080?\u1103? \u1080? \u1089?\u1077?\u1088?\u1090?\u1080?\u1092?\u1080?\u1094?\u1080?\u1088?\u1072?\u1085?\u1077?) \u1082?\u1098?\u1084? \u1057?\u1087?\u1086?\u1088?\u1072?\u1079?\u1091?\u1084?\u1077?\u1085?\u1080?\u1077?\u1090?\u1086? \u1079?\u1072? \u1045?\u104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BulletBorderNoborder">
    <w:name w:val="Bullet  + Border: : (No border)"/>
    <w:basedOn w:val="Bullet2"/>
    <w:rPr>
      <w:rFonts w:eastAsia="Arial Unicode MS"/>
      <w:u w:color="000000"/>
      <w:bdr w:val="nil"/>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6457-9635-46E5-B833-0B94AE7A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1013</Words>
  <Characters>5765</Characters>
  <Application>Microsoft Office Word</Application>
  <DocSecurity>0</DocSecurity>
  <Lines>120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2014-03-28T08:12:00Z</cp:lastPrinted>
  <dcterms:created xsi:type="dcterms:W3CDTF">2017-10-11T15:52:00Z</dcterms:created>
  <dcterms:modified xsi:type="dcterms:W3CDTF">2017-10-24T10:10:00Z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