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63F05E5-288D-40B1-981C-CF7B70D6AF1B" style="width:450.7pt;height:46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600"/>
        <w:jc w:val="center"/>
        <w:outlineLvl w:val="0"/>
        <w:rPr>
          <w:rFonts w:ascii="Times New Roman" w:eastAsia="Calibri" w:hAnsi="Times New Roman" w:cs="Times New Roman"/>
          <w:b/>
          <w:noProof/>
          <w:sz w:val="28"/>
          <w:szCs w:val="28"/>
          <w:u w:val="single"/>
        </w:rPr>
      </w:pPr>
      <w:bookmarkStart w:id="1" w:name="_GoBack"/>
      <w:bookmarkEnd w:id="1"/>
      <w:r>
        <w:rPr>
          <w:rFonts w:ascii="Times New Roman" w:hAnsi="Times New Roman"/>
          <w:b/>
          <w:noProof/>
          <w:sz w:val="28"/>
          <w:u w:val="single"/>
        </w:rPr>
        <w:lastRenderedPageBreak/>
        <w:t>Приложение IV: Оттеглени предложения</w:t>
      </w:r>
      <w:r>
        <w:rPr>
          <w:rStyle w:val="FootnoteReference"/>
          <w:rFonts w:ascii="Times New Roman" w:hAnsi="Times New Roman"/>
          <w:b/>
          <w:noProof/>
          <w:sz w:val="28"/>
          <w:u w:val="single"/>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07"/>
        <w:gridCol w:w="2735"/>
        <w:gridCol w:w="4921"/>
        <w:gridCol w:w="6011"/>
      </w:tblGrid>
      <w:tr>
        <w:trPr>
          <w:cantSplit/>
          <w:tblHeader/>
        </w:trPr>
        <w:tc>
          <w:tcPr>
            <w:tcW w:w="184" w:type="pct"/>
            <w:shd w:val="clear" w:color="auto" w:fill="99CCFF"/>
          </w:tcPr>
          <w:p>
            <w:pPr>
              <w:spacing w:after="0" w:line="240" w:lineRule="auto"/>
              <w:ind w:left="142"/>
              <w:rPr>
                <w:rFonts w:ascii="Times New Roman" w:eastAsia="Times New Roman" w:hAnsi="Times New Roman" w:cs="Times New Roman"/>
                <w:b/>
                <w:noProof/>
                <w:spacing w:val="-6"/>
                <w:sz w:val="20"/>
                <w:szCs w:val="20"/>
              </w:rPr>
            </w:pPr>
            <w:r>
              <w:rPr>
                <w:rFonts w:ascii="Times New Roman" w:hAnsi="Times New Roman"/>
                <w:b/>
                <w:noProof/>
                <w:spacing w:val="-6"/>
                <w:sz w:val="20"/>
              </w:rPr>
              <w:t>№</w:t>
            </w:r>
          </w:p>
        </w:tc>
        <w:tc>
          <w:tcPr>
            <w:tcW w:w="873" w:type="pct"/>
            <w:shd w:val="clear" w:color="auto" w:fill="99CCFF"/>
          </w:tcPr>
          <w:p>
            <w:pPr>
              <w:spacing w:after="0" w:line="240" w:lineRule="auto"/>
              <w:rPr>
                <w:rFonts w:ascii="Times New Roman" w:eastAsia="Times New Roman" w:hAnsi="Times New Roman" w:cs="Times New Roman"/>
                <w:b/>
                <w:noProof/>
                <w:spacing w:val="-6"/>
                <w:sz w:val="20"/>
                <w:szCs w:val="20"/>
              </w:rPr>
            </w:pPr>
            <w:r>
              <w:rPr>
                <w:rFonts w:ascii="Times New Roman" w:hAnsi="Times New Roman"/>
                <w:b/>
                <w:noProof/>
                <w:spacing w:val="-6"/>
                <w:sz w:val="20"/>
              </w:rPr>
              <w:t>COM/междуинституционален номер</w:t>
            </w:r>
          </w:p>
        </w:tc>
        <w:tc>
          <w:tcPr>
            <w:tcW w:w="1792" w:type="pct"/>
            <w:shd w:val="clear" w:color="auto" w:fill="99CCFF"/>
            <w:vAlign w:val="center"/>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b/>
                <w:noProof/>
                <w:spacing w:val="-6"/>
                <w:sz w:val="20"/>
              </w:rPr>
              <w:t>Наименование</w:t>
            </w:r>
          </w:p>
        </w:tc>
        <w:tc>
          <w:tcPr>
            <w:tcW w:w="2151" w:type="pct"/>
            <w:shd w:val="clear" w:color="auto" w:fill="99CCFF"/>
            <w:vAlign w:val="center"/>
          </w:tcPr>
          <w:p>
            <w:pPr>
              <w:spacing w:after="0" w:line="240" w:lineRule="auto"/>
              <w:jc w:val="both"/>
              <w:rPr>
                <w:rFonts w:ascii="Times New Roman" w:eastAsia="Times New Roman" w:hAnsi="Times New Roman" w:cs="Times New Roman"/>
                <w:noProof/>
                <w:spacing w:val="-6"/>
                <w:sz w:val="20"/>
                <w:szCs w:val="20"/>
              </w:rPr>
            </w:pPr>
            <w:r>
              <w:rPr>
                <w:rFonts w:ascii="Times New Roman" w:hAnsi="Times New Roman"/>
                <w:b/>
                <w:noProof/>
                <w:spacing w:val="-6"/>
                <w:sz w:val="20"/>
              </w:rPr>
              <w:t>Мотиви за оттеглянето</w:t>
            </w:r>
          </w:p>
        </w:tc>
      </w:tr>
      <w:tr>
        <w:trPr>
          <w:cantSplit/>
        </w:trPr>
        <w:tc>
          <w:tcPr>
            <w:tcW w:w="5000" w:type="pct"/>
            <w:gridSpan w:val="4"/>
            <w:shd w:val="clear" w:color="auto" w:fill="92D050"/>
          </w:tcPr>
          <w:p>
            <w:pPr>
              <w:spacing w:before="60" w:after="60" w:line="240" w:lineRule="auto"/>
              <w:jc w:val="both"/>
              <w:rPr>
                <w:rFonts w:ascii="Times New Roman" w:eastAsia="Times New Roman" w:hAnsi="Times New Roman" w:cs="Times New Roman"/>
                <w:b/>
                <w:noProof/>
                <w:spacing w:val="-6"/>
                <w:sz w:val="20"/>
                <w:szCs w:val="20"/>
              </w:rPr>
            </w:pPr>
            <w:r>
              <w:rPr>
                <w:rFonts w:ascii="Times New Roman" w:hAnsi="Times New Roman"/>
                <w:b/>
                <w:noProof/>
                <w:spacing w:val="-6"/>
                <w:sz w:val="20"/>
              </w:rPr>
              <w:t>Земеделие и развитие на селските райони</w:t>
            </w:r>
          </w:p>
        </w:tc>
      </w:tr>
      <w:tr>
        <w:trPr>
          <w:cantSplit/>
        </w:trPr>
        <w:tc>
          <w:tcPr>
            <w:tcW w:w="184" w:type="pct"/>
          </w:tcPr>
          <w:p>
            <w:pPr>
              <w:pStyle w:val="ListParagraph"/>
              <w:numPr>
                <w:ilvl w:val="0"/>
                <w:numId w:val="1"/>
              </w:numPr>
              <w:spacing w:after="0" w:line="240" w:lineRule="auto"/>
              <w:ind w:left="426"/>
              <w:rPr>
                <w:rFonts w:ascii="Times New Roman" w:eastAsia="Times New Roman" w:hAnsi="Times New Roman" w:cs="Times New Roman"/>
                <w:noProof/>
                <w:spacing w:val="-6"/>
                <w:sz w:val="20"/>
                <w:szCs w:val="20"/>
              </w:rPr>
            </w:pPr>
          </w:p>
        </w:tc>
        <w:tc>
          <w:tcPr>
            <w:tcW w:w="873" w:type="pct"/>
          </w:tcPr>
          <w:p>
            <w:pPr>
              <w:spacing w:after="0" w:line="240" w:lineRule="auto"/>
              <w:rPr>
                <w:rFonts w:ascii="Times New Roman" w:eastAsia="Times New Roman" w:hAnsi="Times New Roman" w:cs="Times New Roman"/>
                <w:noProof/>
                <w:spacing w:val="-6"/>
                <w:sz w:val="20"/>
                <w:szCs w:val="20"/>
              </w:rPr>
            </w:pPr>
            <w:r>
              <w:rPr>
                <w:rFonts w:ascii="Times New Roman" w:hAnsi="Times New Roman"/>
                <w:noProof/>
                <w:color w:val="000000"/>
                <w:spacing w:val="-6"/>
                <w:sz w:val="20"/>
              </w:rPr>
              <w:t>COM/2017/0150 final</w:t>
            </w:r>
            <w:r>
              <w:rPr>
                <w:rFonts w:ascii="Times New Roman" w:hAnsi="Times New Roman" w:cs="Times New Roman"/>
                <w:iCs/>
                <w:noProof/>
                <w:color w:val="000000"/>
                <w:spacing w:val="-6"/>
                <w:sz w:val="20"/>
                <w:szCs w:val="20"/>
              </w:rPr>
              <w:br/>
            </w:r>
            <w:r>
              <w:rPr>
                <w:rFonts w:ascii="Times New Roman" w:hAnsi="Times New Roman"/>
                <w:noProof/>
                <w:color w:val="000000"/>
                <w:spacing w:val="-6"/>
                <w:sz w:val="20"/>
              </w:rPr>
              <w:t>2017/068/COD</w:t>
            </w:r>
          </w:p>
        </w:tc>
        <w:tc>
          <w:tcPr>
            <w:tcW w:w="1792" w:type="pct"/>
            <w:shd w:val="clear" w:color="auto" w:fill="auto"/>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noProof/>
                <w:spacing w:val="-6"/>
                <w:sz w:val="20"/>
              </w:rPr>
              <w:t>Предложение за РЕГЛАМЕНТ НА ЕВРОПЕЙСКИЯ ПАРЛАМЕНТ И НА СЪВЕТА за определяне на предвидената в Регламент (ЕС) № 1306/2013 ставка на корекция на директните плащания за календарната 2017 г.</w:t>
            </w:r>
          </w:p>
        </w:tc>
        <w:tc>
          <w:tcPr>
            <w:tcW w:w="2151" w:type="pct"/>
            <w:shd w:val="clear" w:color="auto" w:fill="auto"/>
          </w:tcPr>
          <w:p>
            <w:pPr>
              <w:spacing w:after="0" w:line="240" w:lineRule="auto"/>
              <w:jc w:val="both"/>
              <w:rPr>
                <w:rFonts w:ascii="Times New Roman" w:eastAsia="Times New Roman" w:hAnsi="Times New Roman" w:cs="Times New Roman"/>
                <w:noProof/>
                <w:sz w:val="20"/>
                <w:szCs w:val="20"/>
              </w:rPr>
            </w:pPr>
            <w:r>
              <w:rPr>
                <w:rFonts w:ascii="Times New Roman" w:hAnsi="Times New Roman"/>
                <w:noProof/>
                <w:sz w:val="20"/>
              </w:rPr>
              <w:t>Не е актуално: този въпрос бе разрешен с Регламент за изпълнение (ЕС) № 2017/1236 на Комисията от 7 юли 2017 г.</w:t>
            </w:r>
          </w:p>
          <w:p>
            <w:pPr>
              <w:spacing w:after="0" w:line="240" w:lineRule="auto"/>
              <w:jc w:val="both"/>
              <w:rPr>
                <w:rFonts w:ascii="Times New Roman" w:eastAsia="Times New Roman" w:hAnsi="Times New Roman" w:cs="Times New Roman"/>
                <w:noProof/>
                <w:spacing w:val="-6"/>
                <w:sz w:val="20"/>
                <w:szCs w:val="20"/>
              </w:rPr>
            </w:pPr>
          </w:p>
          <w:p>
            <w:pPr>
              <w:spacing w:after="0" w:line="240" w:lineRule="auto"/>
              <w:jc w:val="both"/>
              <w:rPr>
                <w:rFonts w:ascii="Times New Roman" w:eastAsia="Times New Roman" w:hAnsi="Times New Roman" w:cs="Times New Roman"/>
                <w:noProof/>
                <w:spacing w:val="-6"/>
                <w:sz w:val="20"/>
                <w:szCs w:val="20"/>
              </w:rPr>
            </w:pPr>
          </w:p>
        </w:tc>
      </w:tr>
      <w:tr>
        <w:trPr>
          <w:cantSplit/>
        </w:trPr>
        <w:tc>
          <w:tcPr>
            <w:tcW w:w="5000" w:type="pct"/>
            <w:gridSpan w:val="4"/>
            <w:shd w:val="clear" w:color="auto" w:fill="92D050"/>
          </w:tcPr>
          <w:p>
            <w:pPr>
              <w:spacing w:before="60" w:after="60" w:line="240" w:lineRule="auto"/>
              <w:jc w:val="both"/>
              <w:rPr>
                <w:rFonts w:ascii="Times New Roman" w:eastAsia="Times New Roman" w:hAnsi="Times New Roman" w:cs="Times New Roman"/>
                <w:b/>
                <w:noProof/>
                <w:spacing w:val="-6"/>
                <w:sz w:val="20"/>
                <w:szCs w:val="20"/>
              </w:rPr>
            </w:pPr>
            <w:r>
              <w:rPr>
                <w:rFonts w:ascii="Times New Roman" w:hAnsi="Times New Roman"/>
                <w:b/>
                <w:noProof/>
                <w:spacing w:val="-6"/>
                <w:sz w:val="20"/>
              </w:rPr>
              <w:t>Икономически и финансови въпроси, данъчно облагане и митници</w:t>
            </w:r>
          </w:p>
        </w:tc>
      </w:tr>
      <w:tr>
        <w:trPr>
          <w:cantSplit/>
        </w:trPr>
        <w:tc>
          <w:tcPr>
            <w:tcW w:w="184" w:type="pct"/>
          </w:tcPr>
          <w:p>
            <w:pPr>
              <w:pStyle w:val="ListParagraph"/>
              <w:numPr>
                <w:ilvl w:val="0"/>
                <w:numId w:val="1"/>
              </w:numPr>
              <w:spacing w:after="0" w:line="240" w:lineRule="auto"/>
              <w:ind w:left="426"/>
              <w:rPr>
                <w:rFonts w:ascii="Times New Roman" w:eastAsia="Times New Roman" w:hAnsi="Times New Roman" w:cs="Times New Roman"/>
                <w:bCs/>
                <w:noProof/>
                <w:spacing w:val="-6"/>
                <w:sz w:val="20"/>
                <w:szCs w:val="20"/>
              </w:rPr>
            </w:pPr>
          </w:p>
        </w:tc>
        <w:tc>
          <w:tcPr>
            <w:tcW w:w="873" w:type="pct"/>
          </w:tcPr>
          <w:p>
            <w:pPr>
              <w:rPr>
                <w:rFonts w:ascii="Times New Roman" w:eastAsia="Times New Roman" w:hAnsi="Times New Roman" w:cs="Times New Roman"/>
                <w:bCs/>
                <w:noProof/>
                <w:spacing w:val="-6"/>
                <w:sz w:val="20"/>
                <w:szCs w:val="20"/>
              </w:rPr>
            </w:pPr>
            <w:r>
              <w:rPr>
                <w:rFonts w:ascii="Times New Roman" w:hAnsi="Times New Roman"/>
                <w:noProof/>
                <w:spacing w:val="-6"/>
                <w:sz w:val="20"/>
              </w:rPr>
              <w:t>COM/2011/737 final</w:t>
            </w:r>
            <w:r>
              <w:rPr>
                <w:rFonts w:ascii="Times New Roman" w:eastAsia="Times New Roman" w:hAnsi="Times New Roman" w:cs="Times New Roman"/>
                <w:bCs/>
                <w:noProof/>
                <w:spacing w:val="-6"/>
                <w:sz w:val="20"/>
                <w:szCs w:val="20"/>
              </w:rPr>
              <w:br/>
            </w:r>
            <w:r>
              <w:rPr>
                <w:rFonts w:ascii="Times New Roman" w:hAnsi="Times New Roman"/>
                <w:noProof/>
                <w:spacing w:val="-6"/>
                <w:sz w:val="20"/>
              </w:rPr>
              <w:t>2011/333/CNS</w:t>
            </w:r>
          </w:p>
        </w:tc>
        <w:tc>
          <w:tcPr>
            <w:tcW w:w="1792" w:type="pct"/>
            <w:shd w:val="clear" w:color="auto" w:fill="auto"/>
          </w:tcPr>
          <w:p>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Предложение за РЕГЛАМЕНТ НА СЪВЕТА относно методите и процедурата за предоставяне на собствения ресурс на база данък добавена стойност</w:t>
            </w:r>
          </w:p>
          <w:p>
            <w:pPr>
              <w:spacing w:after="0" w:line="240" w:lineRule="auto"/>
              <w:jc w:val="both"/>
              <w:rPr>
                <w:rFonts w:ascii="Times New Roman" w:eastAsia="Times New Roman" w:hAnsi="Times New Roman" w:cs="Times New Roman"/>
                <w:bCs/>
                <w:i/>
                <w:noProof/>
                <w:spacing w:val="-6"/>
                <w:sz w:val="20"/>
                <w:szCs w:val="20"/>
              </w:rPr>
            </w:pPr>
          </w:p>
        </w:tc>
        <w:tc>
          <w:tcPr>
            <w:tcW w:w="2151" w:type="pct"/>
            <w:shd w:val="clear" w:color="auto" w:fill="auto"/>
          </w:tcPr>
          <w:p>
            <w:pPr>
              <w:spacing w:after="0" w:line="240" w:lineRule="auto"/>
              <w:jc w:val="both"/>
              <w:rPr>
                <w:rFonts w:ascii="Times New Roman" w:eastAsia="Times New Roman" w:hAnsi="Times New Roman" w:cs="Times New Roman"/>
                <w:noProof/>
                <w:sz w:val="20"/>
                <w:szCs w:val="20"/>
              </w:rPr>
            </w:pPr>
            <w:r>
              <w:rPr>
                <w:rFonts w:ascii="Times New Roman" w:hAnsi="Times New Roman"/>
                <w:noProof/>
                <w:sz w:val="20"/>
              </w:rPr>
              <w:t>Комисията ще представи нови предложения за собствените ресурси във всеобхватното предложение за бъдещата многогодишна финансова програма за периода след 2020 г. Така това предложение ще стане неактуално, тъй като ще бъде заменено от нови предложения в този контекст.</w:t>
            </w:r>
          </w:p>
        </w:tc>
      </w:tr>
      <w:tr>
        <w:trPr>
          <w:cantSplit/>
        </w:trPr>
        <w:tc>
          <w:tcPr>
            <w:tcW w:w="184" w:type="pct"/>
          </w:tcPr>
          <w:p>
            <w:pPr>
              <w:pStyle w:val="ListParagraph"/>
              <w:numPr>
                <w:ilvl w:val="0"/>
                <w:numId w:val="1"/>
              </w:numPr>
              <w:spacing w:after="0" w:line="240" w:lineRule="auto"/>
              <w:ind w:left="426"/>
              <w:rPr>
                <w:rFonts w:ascii="Times New Roman" w:eastAsia="Times New Roman" w:hAnsi="Times New Roman" w:cs="Times New Roman"/>
                <w:bCs/>
                <w:noProof/>
                <w:sz w:val="20"/>
                <w:szCs w:val="20"/>
              </w:rPr>
            </w:pPr>
          </w:p>
        </w:tc>
        <w:tc>
          <w:tcPr>
            <w:tcW w:w="873" w:type="pct"/>
          </w:tcPr>
          <w:p>
            <w:pPr>
              <w:rPr>
                <w:rFonts w:ascii="Times New Roman" w:eastAsia="Times New Roman" w:hAnsi="Times New Roman" w:cs="Times New Roman"/>
                <w:bCs/>
                <w:noProof/>
                <w:sz w:val="20"/>
                <w:szCs w:val="20"/>
              </w:rPr>
            </w:pPr>
            <w:r>
              <w:rPr>
                <w:rFonts w:ascii="Times New Roman" w:hAnsi="Times New Roman"/>
                <w:noProof/>
                <w:sz w:val="20"/>
              </w:rPr>
              <w:t>COM/2014/43 final</w:t>
            </w:r>
            <w:r>
              <w:rPr>
                <w:rFonts w:ascii="Times New Roman" w:eastAsia="Times New Roman" w:hAnsi="Times New Roman" w:cs="Times New Roman"/>
                <w:bCs/>
                <w:noProof/>
                <w:sz w:val="20"/>
                <w:szCs w:val="20"/>
              </w:rPr>
              <w:br/>
            </w:r>
            <w:r>
              <w:rPr>
                <w:rFonts w:ascii="Times New Roman" w:hAnsi="Times New Roman"/>
                <w:noProof/>
                <w:sz w:val="20"/>
              </w:rPr>
              <w:t>2014/0020/COD</w:t>
            </w:r>
          </w:p>
        </w:tc>
        <w:tc>
          <w:tcPr>
            <w:tcW w:w="1792" w:type="pct"/>
            <w:shd w:val="clear" w:color="auto" w:fill="auto"/>
          </w:tcPr>
          <w:p>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Предложение за РЕГЛАМЕНТ НА ЕВРОПЕЙСКИЯ ПАРЛАМЕНТ И НА СЪВЕТА относно структурните мерки за повишаване на устойчивостта на кредитните институции в ЕС</w:t>
            </w:r>
          </w:p>
        </w:tc>
        <w:tc>
          <w:tcPr>
            <w:tcW w:w="2151" w:type="pct"/>
            <w:shd w:val="clear" w:color="auto" w:fill="auto"/>
          </w:tcPr>
          <w:p>
            <w:pPr>
              <w:spacing w:after="0" w:line="240" w:lineRule="auto"/>
              <w:jc w:val="both"/>
              <w:rPr>
                <w:rFonts w:ascii="Times New Roman" w:eastAsia="Times New Roman" w:hAnsi="Times New Roman" w:cs="Times New Roman"/>
                <w:noProof/>
                <w:sz w:val="20"/>
                <w:szCs w:val="20"/>
              </w:rPr>
            </w:pPr>
            <w:r>
              <w:rPr>
                <w:rFonts w:ascii="Times New Roman" w:hAnsi="Times New Roman"/>
                <w:noProof/>
                <w:spacing w:val="-6"/>
                <w:sz w:val="20"/>
              </w:rPr>
              <w:t>Не се предвижда да бъде постигнато съгласие. От 2015 г. насам по проекта не е постигнат напредък.Освен това основната му цел, а именно финансова стабилност, междувременно залегна в основата на други регулаторни мерки в банковия сектор, и по-конкретно с влизането в сила на механизмите за надзор и преструктуриране на банковия съюз.</w:t>
            </w:r>
          </w:p>
        </w:tc>
      </w:tr>
      <w:tr>
        <w:trPr>
          <w:cantSplit/>
        </w:trPr>
        <w:tc>
          <w:tcPr>
            <w:tcW w:w="5000" w:type="pct"/>
            <w:gridSpan w:val="4"/>
            <w:shd w:val="clear" w:color="auto" w:fill="92D050"/>
          </w:tcPr>
          <w:p>
            <w:pPr>
              <w:keepNext/>
              <w:spacing w:before="60" w:after="60" w:line="240" w:lineRule="auto"/>
              <w:jc w:val="both"/>
              <w:rPr>
                <w:rFonts w:ascii="Times New Roman" w:eastAsia="Times New Roman" w:hAnsi="Times New Roman" w:cs="Times New Roman"/>
                <w:b/>
                <w:noProof/>
                <w:sz w:val="20"/>
                <w:szCs w:val="20"/>
              </w:rPr>
            </w:pPr>
            <w:r>
              <w:rPr>
                <w:rFonts w:ascii="Times New Roman" w:hAnsi="Times New Roman"/>
                <w:b/>
                <w:noProof/>
                <w:sz w:val="20"/>
              </w:rPr>
              <w:lastRenderedPageBreak/>
              <w:t>Външни работи и политика на сигурност</w:t>
            </w:r>
          </w:p>
        </w:tc>
      </w:tr>
      <w:tr>
        <w:trPr>
          <w:cantSplit/>
        </w:trPr>
        <w:tc>
          <w:tcPr>
            <w:tcW w:w="184" w:type="pct"/>
          </w:tcPr>
          <w:p>
            <w:pPr>
              <w:pStyle w:val="ListParagraph"/>
              <w:numPr>
                <w:ilvl w:val="0"/>
                <w:numId w:val="1"/>
              </w:numPr>
              <w:spacing w:after="0" w:line="240" w:lineRule="auto"/>
              <w:ind w:left="426"/>
              <w:rPr>
                <w:rFonts w:ascii="Times New Roman" w:eastAsia="Times New Roman" w:hAnsi="Times New Roman" w:cs="Times New Roman"/>
                <w:noProof/>
                <w:sz w:val="20"/>
                <w:szCs w:val="20"/>
              </w:rPr>
            </w:pPr>
          </w:p>
        </w:tc>
        <w:tc>
          <w:tcPr>
            <w:tcW w:w="873" w:type="pct"/>
          </w:tcPr>
          <w:p>
            <w:pPr>
              <w:rPr>
                <w:rFonts w:ascii="Times New Roman" w:hAnsi="Times New Roman" w:cs="Times New Roman"/>
                <w:noProof/>
                <w:color w:val="000000"/>
                <w:sz w:val="20"/>
                <w:szCs w:val="20"/>
              </w:rPr>
            </w:pPr>
            <w:r>
              <w:rPr>
                <w:rFonts w:ascii="Times New Roman" w:hAnsi="Times New Roman"/>
                <w:noProof/>
                <w:sz w:val="20"/>
              </w:rPr>
              <w:t>COM/2003/695 final</w:t>
            </w:r>
            <w:r>
              <w:rPr>
                <w:rFonts w:ascii="Times New Roman" w:eastAsia="Times New Roman" w:hAnsi="Times New Roman" w:cs="Times New Roman"/>
                <w:bCs/>
                <w:noProof/>
                <w:sz w:val="20"/>
                <w:szCs w:val="20"/>
              </w:rPr>
              <w:br/>
            </w:r>
            <w:r>
              <w:rPr>
                <w:rFonts w:ascii="Times New Roman" w:hAnsi="Times New Roman"/>
                <w:noProof/>
                <w:color w:val="000000"/>
                <w:sz w:val="20"/>
              </w:rPr>
              <w:t>CNS 2003/0268</w:t>
            </w:r>
          </w:p>
        </w:tc>
        <w:tc>
          <w:tcPr>
            <w:tcW w:w="1792" w:type="pct"/>
            <w:shd w:val="clear" w:color="auto" w:fill="auto"/>
          </w:tcPr>
          <w:p>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 xml:space="preserve">Предложение за РЕШЕНИЕ НА СЪВЕТА относно сключването на политически диалог и споразумение за сътрудничество между Европейската общност и нейните държави членки, от една страна, и Андската общност и нейните държави членки, републики Боливия, Колумбия, Еквадор, Перу и Боливарска република Венецуела, от друга страна </w:t>
            </w:r>
          </w:p>
        </w:tc>
        <w:tc>
          <w:tcPr>
            <w:tcW w:w="2151" w:type="pct"/>
            <w:shd w:val="clear" w:color="auto" w:fill="auto"/>
          </w:tcPr>
          <w:p>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 xml:space="preserve">Не е актуално: вече не е в сила, тъй като е заменено от Съвместно предложение JOIN/2016/04 final от 3 февруари 2016 г. </w:t>
            </w:r>
          </w:p>
          <w:p>
            <w:pPr>
              <w:spacing w:after="0" w:line="240" w:lineRule="auto"/>
              <w:jc w:val="both"/>
              <w:rPr>
                <w:rFonts w:ascii="Times New Roman" w:eastAsia="Times New Roman" w:hAnsi="Times New Roman" w:cs="Times New Roman"/>
                <w:noProof/>
                <w:sz w:val="20"/>
                <w:szCs w:val="20"/>
              </w:rPr>
            </w:pPr>
          </w:p>
        </w:tc>
      </w:tr>
      <w:tr>
        <w:trPr>
          <w:cantSplit/>
        </w:trPr>
        <w:tc>
          <w:tcPr>
            <w:tcW w:w="184" w:type="pct"/>
          </w:tcPr>
          <w:p>
            <w:pPr>
              <w:pStyle w:val="ListParagraph"/>
              <w:numPr>
                <w:ilvl w:val="0"/>
                <w:numId w:val="1"/>
              </w:numPr>
              <w:spacing w:after="0" w:line="240" w:lineRule="auto"/>
              <w:ind w:left="426"/>
              <w:rPr>
                <w:rFonts w:ascii="Times New Roman" w:eastAsia="Times New Roman" w:hAnsi="Times New Roman" w:cs="Times New Roman"/>
                <w:noProof/>
                <w:sz w:val="20"/>
                <w:szCs w:val="20"/>
              </w:rPr>
            </w:pPr>
          </w:p>
        </w:tc>
        <w:tc>
          <w:tcPr>
            <w:tcW w:w="873" w:type="pct"/>
          </w:tcPr>
          <w:p>
            <w:pPr>
              <w:rPr>
                <w:rFonts w:ascii="Times New Roman" w:eastAsia="Times New Roman" w:hAnsi="Times New Roman" w:cs="Times New Roman"/>
                <w:bCs/>
                <w:noProof/>
                <w:sz w:val="20"/>
                <w:szCs w:val="20"/>
              </w:rPr>
            </w:pPr>
            <w:r>
              <w:rPr>
                <w:rFonts w:ascii="Times New Roman" w:hAnsi="Times New Roman"/>
                <w:noProof/>
                <w:sz w:val="20"/>
              </w:rPr>
              <w:t>COM/2014/360 final</w:t>
            </w:r>
            <w:r>
              <w:rPr>
                <w:rFonts w:ascii="Times New Roman" w:eastAsia="Times New Roman" w:hAnsi="Times New Roman" w:cs="Times New Roman"/>
                <w:bCs/>
                <w:noProof/>
                <w:sz w:val="20"/>
                <w:szCs w:val="20"/>
              </w:rPr>
              <w:br/>
            </w:r>
            <w:r>
              <w:rPr>
                <w:rFonts w:ascii="Times New Roman" w:hAnsi="Times New Roman"/>
                <w:noProof/>
                <w:sz w:val="20"/>
              </w:rPr>
              <w:t>2014/0182/NLE</w:t>
            </w:r>
          </w:p>
        </w:tc>
        <w:tc>
          <w:tcPr>
            <w:tcW w:w="1792" w:type="pct"/>
            <w:shd w:val="clear" w:color="auto" w:fill="auto"/>
          </w:tcPr>
          <w:p>
            <w:pPr>
              <w:spacing w:after="0"/>
              <w:jc w:val="both"/>
              <w:rPr>
                <w:rFonts w:ascii="Times New Roman" w:hAnsi="Times New Roman" w:cs="Times New Roman"/>
                <w:noProof/>
                <w:color w:val="000000"/>
                <w:spacing w:val="-6"/>
                <w:sz w:val="20"/>
                <w:szCs w:val="20"/>
              </w:rPr>
            </w:pPr>
            <w:r>
              <w:rPr>
                <w:rFonts w:ascii="Times New Roman" w:hAnsi="Times New Roman"/>
                <w:noProof/>
                <w:color w:val="000000"/>
                <w:spacing w:val="-6"/>
                <w:sz w:val="20"/>
              </w:rPr>
              <w:t>Предложение за РЕШЕНИЕ НА СЪВЕТА относно позицията на Съюза в рамките на Съвета за сътрудничество, създаден със Споразумението за партньорство и сътрудничество Европейски съюз—Грузия между Европейската общност и нейните държави членки, от една страна, и Грузия, от друга страна, по отношение на приемането на препоръка относно изпълнението на Програмата за асоцииране ЕС—Грузия</w:t>
            </w:r>
          </w:p>
        </w:tc>
        <w:tc>
          <w:tcPr>
            <w:tcW w:w="2151" w:type="pct"/>
            <w:shd w:val="clear" w:color="auto" w:fill="auto"/>
          </w:tcPr>
          <w:p>
            <w:pPr>
              <w:spacing w:after="0" w:line="240" w:lineRule="auto"/>
              <w:jc w:val="both"/>
              <w:rPr>
                <w:rFonts w:ascii="Times New Roman" w:eastAsia="Times New Roman" w:hAnsi="Times New Roman" w:cs="Times New Roman"/>
                <w:bCs/>
                <w:noProof/>
                <w:sz w:val="20"/>
                <w:szCs w:val="20"/>
              </w:rPr>
            </w:pPr>
            <w:r>
              <w:rPr>
                <w:rFonts w:ascii="Times New Roman" w:hAnsi="Times New Roman"/>
                <w:noProof/>
                <w:sz w:val="20"/>
              </w:rPr>
              <w:t>Не е актуално: програмата за асоцииране беше приета от Съвета по външни работи на 23 юни 2014 г. (Georgia ST 10978/14) и ОВ L 261 от 30.8.2014 г.</w:t>
            </w:r>
          </w:p>
        </w:tc>
      </w:tr>
      <w:tr>
        <w:trPr>
          <w:cantSplit/>
          <w:trHeight w:val="1874"/>
        </w:trPr>
        <w:tc>
          <w:tcPr>
            <w:tcW w:w="184" w:type="pct"/>
          </w:tcPr>
          <w:p>
            <w:pPr>
              <w:pStyle w:val="ListParagraph"/>
              <w:numPr>
                <w:ilvl w:val="0"/>
                <w:numId w:val="1"/>
              </w:numPr>
              <w:spacing w:after="0" w:line="240" w:lineRule="auto"/>
              <w:ind w:left="426"/>
              <w:rPr>
                <w:rFonts w:ascii="Times New Roman" w:eastAsia="Times New Roman" w:hAnsi="Times New Roman" w:cs="Times New Roman"/>
                <w:noProof/>
                <w:spacing w:val="-6"/>
                <w:sz w:val="20"/>
                <w:szCs w:val="20"/>
              </w:rPr>
            </w:pPr>
          </w:p>
        </w:tc>
        <w:tc>
          <w:tcPr>
            <w:tcW w:w="873" w:type="pct"/>
          </w:tcPr>
          <w:p>
            <w:pPr>
              <w:rPr>
                <w:rFonts w:ascii="Times New Roman" w:eastAsia="Times New Roman" w:hAnsi="Times New Roman" w:cs="Times New Roman"/>
                <w:bCs/>
                <w:noProof/>
                <w:spacing w:val="-6"/>
                <w:sz w:val="20"/>
                <w:szCs w:val="20"/>
              </w:rPr>
            </w:pPr>
            <w:r>
              <w:rPr>
                <w:rFonts w:ascii="Times New Roman" w:hAnsi="Times New Roman"/>
                <w:noProof/>
                <w:spacing w:val="-6"/>
                <w:sz w:val="20"/>
              </w:rPr>
              <w:t>COM/2014/359 final</w:t>
            </w:r>
            <w:r>
              <w:rPr>
                <w:rFonts w:ascii="Times New Roman" w:eastAsia="Times New Roman" w:hAnsi="Times New Roman" w:cs="Times New Roman"/>
                <w:bCs/>
                <w:noProof/>
                <w:spacing w:val="-6"/>
                <w:sz w:val="20"/>
                <w:szCs w:val="20"/>
              </w:rPr>
              <w:br/>
            </w:r>
            <w:r>
              <w:rPr>
                <w:rFonts w:ascii="Times New Roman" w:hAnsi="Times New Roman"/>
                <w:noProof/>
                <w:spacing w:val="-6"/>
                <w:sz w:val="20"/>
              </w:rPr>
              <w:t>2014/0181/NLE</w:t>
            </w:r>
          </w:p>
          <w:p>
            <w:pPr>
              <w:rPr>
                <w:rFonts w:ascii="Times New Roman" w:eastAsia="Times New Roman" w:hAnsi="Times New Roman" w:cs="Times New Roman"/>
                <w:noProof/>
                <w:sz w:val="20"/>
                <w:szCs w:val="20"/>
              </w:rPr>
            </w:pPr>
          </w:p>
          <w:p>
            <w:pPr>
              <w:rPr>
                <w:rFonts w:ascii="Times New Roman" w:eastAsia="Times New Roman" w:hAnsi="Times New Roman" w:cs="Times New Roman"/>
                <w:noProof/>
                <w:sz w:val="20"/>
                <w:szCs w:val="20"/>
              </w:rPr>
            </w:pPr>
          </w:p>
          <w:p>
            <w:pPr>
              <w:spacing w:after="0" w:line="240" w:lineRule="auto"/>
              <w:jc w:val="right"/>
              <w:rPr>
                <w:rFonts w:ascii="Times New Roman" w:eastAsia="Times New Roman" w:hAnsi="Times New Roman" w:cs="Times New Roman"/>
                <w:noProof/>
                <w:sz w:val="20"/>
                <w:szCs w:val="20"/>
              </w:rPr>
            </w:pPr>
          </w:p>
        </w:tc>
        <w:tc>
          <w:tcPr>
            <w:tcW w:w="1792" w:type="pct"/>
            <w:shd w:val="clear" w:color="auto" w:fill="auto"/>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noProof/>
                <w:spacing w:val="-6"/>
                <w:sz w:val="20"/>
              </w:rPr>
              <w:t>Предложение за РЕШЕНИЕ НА СЪВЕТА относно позицията на Съюза в рамките на Съвета за сътрудничество, създаден със Споразумението за партньорство и сътрудничество между Европейската общност и нейните държави членки, от една страна, и Република Молдова, от друга страна, по отношение на приемането на препоръка относно изпълнението на Програмата за асоцииране ЕС—Молдова</w:t>
            </w:r>
          </w:p>
        </w:tc>
        <w:tc>
          <w:tcPr>
            <w:tcW w:w="2151" w:type="pct"/>
            <w:shd w:val="clear" w:color="auto" w:fill="auto"/>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noProof/>
                <w:spacing w:val="-6"/>
                <w:sz w:val="20"/>
              </w:rPr>
              <w:t>Не е актуално: програмата за асоцииране беше приета от Съвета по външни работи на 23 юни 2014 г. (Moldova ST 9621/14, бележка по точка I/A).</w:t>
            </w:r>
          </w:p>
          <w:p>
            <w:pPr>
              <w:spacing w:after="0" w:line="240" w:lineRule="auto"/>
              <w:jc w:val="both"/>
              <w:rPr>
                <w:rFonts w:ascii="Times New Roman" w:eastAsia="Times New Roman" w:hAnsi="Times New Roman" w:cs="Times New Roman"/>
                <w:bCs/>
                <w:noProof/>
                <w:spacing w:val="-6"/>
                <w:sz w:val="20"/>
                <w:szCs w:val="20"/>
              </w:rPr>
            </w:pPr>
          </w:p>
          <w:p>
            <w:pPr>
              <w:spacing w:after="0" w:line="240" w:lineRule="auto"/>
              <w:jc w:val="both"/>
              <w:rPr>
                <w:rFonts w:ascii="Times New Roman" w:eastAsia="Times New Roman" w:hAnsi="Times New Roman" w:cs="Times New Roman"/>
                <w:bCs/>
                <w:noProof/>
                <w:spacing w:val="-6"/>
                <w:sz w:val="20"/>
                <w:szCs w:val="20"/>
              </w:rPr>
            </w:pPr>
          </w:p>
        </w:tc>
      </w:tr>
      <w:tr>
        <w:trPr>
          <w:cantSplit/>
        </w:trPr>
        <w:tc>
          <w:tcPr>
            <w:tcW w:w="184" w:type="pct"/>
          </w:tcPr>
          <w:p>
            <w:pPr>
              <w:pStyle w:val="ListParagraph"/>
              <w:numPr>
                <w:ilvl w:val="0"/>
                <w:numId w:val="1"/>
              </w:numPr>
              <w:spacing w:after="0" w:line="240" w:lineRule="auto"/>
              <w:ind w:left="426"/>
              <w:rPr>
                <w:rFonts w:ascii="Times New Roman" w:eastAsia="Times New Roman" w:hAnsi="Times New Roman" w:cs="Times New Roman"/>
                <w:noProof/>
                <w:spacing w:val="-6"/>
                <w:sz w:val="20"/>
                <w:szCs w:val="20"/>
              </w:rPr>
            </w:pPr>
          </w:p>
        </w:tc>
        <w:tc>
          <w:tcPr>
            <w:tcW w:w="873" w:type="pct"/>
          </w:tcPr>
          <w:p>
            <w:pPr>
              <w:rPr>
                <w:rFonts w:ascii="Times New Roman" w:eastAsia="Times New Roman" w:hAnsi="Times New Roman" w:cs="Times New Roman"/>
                <w:bCs/>
                <w:noProof/>
                <w:spacing w:val="-6"/>
                <w:sz w:val="20"/>
                <w:szCs w:val="20"/>
              </w:rPr>
            </w:pPr>
            <w:r>
              <w:rPr>
                <w:rFonts w:ascii="Times New Roman" w:hAnsi="Times New Roman"/>
                <w:noProof/>
                <w:spacing w:val="-6"/>
                <w:sz w:val="20"/>
              </w:rPr>
              <w:t>COM/2013/014 final</w:t>
            </w:r>
            <w:r>
              <w:rPr>
                <w:rFonts w:ascii="Times New Roman" w:eastAsia="Times New Roman" w:hAnsi="Times New Roman" w:cs="Times New Roman"/>
                <w:bCs/>
                <w:noProof/>
                <w:spacing w:val="-6"/>
                <w:sz w:val="20"/>
                <w:szCs w:val="20"/>
              </w:rPr>
              <w:br/>
            </w:r>
            <w:r>
              <w:rPr>
                <w:rFonts w:ascii="Times New Roman" w:hAnsi="Times New Roman"/>
                <w:noProof/>
                <w:spacing w:val="-6"/>
                <w:sz w:val="20"/>
              </w:rPr>
              <w:t>2013/0149/NLE</w:t>
            </w:r>
          </w:p>
        </w:tc>
        <w:tc>
          <w:tcPr>
            <w:tcW w:w="1792" w:type="pct"/>
            <w:shd w:val="clear" w:color="auto" w:fill="auto"/>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noProof/>
                <w:spacing w:val="-6"/>
                <w:sz w:val="20"/>
              </w:rPr>
              <w:t>Съвместно предложение за РЕШЕНИЕ НА СЪВЕТА относно позицията на Съюза в рамките на Съвета за асоцииране, създаден с Евро-средиземноморското споразумение за асоцииране между Европейската общност и нейните държави членки, от една страна, и Република Ливан, от друга страна, по отношение на приемането на препоръка за изпълнението на втория план за действие ЕС—Ливан в рамките на ЕПС</w:t>
            </w:r>
          </w:p>
        </w:tc>
        <w:tc>
          <w:tcPr>
            <w:tcW w:w="2151" w:type="pct"/>
            <w:shd w:val="clear" w:color="auto" w:fill="auto"/>
          </w:tcPr>
          <w:p>
            <w:pPr>
              <w:spacing w:after="0" w:line="240" w:lineRule="auto"/>
              <w:jc w:val="both"/>
              <w:rPr>
                <w:rFonts w:ascii="Times New Roman" w:eastAsia="Times New Roman" w:hAnsi="Times New Roman" w:cs="Times New Roman"/>
                <w:bCs/>
                <w:noProof/>
                <w:spacing w:val="-6"/>
                <w:sz w:val="20"/>
                <w:szCs w:val="20"/>
                <w:highlight w:val="yellow"/>
              </w:rPr>
            </w:pPr>
            <w:r>
              <w:rPr>
                <w:rFonts w:ascii="Times New Roman" w:hAnsi="Times New Roman"/>
                <w:noProof/>
                <w:spacing w:val="-6"/>
                <w:sz w:val="20"/>
              </w:rPr>
              <w:t>В РЕШЕНИЕ № 1/2016 НА СЪВЕТА ЗА АСОЦИИРАНЕ ЕС—ЛИВАН от 11 ноември 2016 г. за постигане на съгласие по Приоритетите за партньорство между ЕС и Ливан се посочва изрично, че вместо да подновяват плана за действие в рамките на ЕПС, страните приемат приоритети за партньорство и пакт. По тази причина Съвместно предложение COM(2013)014 не е актуално.</w:t>
            </w:r>
          </w:p>
        </w:tc>
      </w:tr>
      <w:tr>
        <w:trPr>
          <w:cantSplit/>
        </w:trPr>
        <w:tc>
          <w:tcPr>
            <w:tcW w:w="5000" w:type="pct"/>
            <w:gridSpan w:val="4"/>
            <w:shd w:val="clear" w:color="auto" w:fill="92D050"/>
          </w:tcPr>
          <w:p>
            <w:pPr>
              <w:keepNext/>
              <w:spacing w:before="60" w:after="60" w:line="240" w:lineRule="auto"/>
              <w:jc w:val="both"/>
              <w:rPr>
                <w:rFonts w:ascii="Times New Roman" w:eastAsia="Times New Roman" w:hAnsi="Times New Roman" w:cs="Times New Roman"/>
                <w:b/>
                <w:noProof/>
                <w:spacing w:val="-6"/>
                <w:sz w:val="20"/>
                <w:szCs w:val="20"/>
              </w:rPr>
            </w:pPr>
            <w:r>
              <w:rPr>
                <w:rFonts w:ascii="Times New Roman" w:hAnsi="Times New Roman"/>
                <w:b/>
                <w:noProof/>
                <w:spacing w:val="-6"/>
                <w:sz w:val="20"/>
              </w:rPr>
              <w:t>Вътрешен пазар, промишленост, предприемачество и МСП</w:t>
            </w:r>
          </w:p>
        </w:tc>
      </w:tr>
      <w:tr>
        <w:trPr>
          <w:cantSplit/>
        </w:trPr>
        <w:tc>
          <w:tcPr>
            <w:tcW w:w="184" w:type="pct"/>
          </w:tcPr>
          <w:p>
            <w:pPr>
              <w:pStyle w:val="ListParagraph"/>
              <w:numPr>
                <w:ilvl w:val="0"/>
                <w:numId w:val="1"/>
              </w:numPr>
              <w:ind w:left="426"/>
              <w:rPr>
                <w:rFonts w:ascii="Times New Roman" w:hAnsi="Times New Roman" w:cs="Times New Roman"/>
                <w:noProof/>
                <w:color w:val="000000"/>
                <w:spacing w:val="-6"/>
                <w:sz w:val="20"/>
                <w:szCs w:val="20"/>
              </w:rPr>
            </w:pPr>
          </w:p>
        </w:tc>
        <w:tc>
          <w:tcPr>
            <w:tcW w:w="873" w:type="pct"/>
          </w:tcPr>
          <w:p>
            <w:pPr>
              <w:rPr>
                <w:rFonts w:ascii="Times New Roman" w:hAnsi="Times New Roman" w:cs="Times New Roman"/>
                <w:noProof/>
                <w:color w:val="000000"/>
                <w:spacing w:val="-6"/>
                <w:sz w:val="20"/>
                <w:szCs w:val="20"/>
              </w:rPr>
            </w:pPr>
            <w:r>
              <w:rPr>
                <w:rFonts w:ascii="Times New Roman" w:hAnsi="Times New Roman"/>
                <w:noProof/>
                <w:color w:val="000000"/>
                <w:spacing w:val="-6"/>
                <w:sz w:val="20"/>
              </w:rPr>
              <w:t xml:space="preserve">COM/2012/164 </w:t>
            </w:r>
            <w:r>
              <w:rPr>
                <w:rFonts w:ascii="Times New Roman" w:hAnsi="Times New Roman"/>
                <w:noProof/>
                <w:spacing w:val="-6"/>
                <w:sz w:val="20"/>
              </w:rPr>
              <w:t>final</w:t>
            </w:r>
            <w:r>
              <w:rPr>
                <w:rFonts w:ascii="Times New Roman" w:hAnsi="Times New Roman" w:cs="Times New Roman"/>
                <w:noProof/>
                <w:color w:val="000000"/>
                <w:spacing w:val="-6"/>
                <w:sz w:val="20"/>
                <w:szCs w:val="20"/>
              </w:rPr>
              <w:br/>
            </w:r>
            <w:r>
              <w:rPr>
                <w:rFonts w:ascii="Times New Roman" w:hAnsi="Times New Roman"/>
                <w:noProof/>
                <w:color w:val="000000"/>
                <w:spacing w:val="-6"/>
                <w:sz w:val="20"/>
              </w:rPr>
              <w:t>2012/82/COD</w:t>
            </w:r>
          </w:p>
        </w:tc>
        <w:tc>
          <w:tcPr>
            <w:tcW w:w="1792" w:type="pct"/>
            <w:shd w:val="clear" w:color="auto" w:fill="auto"/>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noProof/>
                <w:spacing w:val="-6"/>
                <w:sz w:val="20"/>
              </w:rPr>
              <w:t>Предложение за РЕГЛАМЕНТ НА ЕВРОПЕЙСКИЯ ПАРЛАМЕНТ И НА СЪВЕТА за опростяване на прехвърлянето на моторни превозни средства в друга държава членка в рамките на единния пазар</w:t>
            </w:r>
          </w:p>
        </w:tc>
        <w:tc>
          <w:tcPr>
            <w:tcW w:w="2151" w:type="pct"/>
            <w:shd w:val="clear" w:color="auto" w:fill="auto"/>
          </w:tcPr>
          <w:p>
            <w:pPr>
              <w:spacing w:after="0" w:line="240" w:lineRule="auto"/>
              <w:jc w:val="both"/>
              <w:rPr>
                <w:rFonts w:ascii="Times New Roman" w:eastAsia="Times New Roman" w:hAnsi="Times New Roman" w:cs="Times New Roman"/>
                <w:noProof/>
                <w:spacing w:val="-6"/>
                <w:sz w:val="20"/>
                <w:szCs w:val="20"/>
                <w:highlight w:val="yellow"/>
              </w:rPr>
            </w:pPr>
            <w:r>
              <w:rPr>
                <w:rFonts w:ascii="Times New Roman" w:hAnsi="Times New Roman"/>
                <w:noProof/>
                <w:spacing w:val="-6"/>
                <w:sz w:val="20"/>
              </w:rPr>
              <w:t>Не се предвижда да бъде постигнато съгласие. От 2012 г. насам по проекта не е постигнат напредък. Комисията ще извърши нова оценка на този въпрос, включително като започне работа за актуализиране на оценката на въздействието.</w:t>
            </w:r>
          </w:p>
          <w:p>
            <w:pPr>
              <w:spacing w:after="0" w:line="240" w:lineRule="auto"/>
              <w:jc w:val="both"/>
              <w:rPr>
                <w:rFonts w:ascii="Times New Roman" w:eastAsia="Times New Roman" w:hAnsi="Times New Roman" w:cs="Times New Roman"/>
                <w:noProof/>
                <w:spacing w:val="-6"/>
                <w:sz w:val="20"/>
                <w:szCs w:val="20"/>
              </w:rPr>
            </w:pPr>
          </w:p>
        </w:tc>
      </w:tr>
      <w:tr>
        <w:trPr>
          <w:cantSplit/>
        </w:trPr>
        <w:tc>
          <w:tcPr>
            <w:tcW w:w="5000" w:type="pct"/>
            <w:gridSpan w:val="4"/>
            <w:shd w:val="clear" w:color="auto" w:fill="92D050"/>
          </w:tcPr>
          <w:p>
            <w:pPr>
              <w:spacing w:before="60" w:after="60" w:line="240" w:lineRule="auto"/>
              <w:jc w:val="both"/>
              <w:rPr>
                <w:rFonts w:ascii="Times New Roman" w:eastAsia="Times New Roman" w:hAnsi="Times New Roman" w:cs="Times New Roman"/>
                <w:b/>
                <w:noProof/>
                <w:spacing w:val="-6"/>
                <w:sz w:val="20"/>
                <w:szCs w:val="20"/>
              </w:rPr>
            </w:pPr>
            <w:r>
              <w:rPr>
                <w:rFonts w:ascii="Times New Roman" w:hAnsi="Times New Roman"/>
                <w:b/>
                <w:noProof/>
                <w:spacing w:val="-6"/>
                <w:sz w:val="20"/>
              </w:rPr>
              <w:t>Международно сътрудничество и развитие</w:t>
            </w:r>
          </w:p>
        </w:tc>
      </w:tr>
      <w:tr>
        <w:trPr>
          <w:cantSplit/>
        </w:trPr>
        <w:tc>
          <w:tcPr>
            <w:tcW w:w="184" w:type="pct"/>
            <w:tcBorders>
              <w:bottom w:val="single" w:sz="4" w:space="0" w:color="auto"/>
            </w:tcBorders>
          </w:tcPr>
          <w:p>
            <w:pPr>
              <w:pStyle w:val="ListParagraph"/>
              <w:numPr>
                <w:ilvl w:val="0"/>
                <w:numId w:val="1"/>
              </w:numPr>
              <w:ind w:left="426"/>
              <w:rPr>
                <w:rFonts w:ascii="Times New Roman" w:hAnsi="Times New Roman" w:cs="Times New Roman"/>
                <w:noProof/>
                <w:color w:val="000000"/>
                <w:spacing w:val="-6"/>
                <w:sz w:val="20"/>
                <w:szCs w:val="20"/>
              </w:rPr>
            </w:pPr>
          </w:p>
        </w:tc>
        <w:tc>
          <w:tcPr>
            <w:tcW w:w="873" w:type="pct"/>
            <w:tcBorders>
              <w:bottom w:val="single" w:sz="4" w:space="0" w:color="auto"/>
            </w:tcBorders>
          </w:tcPr>
          <w:p>
            <w:pPr>
              <w:rPr>
                <w:rFonts w:ascii="Times New Roman" w:hAnsi="Times New Roman" w:cs="Times New Roman"/>
                <w:noProof/>
                <w:color w:val="000000"/>
                <w:spacing w:val="-6"/>
                <w:sz w:val="20"/>
                <w:szCs w:val="20"/>
              </w:rPr>
            </w:pPr>
            <w:r>
              <w:rPr>
                <w:rFonts w:ascii="Times New Roman" w:hAnsi="Times New Roman"/>
                <w:noProof/>
                <w:color w:val="000000"/>
                <w:spacing w:val="-6"/>
                <w:sz w:val="20"/>
              </w:rPr>
              <w:t>COM/2011/0861 final</w:t>
            </w:r>
            <w:r>
              <w:rPr>
                <w:rFonts w:ascii="Times New Roman" w:hAnsi="Times New Roman" w:cs="Times New Roman"/>
                <w:noProof/>
                <w:color w:val="000000"/>
                <w:spacing w:val="-6"/>
                <w:sz w:val="20"/>
                <w:szCs w:val="20"/>
              </w:rPr>
              <w:br/>
            </w:r>
            <w:r>
              <w:rPr>
                <w:rFonts w:ascii="Times New Roman" w:hAnsi="Times New Roman"/>
                <w:noProof/>
                <w:color w:val="000000"/>
                <w:spacing w:val="-6"/>
                <w:sz w:val="20"/>
              </w:rPr>
              <w:t>2011/0420/NLE</w:t>
            </w:r>
          </w:p>
        </w:tc>
        <w:tc>
          <w:tcPr>
            <w:tcW w:w="1792" w:type="pct"/>
            <w:tcBorders>
              <w:bottom w:val="single" w:sz="4" w:space="0" w:color="auto"/>
            </w:tcBorders>
            <w:shd w:val="clear" w:color="auto" w:fill="auto"/>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noProof/>
                <w:spacing w:val="-6"/>
                <w:sz w:val="20"/>
              </w:rPr>
              <w:t>Предложение за РЕШЕНИЕ НА СЪВЕТА относно присъединяването на ЕС към Международния консултативен комитет по памука (ICAC)</w:t>
            </w:r>
          </w:p>
        </w:tc>
        <w:tc>
          <w:tcPr>
            <w:tcW w:w="2151" w:type="pct"/>
            <w:tcBorders>
              <w:bottom w:val="single" w:sz="4" w:space="0" w:color="auto"/>
            </w:tcBorders>
            <w:shd w:val="clear" w:color="auto" w:fill="auto"/>
          </w:tcPr>
          <w:p>
            <w:pPr>
              <w:spacing w:after="0" w:line="240" w:lineRule="auto"/>
              <w:jc w:val="both"/>
              <w:rPr>
                <w:rFonts w:ascii="Times New Roman" w:eastAsia="Times New Roman" w:hAnsi="Times New Roman" w:cs="Times New Roman"/>
                <w:noProof/>
                <w:spacing w:val="-6"/>
                <w:sz w:val="20"/>
                <w:szCs w:val="20"/>
              </w:rPr>
            </w:pPr>
            <w:r>
              <w:rPr>
                <w:rFonts w:ascii="Times New Roman" w:hAnsi="Times New Roman"/>
                <w:noProof/>
                <w:spacing w:val="-6"/>
                <w:sz w:val="20"/>
              </w:rPr>
              <w:t>Не е актуално: на 18 май 2017 г. беше прието решение на Съвета въз основа на актуализирано предложение на Комисията (COM/2016/0712 final - 2016/0349 (NLE)).</w:t>
            </w:r>
          </w:p>
        </w:tc>
      </w:tr>
      <w:tr>
        <w:trPr>
          <w:cantSplit/>
        </w:trPr>
        <w:tc>
          <w:tcPr>
            <w:tcW w:w="5000" w:type="pct"/>
            <w:gridSpan w:val="4"/>
            <w:shd w:val="clear" w:color="auto" w:fill="92D050"/>
          </w:tcPr>
          <w:p>
            <w:pPr>
              <w:spacing w:before="60" w:after="60" w:line="240" w:lineRule="auto"/>
              <w:jc w:val="both"/>
              <w:rPr>
                <w:rFonts w:ascii="Times New Roman" w:eastAsia="Times New Roman" w:hAnsi="Times New Roman" w:cs="Times New Roman"/>
                <w:b/>
                <w:noProof/>
                <w:spacing w:val="-6"/>
                <w:sz w:val="20"/>
                <w:szCs w:val="20"/>
              </w:rPr>
            </w:pPr>
            <w:r>
              <w:rPr>
                <w:rFonts w:ascii="Times New Roman" w:hAnsi="Times New Roman"/>
                <w:b/>
                <w:noProof/>
                <w:spacing w:val="-6"/>
                <w:sz w:val="20"/>
              </w:rPr>
              <w:t>Правосъдие, потребители и равнопоставеност между половете</w:t>
            </w:r>
          </w:p>
        </w:tc>
      </w:tr>
      <w:tr>
        <w:trPr>
          <w:cantSplit/>
        </w:trPr>
        <w:tc>
          <w:tcPr>
            <w:tcW w:w="184" w:type="pct"/>
          </w:tcPr>
          <w:p>
            <w:pPr>
              <w:pStyle w:val="ListParagraph"/>
              <w:numPr>
                <w:ilvl w:val="0"/>
                <w:numId w:val="1"/>
              </w:numPr>
              <w:ind w:left="426"/>
              <w:rPr>
                <w:rFonts w:ascii="Times New Roman" w:hAnsi="Times New Roman" w:cs="Times New Roman"/>
                <w:noProof/>
                <w:color w:val="000000"/>
                <w:spacing w:val="-6"/>
                <w:sz w:val="20"/>
                <w:szCs w:val="20"/>
              </w:rPr>
            </w:pPr>
          </w:p>
        </w:tc>
        <w:tc>
          <w:tcPr>
            <w:tcW w:w="873" w:type="pct"/>
          </w:tcPr>
          <w:p>
            <w:pPr>
              <w:rPr>
                <w:rFonts w:ascii="Times New Roman" w:hAnsi="Times New Roman" w:cs="Times New Roman"/>
                <w:noProof/>
                <w:color w:val="000000"/>
                <w:spacing w:val="-6"/>
                <w:sz w:val="20"/>
                <w:szCs w:val="20"/>
              </w:rPr>
            </w:pPr>
            <w:r>
              <w:rPr>
                <w:rFonts w:ascii="Times New Roman" w:hAnsi="Times New Roman"/>
                <w:noProof/>
                <w:color w:val="000000"/>
                <w:spacing w:val="-6"/>
                <w:sz w:val="20"/>
              </w:rPr>
              <w:t>COM/2014/0212 final</w:t>
            </w:r>
            <w:r>
              <w:rPr>
                <w:rFonts w:ascii="Times New Roman" w:hAnsi="Times New Roman" w:cs="Times New Roman"/>
                <w:noProof/>
                <w:color w:val="000000"/>
                <w:spacing w:val="-6"/>
                <w:sz w:val="20"/>
                <w:szCs w:val="20"/>
              </w:rPr>
              <w:br/>
            </w:r>
            <w:r>
              <w:rPr>
                <w:rFonts w:ascii="Times New Roman" w:hAnsi="Times New Roman"/>
                <w:noProof/>
                <w:color w:val="000000"/>
                <w:spacing w:val="-6"/>
                <w:sz w:val="20"/>
              </w:rPr>
              <w:t>2014/0120/COD</w:t>
            </w:r>
          </w:p>
        </w:tc>
        <w:tc>
          <w:tcPr>
            <w:tcW w:w="1792" w:type="pct"/>
            <w:shd w:val="clear" w:color="auto" w:fill="auto"/>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noProof/>
                <w:spacing w:val="-6"/>
                <w:sz w:val="20"/>
              </w:rPr>
              <w:t>Предложение за ДИРЕКТИВА НА ЕВРОПЕЙСКИЯ ПАРЛАМЕНТ И НА СЪВЕТА относно едноличните дружества с ограничена отговорност</w:t>
            </w:r>
          </w:p>
        </w:tc>
        <w:tc>
          <w:tcPr>
            <w:tcW w:w="2151" w:type="pct"/>
            <w:shd w:val="clear" w:color="auto" w:fill="auto"/>
          </w:tcPr>
          <w:p>
            <w:pPr>
              <w:spacing w:after="0" w:line="240" w:lineRule="auto"/>
              <w:jc w:val="both"/>
              <w:rPr>
                <w:rFonts w:ascii="Times New Roman" w:hAnsi="Times New Roman" w:cs="Times New Roman"/>
                <w:noProof/>
                <w:spacing w:val="-6"/>
                <w:sz w:val="20"/>
                <w:szCs w:val="20"/>
              </w:rPr>
            </w:pPr>
            <w:r>
              <w:rPr>
                <w:rFonts w:ascii="Times New Roman" w:hAnsi="Times New Roman"/>
                <w:noProof/>
                <w:spacing w:val="-6"/>
                <w:sz w:val="20"/>
              </w:rPr>
              <w:t>Евентуалното оттегляне бе споменато в писмените отговори на въпросите на комисията PANA. През последното тримесечие на 2017</w:t>
            </w:r>
            <w:r>
              <w:rPr>
                <w:rFonts w:ascii="Times New Roman" w:hAnsi="Times New Roman"/>
                <w:noProof/>
                <w:spacing w:val="-6"/>
                <w:sz w:val="20"/>
                <w:lang w:val="en-GB"/>
              </w:rPr>
              <w:t> </w:t>
            </w:r>
            <w:r>
              <w:rPr>
                <w:rFonts w:ascii="Times New Roman" w:hAnsi="Times New Roman"/>
                <w:noProof/>
                <w:spacing w:val="-6"/>
                <w:sz w:val="20"/>
              </w:rPr>
              <w:t>г. Комисията ще внесе нови предложения относно дружественото право и настоящото предложение ще бъде оттеглено.</w:t>
            </w:r>
          </w:p>
        </w:tc>
      </w:tr>
      <w:tr>
        <w:trPr>
          <w:cantSplit/>
        </w:trPr>
        <w:tc>
          <w:tcPr>
            <w:tcW w:w="5000" w:type="pct"/>
            <w:gridSpan w:val="4"/>
            <w:shd w:val="clear" w:color="auto" w:fill="92D050"/>
          </w:tcPr>
          <w:p>
            <w:pPr>
              <w:keepNext/>
              <w:spacing w:before="60" w:after="60" w:line="240" w:lineRule="auto"/>
              <w:jc w:val="both"/>
              <w:rPr>
                <w:rFonts w:ascii="Times New Roman" w:eastAsia="Times New Roman" w:hAnsi="Times New Roman" w:cs="Times New Roman"/>
                <w:b/>
                <w:noProof/>
                <w:spacing w:val="-6"/>
                <w:sz w:val="20"/>
                <w:szCs w:val="20"/>
              </w:rPr>
            </w:pPr>
            <w:r>
              <w:rPr>
                <w:rFonts w:ascii="Times New Roman" w:hAnsi="Times New Roman"/>
                <w:b/>
                <w:noProof/>
                <w:spacing w:val="-6"/>
                <w:sz w:val="20"/>
              </w:rPr>
              <w:t>Морско дело и рибарство</w:t>
            </w:r>
          </w:p>
        </w:tc>
      </w:tr>
      <w:tr>
        <w:trPr>
          <w:cantSplit/>
        </w:trPr>
        <w:tc>
          <w:tcPr>
            <w:tcW w:w="184" w:type="pct"/>
          </w:tcPr>
          <w:p>
            <w:pPr>
              <w:pStyle w:val="ListParagraph"/>
              <w:numPr>
                <w:ilvl w:val="0"/>
                <w:numId w:val="1"/>
              </w:numPr>
              <w:ind w:left="426"/>
              <w:rPr>
                <w:rFonts w:ascii="Times New Roman" w:hAnsi="Times New Roman" w:cs="Times New Roman"/>
                <w:noProof/>
                <w:color w:val="000000"/>
                <w:spacing w:val="-6"/>
                <w:sz w:val="20"/>
                <w:szCs w:val="20"/>
              </w:rPr>
            </w:pPr>
          </w:p>
        </w:tc>
        <w:tc>
          <w:tcPr>
            <w:tcW w:w="873" w:type="pct"/>
          </w:tcPr>
          <w:p>
            <w:pPr>
              <w:spacing w:after="0" w:line="240" w:lineRule="auto"/>
              <w:rPr>
                <w:rFonts w:ascii="Times New Roman" w:hAnsi="Times New Roman" w:cs="Times New Roman"/>
                <w:iCs/>
                <w:noProof/>
                <w:color w:val="000000"/>
                <w:spacing w:val="-6"/>
                <w:sz w:val="20"/>
                <w:szCs w:val="20"/>
              </w:rPr>
            </w:pPr>
            <w:r>
              <w:rPr>
                <w:rFonts w:ascii="Times New Roman" w:hAnsi="Times New Roman"/>
                <w:noProof/>
                <w:spacing w:val="-6"/>
                <w:sz w:val="20"/>
              </w:rPr>
              <w:t>COM/2011/0760 final</w:t>
            </w:r>
            <w:r>
              <w:rPr>
                <w:rFonts w:ascii="Times New Roman" w:eastAsia="Times New Roman" w:hAnsi="Times New Roman" w:cs="Times New Roman"/>
                <w:bCs/>
                <w:noProof/>
                <w:spacing w:val="-6"/>
                <w:sz w:val="20"/>
                <w:szCs w:val="20"/>
              </w:rPr>
              <w:br/>
            </w:r>
            <w:r>
              <w:rPr>
                <w:rFonts w:ascii="Times New Roman" w:hAnsi="Times New Roman"/>
                <w:noProof/>
                <w:spacing w:val="-6"/>
                <w:sz w:val="20"/>
              </w:rPr>
              <w:t>2011/0345/COD</w:t>
            </w:r>
          </w:p>
        </w:tc>
        <w:tc>
          <w:tcPr>
            <w:tcW w:w="1792" w:type="pct"/>
            <w:shd w:val="clear" w:color="auto" w:fill="auto"/>
          </w:tcPr>
          <w:p>
            <w:pPr>
              <w:spacing w:after="0" w:line="240" w:lineRule="auto"/>
              <w:jc w:val="both"/>
              <w:rPr>
                <w:rFonts w:ascii="Times New Roman" w:eastAsia="Times New Roman" w:hAnsi="Times New Roman" w:cs="Times New Roman"/>
                <w:bCs/>
                <w:noProof/>
                <w:spacing w:val="-2"/>
                <w:sz w:val="20"/>
                <w:szCs w:val="20"/>
              </w:rPr>
            </w:pPr>
            <w:r>
              <w:rPr>
                <w:rFonts w:ascii="Times New Roman" w:hAnsi="Times New Roman"/>
                <w:noProof/>
                <w:spacing w:val="-2"/>
                <w:sz w:val="20"/>
              </w:rPr>
              <w:t>Предложение за РЕГЛАМЕНТ НА ЕВРОПЕЙСКИЯ ПАРЛАМЕНТ И НА СЪВЕТА за изменение на Регламент (ЕО) № 1300/2008 на Съвета от 18</w:t>
            </w:r>
            <w:r>
              <w:rPr>
                <w:rFonts w:ascii="Times New Roman" w:hAnsi="Times New Roman"/>
                <w:noProof/>
                <w:spacing w:val="-2"/>
                <w:sz w:val="20"/>
                <w:lang w:val="en-GB"/>
              </w:rPr>
              <w:t> </w:t>
            </w:r>
            <w:r>
              <w:rPr>
                <w:rFonts w:ascii="Times New Roman" w:hAnsi="Times New Roman"/>
                <w:noProof/>
                <w:spacing w:val="-2"/>
                <w:sz w:val="20"/>
              </w:rPr>
              <w:t>декември 2008 г. за създаване на многогодишен план за запаса от херинга, намиращ се на запад от Шотландия, и за риболовните дейности по експлоатация на този запас</w:t>
            </w:r>
          </w:p>
        </w:tc>
        <w:tc>
          <w:tcPr>
            <w:tcW w:w="2151" w:type="pct"/>
            <w:shd w:val="clear" w:color="auto" w:fill="auto"/>
          </w:tcPr>
          <w:p>
            <w:pPr>
              <w:spacing w:after="0" w:line="240" w:lineRule="auto"/>
              <w:jc w:val="both"/>
              <w:rPr>
                <w:rFonts w:ascii="Times New Roman" w:eastAsia="Times New Roman" w:hAnsi="Times New Roman" w:cs="Times New Roman"/>
                <w:noProof/>
                <w:spacing w:val="-6"/>
                <w:sz w:val="20"/>
                <w:szCs w:val="20"/>
              </w:rPr>
            </w:pPr>
            <w:r>
              <w:rPr>
                <w:rFonts w:ascii="Times New Roman" w:hAnsi="Times New Roman"/>
                <w:noProof/>
                <w:spacing w:val="-6"/>
                <w:sz w:val="20"/>
              </w:rPr>
              <w:t>Предложението ще стане неактуално с предложената отмяна (вж. приложение V) на Регламент (ЕО) № 1300/2008 на Съвета от 18</w:t>
            </w:r>
            <w:r>
              <w:rPr>
                <w:rFonts w:ascii="Times New Roman" w:hAnsi="Times New Roman"/>
                <w:noProof/>
                <w:spacing w:val="-6"/>
                <w:sz w:val="20"/>
                <w:lang w:val="en-GB"/>
              </w:rPr>
              <w:t> </w:t>
            </w:r>
            <w:r>
              <w:rPr>
                <w:rFonts w:ascii="Times New Roman" w:hAnsi="Times New Roman"/>
                <w:noProof/>
                <w:spacing w:val="-6"/>
                <w:sz w:val="20"/>
              </w:rPr>
              <w:t>декември 2008 г. за създаване на многогодишен план за запаса от херинга, намиращ се на запад от Шотландия.</w:t>
            </w:r>
          </w:p>
        </w:tc>
      </w:tr>
      <w:tr>
        <w:trPr>
          <w:cantSplit/>
        </w:trPr>
        <w:tc>
          <w:tcPr>
            <w:tcW w:w="184" w:type="pct"/>
          </w:tcPr>
          <w:p>
            <w:pPr>
              <w:pStyle w:val="ListParagraph"/>
              <w:numPr>
                <w:ilvl w:val="0"/>
                <w:numId w:val="1"/>
              </w:numPr>
              <w:ind w:left="426"/>
              <w:rPr>
                <w:rFonts w:ascii="Times New Roman" w:hAnsi="Times New Roman" w:cs="Times New Roman"/>
                <w:noProof/>
                <w:color w:val="000000"/>
                <w:spacing w:val="-6"/>
                <w:sz w:val="20"/>
                <w:szCs w:val="20"/>
              </w:rPr>
            </w:pPr>
          </w:p>
        </w:tc>
        <w:tc>
          <w:tcPr>
            <w:tcW w:w="873" w:type="pct"/>
          </w:tcPr>
          <w:p>
            <w:pPr>
              <w:spacing w:after="0" w:line="240" w:lineRule="auto"/>
              <w:rPr>
                <w:rFonts w:ascii="Times New Roman" w:eastAsia="Times New Roman" w:hAnsi="Times New Roman" w:cs="Times New Roman"/>
                <w:bCs/>
                <w:noProof/>
                <w:spacing w:val="-6"/>
                <w:sz w:val="20"/>
                <w:szCs w:val="20"/>
              </w:rPr>
            </w:pPr>
            <w:r>
              <w:rPr>
                <w:rFonts w:ascii="Times New Roman" w:hAnsi="Times New Roman"/>
                <w:noProof/>
                <w:spacing w:val="-6"/>
                <w:sz w:val="20"/>
              </w:rPr>
              <w:t>COM/2013/09 final</w:t>
            </w:r>
            <w:r>
              <w:rPr>
                <w:rFonts w:ascii="Times New Roman" w:eastAsia="Times New Roman" w:hAnsi="Times New Roman" w:cs="Times New Roman"/>
                <w:bCs/>
                <w:noProof/>
                <w:spacing w:val="-6"/>
                <w:sz w:val="20"/>
                <w:szCs w:val="20"/>
              </w:rPr>
              <w:br/>
            </w:r>
            <w:r>
              <w:rPr>
                <w:rFonts w:ascii="Times New Roman" w:hAnsi="Times New Roman"/>
                <w:noProof/>
                <w:spacing w:val="-6"/>
                <w:sz w:val="20"/>
              </w:rPr>
              <w:t>2013/0007/COD</w:t>
            </w:r>
          </w:p>
        </w:tc>
        <w:tc>
          <w:tcPr>
            <w:tcW w:w="1792" w:type="pct"/>
            <w:shd w:val="clear" w:color="auto" w:fill="auto"/>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noProof/>
                <w:spacing w:val="-6"/>
                <w:sz w:val="20"/>
              </w:rPr>
              <w:t>Предложение за РЕГЛАМЕНТ НА ЕВРОПЕЙСКИЯ ПАРЛАМЕНТ И НА СЪВЕТА за изменение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w:t>
            </w:r>
          </w:p>
        </w:tc>
        <w:tc>
          <w:tcPr>
            <w:tcW w:w="2151" w:type="pct"/>
            <w:shd w:val="clear" w:color="auto" w:fill="auto"/>
          </w:tcPr>
          <w:p>
            <w:pPr>
              <w:spacing w:after="0" w:line="240" w:lineRule="auto"/>
              <w:jc w:val="both"/>
              <w:rPr>
                <w:rFonts w:ascii="Times New Roman" w:eastAsia="Times New Roman" w:hAnsi="Times New Roman" w:cs="Times New Roman"/>
                <w:noProof/>
                <w:spacing w:val="-6"/>
                <w:sz w:val="20"/>
                <w:szCs w:val="20"/>
              </w:rPr>
            </w:pPr>
            <w:r>
              <w:rPr>
                <w:rFonts w:ascii="Times New Roman" w:hAnsi="Times New Roman"/>
                <w:noProof/>
                <w:spacing w:val="-6"/>
                <w:sz w:val="20"/>
              </w:rPr>
              <w:t>Комисията възнамерява да представи ново предложение за съществено преразглеждане на системата за контрол на рибарството, предвидено за второто тримесечие на 2018 г.</w:t>
            </w:r>
          </w:p>
        </w:tc>
      </w:tr>
      <w:tr>
        <w:trPr>
          <w:cantSplit/>
        </w:trPr>
        <w:tc>
          <w:tcPr>
            <w:tcW w:w="5000" w:type="pct"/>
            <w:gridSpan w:val="4"/>
            <w:shd w:val="clear" w:color="auto" w:fill="92D050"/>
          </w:tcPr>
          <w:p>
            <w:pPr>
              <w:keepNext/>
              <w:spacing w:before="60" w:after="60" w:line="240" w:lineRule="auto"/>
              <w:jc w:val="both"/>
              <w:rPr>
                <w:rFonts w:ascii="Times New Roman" w:hAnsi="Times New Roman" w:cs="Times New Roman"/>
                <w:noProof/>
                <w:spacing w:val="-6"/>
                <w:sz w:val="20"/>
                <w:szCs w:val="20"/>
              </w:rPr>
            </w:pPr>
            <w:r>
              <w:rPr>
                <w:rFonts w:ascii="Times New Roman" w:hAnsi="Times New Roman"/>
                <w:b/>
                <w:noProof/>
                <w:spacing w:val="-6"/>
                <w:sz w:val="20"/>
              </w:rPr>
              <w:t>Миграция, вътрешни работи и гражданство</w:t>
            </w:r>
          </w:p>
        </w:tc>
      </w:tr>
      <w:tr>
        <w:trPr>
          <w:cantSplit/>
        </w:trPr>
        <w:tc>
          <w:tcPr>
            <w:tcW w:w="184" w:type="pct"/>
          </w:tcPr>
          <w:p>
            <w:pPr>
              <w:pStyle w:val="ListParagraph"/>
              <w:numPr>
                <w:ilvl w:val="0"/>
                <w:numId w:val="1"/>
              </w:numPr>
              <w:ind w:left="426"/>
              <w:rPr>
                <w:rFonts w:ascii="Times New Roman" w:hAnsi="Times New Roman" w:cs="Times New Roman"/>
                <w:noProof/>
                <w:color w:val="000000"/>
                <w:spacing w:val="-6"/>
                <w:sz w:val="20"/>
                <w:szCs w:val="20"/>
              </w:rPr>
            </w:pPr>
          </w:p>
        </w:tc>
        <w:tc>
          <w:tcPr>
            <w:tcW w:w="873" w:type="pct"/>
          </w:tcPr>
          <w:p>
            <w:pPr>
              <w:spacing w:after="0" w:line="240" w:lineRule="auto"/>
              <w:rPr>
                <w:rFonts w:ascii="Times New Roman" w:eastAsia="Times New Roman" w:hAnsi="Times New Roman" w:cs="Times New Roman"/>
                <w:noProof/>
                <w:spacing w:val="-6"/>
                <w:sz w:val="20"/>
                <w:szCs w:val="20"/>
              </w:rPr>
            </w:pPr>
            <w:r>
              <w:rPr>
                <w:rFonts w:ascii="Times New Roman" w:hAnsi="Times New Roman"/>
                <w:noProof/>
                <w:color w:val="000000"/>
                <w:spacing w:val="-6"/>
                <w:sz w:val="20"/>
              </w:rPr>
              <w:t xml:space="preserve">COM/2014/163 </w:t>
            </w:r>
            <w:r>
              <w:rPr>
                <w:rFonts w:ascii="Times New Roman" w:hAnsi="Times New Roman"/>
                <w:noProof/>
                <w:spacing w:val="-6"/>
                <w:sz w:val="20"/>
              </w:rPr>
              <w:t>final</w:t>
            </w:r>
            <w:r>
              <w:rPr>
                <w:rFonts w:ascii="Times New Roman" w:hAnsi="Times New Roman" w:cs="Times New Roman"/>
                <w:noProof/>
                <w:color w:val="000000"/>
                <w:spacing w:val="-6"/>
                <w:sz w:val="20"/>
                <w:szCs w:val="20"/>
              </w:rPr>
              <w:br/>
            </w:r>
            <w:r>
              <w:rPr>
                <w:rFonts w:ascii="Times New Roman" w:hAnsi="Times New Roman"/>
                <w:noProof/>
                <w:color w:val="000000"/>
                <w:spacing w:val="-6"/>
                <w:sz w:val="20"/>
              </w:rPr>
              <w:t>2014/0095/COD</w:t>
            </w:r>
          </w:p>
        </w:tc>
        <w:tc>
          <w:tcPr>
            <w:tcW w:w="1792" w:type="pct"/>
            <w:shd w:val="clear" w:color="auto" w:fill="auto"/>
          </w:tcPr>
          <w:p>
            <w:pPr>
              <w:spacing w:after="0" w:line="240" w:lineRule="auto"/>
              <w:jc w:val="both"/>
              <w:rPr>
                <w:rFonts w:ascii="Times New Roman" w:eastAsia="Times New Roman" w:hAnsi="Times New Roman" w:cs="Times New Roman"/>
                <w:bCs/>
                <w:noProof/>
                <w:sz w:val="20"/>
                <w:szCs w:val="20"/>
              </w:rPr>
            </w:pPr>
            <w:r>
              <w:rPr>
                <w:rFonts w:ascii="Times New Roman" w:hAnsi="Times New Roman"/>
                <w:noProof/>
                <w:color w:val="000000"/>
                <w:sz w:val="20"/>
              </w:rPr>
              <w:t xml:space="preserve">Предложение за регламент на Европейския парламент и на Съвета за създаване на виза за обиколно пътуване и за изменение на Конвенцията за прилагане на Шенгенското споразумение и на регламенти (EО) № 562/2006 и (EО) № 767/2008 </w:t>
            </w:r>
          </w:p>
        </w:tc>
        <w:tc>
          <w:tcPr>
            <w:tcW w:w="2151" w:type="pct"/>
            <w:shd w:val="clear" w:color="auto" w:fill="auto"/>
          </w:tcPr>
          <w:p>
            <w:pPr>
              <w:spacing w:after="0" w:line="240" w:lineRule="auto"/>
              <w:jc w:val="both"/>
              <w:rPr>
                <w:rFonts w:ascii="Times New Roman" w:hAnsi="Times New Roman" w:cs="Times New Roman"/>
                <w:noProof/>
                <w:sz w:val="20"/>
                <w:szCs w:val="20"/>
              </w:rPr>
            </w:pPr>
            <w:r>
              <w:rPr>
                <w:rFonts w:ascii="Times New Roman" w:hAnsi="Times New Roman"/>
                <w:noProof/>
                <w:sz w:val="20"/>
              </w:rPr>
              <w:t>Оттеглянето на предложението е в контекста на предложението за преработване на визовия кодекс, предвидено за първото тримесечие на 2018 г.</w:t>
            </w:r>
          </w:p>
          <w:p>
            <w:pPr>
              <w:spacing w:after="0" w:line="240" w:lineRule="auto"/>
              <w:jc w:val="both"/>
              <w:rPr>
                <w:rFonts w:ascii="Times New Roman" w:hAnsi="Times New Roman" w:cs="Times New Roman"/>
                <w:noProof/>
                <w:spacing w:val="-6"/>
                <w:sz w:val="20"/>
                <w:szCs w:val="20"/>
              </w:rPr>
            </w:pPr>
          </w:p>
          <w:p>
            <w:pPr>
              <w:spacing w:after="0" w:line="240" w:lineRule="auto"/>
              <w:jc w:val="both"/>
              <w:rPr>
                <w:rFonts w:ascii="Times New Roman" w:hAnsi="Times New Roman" w:cs="Times New Roman"/>
                <w:noProof/>
                <w:spacing w:val="-6"/>
                <w:sz w:val="20"/>
                <w:szCs w:val="20"/>
                <w:highlight w:val="yellow"/>
              </w:rPr>
            </w:pPr>
          </w:p>
        </w:tc>
      </w:tr>
      <w:tr>
        <w:trPr>
          <w:cantSplit/>
        </w:trPr>
        <w:tc>
          <w:tcPr>
            <w:tcW w:w="184" w:type="pct"/>
          </w:tcPr>
          <w:p>
            <w:pPr>
              <w:pStyle w:val="ListParagraph"/>
              <w:numPr>
                <w:ilvl w:val="0"/>
                <w:numId w:val="1"/>
              </w:numPr>
              <w:ind w:left="426"/>
              <w:rPr>
                <w:rFonts w:ascii="Times New Roman" w:hAnsi="Times New Roman" w:cs="Times New Roman"/>
                <w:noProof/>
                <w:color w:val="000000"/>
                <w:spacing w:val="-6"/>
                <w:sz w:val="20"/>
                <w:szCs w:val="20"/>
              </w:rPr>
            </w:pPr>
          </w:p>
        </w:tc>
        <w:tc>
          <w:tcPr>
            <w:tcW w:w="873" w:type="pct"/>
          </w:tcPr>
          <w:p>
            <w:pPr>
              <w:spacing w:after="0" w:line="240" w:lineRule="auto"/>
              <w:rPr>
                <w:rFonts w:ascii="Times New Roman" w:eastAsia="Times New Roman" w:hAnsi="Times New Roman" w:cs="Times New Roman"/>
                <w:noProof/>
                <w:spacing w:val="-6"/>
                <w:sz w:val="20"/>
                <w:szCs w:val="20"/>
              </w:rPr>
            </w:pPr>
            <w:r>
              <w:rPr>
                <w:rFonts w:ascii="Times New Roman" w:hAnsi="Times New Roman"/>
                <w:noProof/>
                <w:color w:val="000000"/>
                <w:spacing w:val="-6"/>
                <w:sz w:val="20"/>
              </w:rPr>
              <w:t xml:space="preserve">COM/2014/164 </w:t>
            </w:r>
            <w:r>
              <w:rPr>
                <w:rFonts w:ascii="Times New Roman" w:hAnsi="Times New Roman"/>
                <w:noProof/>
                <w:spacing w:val="-6"/>
                <w:sz w:val="20"/>
              </w:rPr>
              <w:t>final</w:t>
            </w:r>
            <w:r>
              <w:rPr>
                <w:rFonts w:ascii="Times New Roman" w:hAnsi="Times New Roman" w:cs="Times New Roman"/>
                <w:noProof/>
                <w:color w:val="000000"/>
                <w:spacing w:val="-6"/>
                <w:sz w:val="20"/>
                <w:szCs w:val="20"/>
              </w:rPr>
              <w:br/>
            </w:r>
            <w:r>
              <w:rPr>
                <w:rFonts w:ascii="Times New Roman" w:hAnsi="Times New Roman"/>
                <w:noProof/>
                <w:color w:val="000000"/>
                <w:spacing w:val="-6"/>
                <w:sz w:val="20"/>
              </w:rPr>
              <w:t>2014/0094/COD</w:t>
            </w:r>
          </w:p>
        </w:tc>
        <w:tc>
          <w:tcPr>
            <w:tcW w:w="1792" w:type="pct"/>
            <w:shd w:val="clear" w:color="auto" w:fill="auto"/>
          </w:tcPr>
          <w:p>
            <w:pPr>
              <w:spacing w:after="0" w:line="240" w:lineRule="auto"/>
              <w:jc w:val="both"/>
              <w:rPr>
                <w:rFonts w:ascii="Times New Roman" w:eastAsia="Times New Roman" w:hAnsi="Times New Roman" w:cs="Times New Roman"/>
                <w:bCs/>
                <w:noProof/>
                <w:sz w:val="20"/>
                <w:szCs w:val="20"/>
              </w:rPr>
            </w:pPr>
            <w:r>
              <w:rPr>
                <w:rFonts w:ascii="Times New Roman" w:hAnsi="Times New Roman"/>
                <w:noProof/>
                <w:color w:val="000000"/>
                <w:sz w:val="20"/>
              </w:rPr>
              <w:t>Предложение за регламент на Европейския парламент и на Съвета</w:t>
            </w:r>
            <w:r>
              <w:rPr>
                <w:noProof/>
              </w:rPr>
              <w:t xml:space="preserve"> </w:t>
            </w:r>
            <w:r>
              <w:rPr>
                <w:rFonts w:ascii="Times New Roman" w:hAnsi="Times New Roman"/>
                <w:noProof/>
                <w:sz w:val="20"/>
              </w:rPr>
              <w:t>за</w:t>
            </w:r>
            <w:r>
              <w:rPr>
                <w:noProof/>
              </w:rPr>
              <w:t xml:space="preserve"> </w:t>
            </w:r>
            <w:hyperlink r:id="rId16">
              <w:r>
                <w:rPr>
                  <w:rStyle w:val="Hyperlink"/>
                  <w:rFonts w:ascii="Times New Roman" w:hAnsi="Times New Roman"/>
                  <w:noProof/>
                  <w:color w:val="auto"/>
                  <w:sz w:val="20"/>
                </w:rPr>
                <w:t>Визов кодекс на Съюза (Визов кодекс)</w:t>
              </w:r>
            </w:hyperlink>
            <w:r>
              <w:rPr>
                <w:noProof/>
              </w:rPr>
              <w:t xml:space="preserve"> </w:t>
            </w:r>
          </w:p>
        </w:tc>
        <w:tc>
          <w:tcPr>
            <w:tcW w:w="2151" w:type="pct"/>
            <w:shd w:val="clear" w:color="auto" w:fill="auto"/>
          </w:tcPr>
          <w:p>
            <w:pPr>
              <w:spacing w:after="0" w:line="240" w:lineRule="auto"/>
              <w:jc w:val="both"/>
              <w:rPr>
                <w:rFonts w:ascii="Times New Roman" w:hAnsi="Times New Roman" w:cs="Times New Roman"/>
                <w:noProof/>
                <w:sz w:val="20"/>
                <w:szCs w:val="20"/>
              </w:rPr>
            </w:pPr>
            <w:r>
              <w:rPr>
                <w:rFonts w:ascii="Times New Roman" w:hAnsi="Times New Roman"/>
                <w:noProof/>
                <w:sz w:val="20"/>
              </w:rPr>
              <w:t>Оттеглянето на предложението е в контекста на предложението за преработване на визовия кодекс, предвидено за първото тримесечие на 2018 г.</w:t>
            </w:r>
          </w:p>
        </w:tc>
      </w:tr>
      <w:tr>
        <w:trPr>
          <w:cantSplit/>
        </w:trPr>
        <w:tc>
          <w:tcPr>
            <w:tcW w:w="5000" w:type="pct"/>
            <w:gridSpan w:val="4"/>
            <w:shd w:val="clear" w:color="auto" w:fill="92D050"/>
          </w:tcPr>
          <w:p>
            <w:pPr>
              <w:spacing w:before="60" w:after="60" w:line="240" w:lineRule="auto"/>
              <w:jc w:val="both"/>
              <w:rPr>
                <w:rFonts w:ascii="Times New Roman" w:eastAsia="Times New Roman" w:hAnsi="Times New Roman" w:cs="Times New Roman"/>
                <w:b/>
                <w:noProof/>
                <w:spacing w:val="-6"/>
                <w:sz w:val="20"/>
                <w:szCs w:val="20"/>
              </w:rPr>
            </w:pPr>
            <w:r>
              <w:rPr>
                <w:rFonts w:ascii="Times New Roman" w:hAnsi="Times New Roman"/>
                <w:b/>
                <w:noProof/>
                <w:spacing w:val="-6"/>
                <w:sz w:val="20"/>
              </w:rPr>
              <w:t>Транспорт</w:t>
            </w:r>
          </w:p>
        </w:tc>
      </w:tr>
      <w:tr>
        <w:trPr>
          <w:cantSplit/>
        </w:trPr>
        <w:tc>
          <w:tcPr>
            <w:tcW w:w="184" w:type="pct"/>
          </w:tcPr>
          <w:p>
            <w:pPr>
              <w:pStyle w:val="ListParagraph"/>
              <w:numPr>
                <w:ilvl w:val="0"/>
                <w:numId w:val="1"/>
              </w:numPr>
              <w:ind w:left="426"/>
              <w:rPr>
                <w:rFonts w:ascii="Times New Roman" w:hAnsi="Times New Roman" w:cs="Times New Roman"/>
                <w:noProof/>
                <w:color w:val="000000"/>
                <w:spacing w:val="-6"/>
                <w:sz w:val="20"/>
                <w:szCs w:val="20"/>
              </w:rPr>
            </w:pPr>
          </w:p>
        </w:tc>
        <w:tc>
          <w:tcPr>
            <w:tcW w:w="873" w:type="pct"/>
          </w:tcPr>
          <w:p>
            <w:pPr>
              <w:tabs>
                <w:tab w:val="center" w:pos="911"/>
              </w:tabs>
              <w:rPr>
                <w:rFonts w:ascii="Times New Roman" w:hAnsi="Times New Roman" w:cs="Times New Roman"/>
                <w:noProof/>
                <w:color w:val="000000"/>
                <w:spacing w:val="-6"/>
                <w:sz w:val="20"/>
                <w:szCs w:val="20"/>
              </w:rPr>
            </w:pPr>
            <w:r>
              <w:rPr>
                <w:rFonts w:ascii="Times New Roman" w:hAnsi="Times New Roman"/>
                <w:noProof/>
                <w:color w:val="000000"/>
                <w:spacing w:val="-6"/>
                <w:sz w:val="20"/>
              </w:rPr>
              <w:t xml:space="preserve">COM/2013/409 </w:t>
            </w:r>
            <w:r>
              <w:rPr>
                <w:rFonts w:ascii="Times New Roman" w:hAnsi="Times New Roman"/>
                <w:noProof/>
                <w:spacing w:val="-6"/>
                <w:sz w:val="20"/>
              </w:rPr>
              <w:t>final</w:t>
            </w:r>
            <w:r>
              <w:rPr>
                <w:rFonts w:ascii="Times New Roman" w:hAnsi="Times New Roman" w:cs="Times New Roman"/>
                <w:noProof/>
                <w:color w:val="000000"/>
                <w:spacing w:val="-6"/>
                <w:sz w:val="20"/>
                <w:szCs w:val="20"/>
              </w:rPr>
              <w:br/>
            </w:r>
            <w:r>
              <w:rPr>
                <w:rFonts w:ascii="Times New Roman" w:hAnsi="Times New Roman"/>
                <w:noProof/>
                <w:color w:val="000000"/>
                <w:spacing w:val="-6"/>
                <w:sz w:val="20"/>
              </w:rPr>
              <w:t>2013/0187/COD</w:t>
            </w:r>
          </w:p>
        </w:tc>
        <w:tc>
          <w:tcPr>
            <w:tcW w:w="1792" w:type="pct"/>
            <w:shd w:val="clear" w:color="auto" w:fill="auto"/>
          </w:tcPr>
          <w:p>
            <w:pPr>
              <w:spacing w:after="0" w:line="240" w:lineRule="auto"/>
              <w:jc w:val="both"/>
              <w:rPr>
                <w:rFonts w:ascii="Times New Roman" w:eastAsia="Times New Roman" w:hAnsi="Times New Roman" w:cs="Times New Roman"/>
                <w:bCs/>
                <w:noProof/>
                <w:spacing w:val="-6"/>
                <w:sz w:val="20"/>
                <w:szCs w:val="20"/>
              </w:rPr>
            </w:pPr>
            <w:r>
              <w:rPr>
                <w:rFonts w:ascii="Times New Roman" w:hAnsi="Times New Roman"/>
                <w:noProof/>
                <w:spacing w:val="-6"/>
                <w:sz w:val="20"/>
              </w:rPr>
              <w:t>Предложение за РЕГЛАМЕНТ НА ЕВРОПЕЙСКИЯ ПАРЛАМЕНТ И НА СЪВЕТА за изменение на Регламент (ЕО) № 216/2008 в областта на летищата, управлението на въздушното движение и аеронавигационното обслужване</w:t>
            </w:r>
          </w:p>
        </w:tc>
        <w:tc>
          <w:tcPr>
            <w:tcW w:w="2151" w:type="pct"/>
            <w:shd w:val="clear" w:color="auto" w:fill="auto"/>
          </w:tcPr>
          <w:p>
            <w:pPr>
              <w:spacing w:after="0" w:line="240" w:lineRule="auto"/>
              <w:jc w:val="both"/>
              <w:rPr>
                <w:rFonts w:ascii="Times New Roman" w:eastAsia="Times New Roman" w:hAnsi="Times New Roman" w:cs="Times New Roman"/>
                <w:noProof/>
                <w:spacing w:val="-2"/>
                <w:sz w:val="20"/>
                <w:szCs w:val="20"/>
              </w:rPr>
            </w:pPr>
            <w:r>
              <w:rPr>
                <w:rFonts w:ascii="Times New Roman" w:hAnsi="Times New Roman"/>
                <w:noProof/>
                <w:spacing w:val="-2"/>
                <w:sz w:val="20"/>
              </w:rPr>
              <w:t>Същността на това предложение бе включена в новото предложение (COM(2015) 613 final) за създаване на ЕААБ, което понастоящем се разглежда в рамките на междуинституционалната процедура. По този начин въпросното предложение става неактуално.</w:t>
            </w:r>
          </w:p>
        </w:tc>
      </w:tr>
    </w:tbl>
    <w:p>
      <w:pPr>
        <w:rPr>
          <w:noProof/>
          <w:spacing w:val="-6"/>
          <w:lang w:val="it-IT"/>
        </w:rPr>
      </w:pPr>
    </w:p>
    <w:sectPr>
      <w:headerReference w:type="even" r:id="rId17"/>
      <w:headerReference w:type="default" r:id="rId18"/>
      <w:footerReference w:type="even" r:id="rId19"/>
      <w:footerReference w:type="default" r:id="rId20"/>
      <w:headerReference w:type="first" r:id="rId21"/>
      <w:footerReference w:type="first" r:id="rId22"/>
      <w:pgSz w:w="16838" w:h="11906" w:orient="landscape"/>
      <w:pgMar w:top="1417" w:right="1417" w:bottom="1417" w:left="1417" w:header="708" w:footer="43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10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eastAsia="Times New Roman" w:hAnsi="Times New Roman" w:cs="Times New Roman"/>
          <w:bCs/>
          <w:lang w:eastAsia="en-GB"/>
        </w:rPr>
      </w:pPr>
      <w:r>
        <w:rPr>
          <w:rStyle w:val="FootnoteReference"/>
        </w:rPr>
        <w:footnoteRef/>
      </w:r>
      <w:r>
        <w:t xml:space="preserve"> </w:t>
      </w:r>
      <w:r>
        <w:rPr>
          <w:rFonts w:ascii="Times New Roman" w:hAnsi="Times New Roman"/>
        </w:rPr>
        <w:t>Настоящият списък включва представени законодателни предложения, които Комисията възнамерява да оттегли в срок от шест месеца (до април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582F"/>
    <w:multiLevelType w:val="hybridMultilevel"/>
    <w:tmpl w:val="5A9C81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nsid w:val="3EF74B90"/>
    <w:multiLevelType w:val="hybridMultilevel"/>
    <w:tmpl w:val="B9768E9E"/>
    <w:lvl w:ilvl="0" w:tplc="BCD0181C">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094D17"/>
    <w:multiLevelType w:val="hybridMultilevel"/>
    <w:tmpl w:val="B9768E9E"/>
    <w:lvl w:ilvl="0" w:tplc="BCD0181C">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4"/>
    <w:docVar w:name="LW_ANNEX_NBR_LAST" w:val="4"/>
    <w:docVar w:name="LW_ANNEX_UNIQUE" w:val="0"/>
    <w:docVar w:name="LW_CORRIGENDUM" w:val="&lt;UNUSED&gt;"/>
    <w:docVar w:name="LW_COVERPAGE_EXISTS" w:val="True"/>
    <w:docVar w:name="LW_COVERPAGE_GUID" w:val="063F05E5-288D-40B1-981C-CF7B70D6AF1B"/>
    <w:docVar w:name="LW_COVERPAGE_TYPE" w:val="1"/>
    <w:docVar w:name="LW_CROSSREFERENCE" w:val="&lt;UNUSED&gt;"/>
    <w:docVar w:name="LW_DocType" w:val="NORMAL"/>
    <w:docVar w:name="LW_EMISSION" w:val="24.10.2017"/>
    <w:docVar w:name="LW_EMISSION_ISODATE" w:val="2017-10-24"/>
    <w:docVar w:name="LW_EMISSION_LOCATION" w:val="STR"/>
    <w:docVar w:name="LW_EMISSION_PREFIX" w:val="Страсбург,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6?\u1072?\u1073?\u1086?\u1090?\u1085?\u1072? \u1087?\u1088?\u1086?\u1075?\u1088?\u1072?\u1084?\u1072? \u1085?\u1072? \u1050?\u1086?\u1084?\u1080?\u1089?\u1080?\u1103?\u1090?\u1072? \u1079?\u1072? 2018 \u1075?._x000b__x000b_\u1055?\u1088?\u1086?\u1075?\u1088?\u1072?\u1084?\u1072? \u1079?\u1072? \u1087?\u1086?-\u1086?\u1073?\u1077?\u1076?\u1080?\u1085?\u1077?\u1085?\u1072?, \u1087?\u1086?-\u1089?\u1080?\u1083?\u1085?\u1072? \u1080? \u1087?\u1086?-\u1076?\u1077?\u1084?\u1086?\u1082?\u1088?\u1072?\u1090?\u1080?\u1095?\u1085?\u1072? \u1045?\u1074?\u1088?\u1086?\u1087?\u1072?_x000b_"/>
    <w:docVar w:name="LW_PART_NBR" w:val="1"/>
    <w:docVar w:name="LW_PART_NBR_TOTAL" w:val="1"/>
    <w:docVar w:name="LW_REF.INST.NEW" w:val="COM"/>
    <w:docVar w:name="LW_REF.INST.NEW_ADOPTED" w:val="final"/>
    <w:docVar w:name="LW_REF.INST.NEW_TEXT" w:val="(2017)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strike w:val="0"/>
      <w:dstrike w:val="0"/>
      <w:color w:val="0065A2"/>
      <w:u w:val="none"/>
      <w:effect w:val="none"/>
      <w:shd w:val="clear" w:color="auto" w:fill="auto"/>
    </w:rPr>
  </w:style>
  <w:style w:type="character" w:customStyle="1" w:styleId="offscreen">
    <w:name w:val="offscreen"/>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strike w:val="0"/>
      <w:dstrike w:val="0"/>
      <w:color w:val="0065A2"/>
      <w:u w:val="none"/>
      <w:effect w:val="none"/>
      <w:shd w:val="clear" w:color="auto" w:fill="auto"/>
    </w:rPr>
  </w:style>
  <w:style w:type="character" w:customStyle="1" w:styleId="offscreen">
    <w:name w:val="offscreen"/>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9997">
      <w:bodyDiv w:val="1"/>
      <w:marLeft w:val="0"/>
      <w:marRight w:val="0"/>
      <w:marTop w:val="0"/>
      <w:marBottom w:val="0"/>
      <w:divBdr>
        <w:top w:val="none" w:sz="0" w:space="0" w:color="auto"/>
        <w:left w:val="none" w:sz="0" w:space="0" w:color="auto"/>
        <w:bottom w:val="none" w:sz="0" w:space="0" w:color="auto"/>
        <w:right w:val="none" w:sz="0" w:space="0" w:color="auto"/>
      </w:divBdr>
    </w:div>
    <w:div w:id="1668433468">
      <w:bodyDiv w:val="1"/>
      <w:marLeft w:val="0"/>
      <w:marRight w:val="0"/>
      <w:marTop w:val="0"/>
      <w:marBottom w:val="0"/>
      <w:divBdr>
        <w:top w:val="none" w:sz="0" w:space="0" w:color="auto"/>
        <w:left w:val="none" w:sz="0" w:space="0" w:color="auto"/>
        <w:bottom w:val="none" w:sz="0" w:space="0" w:color="auto"/>
        <w:right w:val="none" w:sz="0" w:space="0" w:color="auto"/>
      </w:divBdr>
    </w:div>
    <w:div w:id="1921713621">
      <w:bodyDiv w:val="1"/>
      <w:marLeft w:val="0"/>
      <w:marRight w:val="0"/>
      <w:marTop w:val="0"/>
      <w:marBottom w:val="0"/>
      <w:divBdr>
        <w:top w:val="none" w:sz="0" w:space="0" w:color="auto"/>
        <w:left w:val="none" w:sz="0" w:space="0" w:color="auto"/>
        <w:bottom w:val="none" w:sz="0" w:space="0" w:color="auto"/>
        <w:right w:val="none" w:sz="0" w:space="0" w:color="auto"/>
      </w:divBdr>
    </w:div>
    <w:div w:id="20294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home-affairs/sites/homeaffairs/files/e-library/documents/policies/borders-and-visas/visa-policy/docs/proposal_regulation_union_code_on_visas_en.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7FD0-0221-4845-AD5C-0D0C20B2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6475</Characters>
  <Application>Microsoft Office Word</Application>
  <DocSecurity>0</DocSecurity>
  <Lines>208</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2017-10-24T07:30:00Z</dcterms:created>
  <dcterms:modified xsi:type="dcterms:W3CDTF">2017-11-06T14:04:00Z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