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9764B37E-1DB9-4B09-A1A6-9819E2E2433A" style="width:449.75pt;height:434.8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II: Инициативи по REFIT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4240"/>
        <w:gridCol w:w="9553"/>
      </w:tblGrid>
      <w:tr>
        <w:trPr>
          <w:cantSplit/>
          <w:tblHeader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Nº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337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Описание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 места, растеж и инвестиции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noProof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2"/>
                <w:sz w:val="20"/>
              </w:rPr>
              <w:t>Последващи действия във връзка с проверката за пригодност на мониторинга и докладването в областта на околната среда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Инициатива за рационализиране на изискванията в последващите действия във връзка с проверката за пригодност на мониторинга и докладването в областта на околната среда</w:t>
            </w:r>
            <w:r>
              <w:rPr>
                <w:rFonts w:ascii="Times New Roman" w:hAnsi="Times New Roman"/>
                <w:noProof/>
                <w:sz w:val="20"/>
              </w:rPr>
              <w:t xml:space="preserve"> (членове 95, 175 и 192 от ДФЕС; първо тримесечие на 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Свързан цифров единен пазар </w:t>
            </w:r>
          </w:p>
        </w:tc>
      </w:tr>
      <w:tr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Информация в обществения сектор:</w:t>
            </w:r>
          </w:p>
        </w:tc>
        <w:tc>
          <w:tcPr>
            <w:tcW w:w="337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Прегледът на Директива 2013/37/ЕС относно повторната употреба на информацията в обществения сектор ще даде възможност за достъп на обществото до правителствените данни, намаляване на регулаторните разходи и опростяване на съществуващото законодателство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(законодателна инициатива, вкл.оценка на въздействието, член 114 от ДФЕС;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Устойчив енергиен съюз с ориентирана към бъдещето политика по въпросите на изменението на климата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Преглед на системата за контрол на рибарството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pacing w:val="-2"/>
                <w:sz w:val="20"/>
              </w:rPr>
              <w:t xml:space="preserve">Въз основа на резултатите от оценката (SWD(2017)134 final) инициативата има за цел да опрости настоящата нормативна уредба (Регламент (ЕО) № 1224/2009 на Съвета, Регламент (ЕО) № 768/2005 на Съвета и Регламент (ЕО) № 1005/2008 на Съвета) и да повиши нейната ефективност, например като рационализира правилата, хармонизира списъка на тежките нарушения, намали административната тежест и насърчи използването на хармонизирани информационни инструменти. Тази инициатива идва в отговор на становището на платформата REFIT </w:t>
            </w:r>
            <w:r>
              <w:rPr>
                <w:rFonts w:ascii="Times New Roman" w:hAnsi="Times New Roman"/>
                <w:noProof/>
                <w:color w:val="000000" w:themeColor="text1"/>
                <w:spacing w:val="-2"/>
                <w:sz w:val="20"/>
              </w:rPr>
              <w:t xml:space="preserve">(законодателна </w:t>
            </w:r>
            <w:r>
              <w:rPr>
                <w:rFonts w:ascii="Times New Roman" w:hAnsi="Times New Roman"/>
                <w:noProof/>
                <w:spacing w:val="-2"/>
                <w:sz w:val="20"/>
              </w:rPr>
              <w:t>инициатива</w:t>
            </w:r>
            <w:r>
              <w:rPr>
                <w:rFonts w:ascii="Times New Roman" w:hAnsi="Times New Roman"/>
                <w:noProof/>
                <w:color w:val="000000" w:themeColor="text1"/>
                <w:spacing w:val="-2"/>
                <w:sz w:val="20"/>
              </w:rPr>
              <w:t>, вкл. оценка на въздействието; член 43 от ДФЕС;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34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Признаване от страна на публичните органи и/или търговските партньори на електронните транспортни документи при превоз на товари</w:t>
            </w:r>
          </w:p>
        </w:tc>
        <w:tc>
          <w:tcPr>
            <w:tcW w:w="3370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t>С инициативата се цели мобилизиране на потенциала на цифровизацията в транспортния сектор, като се насърчи признаването от страна на органите и/или търговските партньори на транспортнитe документи в електронна форма при превоз на товари и тяхното по-широко използване от транспортните оператори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ascii="Times New Roman" w:hAnsi="Times New Roman"/>
                <w:noProof/>
                <w:spacing w:val="-6"/>
                <w:sz w:val="20"/>
              </w:rPr>
              <w:t>(законодателна инициатива, вкл. оценка на въздействието, член 91 от ДФЕС; второ тримесечие на 2018 г.)</w:t>
            </w:r>
          </w:p>
        </w:tc>
      </w:tr>
      <w:tr>
        <w:trPr>
          <w:cantSplit/>
        </w:trPr>
        <w:tc>
          <w:tcPr>
            <w:tcW w:w="134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Инициатива за европейско морско обслужване на едно гише</w:t>
            </w:r>
          </w:p>
        </w:tc>
        <w:tc>
          <w:tcPr>
            <w:tcW w:w="3370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2010/65/ЕС относно формалностите за даване на сведения за кораби, пристигащи във и/или напускащи пристанищата на държавите членки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100 , параграф 2 от ДФЕС; второ тримесечие на 2018 г.)</w:t>
            </w:r>
          </w:p>
        </w:tc>
      </w:tr>
      <w:tr>
        <w:trPr>
          <w:cantSplit/>
        </w:trPr>
        <w:tc>
          <w:tcPr>
            <w:tcW w:w="134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Инвестиции в TEN-T</w:t>
            </w:r>
          </w:p>
        </w:tc>
        <w:tc>
          <w:tcPr>
            <w:tcW w:w="3370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Style w:val="truncate"/>
                <w:rFonts w:ascii="Times New Roman" w:hAnsi="Times New Roman"/>
                <w:b/>
                <w:noProof/>
                <w:sz w:val="20"/>
              </w:rPr>
              <w:t>Регламент относно мерки за рационализиране с цел по-бързо изпълнение на проектите от общ интерес по трансевропейската транспортна мрежа</w:t>
            </w:r>
            <w:r>
              <w:rPr>
                <w:noProof/>
              </w:rPr>
              <w:t xml:space="preserve"> </w:t>
            </w:r>
            <w:r>
              <w:rPr>
                <w:rStyle w:val="truncate"/>
                <w:rFonts w:ascii="Times New Roman" w:hAnsi="Times New Roman"/>
                <w:noProof/>
                <w:sz w:val="20"/>
              </w:rPr>
              <w:t xml:space="preserve">(законодателна </w:t>
            </w:r>
            <w:r>
              <w:rPr>
                <w:rFonts w:ascii="Times New Roman" w:hAnsi="Times New Roman"/>
                <w:noProof/>
                <w:sz w:val="20"/>
              </w:rPr>
              <w:t>инициатива</w:t>
            </w:r>
            <w:r>
              <w:rPr>
                <w:noProof/>
              </w:rPr>
              <w:t>,</w:t>
            </w:r>
            <w:r>
              <w:rPr>
                <w:rFonts w:ascii="Times New Roman" w:hAnsi="Times New Roman"/>
                <w:noProof/>
                <w:sz w:val="20"/>
              </w:rPr>
              <w:t xml:space="preserve"> вкл. оценка на въздействието, членове 171-172 от ДФЕС; първо тримесечие на 2018 г.)</w:t>
            </w:r>
          </w:p>
        </w:tc>
      </w:tr>
      <w:tr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режим на облагане с акциз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3"/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Директива 2008/118/ЕО с цел привеждане в съответствие и осигуряване на съгласуваност между митническото и акцизното законодателство, подобряване на правната сигурност и гарантиране на еднаквото прилагане на законодателството на ЕС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въздействието, член 113 от ДФЕС; първо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  <w:r>
              <w:rPr>
                <w:b/>
                <w:noProof/>
                <w:color w:val="000000"/>
                <w:sz w:val="23"/>
              </w:rPr>
              <w:t xml:space="preserve"> </w:t>
            </w:r>
          </w:p>
        </w:tc>
      </w:tr>
      <w:tr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Нов търговски механизъм за потребителите</w:t>
            </w:r>
          </w:p>
        </w:tc>
        <w:tc>
          <w:tcPr>
            <w:tcW w:w="337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pacing w:val="-4"/>
                <w:sz w:val="20"/>
              </w:rPr>
              <w:t>Целево преразглеждане на директивите на ЕС за защита на потребителите след проверката за пригодност на законодателството на ЕС в областта на защитата на потребителите и търговските закони, завършена на 23 май 2017 г. Инициатива, целяща улесняване на координацията и на ефективните действия на националните органи за защита на потребителите на равнище ЕС, както и засилване на публичните правоприлагащи действия и по-добра защита на правата на потребителите</w:t>
            </w:r>
            <w:r>
              <w:rPr>
                <w:noProof/>
                <w:spacing w:val="-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0"/>
              </w:rPr>
              <w:t>(законодателна инициатива, вкл. оценка на въздействието, член 114 от ДФЕС; първо тримесечие на 2018 г.)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pacing w:val="-4"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34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</w:tcPr>
          <w:p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Документи за самоличност и за пребиваване</w:t>
            </w:r>
          </w:p>
        </w:tc>
        <w:tc>
          <w:tcPr>
            <w:tcW w:w="3370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pacing w:val="-6"/>
                <w:sz w:val="20"/>
              </w:rPr>
              <w:t xml:space="preserve">Законодателна инициатива за подобряване на сигурността на документите за самоличност и документите за пребиваване на гражданите на ЕС и членовете на техните семейства от страни извън ЕС. Тази инициатива идва в отговор на становището на платформата REFIT. </w:t>
            </w:r>
            <w:r>
              <w:rPr>
                <w:rFonts w:ascii="Times New Roman" w:hAnsi="Times New Roman"/>
                <w:noProof/>
                <w:color w:val="000000" w:themeColor="text1"/>
                <w:spacing w:val="-6"/>
                <w:sz w:val="20"/>
              </w:rPr>
              <w:t xml:space="preserve">(законодателна </w:t>
            </w:r>
            <w:r>
              <w:rPr>
                <w:rFonts w:ascii="Times New Roman" w:hAnsi="Times New Roman"/>
                <w:noProof/>
                <w:spacing w:val="-6"/>
                <w:sz w:val="20"/>
              </w:rPr>
              <w:t>инициатива</w:t>
            </w:r>
            <w:r>
              <w:rPr>
                <w:rFonts w:ascii="Times New Roman" w:hAnsi="Times New Roman"/>
                <w:noProof/>
                <w:color w:val="000000" w:themeColor="text1"/>
                <w:spacing w:val="-6"/>
                <w:sz w:val="20"/>
              </w:rPr>
              <w:t>, вкл. оценка на въздействието, член 21 и/или член 77, параграф 3 от ДФЕС, второ тримесечие на 2018 г.)</w:t>
            </w:r>
          </w:p>
        </w:tc>
      </w:tr>
      <w:tr>
        <w:trPr>
          <w:cantSplit/>
        </w:trPr>
        <w:tc>
          <w:tcPr>
            <w:tcW w:w="134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</w:tcPr>
          <w:p>
            <w:pPr>
              <w:jc w:val="both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Преразглеждане на Регламента относно връчването на документи</w:t>
            </w:r>
          </w:p>
        </w:tc>
        <w:tc>
          <w:tcPr>
            <w:tcW w:w="3370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pacing w:val="-6"/>
                <w:sz w:val="20"/>
              </w:rPr>
              <w:t>Преразглеждане на Регламент (ЕО) № 1393/2007 относно връчване в държавите членки на съдебни и извънсъдебни документи по граждански или търговски дела („връчване на документи“)</w:t>
            </w:r>
            <w:r>
              <w:rPr>
                <w:noProof/>
                <w:spacing w:val="-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pacing w:val="-6"/>
                <w:sz w:val="20"/>
              </w:rPr>
              <w:t xml:space="preserve">(законодателна </w:t>
            </w:r>
            <w:r>
              <w:rPr>
                <w:rFonts w:ascii="Times New Roman" w:hAnsi="Times New Roman"/>
                <w:noProof/>
                <w:spacing w:val="-6"/>
                <w:sz w:val="20"/>
              </w:rPr>
              <w:t>инициатива</w:t>
            </w:r>
            <w:r>
              <w:rPr>
                <w:rFonts w:ascii="Times New Roman" w:hAnsi="Times New Roman"/>
                <w:noProof/>
                <w:color w:val="000000" w:themeColor="text1"/>
                <w:spacing w:val="-6"/>
                <w:sz w:val="20"/>
              </w:rPr>
              <w:t>, вкл. оценка на въздействието; член 81, параграф 2 от ДФЕС; второ тримесечие на 2018 г.).</w:t>
            </w:r>
          </w:p>
        </w:tc>
      </w:tr>
      <w:tr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Преразглеждане на Регламента относно събирането на доказателства</w:t>
            </w:r>
          </w:p>
        </w:tc>
        <w:tc>
          <w:tcPr>
            <w:tcW w:w="337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Преразглеждане на Регламент № 1206/2001 относно събирането на доказателства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(законодателна </w:t>
            </w:r>
            <w:r>
              <w:rPr>
                <w:rFonts w:ascii="Times New Roman" w:hAnsi="Times New Roman"/>
                <w:noProof/>
                <w:sz w:val="20"/>
              </w:rPr>
              <w:t>инициатива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, вкл. оценка на въздействието; член 81, параграф 2 от ДФЕС; второ тримесечие на 2018 г.)</w:t>
            </w:r>
          </w:p>
        </w:tc>
      </w:tr>
      <w:tr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Временни документи за пътуване</w:t>
            </w:r>
          </w:p>
        </w:tc>
        <w:tc>
          <w:tcPr>
            <w:tcW w:w="3370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Преглед на предложението за директива на Съвета, която да замени Решението относно утвърждаването на временен документ за пътуване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(законодателна инициатива, вкл. оценка на въздействието, член 23 от ДФЕС; второ тримесечие на 2018 г.)</w:t>
            </w:r>
          </w:p>
        </w:tc>
      </w:tr>
    </w:tbl>
    <w:p>
      <w:pPr>
        <w:spacing w:after="600"/>
        <w:outlineLvl w:val="0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42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601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60"/>
        <w:jc w:val="both"/>
      </w:pPr>
      <w:r>
        <w:rPr>
          <w:rStyle w:val="FootnoteReference"/>
        </w:rPr>
        <w:footnoteRef/>
      </w:r>
      <w:r>
        <w:t xml:space="preserve"> Настоящото приложение съдържа списък на законодателни инициативи по REFIT, които се предвижда да бъдат приети през 2018 г. С него се допълват елементите, изброени с новите инициативи в приложение I.</w:t>
      </w:r>
    </w:p>
  </w:footnote>
  <w:footnote w:id="2">
    <w:p>
      <w:pPr>
        <w:pStyle w:val="FootnoteText"/>
        <w:jc w:val="both"/>
      </w:pPr>
      <w:r>
        <w:rPr>
          <w:rStyle w:val="FootnoteReference"/>
          <w:spacing w:val="-6"/>
        </w:rPr>
        <w:footnoteRef/>
      </w:r>
      <w:r>
        <w:rPr>
          <w:spacing w:val="-6"/>
        </w:rPr>
        <w:t xml:space="preserve"> В настоящото приложение Комисията предоставя допълнителна информация, доколкото е на разположение, относно инициативите, включени в нейната Работна програма, в съответствие с Междуинституционалното споразумение за по-добро законотворчество. Информацията, предоставена в скоби под описанието на всяка инициатива, е само ориентировъчна и подлежи на промени по време на подготвителния процес, по-специално с оглед на резултатите от процеса на оценка на въздействието.</w:t>
      </w:r>
    </w:p>
  </w:footnote>
  <w:footnote w:id="3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Общият режим на облагане с акциз  вече беше включен в приложение II към Работната програма на Комисията за 2017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9764B37E-1DB9-4B09-A1A6-9819E2E2433A"/>
    <w:docVar w:name="LW_COVERPAGE_TYPE" w:val="1"/>
    <w:docVar w:name="LW_CROSSREFERENCE" w:val="&lt;UNUSED&gt;"/>
    <w:docVar w:name="LW_DocType" w:val="NORMAL"/>
    <w:docVar w:name="LW_EMISSION" w:val="24.10.2017"/>
    <w:docVar w:name="LW_EMISSION_ISODATE" w:val="2017-10-24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6?\u1072?\u1073?\u1086?\u1090?\u1085?\u1072? \u1087?\u1088?\u1086?\u1075?\u1088?\u1072?\u1084?\u1072? \u1085?\u1072? \u1050?\u1086?\u1084?\u1080?\u1089?\u1080?\u1103?\u1090?\u1072? \u1079?\u1072? 2018 \u1075?._x000b__x000b_\u1055?\u1088?\u1086?\u1075?\u1088?\u1072?\u1084?\u1072? \u1079?\u1072? \u1087?\u1086?-\u1086?\u1073?\u1077?\u1076?\u1080?\u1085?\u1077?\u1085?\u1072?, \u1087?\u1086?-\u1089?\u1080?\u1083?\u1085?\u1072? \u1080? \u1087?\u1086?-\u1076?\u1077?\u1084?\u1086?\u1082?\u1088?\u1072?\u1090?\u1080?\u1095?\u1085?\u1072? \u1045?\u1074?\u1088?\u1086?\u1087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9F08-D09A-4CC9-B6CD-7A16C225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4509</Characters>
  <Application>Microsoft Office Word</Application>
  <DocSecurity>0</DocSecurity>
  <Lines>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2017-10-24T07:26:00Z</dcterms:created>
  <dcterms:modified xsi:type="dcterms:W3CDTF">2017-11-06T14:01:00Z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