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AC" w:rsidRDefault="00C7415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0CF9A9-BEF6-4C86-BD3F-867E8F33410F" style="width:450.25pt;height:361.05pt">
            <v:imagedata r:id="rId9" o:title=""/>
          </v:shape>
        </w:pict>
      </w:r>
    </w:p>
    <w:bookmarkEnd w:id="0"/>
    <w:p w:rsidR="00155BAC" w:rsidRDefault="00155BAC">
      <w:pPr>
        <w:rPr>
          <w:noProof/>
        </w:rPr>
        <w:sectPr w:rsidR="00155BA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155BAC" w:rsidRDefault="00C7415B">
      <w:pPr>
        <w:pStyle w:val="Heading1"/>
        <w:rPr>
          <w:noProof/>
        </w:rPr>
      </w:pPr>
      <w:r>
        <w:rPr>
          <w:noProof/>
        </w:rPr>
        <w:lastRenderedPageBreak/>
        <w:t>Въведение По-добро регулиране в Комисията</w:t>
      </w:r>
    </w:p>
    <w:p w:rsidR="00155BAC" w:rsidRDefault="00C7415B">
      <w:pPr>
        <w:rPr>
          <w:noProof/>
        </w:rPr>
      </w:pPr>
      <w:r>
        <w:rPr>
          <w:noProof/>
        </w:rPr>
        <w:t xml:space="preserve">Настоящата Комисия е в средата на своя мандат. Тя продължава да е съсредоточена върху постигане на </w:t>
      </w:r>
      <w:r>
        <w:rPr>
          <w:noProof/>
        </w:rPr>
        <w:t>приоритетните инициативи в подкрепа на нейните 10 политически приоритети</w:t>
      </w:r>
      <w:r>
        <w:rPr>
          <w:rStyle w:val="FootnoteReference"/>
          <w:noProof/>
        </w:rPr>
        <w:footnoteReference w:id="1"/>
      </w:r>
      <w:r>
        <w:rPr>
          <w:noProof/>
        </w:rPr>
        <w:t xml:space="preserve"> в полза на гражданите на Съюза; да подкрепя растежа и създаването на работни места, за да се подобри функционирането на вътрешния пазар, да се справи със заплахите за сигурността, да</w:t>
      </w:r>
      <w:r>
        <w:rPr>
          <w:noProof/>
        </w:rPr>
        <w:t xml:space="preserve"> защити потребителите и работниците, както и да подобри общественото здраве и околната среда. Работната програма за 2018 г.</w:t>
      </w:r>
      <w:r>
        <w:rPr>
          <w:rStyle w:val="FootnoteReference"/>
          <w:noProof/>
        </w:rPr>
        <w:footnoteReference w:id="2"/>
      </w:r>
      <w:r>
        <w:rPr>
          <w:noProof/>
        </w:rPr>
        <w:t xml:space="preserve"> отново демонстрира акцента, който Комисията поставя върху сериозните проблеми, за които са необходими европейски решения. Това вклю</w:t>
      </w:r>
      <w:r>
        <w:rPr>
          <w:noProof/>
        </w:rPr>
        <w:t>чва мерки за въвеждането на цифровия единен пазар и на енергийния съюз, гарантиране на справедливо данъчно облагане на дружествата и социална справедливост, за завършване изграждането на съюз на капиталовите пазари, укрепване на икономическия и паричен съю</w:t>
      </w:r>
      <w:r>
        <w:rPr>
          <w:noProof/>
        </w:rPr>
        <w:t xml:space="preserve">з, както и на банковия съюз, борба с тероризма и създаване на план на Съюза за следващата многогодишна финансова рамка. </w:t>
      </w:r>
    </w:p>
    <w:p w:rsidR="00155BAC" w:rsidRDefault="00C7415B">
      <w:pPr>
        <w:rPr>
          <w:noProof/>
        </w:rPr>
      </w:pPr>
      <w:r>
        <w:rPr>
          <w:noProof/>
        </w:rPr>
        <w:t>По-доброто регулиране е в основата на всички дейности на Комисията, за да се гарантира, че ЕС прави това, което е необходимо и го прави</w:t>
      </w:r>
      <w:r>
        <w:rPr>
          <w:noProof/>
        </w:rPr>
        <w:t xml:space="preserve"> добре. За тази цел през 2015 г.</w:t>
      </w:r>
      <w:r>
        <w:rPr>
          <w:rStyle w:val="FootnoteReference"/>
          <w:noProof/>
        </w:rPr>
        <w:footnoteReference w:id="3"/>
      </w:r>
      <w:r>
        <w:rPr>
          <w:noProof/>
        </w:rPr>
        <w:t xml:space="preserve">, Комисията набеляза набор от балансирани принципи и мерки, свързани с три основни стълба: </w:t>
      </w:r>
    </w:p>
    <w:p w:rsidR="00155BAC" w:rsidRDefault="00C7415B">
      <w:pPr>
        <w:pStyle w:val="ListDash1"/>
        <w:rPr>
          <w:noProof/>
        </w:rPr>
      </w:pPr>
      <w:r>
        <w:rPr>
          <w:b/>
          <w:i/>
          <w:noProof/>
        </w:rPr>
        <w:t>оценка на въздействието</w:t>
      </w:r>
      <w:r>
        <w:rPr>
          <w:noProof/>
        </w:rPr>
        <w:t>: новите предложения са придружени от оценки на въздействието, които да се проучат начините, по които целите</w:t>
      </w:r>
      <w:r>
        <w:rPr>
          <w:noProof/>
        </w:rPr>
        <w:t xml:space="preserve"> на политиката могат да бъдат постигнати по най-ефективен начин, без да се налага ненужна тежест. </w:t>
      </w:r>
    </w:p>
    <w:p w:rsidR="00155BAC" w:rsidRDefault="00C7415B">
      <w:pPr>
        <w:pStyle w:val="ListDash1"/>
        <w:rPr>
          <w:noProof/>
        </w:rPr>
      </w:pPr>
      <w:r>
        <w:rPr>
          <w:b/>
          <w:i/>
          <w:noProof/>
        </w:rPr>
        <w:t>,,първо да оценява“</w:t>
      </w:r>
      <w:r>
        <w:rPr>
          <w:noProof/>
        </w:rPr>
        <w:t xml:space="preserve">: При всяко преразглеждане на съществуващото законодателство ще се оценят възможностите за опростяване и намаляване на ненужните разходи, </w:t>
      </w:r>
      <w:r>
        <w:rPr>
          <w:noProof/>
        </w:rPr>
        <w:t xml:space="preserve">основани на анализите и приноса на заинтересованите лица. </w:t>
      </w:r>
    </w:p>
    <w:p w:rsidR="00155BAC" w:rsidRDefault="00C7415B">
      <w:pPr>
        <w:pStyle w:val="ListDash1"/>
        <w:rPr>
          <w:noProof/>
        </w:rPr>
      </w:pPr>
      <w:r>
        <w:rPr>
          <w:b/>
          <w:i/>
          <w:noProof/>
        </w:rPr>
        <w:t>участие на заинтересованите страни</w:t>
      </w:r>
      <w:r>
        <w:rPr>
          <w:noProof/>
        </w:rPr>
        <w:t>: по-доброто регулиране е подкрепено с активното участие на гражданското общество, което приветства приноса на заинтересованите страни на всички етапи на политичес</w:t>
      </w:r>
      <w:r>
        <w:rPr>
          <w:noProof/>
        </w:rPr>
        <w:t>кия цикъл с помощта на редица инструменти за обратна информация и дейности за консултация.</w:t>
      </w:r>
    </w:p>
    <w:p w:rsidR="00155BAC" w:rsidRDefault="00C7415B">
      <w:pPr>
        <w:rPr>
          <w:noProof/>
        </w:rPr>
      </w:pPr>
      <w:r>
        <w:rPr>
          <w:noProof/>
        </w:rPr>
        <w:t>Този подход за по-добро регулиране е получил широка подкрепа от заинтересованите страни, в това число и от Европейския парламент</w:t>
      </w:r>
      <w:r>
        <w:rPr>
          <w:rStyle w:val="FootnoteReference"/>
          <w:noProof/>
        </w:rPr>
        <w:footnoteReference w:id="4"/>
      </w:r>
      <w:r>
        <w:rPr>
          <w:noProof/>
        </w:rPr>
        <w:t xml:space="preserve"> и Съвета</w:t>
      </w:r>
      <w:r>
        <w:rPr>
          <w:rStyle w:val="FootnoteReference"/>
          <w:noProof/>
        </w:rPr>
        <w:footnoteReference w:id="5"/>
      </w:r>
      <w:r>
        <w:rPr>
          <w:noProof/>
        </w:rPr>
        <w:t xml:space="preserve">. </w:t>
      </w:r>
      <w:r>
        <w:rPr>
          <w:noProof/>
        </w:rPr>
        <w:lastRenderedPageBreak/>
        <w:t>Още през 2015 г., ОИСР к</w:t>
      </w:r>
      <w:r>
        <w:rPr>
          <w:noProof/>
        </w:rPr>
        <w:t xml:space="preserve">ласира системата за оценка на въздействието и системата за оценка съответно на трето и пето място сред тези на </w:t>
      </w:r>
      <w:bookmarkStart w:id="2" w:name="_Ref492579745"/>
      <w:r>
        <w:rPr>
          <w:noProof/>
        </w:rPr>
        <w:t>членовете на ОИСР</w:t>
      </w:r>
      <w:r>
        <w:rPr>
          <w:rStyle w:val="FootnoteReference"/>
          <w:noProof/>
        </w:rPr>
        <w:footnoteReference w:id="6"/>
      </w:r>
      <w:bookmarkEnd w:id="2"/>
      <w:r>
        <w:rPr>
          <w:noProof/>
        </w:rPr>
        <w:t>. След като това класиране беше направено, Комисията въведе допълнителни подобрения през май 2015 г., а през 2016 г. Европейски</w:t>
      </w:r>
      <w:r>
        <w:rPr>
          <w:noProof/>
        </w:rPr>
        <w:t>ят парламент, Съветът и Комисията постигнаха съгласие по Междуинституционално споразумение за по-добро законотворчество</w:t>
      </w:r>
      <w:r>
        <w:rPr>
          <w:rStyle w:val="FootnoteReference"/>
          <w:noProof/>
        </w:rPr>
        <w:footnoteReference w:id="7"/>
      </w:r>
      <w:r>
        <w:rPr>
          <w:noProof/>
        </w:rPr>
        <w:t>. Освен това през декември 2016 г. Комисията представи по-стратегически подход към прилагането на законодателството на ЕС</w:t>
      </w:r>
      <w:r>
        <w:rPr>
          <w:rStyle w:val="FootnoteReference"/>
          <w:noProof/>
        </w:rPr>
        <w:footnoteReference w:id="8"/>
      </w:r>
      <w:r>
        <w:rPr>
          <w:noProof/>
        </w:rPr>
        <w:t>. През 2017 г.</w:t>
      </w:r>
      <w:r>
        <w:rPr>
          <w:noProof/>
        </w:rPr>
        <w:t xml:space="preserve"> настъпиха три допълнителни значителни промени в начина, по който Комисията подхожда към по-доброто регулиране.</w:t>
      </w:r>
    </w:p>
    <w:p w:rsidR="00155BAC" w:rsidRDefault="00C7415B">
      <w:pPr>
        <w:pStyle w:val="ListDash1"/>
        <w:rPr>
          <w:noProof/>
        </w:rPr>
      </w:pPr>
      <w:r>
        <w:rPr>
          <w:noProof/>
        </w:rPr>
        <w:t>На първо място, Комисията допълнително усили своите усилия за увеличаване на прозрачността, легитимността и отчетността на работата си, по-специ</w:t>
      </w:r>
      <w:r>
        <w:rPr>
          <w:noProof/>
        </w:rPr>
        <w:t>ално що се отнася до процеса на консултации и възможностите за заинтересованите страни да предоставят своите становища по нейните предложения (раздел 2.2 по-долу). До края на 2017 г. тя ще стартира уебсайт озаглавен „Участие в изготвянето на законодателств</w:t>
      </w:r>
      <w:r>
        <w:rPr>
          <w:noProof/>
        </w:rPr>
        <w:t>ото“, който ще позволи на заинтересованите страни да участват пълноценно в работата на Комисията през целия цикъл на политиката</w:t>
      </w:r>
      <w:r>
        <w:rPr>
          <w:rStyle w:val="FootnoteReference"/>
          <w:noProof/>
        </w:rPr>
        <w:footnoteReference w:id="9"/>
      </w:r>
      <w:r>
        <w:rPr>
          <w:noProof/>
        </w:rPr>
        <w:t>.</w:t>
      </w:r>
    </w:p>
    <w:p w:rsidR="00155BAC" w:rsidRDefault="00C7415B">
      <w:pPr>
        <w:pStyle w:val="ListDash1"/>
        <w:rPr>
          <w:noProof/>
        </w:rPr>
      </w:pPr>
      <w:r>
        <w:rPr>
          <w:noProof/>
        </w:rPr>
        <w:t>На второ място, през 2017 г. Комисията завърши основна актуализация на насоките и инструментариума за по-добро регулиране в це</w:t>
      </w:r>
      <w:r>
        <w:rPr>
          <w:noProof/>
        </w:rPr>
        <w:t>лия политически цикъл</w:t>
      </w:r>
      <w:r>
        <w:rPr>
          <w:rStyle w:val="FootnoteReference"/>
          <w:noProof/>
        </w:rPr>
        <w:footnoteReference w:id="10"/>
      </w:r>
      <w:r>
        <w:rPr>
          <w:noProof/>
        </w:rPr>
        <w:t>. Макар основната им функция е да се обяснят и използват връзките между различните стъпки от процеса на определяне на политиките в рамките на Комисията и да се подкрепят нейните служби в подкрепа на по-доброто регулиране, те също са п</w:t>
      </w:r>
      <w:r>
        <w:rPr>
          <w:noProof/>
        </w:rPr>
        <w:t xml:space="preserve">редоставени на разположение на Европейския парламент, Съвета, държавите членки и всички заинтересовани страни. Целта е да се улесни по-нататъшното ангажиране на всички участници в процеса на вземане на решения на Съюза. </w:t>
      </w:r>
    </w:p>
    <w:p w:rsidR="00155BAC" w:rsidRDefault="00C7415B">
      <w:pPr>
        <w:pStyle w:val="ListDash1"/>
        <w:rPr>
          <w:noProof/>
        </w:rPr>
      </w:pPr>
      <w:r>
        <w:rPr>
          <w:noProof/>
        </w:rPr>
        <w:t>На трето място, в началото на 2017 </w:t>
      </w:r>
      <w:r>
        <w:rPr>
          <w:noProof/>
        </w:rPr>
        <w:t>г. Комитетът за регулаторен контрол (КРК) приключи набирането на своя персонал, и понастоящем включва трима членове извън европейските институции. Този независим комитет</w:t>
      </w:r>
      <w:r>
        <w:rPr>
          <w:rStyle w:val="FootnoteReference"/>
          <w:noProof/>
        </w:rPr>
        <w:footnoteReference w:id="11"/>
      </w:r>
      <w:r>
        <w:rPr>
          <w:noProof/>
        </w:rPr>
        <w:t xml:space="preserve"> контролира качеството на оценките на въздействието и подбраните оценки на съществуващ</w:t>
      </w:r>
      <w:r>
        <w:rPr>
          <w:noProof/>
        </w:rPr>
        <w:t xml:space="preserve">ото законодателство и оповестява публично всички свои </w:t>
      </w:r>
      <w:r>
        <w:rPr>
          <w:noProof/>
        </w:rPr>
        <w:lastRenderedPageBreak/>
        <w:t>становища. Всяка оценка на въздействието по принцип ще има нужда от положително становище, за да може инициативата да продължи. Ако Комисията реши да предприеме действия при отсъствието на такова станов</w:t>
      </w:r>
      <w:r>
        <w:rPr>
          <w:noProof/>
        </w:rPr>
        <w:t>ище, тя публично разяснява причините, поради които е решила да процедира. В допълнение към това, Комитетът предоставя практически методологически съвети в полза на службите на Комисията. Комитетът понастоящем разглежда също така подбраните оценки и система</w:t>
      </w:r>
      <w:r>
        <w:rPr>
          <w:noProof/>
        </w:rPr>
        <w:t xml:space="preserve">тично иска да установи дали — в съответствие с принципа „първо да оценява“ —е направена оценка в подкрепа на доклада за оценката на въздействието, в случаите, при които се изменя законодателството.  </w:t>
      </w:r>
    </w:p>
    <w:p w:rsidR="00155BAC" w:rsidRDefault="00C7415B">
      <w:pPr>
        <w:spacing w:after="120"/>
        <w:rPr>
          <w:i/>
          <w:noProof/>
        </w:rPr>
      </w:pPr>
      <w:r>
        <w:rPr>
          <w:noProof/>
        </w:rPr>
        <w:t xml:space="preserve">Фигура 1 представя преглед на основните дейности на </w:t>
      </w:r>
      <w:r>
        <w:rPr>
          <w:noProof/>
        </w:rPr>
        <w:t>по-доброто регулиране и показва значителната работа, извършена през последните дванадесет месеца. Останалата част от настоящото съобщение предоставя повече подробности относно тези развития, относно текущата работа с платформата REFIT за събиране, анализ и</w:t>
      </w:r>
      <w:r>
        <w:rPr>
          <w:noProof/>
        </w:rPr>
        <w:t xml:space="preserve"> излагане на мненията на заинтересованите страни относно начините за опростяване на съществуващото законодателство. С него също така се отговаря на ангажиментите на Комисията, поети в Междуинституционалното споразумение за по-добро законотворчество (по-спе</w:t>
      </w:r>
      <w:r>
        <w:rPr>
          <w:noProof/>
        </w:rPr>
        <w:t>циално точка 48), както и на заключенията на Съвета</w:t>
      </w:r>
      <w:r>
        <w:rPr>
          <w:rStyle w:val="FootnoteReference"/>
          <w:noProof/>
        </w:rPr>
        <w:footnoteReference w:id="12"/>
      </w:r>
      <w:r>
        <w:rPr>
          <w:noProof/>
        </w:rPr>
        <w:t xml:space="preserve"> и се очертават по-нататъшни действия за осъществяване на амбициозната програма на Комисията за по-добро регулиране. Работният документ на службите на Комисията, свързан с това съобщение, предоставя допъл</w:t>
      </w:r>
      <w:r>
        <w:rPr>
          <w:noProof/>
        </w:rPr>
        <w:t>нителна информация относно усилията за опростяване.</w:t>
      </w:r>
      <w:r>
        <w:rPr>
          <w:i/>
          <w:noProof/>
        </w:rPr>
        <w:t xml:space="preserve"> </w:t>
      </w:r>
    </w:p>
    <w:p w:rsidR="00155BAC" w:rsidRDefault="00C7415B">
      <w:pPr>
        <w:spacing w:before="240" w:after="120"/>
        <w:rPr>
          <w:i/>
          <w:noProof/>
        </w:rPr>
      </w:pPr>
      <w:r>
        <w:rPr>
          <w:i/>
          <w:noProof/>
        </w:rPr>
        <w:t>Фигура 1 Преглед на дейностите за по-добро регулиране от стартирането им в Комисията</w:t>
      </w:r>
    </w:p>
    <w:tbl>
      <w:tblPr>
        <w:tblStyle w:val="TableGrid"/>
        <w:tblW w:w="0" w:type="auto"/>
        <w:tblInd w:w="108" w:type="dxa"/>
        <w:tblLook w:val="04A0" w:firstRow="1" w:lastRow="0" w:firstColumn="1" w:lastColumn="0" w:noHBand="0" w:noVBand="1"/>
      </w:tblPr>
      <w:tblGrid>
        <w:gridCol w:w="3402"/>
        <w:gridCol w:w="2552"/>
        <w:gridCol w:w="2693"/>
      </w:tblGrid>
      <w:tr w:rsidR="00155BAC">
        <w:tc>
          <w:tcPr>
            <w:tcW w:w="3402" w:type="dxa"/>
            <w:shd w:val="clear" w:color="auto" w:fill="244061" w:themeFill="accent1" w:themeFillShade="80"/>
            <w:tcMar>
              <w:top w:w="57" w:type="dxa"/>
              <w:bottom w:w="57" w:type="dxa"/>
            </w:tcMar>
          </w:tcPr>
          <w:p w:rsidR="00155BAC" w:rsidRDefault="00155BAC">
            <w:pPr>
              <w:spacing w:after="0"/>
              <w:rPr>
                <w:noProof/>
                <w:color w:val="FFFFFF" w:themeColor="background1"/>
                <w:sz w:val="22"/>
                <w:szCs w:val="22"/>
              </w:rPr>
            </w:pPr>
          </w:p>
        </w:tc>
        <w:tc>
          <w:tcPr>
            <w:tcW w:w="2552" w:type="dxa"/>
            <w:shd w:val="clear" w:color="auto" w:fill="244061" w:themeFill="accent1" w:themeFillShade="80"/>
            <w:tcMar>
              <w:top w:w="57" w:type="dxa"/>
              <w:bottom w:w="57" w:type="dxa"/>
            </w:tcMar>
          </w:tcPr>
          <w:p w:rsidR="00155BAC" w:rsidRDefault="00C7415B">
            <w:pPr>
              <w:spacing w:after="0"/>
              <w:jc w:val="center"/>
              <w:rPr>
                <w:b/>
                <w:i/>
                <w:noProof/>
                <w:color w:val="FFFFFF" w:themeColor="background1"/>
                <w:sz w:val="22"/>
                <w:szCs w:val="22"/>
              </w:rPr>
            </w:pPr>
            <w:r>
              <w:rPr>
                <w:b/>
                <w:i/>
                <w:noProof/>
                <w:color w:val="FFFFFF" w:themeColor="background1"/>
                <w:sz w:val="22"/>
              </w:rPr>
              <w:t>Към 31 август 2016 г.</w:t>
            </w:r>
          </w:p>
        </w:tc>
        <w:tc>
          <w:tcPr>
            <w:tcW w:w="2693" w:type="dxa"/>
            <w:shd w:val="clear" w:color="auto" w:fill="244061" w:themeFill="accent1" w:themeFillShade="80"/>
            <w:tcMar>
              <w:top w:w="57" w:type="dxa"/>
              <w:bottom w:w="57" w:type="dxa"/>
            </w:tcMar>
          </w:tcPr>
          <w:p w:rsidR="00155BAC" w:rsidRDefault="00C7415B">
            <w:pPr>
              <w:spacing w:after="0"/>
              <w:jc w:val="center"/>
              <w:rPr>
                <w:b/>
                <w:i/>
                <w:noProof/>
                <w:color w:val="FFFFFF" w:themeColor="background1"/>
                <w:sz w:val="22"/>
                <w:szCs w:val="22"/>
              </w:rPr>
            </w:pPr>
            <w:r>
              <w:rPr>
                <w:b/>
                <w:i/>
                <w:noProof/>
                <w:color w:val="FFFFFF" w:themeColor="background1"/>
                <w:sz w:val="22"/>
              </w:rPr>
              <w:t>Към 31 август 2017 г.</w:t>
            </w:r>
          </w:p>
        </w:tc>
      </w:tr>
      <w:tr w:rsidR="00155BAC">
        <w:tc>
          <w:tcPr>
            <w:tcW w:w="3402" w:type="dxa"/>
            <w:shd w:val="clear" w:color="auto" w:fill="BFBFBF" w:themeFill="background1" w:themeFillShade="BF"/>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Оценки</w:t>
            </w:r>
          </w:p>
        </w:tc>
        <w:tc>
          <w:tcPr>
            <w:tcW w:w="2552" w:type="dxa"/>
            <w:shd w:val="clear" w:color="auto" w:fill="BFBFBF" w:themeFill="background1" w:themeFillShade="BF"/>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688</w:t>
            </w:r>
          </w:p>
        </w:tc>
        <w:tc>
          <w:tcPr>
            <w:tcW w:w="2693" w:type="dxa"/>
            <w:shd w:val="clear" w:color="auto" w:fill="BFBFBF" w:themeFill="background1" w:themeFillShade="BF"/>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798</w:t>
            </w:r>
          </w:p>
        </w:tc>
      </w:tr>
      <w:tr w:rsidR="00155BAC">
        <w:tc>
          <w:tcPr>
            <w:tcW w:w="3402" w:type="dxa"/>
            <w:shd w:val="clear" w:color="auto" w:fill="8DB3E2" w:themeFill="text2" w:themeFillTint="66"/>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Оценки на въздействието</w:t>
            </w:r>
          </w:p>
        </w:tc>
        <w:tc>
          <w:tcPr>
            <w:tcW w:w="2552" w:type="dxa"/>
            <w:shd w:val="clear" w:color="auto" w:fill="8DB3E2" w:themeFill="text2" w:themeFillTint="66"/>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975</w:t>
            </w:r>
          </w:p>
        </w:tc>
        <w:tc>
          <w:tcPr>
            <w:tcW w:w="2693" w:type="dxa"/>
            <w:shd w:val="clear" w:color="auto" w:fill="8DB3E2" w:themeFill="text2" w:themeFillTint="66"/>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1028</w:t>
            </w:r>
          </w:p>
        </w:tc>
      </w:tr>
      <w:tr w:rsidR="00155BAC">
        <w:tc>
          <w:tcPr>
            <w:tcW w:w="3402" w:type="dxa"/>
            <w:shd w:val="clear" w:color="auto" w:fill="92D050"/>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 xml:space="preserve">Обществени </w:t>
            </w:r>
            <w:r>
              <w:rPr>
                <w:b/>
                <w:noProof/>
                <w:color w:val="FFFFFF" w:themeColor="background1"/>
                <w:sz w:val="22"/>
              </w:rPr>
              <w:t>консултации:</w:t>
            </w:r>
          </w:p>
        </w:tc>
        <w:tc>
          <w:tcPr>
            <w:tcW w:w="2552" w:type="dxa"/>
            <w:shd w:val="clear" w:color="auto" w:fill="92D050"/>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704</w:t>
            </w:r>
          </w:p>
        </w:tc>
        <w:tc>
          <w:tcPr>
            <w:tcW w:w="2693" w:type="dxa"/>
            <w:shd w:val="clear" w:color="auto" w:fill="92D050"/>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814</w:t>
            </w:r>
          </w:p>
        </w:tc>
      </w:tr>
      <w:tr w:rsidR="00155BAC">
        <w:tc>
          <w:tcPr>
            <w:tcW w:w="3402" w:type="dxa"/>
            <w:shd w:val="clear" w:color="auto" w:fill="BFBFBF" w:themeFill="background1" w:themeFillShade="BF"/>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Становища на платформата REFIT</w:t>
            </w:r>
          </w:p>
        </w:tc>
        <w:tc>
          <w:tcPr>
            <w:tcW w:w="2552" w:type="dxa"/>
            <w:shd w:val="clear" w:color="auto" w:fill="BFBFBF" w:themeFill="background1" w:themeFillShade="BF"/>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17</w:t>
            </w:r>
          </w:p>
        </w:tc>
        <w:tc>
          <w:tcPr>
            <w:tcW w:w="2693" w:type="dxa"/>
            <w:shd w:val="clear" w:color="auto" w:fill="BFBFBF" w:themeFill="background1" w:themeFillShade="BF"/>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58</w:t>
            </w:r>
          </w:p>
        </w:tc>
      </w:tr>
    </w:tbl>
    <w:p w:rsidR="00155BAC" w:rsidRDefault="00C7415B">
      <w:pPr>
        <w:pStyle w:val="Heading1"/>
        <w:rPr>
          <w:noProof/>
        </w:rPr>
      </w:pPr>
      <w:r>
        <w:rPr>
          <w:noProof/>
        </w:rPr>
        <w:t>Прилагане на по-добро регулиране: Ключови резултати:</w:t>
      </w:r>
    </w:p>
    <w:p w:rsidR="00155BAC" w:rsidRDefault="00C7415B">
      <w:pPr>
        <w:pStyle w:val="Heading2"/>
        <w:rPr>
          <w:noProof/>
        </w:rPr>
      </w:pPr>
      <w:r>
        <w:rPr>
          <w:noProof/>
        </w:rPr>
        <w:t>С размах за големите неща: при спазване на принципа на субсидиарност и пропорционалност</w:t>
      </w:r>
    </w:p>
    <w:p w:rsidR="00155BAC" w:rsidRDefault="00C7415B">
      <w:pPr>
        <w:rPr>
          <w:noProof/>
        </w:rPr>
      </w:pPr>
      <w:r>
        <w:rPr>
          <w:noProof/>
        </w:rPr>
        <w:t xml:space="preserve">Комисията под председателството на г-н Юнкер </w:t>
      </w:r>
      <w:r>
        <w:rPr>
          <w:noProof/>
        </w:rPr>
        <w:t>съсредоточава работата си върху десет политически приоритета, и потвърждава ангажимента си да действа само когато е необходимо на равнище ЕС, както и да предложи само това, което е от съществено значение за постигането на резултатите, които искаме. Въз осн</w:t>
      </w:r>
      <w:r>
        <w:rPr>
          <w:noProof/>
        </w:rPr>
        <w:t>ова на данни, събрани чрез различните инструменти за по-добро регулиране, тя действа, когато е необходимо, и в случаите, когато това води до добавена стойност. Фигура 2 илюстрира целта на настоящата Комисия, която също така улеснява интегрирането на хоризо</w:t>
      </w:r>
      <w:r>
        <w:rPr>
          <w:noProof/>
        </w:rPr>
        <w:t>нталните цели, като например устойчивото развитие, във всички области на политиката. Накрая, когато секторните подходи са били упражнявани в редица области, например в областта на енергетиката и климата, транспорта, цифровия единен пазар и вътрешния пазар,</w:t>
      </w:r>
      <w:r>
        <w:rPr>
          <w:noProof/>
        </w:rPr>
        <w:t xml:space="preserve"> са били прилагани инструменти за по-добро регулиране, за да се гарантира съгласуваност и да се избегнат ненужни разходи и припокриване в тези сектори.</w:t>
      </w:r>
    </w:p>
    <w:p w:rsidR="00155BAC" w:rsidRDefault="00C7415B">
      <w:pPr>
        <w:rPr>
          <w:noProof/>
        </w:rPr>
      </w:pPr>
      <w:r>
        <w:rPr>
          <w:noProof/>
        </w:rPr>
        <w:t>Бяха подготвени оценки на въздействието за по-голямата част от тези инициативи. Въпреки това, приносът и</w:t>
      </w:r>
      <w:r>
        <w:rPr>
          <w:noProof/>
        </w:rPr>
        <w:t xml:space="preserve"> данните, необходими за оценка на въздействието, не винаги могат да бъдат получени за действия, при които е необходим незабавен отговор на политиката. Такъв например беше случая през изминалата година в областта на миграцията и сигурността. В тези случаи К</w:t>
      </w:r>
      <w:r>
        <w:rPr>
          <w:noProof/>
        </w:rPr>
        <w:t xml:space="preserve">омисията все пак предостави данни в рамките на възможното, за да подкрепи това, което предлагаше, и в малкото на брой случаи, при които това не беше възможно, тя обясни защо това е така. </w:t>
      </w:r>
    </w:p>
    <w:p w:rsidR="00155BAC" w:rsidRDefault="00C7415B">
      <w:pPr>
        <w:rPr>
          <w:noProof/>
        </w:rPr>
      </w:pPr>
      <w:r>
        <w:rPr>
          <w:i/>
          <w:noProof/>
        </w:rPr>
        <w:t xml:space="preserve">Фигура 2. Броят на приоритетните инициативи на Комисията „Юнкер“ за периода 2015—2018 г. в сравнение с последната година от мандата на неговия предшественик </w:t>
      </w:r>
    </w:p>
    <w:tbl>
      <w:tblPr>
        <w:tblStyle w:val="TableGrid"/>
        <w:tblW w:w="0" w:type="auto"/>
        <w:tblInd w:w="534" w:type="dxa"/>
        <w:tblLook w:val="04A0" w:firstRow="1" w:lastRow="0" w:firstColumn="1" w:lastColumn="0" w:noHBand="0" w:noVBand="1"/>
      </w:tblPr>
      <w:tblGrid>
        <w:gridCol w:w="7056"/>
      </w:tblGrid>
      <w:tr w:rsidR="00155BAC">
        <w:trPr>
          <w:trHeight w:val="1860"/>
        </w:trPr>
        <w:tc>
          <w:tcPr>
            <w:tcW w:w="6766" w:type="dxa"/>
            <w:shd w:val="clear" w:color="auto" w:fill="C6D9F1" w:themeFill="text2" w:themeFillTint="33"/>
            <w:tcMar>
              <w:top w:w="113" w:type="dxa"/>
              <w:bottom w:w="113" w:type="dxa"/>
            </w:tcMar>
            <w:vAlign w:val="center"/>
          </w:tcPr>
          <w:p w:rsidR="00155BAC" w:rsidRDefault="00C7415B">
            <w:pPr>
              <w:spacing w:after="0"/>
              <w:jc w:val="center"/>
              <w:rPr>
                <w:noProof/>
              </w:rPr>
            </w:pPr>
            <w:r>
              <w:rPr>
                <w:noProof/>
                <w:lang w:val="en-GB" w:eastAsia="en-GB" w:bidi="ar-SA"/>
              </w:rPr>
              <w:drawing>
                <wp:inline distT="0" distB="0" distL="0" distR="0">
                  <wp:extent cx="4323806" cy="1541418"/>
                  <wp:effectExtent l="0" t="0" r="1968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155BAC" w:rsidRDefault="00C7415B">
      <w:pPr>
        <w:spacing w:before="240"/>
        <w:rPr>
          <w:noProof/>
        </w:rPr>
      </w:pPr>
      <w:r>
        <w:rPr>
          <w:noProof/>
        </w:rPr>
        <w:t>Освен че се съсредоточава върху ключови приоритети, Комисията също така продължава да полага ус</w:t>
      </w:r>
      <w:r>
        <w:rPr>
          <w:noProof/>
        </w:rPr>
        <w:t>илия, за да гарантира, че действията, които предприема, са пропорционални. Комисията докладва ежегодно относно съществената работа, която тя върши в сферата на субсидиарността и пропорционалността. Важен инструмент е независимия контрол на вариантите на по</w:t>
      </w:r>
      <w:r>
        <w:rPr>
          <w:noProof/>
        </w:rPr>
        <w:t>литиката от Комитета за регулаторен контрол, преди Комисията да приеме неговите предложения. Този комитет контролира проучваните варианти за опростяване на законодателството и всички съответни въздействия (като тези за МСП), които може да доведат до по-ефе</w:t>
      </w:r>
      <w:r>
        <w:rPr>
          <w:noProof/>
        </w:rPr>
        <w:t xml:space="preserve">ктивни, ефикасни или пропорционални подходи, при които се избягват ненужни разходи. В каре 1 са представени примери. </w:t>
      </w:r>
    </w:p>
    <w:tbl>
      <w:tblPr>
        <w:tblStyle w:val="TableGrid"/>
        <w:tblW w:w="0" w:type="auto"/>
        <w:shd w:val="clear" w:color="auto" w:fill="C6D9F1" w:themeFill="text2" w:themeFillTint="33"/>
        <w:tblLook w:val="04A0" w:firstRow="1" w:lastRow="0" w:firstColumn="1" w:lastColumn="0" w:noHBand="0" w:noVBand="1"/>
      </w:tblPr>
      <w:tblGrid>
        <w:gridCol w:w="8755"/>
      </w:tblGrid>
      <w:tr w:rsidR="00155BAC">
        <w:tc>
          <w:tcPr>
            <w:tcW w:w="8755" w:type="dxa"/>
            <w:shd w:val="clear" w:color="auto" w:fill="C6D9F1" w:themeFill="text2" w:themeFillTint="33"/>
          </w:tcPr>
          <w:p w:rsidR="00155BAC" w:rsidRDefault="00C7415B">
            <w:pPr>
              <w:spacing w:after="120"/>
              <w:rPr>
                <w:b/>
                <w:i/>
                <w:noProof/>
                <w:sz w:val="22"/>
                <w:szCs w:val="22"/>
              </w:rPr>
            </w:pPr>
            <w:r>
              <w:rPr>
                <w:b/>
                <w:i/>
                <w:noProof/>
                <w:sz w:val="22"/>
              </w:rPr>
              <w:t>Каре 1. Примери за по-добро регулиране, които са довели до по-пропорционален подход</w:t>
            </w:r>
          </w:p>
          <w:p w:rsidR="00155BAC" w:rsidRDefault="00C7415B">
            <w:pPr>
              <w:pStyle w:val="ListBullet"/>
              <w:numPr>
                <w:ilvl w:val="0"/>
                <w:numId w:val="39"/>
              </w:numPr>
              <w:spacing w:after="120"/>
              <w:ind w:left="284" w:hanging="284"/>
              <w:rPr>
                <w:noProof/>
                <w:sz w:val="22"/>
                <w:szCs w:val="22"/>
              </w:rPr>
            </w:pPr>
            <w:r>
              <w:rPr>
                <w:b/>
                <w:i/>
                <w:noProof/>
                <w:sz w:val="22"/>
              </w:rPr>
              <w:t xml:space="preserve">Предложение за свободното движение на данни в рамките </w:t>
            </w:r>
            <w:r>
              <w:rPr>
                <w:b/>
                <w:i/>
                <w:noProof/>
                <w:sz w:val="22"/>
              </w:rPr>
              <w:t>на цифровия единен пазар (COM(2017) 495).</w:t>
            </w:r>
            <w:r>
              <w:rPr>
                <w:noProof/>
                <w:sz w:val="22"/>
              </w:rPr>
              <w:t xml:space="preserve"> Комитетът за регулаторен контрол изрази опасения относно необходимостта и пропорционалността на възможността за намеса в договорите между стопански субекти, за да се направи прехвърлянето („преносимостта“) на данни</w:t>
            </w:r>
            <w:r>
              <w:rPr>
                <w:noProof/>
                <w:sz w:val="22"/>
              </w:rPr>
              <w:t xml:space="preserve"> между доставчиците на услуги за изчисления в облак по-ефективно. Поради това Комисията реши по-скоро да насърчава саморегулиране чрез кодекси за поведение относно информацията, която трябва да бъде предоставена на потребителите за съхранение на данни или </w:t>
            </w:r>
            <w:r>
              <w:rPr>
                <w:noProof/>
                <w:sz w:val="22"/>
              </w:rPr>
              <w:t>за други дейности по обработка. Тя също реши, че условията на смяна на доставчика и прехвърляне на данни следва да се определят чрез саморегулация, за да се посочат най-добрите практики.</w:t>
            </w:r>
          </w:p>
          <w:p w:rsidR="00155BAC" w:rsidRDefault="00C7415B">
            <w:pPr>
              <w:pStyle w:val="ListBullet"/>
              <w:numPr>
                <w:ilvl w:val="0"/>
                <w:numId w:val="39"/>
              </w:numPr>
              <w:spacing w:after="120"/>
              <w:ind w:left="284" w:hanging="284"/>
              <w:rPr>
                <w:noProof/>
                <w:sz w:val="22"/>
                <w:szCs w:val="22"/>
              </w:rPr>
            </w:pPr>
            <w:r>
              <w:rPr>
                <w:b/>
                <w:i/>
                <w:noProof/>
                <w:sz w:val="22"/>
              </w:rPr>
              <w:t>Предложение за директива за насърчаване на използването на енергия от</w:t>
            </w:r>
            <w:r>
              <w:rPr>
                <w:b/>
                <w:i/>
                <w:noProof/>
                <w:sz w:val="22"/>
              </w:rPr>
              <w:t xml:space="preserve"> възобновяеми източници (COM(2016) 767).</w:t>
            </w:r>
            <w:r>
              <w:rPr>
                <w:noProof/>
                <w:sz w:val="22"/>
              </w:rPr>
              <w:t xml:space="preserve"> Както е посочено в обяснителния меморандум към предложението, бяха предложени по-малко обременителни мерки след опасенията, изразени от Комитета за регулаторен контрол, относно пропорционалността (и съответствието с</w:t>
            </w:r>
            <w:r>
              <w:rPr>
                <w:noProof/>
                <w:sz w:val="22"/>
              </w:rPr>
              <w:t xml:space="preserve"> принципа на субсидиарност от) на мерките за насърчаване на енергията от възобновяеми източници в секторите на отоплението и охлаждането.</w:t>
            </w:r>
          </w:p>
          <w:p w:rsidR="00155BAC" w:rsidRDefault="00C7415B">
            <w:pPr>
              <w:pStyle w:val="ListBullet"/>
              <w:numPr>
                <w:ilvl w:val="0"/>
                <w:numId w:val="39"/>
              </w:numPr>
              <w:spacing w:after="120"/>
              <w:ind w:left="284" w:hanging="284"/>
              <w:rPr>
                <w:noProof/>
                <w:sz w:val="22"/>
                <w:szCs w:val="22"/>
              </w:rPr>
            </w:pPr>
            <w:r>
              <w:rPr>
                <w:b/>
                <w:i/>
                <w:noProof/>
                <w:sz w:val="22"/>
              </w:rPr>
              <w:t>Политика на ЕС за стандартизация</w:t>
            </w:r>
            <w:r>
              <w:rPr>
                <w:noProof/>
                <w:sz w:val="22"/>
              </w:rPr>
              <w:t>. Заинтересованите страни разчитат на хармонизирани технически стандарти на ЕС за свои</w:t>
            </w:r>
            <w:r>
              <w:rPr>
                <w:noProof/>
                <w:sz w:val="22"/>
              </w:rPr>
              <w:t xml:space="preserve">те действия. Навременното публикуване на позоваванията на тези стандарти в </w:t>
            </w:r>
            <w:r>
              <w:rPr>
                <w:i/>
                <w:noProof/>
                <w:sz w:val="22"/>
              </w:rPr>
              <w:t>Официалния вестник на ЕС</w:t>
            </w:r>
            <w:r>
              <w:rPr>
                <w:noProof/>
                <w:sz w:val="22"/>
              </w:rPr>
              <w:t xml:space="preserve"> е проблематично. Въз основа на препоръките на платформата REFIT, Комисията и европейските организации за стандартизация са постигнали съгласие по план за де</w:t>
            </w:r>
            <w:r>
              <w:rPr>
                <w:noProof/>
                <w:sz w:val="22"/>
              </w:rPr>
              <w:t>йствие за разрешаване на този проблем.</w:t>
            </w:r>
          </w:p>
        </w:tc>
      </w:tr>
    </w:tbl>
    <w:p w:rsidR="00155BAC" w:rsidRDefault="00C7415B">
      <w:pPr>
        <w:pStyle w:val="Heading2"/>
        <w:spacing w:before="240"/>
        <w:ind w:left="1202"/>
        <w:rPr>
          <w:noProof/>
        </w:rPr>
      </w:pPr>
      <w:r>
        <w:rPr>
          <w:noProof/>
        </w:rPr>
        <w:t>Прозрачност, легитимност и отчетност</w:t>
      </w:r>
    </w:p>
    <w:p w:rsidR="00155BAC" w:rsidRDefault="00C7415B">
      <w:pPr>
        <w:rPr>
          <w:noProof/>
        </w:rPr>
      </w:pPr>
      <w:r>
        <w:rPr>
          <w:noProof/>
        </w:rPr>
        <w:t xml:space="preserve">През 2016 г. и 2017 г. Комисията постави особен акцент върху повишаването на легитимността на това, което прави. Комисията е ангажирана с най-високите стандарти на прозрачност и отчетност в интерес на демократичната легитимност, в съответствие с Приоритет </w:t>
      </w:r>
      <w:r>
        <w:rPr>
          <w:noProof/>
        </w:rPr>
        <w:t>10 на своите политически насоки („Съюз на демократична промяна“). Обществеността и заинтересованите страни с основание очакват да могат да влияят на процеса на вземане на решения, да преглеждат данните, и да знаят кой се опитва да повлияе на процеса на взе</w:t>
      </w:r>
      <w:r>
        <w:rPr>
          <w:noProof/>
        </w:rPr>
        <w:t>мане на решения. Комисията е водещ пример за прозрачност при взаимодействието с представители на интереси чрез прилагане на принципа, че комисарите, членовете на техните кабинети и генералните директори следва да се срещат само с лобисти, които са в Регист</w:t>
      </w:r>
      <w:r>
        <w:rPr>
          <w:noProof/>
        </w:rPr>
        <w:t xml:space="preserve">ъра за прозрачност, и които публикуват информация за тези срещи на своите уебсайтове. Освен това, регистрацията в Регистъра за прозрачност понастоящем е също така изискване към заинтересованите организации и отделни експерти, представляващи общ интерес да </w:t>
      </w:r>
      <w:r>
        <w:rPr>
          <w:noProof/>
        </w:rPr>
        <w:t>бъдат назначени за членове на експертни групи, които съветват Комисията. През септември 2016 г. Комисията представи предложение за правно обвързващо междуинституционално споразумение за задължителен Регистър за прозрачност, който да обхваща Европейския пар</w:t>
      </w:r>
      <w:r>
        <w:rPr>
          <w:noProof/>
        </w:rPr>
        <w:t xml:space="preserve">ламент, Комисията и, за първи път, Съвета. Това би било важна стъпка напред към по-голяма прозрачност в лобирането. </w:t>
      </w:r>
    </w:p>
    <w:p w:rsidR="00155BAC" w:rsidRDefault="00C7415B">
      <w:pPr>
        <w:rPr>
          <w:noProof/>
        </w:rPr>
      </w:pPr>
      <w:r>
        <w:rPr>
          <w:noProof/>
        </w:rPr>
        <w:t>Комисията е поела сериозен ангажимент за съвместна работа със заинтересованите страни и гражданите през целия цикъл на политиката</w:t>
      </w:r>
      <w:r>
        <w:rPr>
          <w:rStyle w:val="FootnoteReference"/>
          <w:noProof/>
        </w:rPr>
        <w:footnoteReference w:id="13"/>
      </w:r>
      <w:r>
        <w:rPr>
          <w:noProof/>
        </w:rPr>
        <w:t xml:space="preserve"> и е инве</w:t>
      </w:r>
      <w:r>
        <w:rPr>
          <w:noProof/>
        </w:rPr>
        <w:t>стира значително в редица инструменти, за да се ангажира в по-голяма степен за действията си. Въпреки наличието на тези инструменти, ясно е, че ангажираността не е достигнала пълния си потенциал и някои заинтересовани страни все още не желаят или не са в с</w:t>
      </w:r>
      <w:r>
        <w:rPr>
          <w:noProof/>
        </w:rPr>
        <w:t xml:space="preserve">ъстояние да участват. Комисията е предприела допълнителни мерки за справяне с този проблем. По-специално: </w:t>
      </w:r>
    </w:p>
    <w:p w:rsidR="00155BAC" w:rsidRDefault="00C7415B">
      <w:pPr>
        <w:pStyle w:val="ListBullet1"/>
        <w:rPr>
          <w:noProof/>
        </w:rPr>
      </w:pPr>
      <w:r>
        <w:rPr>
          <w:noProof/>
        </w:rPr>
        <w:t>За да се отговори на загрижеността на заинтересованите страни, включително относно платформата REFIT</w:t>
      </w:r>
      <w:r>
        <w:rPr>
          <w:rStyle w:val="FootnoteReference"/>
          <w:noProof/>
        </w:rPr>
        <w:footnoteReference w:id="14"/>
      </w:r>
      <w:r>
        <w:rPr>
          <w:noProof/>
        </w:rPr>
        <w:t>, че често не е ясно как използва Комисията техн</w:t>
      </w:r>
      <w:r>
        <w:rPr>
          <w:noProof/>
        </w:rPr>
        <w:t xml:space="preserve">ия принос, Комисията ще осигури по-добра обратна информация относно мненията на заинтересованите страни в своите оценки на въздействието, оценки и доклади, за да покаже как е използван техния принос. </w:t>
      </w:r>
    </w:p>
    <w:p w:rsidR="00155BAC" w:rsidRDefault="00C7415B">
      <w:pPr>
        <w:pStyle w:val="ListBullet1"/>
        <w:rPr>
          <w:noProof/>
        </w:rPr>
      </w:pPr>
      <w:r>
        <w:rPr>
          <w:noProof/>
        </w:rPr>
        <w:t>За да се гарантира, че правилните заинтересовани страни</w:t>
      </w:r>
      <w:r>
        <w:rPr>
          <w:noProof/>
        </w:rPr>
        <w:t xml:space="preserve"> са обхванати по най-ефективен начин, за да се съберат техните мнения и важни данни, Комисията е усилила своите насоки към службите на Комисията относно изготвянето на ясна консултационната стратегия за всяка инициатива, която ще бъде представена в пътни к</w:t>
      </w:r>
      <w:r>
        <w:rPr>
          <w:noProof/>
        </w:rPr>
        <w:t xml:space="preserve">арти и първоначалните оценки на въздействието .  </w:t>
      </w:r>
    </w:p>
    <w:p w:rsidR="00155BAC" w:rsidRDefault="00C7415B">
      <w:pPr>
        <w:pStyle w:val="ListBullet1"/>
        <w:rPr>
          <w:noProof/>
        </w:rPr>
      </w:pPr>
      <w:r>
        <w:rPr>
          <w:noProof/>
        </w:rPr>
        <w:t>За да се достигне до възможно най-широка публика и да се улесни обратната връзка, обществената консултация за важни инициативи ще бъде достъпна на всички официални езици на ЕС, докато други ще се появят пон</w:t>
      </w:r>
      <w:r>
        <w:rPr>
          <w:noProof/>
        </w:rPr>
        <w:t xml:space="preserve">е на английски, френски и немски език. Това дава отговор на опасенията, изразени от Европейския парламент, Европейския омбудсман, заинтересованите страни и гражданите. </w:t>
      </w:r>
    </w:p>
    <w:p w:rsidR="00155BAC" w:rsidRDefault="00C7415B">
      <w:pPr>
        <w:pStyle w:val="ListBullet1"/>
        <w:rPr>
          <w:noProof/>
        </w:rPr>
      </w:pPr>
      <w:r>
        <w:rPr>
          <w:noProof/>
        </w:rPr>
        <w:t>На 1 юли 2016 г. Комисията стартира уебсайт, който е основен входен пункт за гражданите</w:t>
      </w:r>
      <w:r>
        <w:rPr>
          <w:noProof/>
        </w:rPr>
        <w:t xml:space="preserve"> и заинтересованите страни да намират информация за създаването на политиките и за участие в процеса</w:t>
      </w:r>
      <w:r>
        <w:rPr>
          <w:rStyle w:val="FootnoteReference"/>
          <w:noProof/>
        </w:rPr>
        <w:footnoteReference w:id="15"/>
      </w:r>
      <w:r>
        <w:rPr>
          <w:noProof/>
        </w:rPr>
        <w:t>. Това им помага да изразят становищата си. Това прави създаването на политиките по-прозрачно, тъй като приносите се публикуват автоматично. Това е в съотв</w:t>
      </w:r>
      <w:r>
        <w:rPr>
          <w:noProof/>
        </w:rPr>
        <w:t xml:space="preserve">етствие с важен ангажимент по линия на програмата за по-добро регулиране от 2015 г. </w:t>
      </w:r>
    </w:p>
    <w:p w:rsidR="00155BAC" w:rsidRDefault="00C7415B">
      <w:pPr>
        <w:pStyle w:val="ListBullet1"/>
        <w:rPr>
          <w:noProof/>
        </w:rPr>
      </w:pPr>
      <w:r>
        <w:rPr>
          <w:noProof/>
        </w:rPr>
        <w:t>Обратна информация вече може да бъде дадена на единния уебсайт относно първоначалните идеи на Комисията за нови инициативи (пътни карти и първоначални оценки на въздействи</w:t>
      </w:r>
      <w:r>
        <w:rPr>
          <w:noProof/>
        </w:rPr>
        <w:t>ето), относно приетите предложения, и относно проектите на нормативни актове (делегирани актове и актове за изпълнение). Последното представлява значително подобрение в прозрачността и консултациите в това, което традиционно е сложен и непрозрачен процес с</w:t>
      </w:r>
      <w:r>
        <w:rPr>
          <w:noProof/>
        </w:rPr>
        <w:t xml:space="preserve"> участието само на експерти и представители на държавите членки. Фигура 3 представя общ преглед на актуалното състояние. </w:t>
      </w:r>
    </w:p>
    <w:p w:rsidR="00155BAC" w:rsidRDefault="00C7415B">
      <w:pPr>
        <w:spacing w:before="240" w:after="120"/>
        <w:rPr>
          <w:i/>
          <w:noProof/>
        </w:rPr>
      </w:pPr>
      <w:r>
        <w:rPr>
          <w:i/>
          <w:noProof/>
        </w:rPr>
        <w:t>Фигура 3. Сайт „Участие в изготвянето на законодателството“: Преглед на неговата дейност от неговото стартиране на 1 юли 2016 г.</w:t>
      </w:r>
    </w:p>
    <w:tbl>
      <w:tblPr>
        <w:tblStyle w:val="TableGrid"/>
        <w:tblW w:w="8647" w:type="dxa"/>
        <w:tblInd w:w="108" w:type="dxa"/>
        <w:tblLook w:val="04A0" w:firstRow="1" w:lastRow="0" w:firstColumn="1" w:lastColumn="0" w:noHBand="0" w:noVBand="1"/>
      </w:tblPr>
      <w:tblGrid>
        <w:gridCol w:w="6096"/>
        <w:gridCol w:w="2551"/>
      </w:tblGrid>
      <w:tr w:rsidR="00155BAC">
        <w:tc>
          <w:tcPr>
            <w:tcW w:w="6096" w:type="dxa"/>
            <w:shd w:val="clear" w:color="auto" w:fill="244061" w:themeFill="accent1" w:themeFillShade="80"/>
            <w:tcMar>
              <w:top w:w="57" w:type="dxa"/>
              <w:bottom w:w="57" w:type="dxa"/>
            </w:tcMar>
          </w:tcPr>
          <w:p w:rsidR="00155BAC" w:rsidRDefault="00C7415B">
            <w:pPr>
              <w:spacing w:after="0"/>
              <w:rPr>
                <w:b/>
                <w:i/>
                <w:noProof/>
                <w:color w:val="FFFFFF" w:themeColor="background1"/>
                <w:sz w:val="22"/>
                <w:szCs w:val="22"/>
              </w:rPr>
            </w:pPr>
            <w:r>
              <w:rPr>
                <w:b/>
                <w:i/>
                <w:noProof/>
                <w:color w:val="FFFFFF" w:themeColor="background1"/>
                <w:sz w:val="22"/>
              </w:rPr>
              <w:t>Актов</w:t>
            </w:r>
            <w:r>
              <w:rPr>
                <w:b/>
                <w:i/>
                <w:noProof/>
                <w:color w:val="FFFFFF" w:themeColor="background1"/>
                <w:sz w:val="22"/>
              </w:rPr>
              <w:t>е, публикувани на уебсайта Europa за обратна връзка от заинтересованите страни</w:t>
            </w:r>
          </w:p>
        </w:tc>
        <w:tc>
          <w:tcPr>
            <w:tcW w:w="2551" w:type="dxa"/>
            <w:shd w:val="clear" w:color="auto" w:fill="244061" w:themeFill="accent1" w:themeFillShade="80"/>
            <w:tcMar>
              <w:top w:w="57" w:type="dxa"/>
              <w:bottom w:w="57" w:type="dxa"/>
            </w:tcMar>
          </w:tcPr>
          <w:p w:rsidR="00155BAC" w:rsidRDefault="00C7415B">
            <w:pPr>
              <w:spacing w:after="0"/>
              <w:jc w:val="center"/>
              <w:rPr>
                <w:b/>
                <w:i/>
                <w:noProof/>
                <w:color w:val="FFFFFF" w:themeColor="background1"/>
                <w:sz w:val="22"/>
                <w:szCs w:val="22"/>
              </w:rPr>
            </w:pPr>
            <w:r>
              <w:rPr>
                <w:b/>
                <w:i/>
                <w:noProof/>
                <w:color w:val="FFFFFF" w:themeColor="background1"/>
                <w:sz w:val="22"/>
              </w:rPr>
              <w:t>Към 31 август 2017 г.</w:t>
            </w:r>
          </w:p>
        </w:tc>
      </w:tr>
      <w:tr w:rsidR="00155BAC">
        <w:tc>
          <w:tcPr>
            <w:tcW w:w="6096" w:type="dxa"/>
            <w:shd w:val="clear" w:color="auto" w:fill="8DB3E2" w:themeFill="text2" w:themeFillTint="66"/>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Проекти на делегирани актове</w:t>
            </w:r>
          </w:p>
        </w:tc>
        <w:tc>
          <w:tcPr>
            <w:tcW w:w="2551" w:type="dxa"/>
            <w:shd w:val="clear" w:color="auto" w:fill="8DB3E2" w:themeFill="text2" w:themeFillTint="66"/>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98</w:t>
            </w:r>
          </w:p>
        </w:tc>
      </w:tr>
      <w:tr w:rsidR="00155BAC">
        <w:tc>
          <w:tcPr>
            <w:tcW w:w="6096" w:type="dxa"/>
            <w:shd w:val="clear" w:color="auto" w:fill="BFBFBF" w:themeFill="background1" w:themeFillShade="BF"/>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Проекти на делегирани актове</w:t>
            </w:r>
          </w:p>
        </w:tc>
        <w:tc>
          <w:tcPr>
            <w:tcW w:w="2551" w:type="dxa"/>
            <w:shd w:val="clear" w:color="auto" w:fill="BFBFBF" w:themeFill="background1" w:themeFillShade="BF"/>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126</w:t>
            </w:r>
          </w:p>
        </w:tc>
      </w:tr>
      <w:tr w:rsidR="00155BAC">
        <w:tc>
          <w:tcPr>
            <w:tcW w:w="6096" w:type="dxa"/>
            <w:shd w:val="clear" w:color="auto" w:fill="92D050"/>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 xml:space="preserve">Пътни карти и първоначални оценки на въздействието </w:t>
            </w:r>
          </w:p>
        </w:tc>
        <w:tc>
          <w:tcPr>
            <w:tcW w:w="2551" w:type="dxa"/>
            <w:shd w:val="clear" w:color="auto" w:fill="92D050"/>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225</w:t>
            </w:r>
          </w:p>
        </w:tc>
      </w:tr>
      <w:tr w:rsidR="00155BAC">
        <w:tc>
          <w:tcPr>
            <w:tcW w:w="6096" w:type="dxa"/>
            <w:shd w:val="clear" w:color="auto" w:fill="8DB3E2" w:themeFill="text2" w:themeFillTint="66"/>
            <w:tcMar>
              <w:top w:w="57" w:type="dxa"/>
              <w:bottom w:w="57" w:type="dxa"/>
            </w:tcMar>
          </w:tcPr>
          <w:p w:rsidR="00155BAC" w:rsidRDefault="00C7415B">
            <w:pPr>
              <w:spacing w:after="0"/>
              <w:rPr>
                <w:b/>
                <w:noProof/>
                <w:color w:val="FFFFFF" w:themeColor="background1"/>
                <w:sz w:val="22"/>
                <w:szCs w:val="22"/>
              </w:rPr>
            </w:pPr>
            <w:r>
              <w:rPr>
                <w:b/>
                <w:noProof/>
                <w:color w:val="FFFFFF" w:themeColor="background1"/>
                <w:sz w:val="22"/>
              </w:rPr>
              <w:t xml:space="preserve">Законодателни предложения, </w:t>
            </w:r>
            <w:r>
              <w:rPr>
                <w:b/>
                <w:noProof/>
                <w:color w:val="FFFFFF" w:themeColor="background1"/>
                <w:sz w:val="22"/>
              </w:rPr>
              <w:t>приети от Комисията</w:t>
            </w:r>
          </w:p>
        </w:tc>
        <w:tc>
          <w:tcPr>
            <w:tcW w:w="2551" w:type="dxa"/>
            <w:shd w:val="clear" w:color="auto" w:fill="8DB3E2" w:themeFill="text2" w:themeFillTint="66"/>
            <w:tcMar>
              <w:top w:w="57" w:type="dxa"/>
              <w:bottom w:w="57" w:type="dxa"/>
            </w:tcMar>
          </w:tcPr>
          <w:p w:rsidR="00155BAC" w:rsidRDefault="00C7415B">
            <w:pPr>
              <w:spacing w:after="0"/>
              <w:jc w:val="center"/>
              <w:rPr>
                <w:b/>
                <w:noProof/>
                <w:color w:val="FFFFFF" w:themeColor="background1"/>
                <w:sz w:val="22"/>
                <w:szCs w:val="22"/>
              </w:rPr>
            </w:pPr>
            <w:r>
              <w:rPr>
                <w:b/>
                <w:noProof/>
                <w:color w:val="FFFFFF" w:themeColor="background1"/>
                <w:sz w:val="22"/>
              </w:rPr>
              <w:t>194</w:t>
            </w:r>
          </w:p>
        </w:tc>
      </w:tr>
    </w:tbl>
    <w:p w:rsidR="00155BAC" w:rsidRDefault="00C7415B">
      <w:pPr>
        <w:spacing w:before="240"/>
        <w:rPr>
          <w:noProof/>
        </w:rPr>
      </w:pPr>
      <w:r>
        <w:rPr>
          <w:noProof/>
        </w:rPr>
        <w:t>Комисията също така ще продължи да насърчава още по-голямо участие от страна на заинтересованите страни, особено за приоритетни предложения, чрез социалните медии (</w:t>
      </w:r>
      <w:r>
        <w:rPr>
          <w:b/>
          <w:noProof/>
        </w:rPr>
        <w:t>#EUHaveYourSay</w:t>
      </w:r>
      <w:r>
        <w:rPr>
          <w:noProof/>
        </w:rPr>
        <w:t>). Това е допринесло за постоянно увеличаване на броя</w:t>
      </w:r>
      <w:r>
        <w:rPr>
          <w:noProof/>
        </w:rPr>
        <w:t xml:space="preserve"> на посетителите на уебсайта „Участие в изготвянето на законодателството“, като той е достигнал над 47 000 посетители през август 2017 г. (Фигура 4). Получените приноси например доведоха до промени в предложението на Комисията относно правилата за справедл</w:t>
      </w:r>
      <w:r>
        <w:rPr>
          <w:noProof/>
        </w:rPr>
        <w:t>иво ползване на роуминг от мобилните телекомуникации</w:t>
      </w:r>
      <w:r>
        <w:rPr>
          <w:rStyle w:val="FootnoteReference"/>
          <w:noProof/>
        </w:rPr>
        <w:footnoteReference w:id="16"/>
      </w:r>
      <w:r>
        <w:rPr>
          <w:noProof/>
        </w:rPr>
        <w:t xml:space="preserve"> или информираха законодателя, какъвто бе случаят с обществената реакция по предложението на Комисията по отношение на огнестрелните оръжия</w:t>
      </w:r>
      <w:r>
        <w:rPr>
          <w:rStyle w:val="FootnoteReference"/>
          <w:noProof/>
        </w:rPr>
        <w:footnoteReference w:id="17"/>
      </w:r>
      <w:r>
        <w:rPr>
          <w:noProof/>
        </w:rPr>
        <w:t>.</w:t>
      </w:r>
    </w:p>
    <w:p w:rsidR="00155BAC" w:rsidRDefault="00C7415B">
      <w:pPr>
        <w:rPr>
          <w:noProof/>
        </w:rPr>
      </w:pPr>
      <w:r>
        <w:rPr>
          <w:noProof/>
        </w:rPr>
        <w:t>Комисията ще извърши допълнителни подобрения на уебсайта до к</w:t>
      </w:r>
      <w:r>
        <w:rPr>
          <w:noProof/>
        </w:rPr>
        <w:t>рая на 2017 г. Те ще включват „хронологично представяне“, което ще осигури по-ранна и допълнителна информация за всяка предстояща инициатива, и обхващат достъп до всички онлайн обществени допитвания, организирани всяка година.</w:t>
      </w:r>
    </w:p>
    <w:tbl>
      <w:tblPr>
        <w:tblStyle w:val="TableGrid"/>
        <w:tblW w:w="0" w:type="auto"/>
        <w:tblInd w:w="250" w:type="dxa"/>
        <w:shd w:val="clear" w:color="auto" w:fill="C6D9F1" w:themeFill="text2" w:themeFillTint="33"/>
        <w:tblLook w:val="04A0" w:firstRow="1" w:lastRow="0" w:firstColumn="1" w:lastColumn="0" w:noHBand="0" w:noVBand="1"/>
      </w:tblPr>
      <w:tblGrid>
        <w:gridCol w:w="8080"/>
      </w:tblGrid>
      <w:tr w:rsidR="00155BAC">
        <w:trPr>
          <w:trHeight w:val="4289"/>
        </w:trPr>
        <w:tc>
          <w:tcPr>
            <w:tcW w:w="8080" w:type="dxa"/>
            <w:shd w:val="clear" w:color="auto" w:fill="C6D9F1" w:themeFill="text2" w:themeFillTint="33"/>
            <w:vAlign w:val="center"/>
          </w:tcPr>
          <w:p w:rsidR="00155BAC" w:rsidRDefault="00C7415B">
            <w:pPr>
              <w:spacing w:after="120"/>
              <w:jc w:val="center"/>
              <w:rPr>
                <w:b/>
                <w:i/>
                <w:noProof/>
                <w:sz w:val="22"/>
                <w:szCs w:val="22"/>
              </w:rPr>
            </w:pPr>
            <w:r>
              <w:rPr>
                <w:b/>
                <w:i/>
                <w:noProof/>
                <w:sz w:val="22"/>
              </w:rPr>
              <w:t>Фигура 4. Еволюция на броя на</w:t>
            </w:r>
            <w:r>
              <w:rPr>
                <w:b/>
                <w:i/>
                <w:noProof/>
                <w:sz w:val="22"/>
              </w:rPr>
              <w:t xml:space="preserve"> посетителите на уебсайта „Участие в изготвянето на законодателството“ на ЕС</w:t>
            </w:r>
          </w:p>
          <w:p w:rsidR="00155BAC" w:rsidRDefault="00C7415B">
            <w:pPr>
              <w:jc w:val="center"/>
              <w:rPr>
                <w:noProof/>
              </w:rPr>
            </w:pPr>
            <w:r>
              <w:rPr>
                <w:noProof/>
                <w:lang w:val="en-GB" w:eastAsia="en-GB" w:bidi="ar-SA"/>
              </w:rPr>
              <w:drawing>
                <wp:inline distT="0" distB="0" distL="0" distR="0">
                  <wp:extent cx="4143375" cy="2105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155BAC" w:rsidRDefault="00C7415B">
      <w:pPr>
        <w:pStyle w:val="Heading2"/>
        <w:spacing w:before="240"/>
        <w:ind w:left="1202"/>
        <w:rPr>
          <w:noProof/>
        </w:rPr>
      </w:pPr>
      <w:r>
        <w:rPr>
          <w:noProof/>
        </w:rPr>
        <w:t>Опростяване на законодателството и справяне с излишните разходи</w:t>
      </w:r>
    </w:p>
    <w:p w:rsidR="00155BAC" w:rsidRDefault="00C7415B">
      <w:pPr>
        <w:rPr>
          <w:noProof/>
        </w:rPr>
      </w:pPr>
      <w:r>
        <w:rPr>
          <w:noProof/>
        </w:rPr>
        <w:t xml:space="preserve">От началото на мандата си настоящата Комисия е подчертала, че активното управление на действащото </w:t>
      </w:r>
      <w:r>
        <w:rPr>
          <w:noProof/>
        </w:rPr>
        <w:t>законодателство на ЕС е също толкова важно, колкото и подготовката на нови инициативи. От съществено значение е да се гарантира, че законодателството остава пригодно за целите си и постига резултатите, към които са се стремили законодателните органи на ЕС.</w:t>
      </w:r>
      <w:r>
        <w:rPr>
          <w:noProof/>
        </w:rPr>
        <w:t xml:space="preserve"> В центъра на усилията си за постигане на по-опростено законодателство, Комисията се съсредоточава върху преодоляването на излишните разходи и премахването на административната тежест, без да се излагат на риск целите на политиката. Опростяването на законо</w:t>
      </w:r>
      <w:r>
        <w:rPr>
          <w:noProof/>
        </w:rPr>
        <w:t>дателството и правенето му по-малко обременяващи също така подобрява неговото изпълнение и прилагане, и в крайна сметка води до по-добри резултати.</w:t>
      </w:r>
    </w:p>
    <w:p w:rsidR="00155BAC" w:rsidRDefault="00C7415B">
      <w:pPr>
        <w:rPr>
          <w:noProof/>
        </w:rPr>
      </w:pPr>
      <w:r>
        <w:rPr>
          <w:noProof/>
        </w:rPr>
        <w:t>Комисията е убедена, че намаляването на ненужните разходи е най-добре да се извършва за всеки отделен случай</w:t>
      </w:r>
      <w:r>
        <w:rPr>
          <w:noProof/>
        </w:rPr>
        <w:t>, така че планираните цели на законодателството са изцяло запазени. Комисията е последователна в своето становище, че по-доброто регулиране не означава дерегулиране. Когато е налице ясна необходимост от регулиране за постигането на важни социални цели — на</w:t>
      </w:r>
      <w:r>
        <w:rPr>
          <w:noProof/>
        </w:rPr>
        <w:t>пример в областта на пазарите на труда, здравословните и безопасни условия на труд, опазването на околната среда, или за справяне с влиянието на новите технологии върху неприкосновеността на личния живот — тя ще го направи с подходяща амбиция. Някои разход</w:t>
      </w:r>
      <w:r>
        <w:rPr>
          <w:noProof/>
        </w:rPr>
        <w:t>и винаги ще бъдат извършени, за да се гарантира, че законодателството е ефективно и те трябва да се разглеждат в контекста на цялостните ползи, до които ще доведе законодателството. За да се гарантира демократична отчетност и прозрачност, от съществено зна</w:t>
      </w:r>
      <w:r>
        <w:rPr>
          <w:noProof/>
        </w:rPr>
        <w:t>чение е политическо решение, за което разходите са оправдани за постигане целите на политиката, да се основава на данни от оценка на всеки отделен случай, с което да се даде отговор на опасенията на заинтересованите страни и гражданите.</w:t>
      </w:r>
    </w:p>
    <w:p w:rsidR="00155BAC" w:rsidRDefault="00C7415B">
      <w:pPr>
        <w:rPr>
          <w:noProof/>
        </w:rPr>
      </w:pPr>
      <w:r>
        <w:rPr>
          <w:noProof/>
        </w:rPr>
        <w:t>Подходът на Комисия</w:t>
      </w:r>
      <w:r>
        <w:rPr>
          <w:noProof/>
        </w:rPr>
        <w:t>та, за разлика от този в много държави членки, се основава на принципа „първо да оценява“. Преди да се преразгледа съществуващото законодателство или да се въведе ново законодателство, Комисията пое ангажимент да извърши оценка на вече съществуващото таков</w:t>
      </w:r>
      <w:r>
        <w:rPr>
          <w:noProof/>
        </w:rPr>
        <w:t xml:space="preserve">а, за да определи вече съществуващия потенциал за опростяване и намаляване на разходите. Тези оценки могат да бъдат на отделни законодателни актове или на няколко законодателни акта, които заедно обхващат даден сектор („проверки за пригодност“) и в тях се </w:t>
      </w:r>
      <w:r>
        <w:rPr>
          <w:noProof/>
        </w:rPr>
        <w:t>набелязват области на възможните икономии на разходи за конкретното въпросно законодателство. Този анализ впоследствие се пренася напред към следващия процес на оценка на въздействието, с което се показва как тези промени могат най-добре да бъдат приложени</w:t>
      </w:r>
      <w:r>
        <w:rPr>
          <w:noProof/>
        </w:rPr>
        <w:t>, и се извършва количествено определение, когато това е възможно. Тези дейности се извършват въз основа на данни, събрани чрез консултации със заинтересованите страни, работата на платформата REFIT, и приноса, който може да се предаде от заинтересованите с</w:t>
      </w:r>
      <w:r>
        <w:rPr>
          <w:noProof/>
        </w:rPr>
        <w:t>трани на уебсайта „Облекчете товара“</w:t>
      </w:r>
      <w:r>
        <w:rPr>
          <w:rStyle w:val="FootnoteReference"/>
          <w:noProof/>
        </w:rPr>
        <w:footnoteReference w:id="18"/>
      </w:r>
      <w:r>
        <w:rPr>
          <w:noProof/>
        </w:rPr>
        <w:t xml:space="preserve">. Този процес е от основно значение, за да се гарантира цялостната легитимност на дейностите и за да се гарантира, че целите на политиката не са засегнати по неблагоприятен начин от усилията за намаляване на разходите. </w:t>
      </w:r>
      <w:r>
        <w:rPr>
          <w:noProof/>
        </w:rPr>
        <w:t>През 2016 г. бяха извършени оценки на малко под половината от оценките на въздействието, а през 2017 г. този показател се повиши до почти 70 %. Това е значително постижение, откакто беше въведено понятието.</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155BAC">
        <w:tc>
          <w:tcPr>
            <w:tcW w:w="8726" w:type="dxa"/>
            <w:shd w:val="clear" w:color="auto" w:fill="C6D9F1" w:themeFill="text2" w:themeFillTint="33"/>
          </w:tcPr>
          <w:p w:rsidR="00155BAC" w:rsidRDefault="00C7415B">
            <w:pPr>
              <w:spacing w:after="120"/>
              <w:rPr>
                <w:b/>
                <w:i/>
                <w:noProof/>
                <w:sz w:val="22"/>
                <w:szCs w:val="22"/>
              </w:rPr>
            </w:pPr>
            <w:r>
              <w:rPr>
                <w:b/>
                <w:i/>
                <w:noProof/>
                <w:sz w:val="22"/>
              </w:rPr>
              <w:t>Каре 2. Важни оценки и проверки за пригодност, 20</w:t>
            </w:r>
            <w:r>
              <w:rPr>
                <w:b/>
                <w:i/>
                <w:noProof/>
                <w:sz w:val="22"/>
              </w:rPr>
              <w:t>16—2017 г.</w:t>
            </w:r>
          </w:p>
          <w:p w:rsidR="00155BAC" w:rsidRDefault="00C7415B">
            <w:pPr>
              <w:pStyle w:val="ListBullet"/>
              <w:numPr>
                <w:ilvl w:val="0"/>
                <w:numId w:val="38"/>
              </w:numPr>
              <w:spacing w:after="120"/>
              <w:ind w:left="284" w:hanging="284"/>
              <w:rPr>
                <w:noProof/>
                <w:sz w:val="22"/>
                <w:szCs w:val="22"/>
              </w:rPr>
            </w:pPr>
            <w:r>
              <w:rPr>
                <w:noProof/>
                <w:sz w:val="22"/>
              </w:rPr>
              <w:t>Проверка за пригодност на задълженията за мониторинг и докладване в политиката в областта на околната среда на ЕС.</w:t>
            </w:r>
          </w:p>
          <w:p w:rsidR="00155BAC" w:rsidRDefault="00C7415B">
            <w:pPr>
              <w:pStyle w:val="ListBullet"/>
              <w:numPr>
                <w:ilvl w:val="0"/>
                <w:numId w:val="38"/>
              </w:numPr>
              <w:spacing w:after="120"/>
              <w:ind w:left="284" w:hanging="284"/>
              <w:rPr>
                <w:noProof/>
                <w:sz w:val="22"/>
                <w:szCs w:val="22"/>
              </w:rPr>
            </w:pPr>
            <w:r>
              <w:rPr>
                <w:noProof/>
                <w:sz w:val="22"/>
              </w:rPr>
              <w:t>Оценка на Фонда за външните граници за периода 2011—2013 г.</w:t>
            </w:r>
          </w:p>
          <w:p w:rsidR="00155BAC" w:rsidRDefault="00C7415B">
            <w:pPr>
              <w:pStyle w:val="ListBullet"/>
              <w:numPr>
                <w:ilvl w:val="0"/>
                <w:numId w:val="38"/>
              </w:numPr>
              <w:spacing w:after="120"/>
              <w:ind w:left="284" w:hanging="284"/>
              <w:rPr>
                <w:noProof/>
                <w:sz w:val="22"/>
                <w:szCs w:val="22"/>
              </w:rPr>
            </w:pPr>
            <w:r>
              <w:rPr>
                <w:noProof/>
                <w:sz w:val="22"/>
              </w:rPr>
              <w:t>Оценка на програмата „Хоризонт 2020“.</w:t>
            </w:r>
          </w:p>
          <w:p w:rsidR="00155BAC" w:rsidRDefault="00C7415B">
            <w:pPr>
              <w:pStyle w:val="ListBullet"/>
              <w:numPr>
                <w:ilvl w:val="0"/>
                <w:numId w:val="38"/>
              </w:numPr>
              <w:spacing w:after="120"/>
              <w:ind w:left="284" w:hanging="284"/>
              <w:rPr>
                <w:noProof/>
                <w:sz w:val="22"/>
                <w:szCs w:val="22"/>
              </w:rPr>
            </w:pPr>
            <w:r>
              <w:rPr>
                <w:noProof/>
                <w:sz w:val="22"/>
              </w:rPr>
              <w:t>Оценка на Регламента за взаимнот</w:t>
            </w:r>
            <w:r>
              <w:rPr>
                <w:noProof/>
                <w:sz w:val="22"/>
              </w:rPr>
              <w:t>о признаване на продуктите.</w:t>
            </w:r>
          </w:p>
          <w:p w:rsidR="00155BAC" w:rsidRDefault="00C7415B">
            <w:pPr>
              <w:pStyle w:val="ListBullet"/>
              <w:numPr>
                <w:ilvl w:val="0"/>
                <w:numId w:val="38"/>
              </w:numPr>
              <w:spacing w:after="120"/>
              <w:ind w:left="284" w:hanging="284"/>
              <w:rPr>
                <w:noProof/>
                <w:sz w:val="22"/>
                <w:szCs w:val="22"/>
              </w:rPr>
            </w:pPr>
            <w:r>
              <w:rPr>
                <w:noProof/>
                <w:sz w:val="22"/>
              </w:rPr>
              <w:t>Оценка на разпоредбите за надзор на пазара в Регламент (ЕО) № 765/2008.</w:t>
            </w:r>
          </w:p>
          <w:p w:rsidR="00155BAC" w:rsidRDefault="00C7415B">
            <w:pPr>
              <w:pStyle w:val="ListBullet"/>
              <w:numPr>
                <w:ilvl w:val="0"/>
                <w:numId w:val="38"/>
              </w:numPr>
              <w:spacing w:after="120"/>
              <w:ind w:left="284" w:hanging="284"/>
              <w:rPr>
                <w:noProof/>
                <w:sz w:val="22"/>
                <w:szCs w:val="22"/>
              </w:rPr>
            </w:pPr>
            <w:r>
              <w:rPr>
                <w:noProof/>
                <w:sz w:val="22"/>
              </w:rPr>
              <w:t>Проверка за пригодност на законодателството за защита на потребителите.</w:t>
            </w:r>
          </w:p>
          <w:p w:rsidR="00155BAC" w:rsidRDefault="00C7415B">
            <w:pPr>
              <w:pStyle w:val="ListBullet"/>
              <w:numPr>
                <w:ilvl w:val="0"/>
                <w:numId w:val="38"/>
              </w:numPr>
              <w:spacing w:after="120"/>
              <w:ind w:left="284" w:hanging="284"/>
              <w:rPr>
                <w:noProof/>
                <w:sz w:val="22"/>
                <w:szCs w:val="22"/>
              </w:rPr>
            </w:pPr>
            <w:r>
              <w:rPr>
                <w:noProof/>
                <w:sz w:val="22"/>
              </w:rPr>
              <w:t>Секторна проверка за пригодност на строителния сектор.</w:t>
            </w:r>
          </w:p>
          <w:p w:rsidR="00155BAC" w:rsidRDefault="00C7415B">
            <w:pPr>
              <w:pStyle w:val="ListBullet"/>
              <w:numPr>
                <w:ilvl w:val="0"/>
                <w:numId w:val="38"/>
              </w:numPr>
              <w:spacing w:after="120"/>
              <w:ind w:left="284" w:hanging="284"/>
              <w:rPr>
                <w:noProof/>
              </w:rPr>
            </w:pPr>
            <w:r>
              <w:rPr>
                <w:noProof/>
                <w:sz w:val="22"/>
              </w:rPr>
              <w:t xml:space="preserve">Покана за предоставяне на </w:t>
            </w:r>
            <w:r>
              <w:rPr>
                <w:noProof/>
                <w:sz w:val="22"/>
              </w:rPr>
              <w:t>данни относно функционирането на регулаторната рамка на ЕС за финансовите услуги</w:t>
            </w:r>
            <w:r>
              <w:rPr>
                <w:noProof/>
              </w:rPr>
              <w:t xml:space="preserve"> </w:t>
            </w:r>
          </w:p>
        </w:tc>
      </w:tr>
    </w:tbl>
    <w:p w:rsidR="00155BAC" w:rsidRDefault="00C7415B">
      <w:pPr>
        <w:spacing w:before="240"/>
        <w:rPr>
          <w:noProof/>
        </w:rPr>
      </w:pPr>
      <w:r>
        <w:rPr>
          <w:noProof/>
        </w:rPr>
        <w:t>Ключово предизвикателство е да се предоставят достатъчно точно количествено разходите и ползите на предлаганите промени. Това количествено определяне е предизвикателство, не на последно място поради това, че данните, които са на разположение, включително д</w:t>
      </w:r>
      <w:r>
        <w:rPr>
          <w:noProof/>
        </w:rPr>
        <w:t>анни, които държавите членки могат да събират за изпълнението на законодателството, често са ограничени. Поради това е трудно да се представят точни оценки на въздействието в 28-те държави членки. Въпреки предизвикателствата, Комисията все пак представя ко</w:t>
      </w:r>
      <w:r>
        <w:rPr>
          <w:noProof/>
        </w:rPr>
        <w:t>личествено измерима информация в около половината от своите оценки на въздействието и в почти всички оценки, включени в програмата REFIT. Като цяло практиката на Комисията от гледна точка на количественото определяне е в голяма степен в съответствие с подх</w:t>
      </w:r>
      <w:r>
        <w:rPr>
          <w:noProof/>
        </w:rPr>
        <w:t xml:space="preserve">одите на други места, и е доста по-модерна във връзка с оценяването на ползите от политиките. </w:t>
      </w:r>
    </w:p>
    <w:p w:rsidR="00155BAC" w:rsidRDefault="00C7415B">
      <w:pPr>
        <w:rPr>
          <w:noProof/>
        </w:rPr>
      </w:pPr>
      <w:r>
        <w:rPr>
          <w:noProof/>
        </w:rPr>
        <w:t>С този подход се постигат резултати. В рамките на програмата си за пригодност на регулаторната рамка, Комисията стартира 137 инициативи за опростяване от 2015 г.</w:t>
      </w:r>
      <w:r>
        <w:rPr>
          <w:noProof/>
        </w:rPr>
        <w:t xml:space="preserve"> насам. Платформата REFIT е изиграла важна роля в насочването на работата на Комисията към случаите, които имат по-голямо значение за заинтересованите страни. От началото на 2016 г. платформата REFIT прие 58 становища и даде своя принос най-вече за опростя</w:t>
      </w:r>
      <w:r>
        <w:rPr>
          <w:noProof/>
        </w:rPr>
        <w:t>ването на общата селскостопанска политика, европейските структурни и инвестиционни фондове, правилата за ДДС и нормите в областта на единния пазар. Каре 3 съдържа редица примери, в които Комисията е установила потенциални икономии от разходи както за бизне</w:t>
      </w:r>
      <w:r>
        <w:rPr>
          <w:noProof/>
        </w:rPr>
        <w:t>са и гражданите, така и за националните администрации, с помощта на платформата REFIT. По-подробна информация за тези и всички други предложения по REFIT са представени в работния документ на службите на Комисията, публикуван заедно с настоящото съобщение.</w:t>
      </w:r>
      <w:r>
        <w:rPr>
          <w:noProof/>
        </w:rPr>
        <w:t xml:space="preserve"> Работната програма за 2018 г. съдържа важни предложения, за да се намалят ненужните разходи, които Комисията възнамерява да направи преди края на мандата си.</w:t>
      </w:r>
    </w:p>
    <w:tbl>
      <w:tblPr>
        <w:tblStyle w:val="TableGrid"/>
        <w:tblW w:w="0" w:type="auto"/>
        <w:shd w:val="clear" w:color="auto" w:fill="C6D9F1" w:themeFill="text2" w:themeFillTint="33"/>
        <w:tblLook w:val="04A0" w:firstRow="1" w:lastRow="0" w:firstColumn="1" w:lastColumn="0" w:noHBand="0" w:noVBand="1"/>
      </w:tblPr>
      <w:tblGrid>
        <w:gridCol w:w="8755"/>
      </w:tblGrid>
      <w:tr w:rsidR="00155BAC">
        <w:tc>
          <w:tcPr>
            <w:tcW w:w="8755" w:type="dxa"/>
            <w:shd w:val="clear" w:color="auto" w:fill="C6D9F1" w:themeFill="text2" w:themeFillTint="33"/>
          </w:tcPr>
          <w:p w:rsidR="00155BAC" w:rsidRDefault="00C7415B">
            <w:pPr>
              <w:spacing w:after="120"/>
              <w:rPr>
                <w:b/>
                <w:i/>
                <w:noProof/>
                <w:sz w:val="22"/>
                <w:szCs w:val="22"/>
              </w:rPr>
            </w:pPr>
            <w:r>
              <w:rPr>
                <w:b/>
                <w:i/>
                <w:noProof/>
                <w:sz w:val="22"/>
              </w:rPr>
              <w:t>Каре 3. Примери за нормативно опростяване на съществуващото законодателство</w:t>
            </w:r>
            <w:r>
              <w:rPr>
                <w:rStyle w:val="FootnoteReference"/>
                <w:b/>
                <w:i/>
                <w:noProof/>
                <w:sz w:val="22"/>
              </w:rPr>
              <w:footnoteReference w:id="19"/>
            </w:r>
          </w:p>
          <w:p w:rsidR="00155BAC" w:rsidRDefault="00C7415B">
            <w:pPr>
              <w:pStyle w:val="ListBullet"/>
              <w:numPr>
                <w:ilvl w:val="0"/>
                <w:numId w:val="37"/>
              </w:numPr>
              <w:spacing w:after="120"/>
              <w:ind w:left="284" w:hanging="284"/>
              <w:rPr>
                <w:noProof/>
                <w:sz w:val="22"/>
                <w:szCs w:val="22"/>
              </w:rPr>
            </w:pPr>
            <w:r>
              <w:rPr>
                <w:b/>
                <w:i/>
                <w:noProof/>
                <w:sz w:val="22"/>
              </w:rPr>
              <w:t>Предложение за модер</w:t>
            </w:r>
            <w:r>
              <w:rPr>
                <w:b/>
                <w:i/>
                <w:noProof/>
                <w:sz w:val="22"/>
              </w:rPr>
              <w:t>низиране на ДДС за целите на трансграничната електронна търговия между предприятия и потребители (COM(2016) 757)</w:t>
            </w:r>
            <w:r>
              <w:rPr>
                <w:noProof/>
                <w:sz w:val="22"/>
              </w:rPr>
              <w:t xml:space="preserve">. Предложението има за цел да опрости сложните задължения по ДДС, свързани с трансграничната електронна търговия, както и да създаде условия на </w:t>
            </w:r>
            <w:r>
              <w:rPr>
                <w:noProof/>
                <w:sz w:val="22"/>
              </w:rPr>
              <w:t xml:space="preserve">равнопоставеност за стопанските субекти от ЕС и от трети държави, което често прави несъответстващи необлагаемите с ДДС продажби. </w:t>
            </w:r>
            <w:bookmarkStart w:id="3" w:name="_Hlk492644038"/>
            <w:r>
              <w:rPr>
                <w:noProof/>
                <w:sz w:val="22"/>
              </w:rPr>
              <w:t xml:space="preserve">Очаква се предложението да намали разходите на предприятията за привеждане в съответствие със задълженията им по ДДС с </w:t>
            </w:r>
            <w:r>
              <w:rPr>
                <w:b/>
                <w:noProof/>
                <w:sz w:val="22"/>
              </w:rPr>
              <w:t>2,3 мил</w:t>
            </w:r>
            <w:r>
              <w:rPr>
                <w:b/>
                <w:noProof/>
                <w:sz w:val="22"/>
              </w:rPr>
              <w:t>иарда евро на година, считано от 2021 г.,</w:t>
            </w:r>
            <w:r>
              <w:rPr>
                <w:noProof/>
                <w:sz w:val="22"/>
              </w:rPr>
              <w:t xml:space="preserve"> като в същото време приходите от ДДС за държавите членки се увеличат със </w:t>
            </w:r>
            <w:r>
              <w:rPr>
                <w:b/>
                <w:noProof/>
                <w:sz w:val="22"/>
              </w:rPr>
              <w:t>7 милиарда евро</w:t>
            </w:r>
            <w:r>
              <w:rPr>
                <w:noProof/>
                <w:sz w:val="22"/>
              </w:rPr>
              <w:t>.</w:t>
            </w:r>
          </w:p>
          <w:bookmarkEnd w:id="3"/>
          <w:p w:rsidR="00155BAC" w:rsidRDefault="00C7415B">
            <w:pPr>
              <w:pStyle w:val="ListBullet"/>
              <w:numPr>
                <w:ilvl w:val="0"/>
                <w:numId w:val="37"/>
              </w:numPr>
              <w:spacing w:after="120"/>
              <w:ind w:left="284" w:hanging="284"/>
              <w:rPr>
                <w:noProof/>
                <w:sz w:val="22"/>
                <w:szCs w:val="22"/>
              </w:rPr>
            </w:pPr>
            <w:r>
              <w:rPr>
                <w:b/>
                <w:i/>
                <w:noProof/>
                <w:sz w:val="22"/>
              </w:rPr>
              <w:t>Предложение за регламент за създаване на единен цифров портал за предоставяне на информация, процедури, помощ и услуги за ре</w:t>
            </w:r>
            <w:r>
              <w:rPr>
                <w:b/>
                <w:i/>
                <w:noProof/>
                <w:sz w:val="22"/>
              </w:rPr>
              <w:t>шаване на проблеми (COM(2017)256).</w:t>
            </w:r>
            <w:r>
              <w:rPr>
                <w:noProof/>
                <w:sz w:val="22"/>
              </w:rPr>
              <w:t xml:space="preserve"> Съществуват значителни пречки както за гражданите, така и за предприятията, които са заинтересовани от преместване в друга държава от ЕС, от продажба на продукти или от предоставяне на услуги в такава държава. Намирането </w:t>
            </w:r>
            <w:r>
              <w:rPr>
                <w:noProof/>
                <w:sz w:val="22"/>
              </w:rPr>
              <w:t>на подходяща, точна и разбираема информация онлайн, както и възможността за достъп и извършване на административните процедури онлайн е от решаващо значение за желаещите да се възползват от предимствата на единния пазар, но това често е сложно, времеемко и</w:t>
            </w:r>
            <w:r>
              <w:rPr>
                <w:noProof/>
                <w:sz w:val="22"/>
              </w:rPr>
              <w:t xml:space="preserve"> скъпо, ако изобщо е възможно. </w:t>
            </w:r>
            <w:bookmarkStart w:id="4" w:name="_Hlk492644435"/>
            <w:r>
              <w:rPr>
                <w:noProof/>
                <w:sz w:val="22"/>
              </w:rPr>
              <w:t xml:space="preserve">Що се отнася до информацията, предприятията биха могли да </w:t>
            </w:r>
            <w:r>
              <w:rPr>
                <w:b/>
                <w:noProof/>
                <w:sz w:val="22"/>
              </w:rPr>
              <w:t>спестяват между 11 и 55 милиарда евро годишно</w:t>
            </w:r>
            <w:r>
              <w:rPr>
                <w:noProof/>
                <w:sz w:val="22"/>
              </w:rPr>
              <w:t xml:space="preserve"> за изследване на само девет свързани със стопанската дейност области. </w:t>
            </w:r>
            <w:bookmarkEnd w:id="4"/>
            <w:r>
              <w:rPr>
                <w:noProof/>
                <w:sz w:val="22"/>
              </w:rPr>
              <w:t xml:space="preserve">Предпочитаният вариант ще </w:t>
            </w:r>
            <w:r>
              <w:rPr>
                <w:b/>
                <w:noProof/>
                <w:sz w:val="22"/>
              </w:rPr>
              <w:t>намали със</w:t>
            </w:r>
            <w:r>
              <w:rPr>
                <w:noProof/>
                <w:sz w:val="22"/>
              </w:rPr>
              <w:t xml:space="preserve"> </w:t>
            </w:r>
            <w:r>
              <w:rPr>
                <w:b/>
                <w:noProof/>
                <w:sz w:val="22"/>
              </w:rPr>
              <w:t xml:space="preserve">60 % обема от </w:t>
            </w:r>
            <w:r>
              <w:rPr>
                <w:b/>
                <w:noProof/>
                <w:sz w:val="22"/>
              </w:rPr>
              <w:t>1,5 милиона часове,</w:t>
            </w:r>
            <w:r>
              <w:rPr>
                <w:noProof/>
                <w:sz w:val="22"/>
              </w:rPr>
              <w:t xml:space="preserve"> които гражданите понастоящем изразходват за проучвания онлайн на седемте основни теми, преди да заминат в чужбина.</w:t>
            </w:r>
          </w:p>
          <w:p w:rsidR="00155BAC" w:rsidRDefault="00C7415B">
            <w:pPr>
              <w:pStyle w:val="ListBullet"/>
              <w:numPr>
                <w:ilvl w:val="0"/>
                <w:numId w:val="37"/>
              </w:numPr>
              <w:spacing w:after="120"/>
              <w:ind w:left="284" w:hanging="284"/>
              <w:rPr>
                <w:b/>
                <w:i/>
                <w:noProof/>
                <w:sz w:val="22"/>
                <w:szCs w:val="22"/>
              </w:rPr>
            </w:pPr>
            <w:r>
              <w:rPr>
                <w:b/>
                <w:i/>
                <w:noProof/>
                <w:sz w:val="22"/>
              </w:rPr>
              <w:t xml:space="preserve">Предложение за регламент относно европейската бизнес статистика (COM(2017) 114). </w:t>
            </w:r>
            <w:r>
              <w:rPr>
                <w:noProof/>
                <w:sz w:val="22"/>
              </w:rPr>
              <w:t>Сегашната система за изготвяне на европе</w:t>
            </w:r>
            <w:r>
              <w:rPr>
                <w:noProof/>
                <w:sz w:val="22"/>
              </w:rPr>
              <w:t xml:space="preserve">йската бизнес статистика е разпокъсана между отделни специфични за различните области регламенти. Това води до несъответствия в събраните данни, както и до неефикасност при тяхното изготвяне. С новото предложение ще бъдат отменени 10 съществуващи актове и </w:t>
            </w:r>
            <w:r>
              <w:rPr>
                <w:noProof/>
                <w:sz w:val="22"/>
              </w:rPr>
              <w:t>ще се осигури обща правна рамка за изготвяне и съставяне на бизнес статистиката. Очаква се предложението да осигури по-добри и качествени статистически данни и да доведе до рационализиране на националните процеси на изготвяне на статистиката, както и намал</w:t>
            </w:r>
            <w:r>
              <w:rPr>
                <w:noProof/>
                <w:sz w:val="22"/>
              </w:rPr>
              <w:t xml:space="preserve">яване на статистическата тежест за респондентите, които предоставят данни. Очаква се новото предложение да доведе до </w:t>
            </w:r>
            <w:r>
              <w:rPr>
                <w:b/>
                <w:noProof/>
                <w:sz w:val="22"/>
              </w:rPr>
              <w:t>намаляване на административната тежест за предприятията в размер на най-малко 13,5 %,</w:t>
            </w:r>
            <w:r>
              <w:rPr>
                <w:noProof/>
                <w:sz w:val="22"/>
              </w:rPr>
              <w:t xml:space="preserve"> което до голяма степен се дължи на икономии при изгот</w:t>
            </w:r>
            <w:r>
              <w:rPr>
                <w:noProof/>
                <w:sz w:val="22"/>
              </w:rPr>
              <w:t>вянето на статистика на вътрешната търговия в ЕС.</w:t>
            </w:r>
          </w:p>
          <w:p w:rsidR="00155BAC" w:rsidRDefault="00C7415B">
            <w:pPr>
              <w:pStyle w:val="ListBullet"/>
              <w:numPr>
                <w:ilvl w:val="0"/>
                <w:numId w:val="37"/>
              </w:numPr>
              <w:spacing w:after="120"/>
              <w:ind w:left="284" w:hanging="284"/>
              <w:rPr>
                <w:noProof/>
                <w:sz w:val="22"/>
                <w:szCs w:val="22"/>
              </w:rPr>
            </w:pPr>
            <w:r>
              <w:rPr>
                <w:b/>
                <w:i/>
                <w:noProof/>
                <w:sz w:val="22"/>
              </w:rPr>
              <w:t>Преразглеждане на Регламента за европейската пазарна инфраструктура (Правила за извънборсови деривати, централните контрагенти и регистрите на трансакции) (COM(2017)208)</w:t>
            </w:r>
            <w:r>
              <w:rPr>
                <w:noProof/>
                <w:sz w:val="22"/>
              </w:rPr>
              <w:t>. В предложението се определят редица</w:t>
            </w:r>
            <w:r>
              <w:rPr>
                <w:noProof/>
                <w:sz w:val="22"/>
              </w:rPr>
              <w:t xml:space="preserve"> целеви изменения на действащия регламент, по-специално за опростяване на правилата и за премахване на непропорционалните разходи и тежести за малките дружества във финансовия сектор, без да се застрашава финансовата стабилност. Комбинираният ефект от всич</w:t>
            </w:r>
            <w:r>
              <w:rPr>
                <w:noProof/>
                <w:sz w:val="22"/>
              </w:rPr>
              <w:t xml:space="preserve">ки предпочитани варианти, изчислен единствено за целите на оценката на въздействието, ще доведе до </w:t>
            </w:r>
            <w:r>
              <w:rPr>
                <w:b/>
                <w:noProof/>
                <w:sz w:val="22"/>
              </w:rPr>
              <w:t>намаление на разходите от 2,3 милиарда евро до 6,9 милиарда евро относно фиксираните (еднократни) разходи и от 1,1 милиарда евро до 2,66 милиарда евро относн</w:t>
            </w:r>
            <w:r>
              <w:rPr>
                <w:b/>
                <w:noProof/>
                <w:sz w:val="22"/>
              </w:rPr>
              <w:t>о оперативните разходи</w:t>
            </w:r>
            <w:r>
              <w:rPr>
                <w:noProof/>
                <w:sz w:val="22"/>
              </w:rPr>
              <w:t>.</w:t>
            </w:r>
          </w:p>
          <w:p w:rsidR="00155BAC" w:rsidRDefault="00C7415B">
            <w:pPr>
              <w:pStyle w:val="ListBullet"/>
              <w:numPr>
                <w:ilvl w:val="0"/>
                <w:numId w:val="37"/>
              </w:numPr>
              <w:spacing w:after="120"/>
              <w:ind w:left="284" w:hanging="284"/>
              <w:rPr>
                <w:noProof/>
                <w:sz w:val="22"/>
                <w:szCs w:val="22"/>
              </w:rPr>
            </w:pPr>
            <w:r>
              <w:rPr>
                <w:b/>
                <w:i/>
                <w:noProof/>
                <w:sz w:val="22"/>
              </w:rPr>
              <w:t>Предложение за Регламент относно управлението на Енергийния съюз (COM(2016) 759)</w:t>
            </w:r>
            <w:r>
              <w:rPr>
                <w:noProof/>
                <w:sz w:val="22"/>
              </w:rPr>
              <w:t>. Предложението ще доведе до значително намаляване на административната тежест за държавите членки, Комисията и другите институции на ЕС чрез рационализ</w:t>
            </w:r>
            <w:r>
              <w:rPr>
                <w:noProof/>
                <w:sz w:val="22"/>
              </w:rPr>
              <w:t>иране на сегашните изисквания в областта на планирането и докладването в областта на енергетиката и климата, които са разпръснати в различни правни инструменти с различни цикли на докладване. Чрез предложението се интегрират, рационализират или отменят пов</w:t>
            </w:r>
            <w:r>
              <w:rPr>
                <w:noProof/>
                <w:sz w:val="22"/>
              </w:rPr>
              <w:t xml:space="preserve">ече от над 50 съществуващи отделни задължения за планиране, докладване и мониторинг. Очаква се то да доведе </w:t>
            </w:r>
            <w:r>
              <w:rPr>
                <w:b/>
                <w:noProof/>
                <w:sz w:val="22"/>
              </w:rPr>
              <w:t>до допълнителни икономии в размер над 3,4 милиона евро на административни разходи</w:t>
            </w:r>
            <w:r>
              <w:rPr>
                <w:noProof/>
                <w:sz w:val="22"/>
              </w:rPr>
              <w:t>.</w:t>
            </w:r>
          </w:p>
          <w:p w:rsidR="00155BAC" w:rsidRDefault="00C7415B">
            <w:pPr>
              <w:pStyle w:val="ListBullet"/>
              <w:numPr>
                <w:ilvl w:val="0"/>
                <w:numId w:val="37"/>
              </w:numPr>
              <w:spacing w:after="120"/>
              <w:ind w:left="284" w:hanging="284"/>
              <w:rPr>
                <w:noProof/>
                <w:sz w:val="22"/>
                <w:szCs w:val="22"/>
              </w:rPr>
            </w:pPr>
            <w:r>
              <w:rPr>
                <w:b/>
                <w:i/>
                <w:noProof/>
                <w:sz w:val="22"/>
              </w:rPr>
              <w:t xml:space="preserve">Предложение за оперативната съвместимост на електронните системи </w:t>
            </w:r>
            <w:r>
              <w:rPr>
                <w:b/>
                <w:i/>
                <w:noProof/>
                <w:sz w:val="22"/>
              </w:rPr>
              <w:t xml:space="preserve">за пътно таксуване и за улесняване на трансграничния обмен на информация за неплащане на пътни такси в Съюза (COM(2017) 280). </w:t>
            </w:r>
            <w:r>
              <w:rPr>
                <w:noProof/>
                <w:sz w:val="22"/>
              </w:rPr>
              <w:t xml:space="preserve">Предложението има за цел справяне със слабата оперативна съвместимост на европейските системи за пътно таксуване и инфраструктура </w:t>
            </w:r>
            <w:r>
              <w:rPr>
                <w:noProof/>
                <w:sz w:val="22"/>
              </w:rPr>
              <w:t>чрез улесняване на навлизането на пазара на нови доставчици и чрез допускане доставка на по-малко сложни от техническа гледна точка бордови устройства за собствениците на превозни средства (различни от GPS). Слабата оперативна съвместимост се очаква да дов</w:t>
            </w:r>
            <w:r>
              <w:rPr>
                <w:noProof/>
                <w:sz w:val="22"/>
              </w:rPr>
              <w:t>еде до ненужни разходи в размер на 334 милиона евро годишно.</w:t>
            </w:r>
          </w:p>
          <w:p w:rsidR="00155BAC" w:rsidRDefault="00C7415B">
            <w:pPr>
              <w:pStyle w:val="ListBullet"/>
              <w:numPr>
                <w:ilvl w:val="0"/>
                <w:numId w:val="37"/>
              </w:numPr>
              <w:spacing w:after="120"/>
              <w:ind w:left="284" w:hanging="284"/>
              <w:rPr>
                <w:noProof/>
                <w:sz w:val="22"/>
                <w:szCs w:val="22"/>
              </w:rPr>
            </w:pPr>
            <w:r>
              <w:rPr>
                <w:b/>
                <w:i/>
                <w:noProof/>
                <w:sz w:val="22"/>
              </w:rPr>
              <w:t>Предложение за изменение на ограниченията за употребата на опасни вещества в електрическото и електронно оборудване (COM(2017) 38).</w:t>
            </w:r>
            <w:r>
              <w:rPr>
                <w:noProof/>
                <w:sz w:val="22"/>
              </w:rPr>
              <w:t xml:space="preserve"> Предложените мерки ще възстановят функционирането на вторичния </w:t>
            </w:r>
            <w:r>
              <w:rPr>
                <w:noProof/>
                <w:sz w:val="22"/>
              </w:rPr>
              <w:t>пазар и ще увеличат наличността от резервни части за някои видове оборудване. Ще бъдат намалени разходите и административната тежест за предприятията и публичните органи, ще има допълнителни пазарни възможности за ремонтните предприятия и за вторичните про</w:t>
            </w:r>
            <w:r>
              <w:rPr>
                <w:noProof/>
                <w:sz w:val="22"/>
              </w:rPr>
              <w:t xml:space="preserve">дажби, ще се получи положително социално въздействие, включително за болниците в ЕС, </w:t>
            </w:r>
            <w:r>
              <w:rPr>
                <w:b/>
                <w:noProof/>
                <w:sz w:val="22"/>
              </w:rPr>
              <w:t>които ще спестят около 170 милиона евро след 2019 г.</w:t>
            </w:r>
            <w:r>
              <w:rPr>
                <w:noProof/>
                <w:sz w:val="22"/>
              </w:rPr>
              <w:t>, чрез запазването на възможността за препродажба и купуване на употребявани медицински изделия. Изключването на органи</w:t>
            </w:r>
            <w:r>
              <w:rPr>
                <w:noProof/>
                <w:sz w:val="22"/>
              </w:rPr>
              <w:t xml:space="preserve"> с тръби от обхвата на директивата също ще помогне да се избегне загубата на близо 90 % от работните места в сектора и да се предотврати годишна загуба в размер до 65 милиона евро до 2025 г. </w:t>
            </w:r>
          </w:p>
        </w:tc>
      </w:tr>
    </w:tbl>
    <w:p w:rsidR="00155BAC" w:rsidRDefault="00C7415B">
      <w:pPr>
        <w:pStyle w:val="Heading2"/>
        <w:spacing w:before="240"/>
        <w:ind w:left="1202"/>
        <w:rPr>
          <w:noProof/>
        </w:rPr>
      </w:pPr>
      <w:r>
        <w:rPr>
          <w:noProof/>
        </w:rPr>
        <w:t>Оценка на алтернативни подходи за опростяване и намаляване на р</w:t>
      </w:r>
      <w:r>
        <w:rPr>
          <w:noProof/>
        </w:rPr>
        <w:t>азходите</w:t>
      </w:r>
    </w:p>
    <w:p w:rsidR="00155BAC" w:rsidRDefault="00C7415B">
      <w:pPr>
        <w:rPr>
          <w:noProof/>
          <w:lang w:val="ru-RU"/>
        </w:rPr>
      </w:pPr>
      <w:r>
        <w:rPr>
          <w:noProof/>
        </w:rPr>
        <w:t xml:space="preserve">Намаляването на ненужната регулаторна тежест е един от политическите приоритети на настоящата Комисия, което се предоставя чрез подход, който е насочен към действителните притеснения на заинтересованите страни, гарантира подходяща демократична отчетност и </w:t>
      </w:r>
      <w:r>
        <w:rPr>
          <w:noProof/>
        </w:rPr>
        <w:t>насърчава точното количествено определяне, без да зависи от него. В съответствие с ангажимента, поет в Междуинституционалното споразумение за по-добро законотворчество, Комисията все пак оценява алтернативни подходи, включително определянето на цели за нам</w:t>
      </w:r>
      <w:r>
        <w:rPr>
          <w:noProof/>
        </w:rPr>
        <w:t xml:space="preserve">аляване на тежестта в конкретни сектори. Заключенията са обобщени в каре 4, и са представени по-подробно в придружаващия работен документ на службите на Комисията. </w:t>
      </w:r>
    </w:p>
    <w:tbl>
      <w:tblPr>
        <w:tblStyle w:val="TableGrid"/>
        <w:tblW w:w="0" w:type="auto"/>
        <w:shd w:val="clear" w:color="auto" w:fill="C6D9F1" w:themeFill="text2" w:themeFillTint="33"/>
        <w:tblLook w:val="04A0" w:firstRow="1" w:lastRow="0" w:firstColumn="1" w:lastColumn="0" w:noHBand="0" w:noVBand="1"/>
      </w:tblPr>
      <w:tblGrid>
        <w:gridCol w:w="8834"/>
      </w:tblGrid>
      <w:tr w:rsidR="00155BAC">
        <w:tc>
          <w:tcPr>
            <w:tcW w:w="8834" w:type="dxa"/>
            <w:shd w:val="clear" w:color="auto" w:fill="C6D9F1" w:themeFill="text2" w:themeFillTint="33"/>
          </w:tcPr>
          <w:p w:rsidR="00155BAC" w:rsidRDefault="00C7415B">
            <w:pPr>
              <w:rPr>
                <w:b/>
                <w:i/>
                <w:noProof/>
                <w:sz w:val="22"/>
                <w:szCs w:val="22"/>
              </w:rPr>
            </w:pPr>
            <w:r>
              <w:rPr>
                <w:b/>
                <w:i/>
                <w:noProof/>
                <w:sz w:val="22"/>
                <w:szCs w:val="22"/>
              </w:rPr>
              <w:t>Каре 4. Алтернативни подходи за опростяване на нормативната уредба</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 xml:space="preserve">Един от подходите за </w:t>
            </w:r>
            <w:r w:rsidRPr="00C7415B">
              <w:rPr>
                <w:noProof/>
                <w:sz w:val="22"/>
                <w:szCs w:val="22"/>
                <w:lang w:eastAsia="en-US" w:bidi="ar-SA"/>
              </w:rPr>
              <w:t>намаляване на регулаторните разходи е чрез определяне на предварителни цели за намаляване на тежестта или за икономиката като цяло, или за отделните сектори. За да бъдат надеждни и ефективни, такива цели трябва да бъдат определени въз основа на методология</w:t>
            </w:r>
            <w:r w:rsidRPr="00C7415B">
              <w:rPr>
                <w:noProof/>
                <w:sz w:val="22"/>
                <w:szCs w:val="22"/>
                <w:lang w:eastAsia="en-US" w:bidi="ar-SA"/>
              </w:rPr>
              <w:t xml:space="preserve"> за установяване на общото равнище на разходите и оценка на това, което реално може да бъде намалено („базов сценарий“). Събирането на тези доказателства е скъпо и отнема значително време, без непременно да даде точна картина, тъй като данните често са огр</w:t>
            </w:r>
            <w:r w:rsidRPr="00C7415B">
              <w:rPr>
                <w:noProof/>
                <w:sz w:val="22"/>
                <w:szCs w:val="22"/>
                <w:lang w:eastAsia="en-US" w:bidi="ar-SA"/>
              </w:rPr>
              <w:t>аничени. Тази несигурност много затруднява калибрирането на амбицията на предварителната цел било то за икономиката като цяло или за даден сектор. Това важи в още по-голяма степен на европейско равнище, както е видно от собствения опит на Комисията с намал</w:t>
            </w:r>
            <w:r w:rsidRPr="00C7415B">
              <w:rPr>
                <w:noProof/>
                <w:sz w:val="22"/>
                <w:szCs w:val="22"/>
                <w:lang w:eastAsia="en-US" w:bidi="ar-SA"/>
              </w:rPr>
              <w:t>яване на административната тежест в периода 2007—2013</w:t>
            </w:r>
            <w:r>
              <w:rPr>
                <w:noProof/>
                <w:sz w:val="22"/>
                <w:szCs w:val="22"/>
                <w:lang w:val="en-GB" w:eastAsia="en-US" w:bidi="ar-SA"/>
              </w:rPr>
              <w:t> </w:t>
            </w:r>
            <w:r w:rsidRPr="00C7415B">
              <w:rPr>
                <w:noProof/>
                <w:sz w:val="22"/>
                <w:szCs w:val="22"/>
                <w:lang w:eastAsia="en-US" w:bidi="ar-SA"/>
              </w:rPr>
              <w:t>г.</w:t>
            </w:r>
            <w:r>
              <w:rPr>
                <w:noProof/>
                <w:sz w:val="22"/>
                <w:szCs w:val="22"/>
                <w:lang w:val="en-GB" w:eastAsia="en-US" w:bidi="ar-SA"/>
              </w:rPr>
              <w:footnoteReference w:id="20"/>
            </w:r>
            <w:r w:rsidRPr="00C7415B">
              <w:rPr>
                <w:noProof/>
                <w:sz w:val="22"/>
                <w:szCs w:val="22"/>
                <w:lang w:eastAsia="en-US" w:bidi="ar-SA"/>
              </w:rPr>
              <w:t xml:space="preserve"> </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Някои заинтересовани страни изказаха предположение, че целите следва да се определят „политически“, а не въз основа на методика, без да има ясна обосновка за това как ще се изчисляват или защо ще с</w:t>
            </w:r>
            <w:r w:rsidRPr="00C7415B">
              <w:rPr>
                <w:noProof/>
                <w:sz w:val="22"/>
                <w:szCs w:val="22"/>
                <w:lang w:eastAsia="en-US" w:bidi="ar-SA"/>
              </w:rPr>
              <w:t>е прилагат само в конкретни сектори. Комисията е загрижена, че такъв подход би създал натиск за дерегулиране и би създал пречки пред нейната политическа отговорност да осигури резултати в нужния момент (например като се има предвид необходимостта в миналот</w:t>
            </w:r>
            <w:r w:rsidRPr="00C7415B">
              <w:rPr>
                <w:noProof/>
                <w:sz w:val="22"/>
                <w:szCs w:val="22"/>
                <w:lang w:eastAsia="en-US" w:bidi="ar-SA"/>
              </w:rPr>
              <w:t>о да се реагира на финансовата криза и в по-близък план — усилията за справяне с проблеми, свързани със сигурността, предизвикателството на миграцията или въпроси, свързани с неприкосновеността на личния живот, предизвикани от новите технологии). Освен тов</w:t>
            </w:r>
            <w:r w:rsidRPr="00C7415B">
              <w:rPr>
                <w:noProof/>
                <w:sz w:val="22"/>
                <w:szCs w:val="22"/>
                <w:lang w:eastAsia="en-US" w:bidi="ar-SA"/>
              </w:rPr>
              <w:t xml:space="preserve">а тя не е убедена, че подобен подход ще бъде приемлив като цяло за заинтересованите страни. Разнообразието от гледни точки по въпроса с предварителните цели е добре илюстрирано от резултатите от консултацията на платформата </w:t>
            </w:r>
            <w:r>
              <w:rPr>
                <w:noProof/>
                <w:sz w:val="22"/>
                <w:szCs w:val="22"/>
                <w:lang w:val="en-GB" w:eastAsia="en-US" w:bidi="ar-SA"/>
              </w:rPr>
              <w:t>REFIT</w:t>
            </w:r>
            <w:r>
              <w:rPr>
                <w:noProof/>
                <w:sz w:val="22"/>
                <w:szCs w:val="22"/>
                <w:lang w:val="en-GB" w:eastAsia="en-US" w:bidi="ar-SA"/>
              </w:rPr>
              <w:footnoteReference w:id="21"/>
            </w:r>
            <w:r w:rsidRPr="00C7415B">
              <w:rPr>
                <w:noProof/>
                <w:sz w:val="22"/>
                <w:szCs w:val="22"/>
                <w:lang w:eastAsia="en-US" w:bidi="ar-SA"/>
              </w:rPr>
              <w:t>.</w:t>
            </w:r>
          </w:p>
          <w:p w:rsidR="00155BAC" w:rsidRDefault="00C7415B">
            <w:pPr>
              <w:pStyle w:val="ListBullet"/>
              <w:numPr>
                <w:ilvl w:val="0"/>
                <w:numId w:val="34"/>
              </w:numPr>
              <w:tabs>
                <w:tab w:val="num" w:pos="283"/>
              </w:tabs>
              <w:spacing w:after="120"/>
              <w:ind w:left="283" w:hanging="283"/>
              <w:rPr>
                <w:noProof/>
              </w:rPr>
            </w:pPr>
            <w:r w:rsidRPr="00C7415B">
              <w:rPr>
                <w:noProof/>
                <w:sz w:val="22"/>
                <w:szCs w:val="22"/>
                <w:lang w:eastAsia="en-US" w:bidi="ar-SA"/>
              </w:rPr>
              <w:t>Същите съображения важат</w:t>
            </w:r>
            <w:r w:rsidRPr="00C7415B">
              <w:rPr>
                <w:noProof/>
                <w:sz w:val="22"/>
                <w:szCs w:val="22"/>
                <w:lang w:eastAsia="en-US" w:bidi="ar-SA"/>
              </w:rPr>
              <w:t xml:space="preserve"> и за системата „</w:t>
            </w:r>
            <w:r>
              <w:rPr>
                <w:noProof/>
                <w:sz w:val="22"/>
                <w:szCs w:val="22"/>
                <w:lang w:val="en-GB" w:eastAsia="en-US" w:bidi="ar-SA"/>
              </w:rPr>
              <w:t>one</w:t>
            </w:r>
            <w:r w:rsidRPr="00C7415B">
              <w:rPr>
                <w:noProof/>
                <w:sz w:val="22"/>
                <w:szCs w:val="22"/>
                <w:lang w:eastAsia="en-US" w:bidi="ar-SA"/>
              </w:rPr>
              <w:t>-</w:t>
            </w:r>
            <w:r>
              <w:rPr>
                <w:noProof/>
                <w:sz w:val="22"/>
                <w:szCs w:val="22"/>
                <w:lang w:val="en-GB" w:eastAsia="en-US" w:bidi="ar-SA"/>
              </w:rPr>
              <w:t>in</w:t>
            </w:r>
            <w:r w:rsidRPr="00C7415B">
              <w:rPr>
                <w:noProof/>
                <w:sz w:val="22"/>
                <w:szCs w:val="22"/>
                <w:lang w:eastAsia="en-US" w:bidi="ar-SA"/>
              </w:rPr>
              <w:t>-</w:t>
            </w:r>
            <w:r>
              <w:rPr>
                <w:noProof/>
                <w:sz w:val="22"/>
                <w:szCs w:val="22"/>
                <w:lang w:val="en-GB" w:eastAsia="en-US" w:bidi="ar-SA"/>
              </w:rPr>
              <w:t>one</w:t>
            </w:r>
            <w:r w:rsidRPr="00C7415B">
              <w:rPr>
                <w:noProof/>
                <w:sz w:val="22"/>
                <w:szCs w:val="22"/>
                <w:lang w:eastAsia="en-US" w:bidi="ar-SA"/>
              </w:rPr>
              <w:t xml:space="preserve"> </w:t>
            </w:r>
            <w:r>
              <w:rPr>
                <w:noProof/>
                <w:sz w:val="22"/>
                <w:szCs w:val="22"/>
                <w:lang w:val="en-GB" w:eastAsia="en-US" w:bidi="ar-SA"/>
              </w:rPr>
              <w:t>out</w:t>
            </w:r>
            <w:r w:rsidRPr="00C7415B">
              <w:rPr>
                <w:noProof/>
                <w:sz w:val="22"/>
                <w:szCs w:val="22"/>
                <w:lang w:eastAsia="en-US" w:bidi="ar-SA"/>
              </w:rPr>
              <w:t>“, когато нов акт или допълнителните разходи, въведени с нов законодателен акт, трябва да бъдат придружени от съответното намаляване чрез преразглеждане на съществуващ законодателен акт или неговото оттегляне. Регулаторните р</w:t>
            </w:r>
            <w:r w:rsidRPr="00C7415B">
              <w:rPr>
                <w:noProof/>
                <w:sz w:val="22"/>
                <w:szCs w:val="22"/>
                <w:lang w:eastAsia="en-US" w:bidi="ar-SA"/>
              </w:rPr>
              <w:t>азходи трябва да бъдат намалявани въз основа на доказателства, а не просто на количествени цели. Дори Комисията да направи предложение за оттегляне на даден акт, законодателите може да не са съгласни; а отмяната сама по себе си може да доведе до 28 различн</w:t>
            </w:r>
            <w:r w:rsidRPr="00C7415B">
              <w:rPr>
                <w:noProof/>
                <w:sz w:val="22"/>
                <w:szCs w:val="22"/>
                <w:lang w:eastAsia="en-US" w:bidi="ar-SA"/>
              </w:rPr>
              <w:t>и и потенциално разминаващи</w:t>
            </w:r>
            <w:r>
              <w:rPr>
                <w:noProof/>
                <w:sz w:val="22"/>
                <w:szCs w:val="22"/>
              </w:rPr>
              <w:t xml:space="preserve"> се национални подхода.</w:t>
            </w:r>
          </w:p>
        </w:tc>
      </w:tr>
    </w:tbl>
    <w:p w:rsidR="00155BAC" w:rsidRDefault="00C7415B">
      <w:pPr>
        <w:rPr>
          <w:noProof/>
        </w:rPr>
      </w:pPr>
      <w:r>
        <w:rPr>
          <w:noProof/>
        </w:rPr>
        <w:t>Нито собственият опит на Комисията, нито видяното от функционирането на други системи позволяват да се заключи, че подходът, основан на предварителни цели за намаляване, ще доведе до по-добри резултати по</w:t>
      </w:r>
      <w:r>
        <w:rPr>
          <w:noProof/>
        </w:rPr>
        <w:t xml:space="preserve"> отношение на съкращаването на излишните разходи и ще гарантира осезаеми ползи на заинтересованите страни в сравнение със сегашния подход. Този подход се основава на индивидуална оценка на всеки от съществуващите законодателни актове, за да се установи как</w:t>
      </w:r>
      <w:r>
        <w:rPr>
          <w:noProof/>
        </w:rPr>
        <w:t>во може да бъде опростено, оптимизирано или премахнато. Подходът на Комисията функционира на базата на доказателства и легитимността му се основава на факта, че в него активно се включват всички заинтересовани страни. Той гарантира, че няма опасност от нео</w:t>
      </w:r>
      <w:r>
        <w:rPr>
          <w:noProof/>
        </w:rPr>
        <w:t xml:space="preserve">снователно дерегулиране или отрицателно въздействие върху основни цели на политиката. </w:t>
      </w:r>
    </w:p>
    <w:p w:rsidR="00155BAC" w:rsidRDefault="00C7415B">
      <w:pPr>
        <w:rPr>
          <w:noProof/>
        </w:rPr>
      </w:pPr>
      <w:r>
        <w:rPr>
          <w:noProof/>
        </w:rPr>
        <w:t>Поради тази причина Комисията ще съсредоточи усилията си върху подобряване на този подход. По-специално, доразвивайки своите оценки на законодателството, Комисията се ан</w:t>
      </w:r>
      <w:r>
        <w:rPr>
          <w:noProof/>
        </w:rPr>
        <w:t>гажира да гарантира, че всяка оценка на въздействието в подкрепа на преразглеждане на законодателството ясно представя възможните икономии от разходи — в количествено изражение, доколкото е възможно — определяйки по този начин ясна цел за намаляване на теж</w:t>
      </w:r>
      <w:r>
        <w:rPr>
          <w:noProof/>
        </w:rPr>
        <w:t>естта, която Европейският парламент и Съветът да вземат под внимание в своята работа</w:t>
      </w:r>
      <w:r>
        <w:rPr>
          <w:noProof/>
          <w:vertAlign w:val="superscript"/>
        </w:rPr>
        <w:footnoteReference w:id="22"/>
      </w:r>
      <w:r>
        <w:rPr>
          <w:noProof/>
        </w:rPr>
        <w:t>. Там, където двете институции изменят предложенията на Комисията и отнемат или добавят елементи на опростяване, Комисията ще ги прикани да обяснят по прозрачен начин защо</w:t>
      </w:r>
      <w:r>
        <w:rPr>
          <w:noProof/>
        </w:rPr>
        <w:t xml:space="preserve"> това е необходимо и да оценят въздействието на своите изменения в съответствие с Междуинституционалното споразумение за по-добро законотворчество. Тази цел за намаляване на административната тежест също така ще дава насоки на държавите членки при транспон</w:t>
      </w:r>
      <w:r>
        <w:rPr>
          <w:noProof/>
        </w:rPr>
        <w:t>ирането и прилагането на законодателството на Съюза.</w:t>
      </w:r>
    </w:p>
    <w:p w:rsidR="00155BAC" w:rsidRDefault="00C7415B">
      <w:pPr>
        <w:rPr>
          <w:noProof/>
        </w:rPr>
      </w:pPr>
      <w:r>
        <w:rPr>
          <w:noProof/>
        </w:rPr>
        <w:t>Освен това Комисията преработи своя инструментариум за по-добро регулиране с подробни насоки за службите на Комисията относно количественото определяне и подобри наличното вътрешно обучение. Комисията въ</w:t>
      </w:r>
      <w:r>
        <w:rPr>
          <w:noProof/>
        </w:rPr>
        <w:t>знамерява също да се консултира по-систематично със заинтересованите страни относно необходимостта или потенциала за опростяване на законодателството като част от консултативните си дейности, съпътстващи оценяването и оценките на въздействието.</w:t>
      </w:r>
    </w:p>
    <w:p w:rsidR="00155BAC" w:rsidRDefault="00C7415B">
      <w:pPr>
        <w:rPr>
          <w:noProof/>
        </w:rPr>
      </w:pPr>
      <w:r>
        <w:rPr>
          <w:noProof/>
        </w:rPr>
        <w:t>Също така К</w:t>
      </w:r>
      <w:r>
        <w:rPr>
          <w:noProof/>
        </w:rPr>
        <w:t>омисията ще работи с двете институции за засилване на действието на параграфи 22 и 23 от Междуинституционалното споразумение, така че да се установи по-систематичен подход за наблюдение и оценка на ефективността на действащото законодателство, за да се гар</w:t>
      </w:r>
      <w:r>
        <w:rPr>
          <w:noProof/>
        </w:rPr>
        <w:t xml:space="preserve">антира, че са налични данни, необходими за добро оценяване и солидно количествено определяне. Комисията ще включи подходящи разпоредби в своите предложения. </w:t>
      </w:r>
    </w:p>
    <w:p w:rsidR="00155BAC" w:rsidRDefault="00C7415B">
      <w:pPr>
        <w:rPr>
          <w:noProof/>
        </w:rPr>
      </w:pPr>
      <w:r>
        <w:rPr>
          <w:noProof/>
        </w:rPr>
        <w:t>Освен това държавите членки разполагат със значителна свобода на преценка относно начина на прилаг</w:t>
      </w:r>
      <w:r>
        <w:rPr>
          <w:noProof/>
        </w:rPr>
        <w:t>ане на правото на Съюза на национално, регионално и местно равнище. Начинът, по който регулаторната тежест се възприема от предприятията, се различава значително в рамките на Съюза, което навежда на мисълта, че тази свобода на преценка играе важна роля. Ко</w:t>
      </w:r>
      <w:r>
        <w:rPr>
          <w:noProof/>
        </w:rPr>
        <w:t xml:space="preserve">мисията ще продължи да работи с държавите членки по този въпрос, например чрез предоставяне на планове за изпълнение с цел да се улесни изпълнението. В съответствие с призива в Междуинституционалното споразумение, при транспонирането на законодателство на </w:t>
      </w:r>
      <w:r>
        <w:rPr>
          <w:noProof/>
        </w:rPr>
        <w:t>ЕС в националното право държавите членки следва ясно да посочат дали са добавени елементи, които не са свързани с това законодателство.</w:t>
      </w:r>
    </w:p>
    <w:p w:rsidR="00155BAC" w:rsidRDefault="00C7415B">
      <w:pPr>
        <w:pStyle w:val="Heading2"/>
        <w:rPr>
          <w:noProof/>
        </w:rPr>
      </w:pPr>
      <w:r>
        <w:rPr>
          <w:noProof/>
        </w:rPr>
        <w:t>Нов подход към прилагането на правото на Съюза</w:t>
      </w:r>
    </w:p>
    <w:p w:rsidR="00155BAC" w:rsidRDefault="00C7415B">
      <w:pPr>
        <w:rPr>
          <w:noProof/>
        </w:rPr>
      </w:pPr>
      <w:r>
        <w:rPr>
          <w:noProof/>
        </w:rPr>
        <w:t>Ефективното прилагане на правото на ЕС е от съществено значение за постиг</w:t>
      </w:r>
      <w:r>
        <w:rPr>
          <w:noProof/>
        </w:rPr>
        <w:t>ането на предвидените ползи. От ключово значение е държавите членки да изпълняват задължението си да спазват и прилагат правилата, които самите те са приели съвместно. Комисията ще продължи да подкрепя държавите членки в усилията им да транспонират, прилаг</w:t>
      </w:r>
      <w:r>
        <w:rPr>
          <w:noProof/>
        </w:rPr>
        <w:t xml:space="preserve">ат и изпълняват правото на ЕС. В същото време, в качеството си на пазител на Договорите Комисията ще увеличи усилията си, за да гарантира спазването на правото на ЕС. </w:t>
      </w:r>
    </w:p>
    <w:p w:rsidR="00155BAC" w:rsidRDefault="00C7415B">
      <w:pPr>
        <w:rPr>
          <w:noProof/>
        </w:rPr>
      </w:pPr>
      <w:r>
        <w:rPr>
          <w:noProof/>
        </w:rPr>
        <w:t>В съответствие с приоритетните действия, обявени през 2016 г., Комисията представи своят</w:t>
      </w:r>
      <w:r>
        <w:rPr>
          <w:noProof/>
        </w:rPr>
        <w:t>а нова политика за изпълнение в Съобщението си „Правото на ЕС: по-добри резултати чрез по-добро прилагане“</w:t>
      </w:r>
      <w:r>
        <w:rPr>
          <w:noProof/>
          <w:vertAlign w:val="superscript"/>
        </w:rPr>
        <w:footnoteReference w:id="23"/>
      </w:r>
      <w:r>
        <w:rPr>
          <w:noProof/>
        </w:rPr>
        <w:t>. В съобщението се представя по-стратегически подход към политиката на Комисията спрямо нарушенията чрез съсредоточаване върху системните проблеми, к</w:t>
      </w:r>
      <w:r>
        <w:rPr>
          <w:noProof/>
        </w:rPr>
        <w:t>огато действията на Комисията по правоприлагане могат да доведат до реална промяна. Приоритет ще бъде разследването на случаи, в които държавите членки неправилно транспонират или въобще пропускат да транспонират правото на ЕС в националното право. Важност</w:t>
      </w:r>
      <w:r>
        <w:rPr>
          <w:noProof/>
        </w:rPr>
        <w:t xml:space="preserve">та, която Комисията отдава на навременното транспониране на правото на Съюза, е отразена в укрепването на подхода за финансови санкции в такива случаи. Също така Комисията ще следи стриктно за случаи, в които държавите членки не са се съобразили с решение </w:t>
      </w:r>
      <w:r>
        <w:rPr>
          <w:noProof/>
        </w:rPr>
        <w:t>на Съда на Европейския съюз, в които са причинени сериозни щети на финансовите интереси на ЕС или в които е налице нарушение на изключителната компетентност на ЕС. Подобни пропуски лишават гражданите и предприятията от правата и предимствата, с които разпо</w:t>
      </w:r>
      <w:r>
        <w:rPr>
          <w:noProof/>
        </w:rPr>
        <w:t>лагат съгласно правото на ЕС. В съответствие с тази нова политика Комисията ще приключи случая, когато сметне това за целесъобразно от гледна точка на политиката. Промените в дейностите по правоприлагане са илюстрирани в наскоро публикуван информационен до</w:t>
      </w:r>
      <w:r>
        <w:rPr>
          <w:noProof/>
        </w:rPr>
        <w:t>кумент, придружаващ речта на председателя за състоянието на Съюза</w:t>
      </w:r>
      <w:r>
        <w:rPr>
          <w:noProof/>
          <w:vertAlign w:val="superscript"/>
        </w:rPr>
        <w:footnoteReference w:id="24"/>
      </w:r>
      <w:r>
        <w:rPr>
          <w:noProof/>
        </w:rPr>
        <w:t>.</w:t>
      </w:r>
    </w:p>
    <w:p w:rsidR="00155BAC" w:rsidRDefault="00C7415B">
      <w:pPr>
        <w:rPr>
          <w:noProof/>
        </w:rPr>
      </w:pPr>
      <w:r>
        <w:rPr>
          <w:noProof/>
        </w:rPr>
        <w:t>Целта на предложената от Комисията нова политика спрямо нарушенията е да се гарантира по-бързо изпълнение там, където е нужно, за да се постигнат резултати по политическите приоритети. Таз</w:t>
      </w:r>
      <w:r>
        <w:rPr>
          <w:noProof/>
        </w:rPr>
        <w:t xml:space="preserve">и нова политика спрямо нарушенията не е отделна инициатива, а е трайно залегнала в редица други действия, които Комисията ще предприеме, за да подкрепя държавите членки при прилагането на законодателството на ЕС и за да работи в тясно сътрудничество с тях </w:t>
      </w:r>
      <w:r>
        <w:rPr>
          <w:noProof/>
        </w:rPr>
        <w:t>за гарантиране на своевременното, правилно и ефективно прилагане на правото на ЕС. Комисията ще провежда по-системен диалог за по-добро законотворчество с държавите членки относно спазването на правото на ЕС и по-общи въпроси относно изпълнението и политич</w:t>
      </w:r>
      <w:r>
        <w:rPr>
          <w:noProof/>
        </w:rPr>
        <w:t xml:space="preserve">еските съображения в целия набор от законодателни области. </w:t>
      </w:r>
    </w:p>
    <w:p w:rsidR="00155BAC" w:rsidRDefault="00C7415B">
      <w:pPr>
        <w:rPr>
          <w:noProof/>
        </w:rPr>
      </w:pPr>
      <w:r>
        <w:rPr>
          <w:noProof/>
        </w:rPr>
        <w:t xml:space="preserve">Слабото прилагане на законодателството на Съюза означава, че предвидените ползи не се реализират на практика. Например цялостното прилагане на законодателството на ЕС в областта на околната среда </w:t>
      </w:r>
      <w:r>
        <w:rPr>
          <w:noProof/>
        </w:rPr>
        <w:t>може да доведе до икономии в размер на 50 млрд. евро годишно за икономиката на Съюза в резултат на по-малко разходи за здравеопазване и по-малко преки разходи за околната среда. Прегледът на изпълнението на политиките за околната среда</w:t>
      </w:r>
      <w:r>
        <w:rPr>
          <w:noProof/>
          <w:vertAlign w:val="superscript"/>
        </w:rPr>
        <w:footnoteReference w:id="25"/>
      </w:r>
      <w:r>
        <w:rPr>
          <w:noProof/>
        </w:rPr>
        <w:t xml:space="preserve"> бе стартиран като н</w:t>
      </w:r>
      <w:r>
        <w:rPr>
          <w:noProof/>
        </w:rPr>
        <w:t>ов инструмент за подобряване на прилагането на европейските политики и съвместно договорените правила за околната среда. Това е началото на нов процес съвместно с държавите членки за откриване и преодоляване на причините за неуспешно прилагане и опит да се</w:t>
      </w:r>
      <w:r>
        <w:rPr>
          <w:noProof/>
        </w:rPr>
        <w:t xml:space="preserve"> открият решения, преди проблемите да се задълбочат. През февруари 2017 г. Комисията публикува първия набор от 28</w:t>
      </w:r>
      <w:r>
        <w:rPr>
          <w:noProof/>
          <w:lang w:val="en-GB"/>
        </w:rPr>
        <w:t> </w:t>
      </w:r>
      <w:r>
        <w:rPr>
          <w:noProof/>
        </w:rPr>
        <w:t xml:space="preserve">доклада по държави за картографиране на силните страни, възможностите и слабостите по отношение на прилагането, заедно със съобщение, в което </w:t>
      </w:r>
      <w:r>
        <w:rPr>
          <w:noProof/>
        </w:rPr>
        <w:t>се определят общите предизвикателства и се предлагат действия за подобряване във всички държави — членки на ЕС</w:t>
      </w:r>
      <w:r>
        <w:rPr>
          <w:noProof/>
          <w:vertAlign w:val="superscript"/>
        </w:rPr>
        <w:footnoteReference w:id="26"/>
      </w:r>
      <w:r>
        <w:rPr>
          <w:noProof/>
        </w:rPr>
        <w:t>. Тази концепция може да се прилага по-широко в други области на политиката, ако се окаже успешна.</w:t>
      </w:r>
    </w:p>
    <w:p w:rsidR="00155BAC" w:rsidRDefault="00C7415B">
      <w:pPr>
        <w:numPr>
          <w:ilvl w:val="1"/>
          <w:numId w:val="20"/>
        </w:numPr>
        <w:tabs>
          <w:tab w:val="clear" w:pos="1429"/>
          <w:tab w:val="num" w:pos="1200"/>
        </w:tabs>
        <w:rPr>
          <w:b/>
          <w:noProof/>
        </w:rPr>
      </w:pPr>
      <w:r>
        <w:rPr>
          <w:b/>
          <w:noProof/>
        </w:rPr>
        <w:t>Сътрудничество с другите институции</w:t>
      </w:r>
    </w:p>
    <w:p w:rsidR="00155BAC" w:rsidRDefault="00C7415B">
      <w:pPr>
        <w:rPr>
          <w:noProof/>
        </w:rPr>
      </w:pPr>
      <w:r>
        <w:rPr>
          <w:noProof/>
        </w:rPr>
        <w:t>Междуинсти</w:t>
      </w:r>
      <w:r>
        <w:rPr>
          <w:noProof/>
        </w:rPr>
        <w:t xml:space="preserve">туционалното споразумение за по-добро законотворчество признава съвместната отговорност на всички институции на ЕС при разработването на висококачествени законодателни актове на Съюза. От своя страна Комисията изпълни повечето от ангажиментите си съгласно </w:t>
      </w:r>
      <w:r>
        <w:rPr>
          <w:noProof/>
        </w:rPr>
        <w:t xml:space="preserve">споразумението през последните 12 месеца. Комисията очаква първия политически преглед на постигнатото с Европейския парламент и със Съвета, за да се установи къде са необходими допълнителни усилия за подобряване на процесите за по-добро законотворчество и </w:t>
      </w:r>
      <w:r>
        <w:rPr>
          <w:noProof/>
        </w:rPr>
        <w:t xml:space="preserve">пригодността на законодателството на ЕС. </w:t>
      </w:r>
    </w:p>
    <w:tbl>
      <w:tblPr>
        <w:tblStyle w:val="TableGrid"/>
        <w:tblW w:w="0" w:type="auto"/>
        <w:shd w:val="clear" w:color="auto" w:fill="C6D9F1" w:themeFill="text2" w:themeFillTint="33"/>
        <w:tblLook w:val="04A0" w:firstRow="1" w:lastRow="0" w:firstColumn="1" w:lastColumn="0" w:noHBand="0" w:noVBand="1"/>
      </w:tblPr>
      <w:tblGrid>
        <w:gridCol w:w="8755"/>
      </w:tblGrid>
      <w:tr w:rsidR="00155BAC">
        <w:tc>
          <w:tcPr>
            <w:tcW w:w="8755" w:type="dxa"/>
            <w:shd w:val="clear" w:color="auto" w:fill="C6D9F1" w:themeFill="text2" w:themeFillTint="33"/>
          </w:tcPr>
          <w:p w:rsidR="00155BAC" w:rsidRDefault="00C7415B">
            <w:pPr>
              <w:rPr>
                <w:b/>
                <w:i/>
                <w:noProof/>
                <w:sz w:val="22"/>
                <w:szCs w:val="22"/>
              </w:rPr>
            </w:pPr>
            <w:r>
              <w:rPr>
                <w:b/>
                <w:i/>
                <w:noProof/>
                <w:sz w:val="22"/>
                <w:szCs w:val="22"/>
              </w:rPr>
              <w:t xml:space="preserve">Каре 5. Изпълнение на ангажиментите на Комисията съгласно Междуинституционалното споразумение за по-добро законотворчество </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 xml:space="preserve">С Европейския парламент и Съвета бе договорена съвместна декларация относно политическите </w:t>
            </w:r>
            <w:r w:rsidRPr="00C7415B">
              <w:rPr>
                <w:noProof/>
                <w:sz w:val="22"/>
                <w:szCs w:val="22"/>
                <w:lang w:eastAsia="en-US" w:bidi="ar-SA"/>
              </w:rPr>
              <w:t>приоритети за 2017</w:t>
            </w:r>
            <w:r>
              <w:rPr>
                <w:noProof/>
                <w:sz w:val="22"/>
                <w:szCs w:val="22"/>
                <w:lang w:val="en-GB" w:eastAsia="en-US" w:bidi="ar-SA"/>
              </w:rPr>
              <w:t> </w:t>
            </w:r>
            <w:r w:rsidRPr="00C7415B">
              <w:rPr>
                <w:noProof/>
                <w:sz w:val="22"/>
                <w:szCs w:val="22"/>
                <w:lang w:eastAsia="en-US" w:bidi="ar-SA"/>
              </w:rPr>
              <w:t>г., която е в процес на изпълнение.</w:t>
            </w:r>
          </w:p>
          <w:p w:rsidR="00155BAC" w:rsidRDefault="00C7415B">
            <w:pPr>
              <w:pStyle w:val="ListBullet"/>
              <w:numPr>
                <w:ilvl w:val="0"/>
                <w:numId w:val="34"/>
              </w:numPr>
              <w:tabs>
                <w:tab w:val="num" w:pos="283"/>
              </w:tabs>
              <w:spacing w:after="120"/>
              <w:ind w:left="283" w:hanging="283"/>
              <w:rPr>
                <w:noProof/>
                <w:sz w:val="22"/>
                <w:szCs w:val="22"/>
              </w:rPr>
            </w:pPr>
            <w:r w:rsidRPr="00C7415B">
              <w:rPr>
                <w:noProof/>
                <w:sz w:val="22"/>
                <w:szCs w:val="22"/>
                <w:lang w:eastAsia="en-US" w:bidi="ar-SA"/>
              </w:rPr>
              <w:t>Бяха направени предложения за актуализиране на правилата на комитологията в законодателни актове на Съюза в съответствие с изискванията на Договора от Лисабон</w:t>
            </w:r>
            <w:r>
              <w:rPr>
                <w:noProof/>
                <w:sz w:val="22"/>
                <w:szCs w:val="22"/>
              </w:rPr>
              <w:t>.</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 xml:space="preserve">Вече са в сила нови правила относно </w:t>
            </w:r>
            <w:r w:rsidRPr="00C7415B">
              <w:rPr>
                <w:noProof/>
                <w:sz w:val="22"/>
                <w:szCs w:val="22"/>
                <w:lang w:eastAsia="en-US" w:bidi="ar-SA"/>
              </w:rPr>
              <w:t>консултациите с експерти от държавите членки при изготвянето на делегирани актове. Бяха започнати и преговори между Европейския парламент, Съвета и Комисията относно установяване на критерии за разграничаване за делегираните актове.</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ИТ проектът за създаван</w:t>
            </w:r>
            <w:r w:rsidRPr="00C7415B">
              <w:rPr>
                <w:noProof/>
                <w:sz w:val="22"/>
                <w:szCs w:val="22"/>
                <w:lang w:eastAsia="en-US" w:bidi="ar-SA"/>
              </w:rPr>
              <w:t>е на нов регистър за делегирани актове е на път да бъде оперативен до края на 2017</w:t>
            </w:r>
            <w:r>
              <w:rPr>
                <w:noProof/>
                <w:sz w:val="22"/>
                <w:szCs w:val="22"/>
                <w:lang w:val="en-GB" w:eastAsia="en-US" w:bidi="ar-SA"/>
              </w:rPr>
              <w:t> </w:t>
            </w:r>
            <w:r w:rsidRPr="00C7415B">
              <w:rPr>
                <w:noProof/>
                <w:sz w:val="22"/>
                <w:szCs w:val="22"/>
                <w:lang w:eastAsia="en-US" w:bidi="ar-SA"/>
              </w:rPr>
              <w:t>г., както е предвидено.</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Трите институции са разработили и действат по план за нов съвместен междуинституционален интернет портал за подобряване на прозрачността на законодат</w:t>
            </w:r>
            <w:r w:rsidRPr="00C7415B">
              <w:rPr>
                <w:noProof/>
                <w:sz w:val="22"/>
                <w:szCs w:val="22"/>
                <w:lang w:eastAsia="en-US" w:bidi="ar-SA"/>
              </w:rPr>
              <w:t>елния процес.</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Бяха започнати и преговори между Европейския парламент, Съвета и Комисията относно определянето на практически аспекти за провеждането на международни преговори.</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Насоките и инструментариумът на Комисията за по-добро регулиране бяха преразглед</w:t>
            </w:r>
            <w:r w:rsidRPr="00C7415B">
              <w:rPr>
                <w:noProof/>
                <w:sz w:val="22"/>
                <w:szCs w:val="22"/>
                <w:lang w:eastAsia="en-US" w:bidi="ar-SA"/>
              </w:rPr>
              <w:t xml:space="preserve">ани и понастоящем включват всички въпроси, обхванати от Междуинституционалното споразумение за по-добро законотворчество, като например преработването и кодифицирането на текстовете, „цената на отказа от Европа“, правните разпоредби за наблюдение и оценка </w:t>
            </w:r>
            <w:r w:rsidRPr="00C7415B">
              <w:rPr>
                <w:noProof/>
                <w:sz w:val="22"/>
                <w:szCs w:val="22"/>
                <w:lang w:eastAsia="en-US" w:bidi="ar-SA"/>
              </w:rPr>
              <w:t>и др.</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Създаден бе ИТ капацитет за приемането на докладите на държавите членки относно тези национални мерки за транспониране, които надхвърлят обхвата на изискванията на правото на Съюза.</w:t>
            </w:r>
          </w:p>
          <w:p w:rsidR="00155BAC" w:rsidRDefault="00C7415B">
            <w:pPr>
              <w:pStyle w:val="ListBullet"/>
              <w:numPr>
                <w:ilvl w:val="0"/>
                <w:numId w:val="34"/>
              </w:numPr>
              <w:tabs>
                <w:tab w:val="num" w:pos="283"/>
              </w:tabs>
              <w:spacing w:after="120"/>
              <w:ind w:left="283" w:hanging="283"/>
              <w:rPr>
                <w:noProof/>
                <w:sz w:val="22"/>
                <w:szCs w:val="22"/>
              </w:rPr>
            </w:pPr>
            <w:r w:rsidRPr="00C7415B">
              <w:rPr>
                <w:noProof/>
                <w:sz w:val="22"/>
                <w:szCs w:val="22"/>
                <w:lang w:eastAsia="en-US" w:bidi="ar-SA"/>
              </w:rPr>
              <w:t>Настоящото съобщение се отнася до ангажиментите във връзка с опростя</w:t>
            </w:r>
            <w:r w:rsidRPr="00C7415B">
              <w:rPr>
                <w:noProof/>
                <w:sz w:val="22"/>
                <w:szCs w:val="22"/>
                <w:lang w:eastAsia="en-US" w:bidi="ar-SA"/>
              </w:rPr>
              <w:t>ването на законодателството и оценката на осъществимостта на определянето на цели за намаляване на ненужните разходи в ключови сектори</w:t>
            </w:r>
            <w:r>
              <w:rPr>
                <w:noProof/>
                <w:sz w:val="22"/>
                <w:szCs w:val="22"/>
              </w:rPr>
              <w:t>.</w:t>
            </w:r>
          </w:p>
        </w:tc>
      </w:tr>
    </w:tbl>
    <w:p w:rsidR="00155BAC" w:rsidRDefault="00C7415B">
      <w:pPr>
        <w:numPr>
          <w:ilvl w:val="0"/>
          <w:numId w:val="20"/>
        </w:numPr>
        <w:tabs>
          <w:tab w:val="clear" w:pos="764"/>
          <w:tab w:val="num" w:pos="480"/>
        </w:tabs>
        <w:spacing w:before="240"/>
        <w:ind w:left="482" w:hanging="482"/>
        <w:rPr>
          <w:b/>
          <w:smallCaps/>
          <w:noProof/>
        </w:rPr>
      </w:pPr>
      <w:r>
        <w:rPr>
          <w:b/>
          <w:smallCaps/>
          <w:noProof/>
        </w:rPr>
        <w:t>Заключения и следващи стъпки за приключване на програмата за по-добро регулиране</w:t>
      </w:r>
    </w:p>
    <w:p w:rsidR="00155BAC" w:rsidRDefault="00C7415B">
      <w:pPr>
        <w:rPr>
          <w:noProof/>
        </w:rPr>
      </w:pPr>
      <w:r>
        <w:rPr>
          <w:noProof/>
        </w:rPr>
        <w:t>Днес повече от всякога е необходимо да</w:t>
      </w:r>
      <w:r>
        <w:rPr>
          <w:noProof/>
        </w:rPr>
        <w:t xml:space="preserve"> се гарантира, че политиката се основава на факти и доказателства. Светът и проблемите, пред които сме изправени, са твърде комплексни, за да бъдат намерени решения, без фактите да бъдат отчитани по структуриран и всеобхватен начин.   </w:t>
      </w:r>
    </w:p>
    <w:p w:rsidR="00155BAC" w:rsidRDefault="00C7415B">
      <w:pPr>
        <w:rPr>
          <w:noProof/>
        </w:rPr>
      </w:pPr>
      <w:r>
        <w:rPr>
          <w:noProof/>
        </w:rPr>
        <w:t>Подходът на Комисият</w:t>
      </w:r>
      <w:r>
        <w:rPr>
          <w:noProof/>
        </w:rPr>
        <w:t>а функционира добре и е постигнал положителни резултати. По-доброто регулиране е инструмент, който е в основата на своевременни и стабилни политически решения за изпълнението на политическите приоритети, които способстват за действието на Комисията за спра</w:t>
      </w:r>
      <w:r>
        <w:rPr>
          <w:noProof/>
        </w:rPr>
        <w:t>вяне с предизвикателствата, пред които е изправен ЕС днес. Обществените консултации, оценяването, оценките на въздействието и програмата REFIT позволиха системната оценка на новите предложения и действащото законодателство, така че да се постигат необходим</w:t>
      </w:r>
      <w:r>
        <w:rPr>
          <w:noProof/>
        </w:rPr>
        <w:t>ите резултати и да се избягват ненужните регулаторни разходи. Този подход позволява законодателството да бъде оценено по същество по всеобхватен, основан на доказателства и систематичен начин. Той е гъвкав и позволява на Комисията да се съсредоточи върху к</w:t>
      </w:r>
      <w:r>
        <w:rPr>
          <w:noProof/>
        </w:rPr>
        <w:t>онкретни актове, които заинтересованите страни са посочили като нуждаещи се от подобрение.</w:t>
      </w:r>
    </w:p>
    <w:p w:rsidR="00155BAC" w:rsidRDefault="00C7415B">
      <w:pPr>
        <w:rPr>
          <w:noProof/>
        </w:rPr>
      </w:pPr>
      <w:r>
        <w:rPr>
          <w:noProof/>
        </w:rPr>
        <w:t>Така се гарантира, че по-доброто регулиране формира политическите опции и им осигурява по-голяма легитимност и отчетност. Този подход принуждава както създателите на</w:t>
      </w:r>
      <w:r>
        <w:rPr>
          <w:noProof/>
        </w:rPr>
        <w:t xml:space="preserve"> политики, така и заинтересованите страни да водят дебати въз основа на доказателства и очаквани въздействия; и накрая, в него се предвижда набор от инструменти за водене на пълноценен диалог с цялото общество.   </w:t>
      </w:r>
    </w:p>
    <w:p w:rsidR="00155BAC" w:rsidRDefault="00C7415B">
      <w:pPr>
        <w:rPr>
          <w:noProof/>
        </w:rPr>
      </w:pPr>
      <w:r>
        <w:rPr>
          <w:noProof/>
        </w:rPr>
        <w:t>Независимо от това Комисията винаги е гото</w:t>
      </w:r>
      <w:r>
        <w:rPr>
          <w:noProof/>
        </w:rPr>
        <w:t>ва да подобри своята политика за по-добро регулиране. По-специално, що се отнася до програмата REFIT, Комисията реши да увеличи усилията си за определяне на количественото въздействие на своите предложения и гарантиране на това, че всички изменения на съще</w:t>
      </w:r>
      <w:r>
        <w:rPr>
          <w:noProof/>
        </w:rPr>
        <w:t>ствуващото законодателство целят системното опростяване и намаляването на излишните разходи. Това е посочено в преработените насоките и инструментариума за по-добро регулиране, които влязоха в сила през юли тази година. От 1 ноември всички оценки на въздей</w:t>
      </w:r>
      <w:r>
        <w:rPr>
          <w:noProof/>
        </w:rPr>
        <w:t xml:space="preserve">ствието следва, доколкото е възможно, количествено да определят и да представят по последователен начин резултатите от работата с REFIT и цялата информация за разходите и ползите от инициативата. </w:t>
      </w:r>
    </w:p>
    <w:p w:rsidR="00155BAC" w:rsidRDefault="00C7415B">
      <w:pPr>
        <w:rPr>
          <w:noProof/>
        </w:rPr>
      </w:pPr>
      <w:r>
        <w:rPr>
          <w:noProof/>
        </w:rPr>
        <w:t>Комисията ще предостави цялостна оценка на начина, по който</w:t>
      </w:r>
      <w:r>
        <w:rPr>
          <w:noProof/>
        </w:rPr>
        <w:t xml:space="preserve"> програмата за по-добро регулиране се изпълнява през настоящия мандат на Комисията. </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155BAC">
        <w:tc>
          <w:tcPr>
            <w:tcW w:w="8726" w:type="dxa"/>
            <w:shd w:val="clear" w:color="auto" w:fill="C6D9F1" w:themeFill="text2" w:themeFillTint="33"/>
          </w:tcPr>
          <w:p w:rsidR="00155BAC" w:rsidRDefault="00C7415B">
            <w:pPr>
              <w:rPr>
                <w:b/>
                <w:i/>
                <w:noProof/>
                <w:sz w:val="22"/>
                <w:szCs w:val="22"/>
              </w:rPr>
            </w:pPr>
            <w:r>
              <w:rPr>
                <w:b/>
                <w:i/>
                <w:noProof/>
                <w:sz w:val="22"/>
                <w:szCs w:val="22"/>
              </w:rPr>
              <w:t>Каре 6. Последващи действия</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Във връзка с преразглеждането на действащо законодателство всяка оценка на въздействието ще представя ясно какви са възможните икономии в количествено изражение, доколкото е възможно, създавайки по този начин ясна цел за намаляване на разходите, която Евро</w:t>
            </w:r>
            <w:r w:rsidRPr="00C7415B">
              <w:rPr>
                <w:noProof/>
                <w:sz w:val="22"/>
                <w:szCs w:val="22"/>
                <w:lang w:eastAsia="en-US" w:bidi="ar-SA"/>
              </w:rPr>
              <w:t xml:space="preserve">пейският парламент и Съветът да вземат предвид в хода на законодателния процес, а държавите членки — при транспонирането и прилагането на законодателството от тяхна страна.  </w:t>
            </w:r>
          </w:p>
          <w:p w:rsidR="00155BAC" w:rsidRDefault="00C7415B">
            <w:pPr>
              <w:pStyle w:val="ListBullet"/>
              <w:numPr>
                <w:ilvl w:val="0"/>
                <w:numId w:val="34"/>
              </w:numPr>
              <w:tabs>
                <w:tab w:val="num" w:pos="283"/>
              </w:tabs>
              <w:spacing w:after="120"/>
              <w:ind w:left="283" w:hanging="283"/>
              <w:rPr>
                <w:noProof/>
                <w:sz w:val="22"/>
                <w:szCs w:val="22"/>
              </w:rPr>
            </w:pPr>
            <w:r w:rsidRPr="00C7415B">
              <w:rPr>
                <w:noProof/>
                <w:sz w:val="22"/>
                <w:szCs w:val="22"/>
                <w:lang w:eastAsia="en-US" w:bidi="ar-SA"/>
              </w:rPr>
              <w:t>В допълнение, през 2017</w:t>
            </w:r>
            <w:r>
              <w:rPr>
                <w:noProof/>
                <w:sz w:val="22"/>
                <w:szCs w:val="22"/>
                <w:lang w:val="en-GB" w:eastAsia="en-US" w:bidi="ar-SA"/>
              </w:rPr>
              <w:t> </w:t>
            </w:r>
            <w:r w:rsidRPr="00C7415B">
              <w:rPr>
                <w:noProof/>
                <w:sz w:val="22"/>
                <w:szCs w:val="22"/>
                <w:lang w:eastAsia="en-US" w:bidi="ar-SA"/>
              </w:rPr>
              <w:t>г. и 2018</w:t>
            </w:r>
            <w:r>
              <w:rPr>
                <w:noProof/>
                <w:sz w:val="22"/>
                <w:szCs w:val="22"/>
                <w:lang w:val="en-GB" w:eastAsia="en-US" w:bidi="ar-SA"/>
              </w:rPr>
              <w:t> </w:t>
            </w:r>
            <w:r w:rsidRPr="00C7415B">
              <w:rPr>
                <w:noProof/>
                <w:sz w:val="22"/>
                <w:szCs w:val="22"/>
                <w:lang w:eastAsia="en-US" w:bidi="ar-SA"/>
              </w:rPr>
              <w:t>г. ще бъдат направени ключови предложения, в ко</w:t>
            </w:r>
            <w:r w:rsidRPr="00C7415B">
              <w:rPr>
                <w:noProof/>
                <w:sz w:val="22"/>
                <w:szCs w:val="22"/>
                <w:lang w:eastAsia="en-US" w:bidi="ar-SA"/>
              </w:rPr>
              <w:t>ито ще бъде застъпено значително опростяване, включително</w:t>
            </w:r>
            <w:r>
              <w:rPr>
                <w:noProof/>
                <w:sz w:val="22"/>
                <w:szCs w:val="22"/>
              </w:rPr>
              <w:t>:</w:t>
            </w:r>
          </w:p>
          <w:p w:rsidR="00155BAC" w:rsidRDefault="00C7415B">
            <w:pPr>
              <w:ind w:left="766" w:hanging="284"/>
              <w:rPr>
                <w:noProof/>
                <w:sz w:val="22"/>
                <w:szCs w:val="22"/>
              </w:rPr>
            </w:pPr>
            <w:r>
              <w:rPr>
                <w:b/>
                <w:i/>
                <w:noProof/>
                <w:sz w:val="22"/>
                <w:szCs w:val="22"/>
              </w:rPr>
              <w:tab/>
            </w:r>
            <w:r>
              <w:rPr>
                <w:b/>
                <w:i/>
                <w:noProof/>
                <w:color w:val="FF0000"/>
                <w:sz w:val="22"/>
                <w:szCs w:val="22"/>
              </w:rPr>
              <w:t>Данъчно облагане и ДДС</w:t>
            </w:r>
            <w:r>
              <w:rPr>
                <w:noProof/>
                <w:sz w:val="22"/>
                <w:szCs w:val="22"/>
              </w:rPr>
              <w:t xml:space="preserve">: Пакет от инициативи относно окончателната система на ДДС и опростяване за МСП, което ще намали административната тежест върху малките предприятия, с цел да се допринесе за </w:t>
            </w:r>
            <w:r>
              <w:rPr>
                <w:noProof/>
                <w:sz w:val="22"/>
                <w:szCs w:val="22"/>
              </w:rPr>
              <w:t>създаването на благоприятна среда за техния растеж и трансграничната търговия и да се осигурят равнопоставени условия на конкуренция.</w:t>
            </w:r>
          </w:p>
          <w:p w:rsidR="00155BAC" w:rsidRDefault="00C7415B">
            <w:pPr>
              <w:ind w:left="766" w:hanging="284"/>
              <w:rPr>
                <w:noProof/>
                <w:sz w:val="22"/>
                <w:szCs w:val="22"/>
              </w:rPr>
            </w:pPr>
            <w:r>
              <w:rPr>
                <w:b/>
                <w:i/>
                <w:noProof/>
                <w:sz w:val="22"/>
                <w:szCs w:val="22"/>
              </w:rPr>
              <w:tab/>
            </w:r>
            <w:r>
              <w:rPr>
                <w:b/>
                <w:i/>
                <w:noProof/>
                <w:color w:val="FF0000"/>
                <w:sz w:val="22"/>
                <w:szCs w:val="22"/>
              </w:rPr>
              <w:t>Намаляване на тежестта за предприятията</w:t>
            </w:r>
            <w:r>
              <w:rPr>
                <w:noProof/>
                <w:sz w:val="22"/>
                <w:szCs w:val="22"/>
              </w:rPr>
              <w:t xml:space="preserve">: </w:t>
            </w:r>
            <w:r>
              <w:rPr>
                <w:i/>
                <w:noProof/>
                <w:sz w:val="22"/>
                <w:szCs w:val="22"/>
              </w:rPr>
              <w:t>Пакетът в областта на дружественото право</w:t>
            </w:r>
            <w:r>
              <w:rPr>
                <w:noProof/>
                <w:sz w:val="22"/>
                <w:szCs w:val="22"/>
              </w:rPr>
              <w:t xml:space="preserve"> ще опрости свързаните с дружественото </w:t>
            </w:r>
            <w:r>
              <w:rPr>
                <w:noProof/>
                <w:sz w:val="22"/>
                <w:szCs w:val="22"/>
              </w:rPr>
              <w:t>право процедури и ще намали съответната административна тежест за предприятията и публичните органи (например чрез използване на цифрови процедури).</w:t>
            </w:r>
          </w:p>
          <w:p w:rsidR="00155BAC" w:rsidRDefault="00C7415B">
            <w:pPr>
              <w:ind w:left="766" w:hanging="284"/>
              <w:rPr>
                <w:noProof/>
                <w:sz w:val="22"/>
                <w:szCs w:val="22"/>
              </w:rPr>
            </w:pPr>
            <w:r>
              <w:rPr>
                <w:b/>
                <w:i/>
                <w:noProof/>
                <w:sz w:val="22"/>
                <w:szCs w:val="22"/>
              </w:rPr>
              <w:tab/>
            </w:r>
            <w:r>
              <w:rPr>
                <w:b/>
                <w:i/>
                <w:noProof/>
                <w:color w:val="FF0000"/>
                <w:sz w:val="22"/>
                <w:szCs w:val="22"/>
              </w:rPr>
              <w:t>Подкрепа на публичните органи</w:t>
            </w:r>
            <w:r>
              <w:rPr>
                <w:noProof/>
                <w:sz w:val="22"/>
                <w:szCs w:val="22"/>
              </w:rPr>
              <w:t xml:space="preserve">: Изискванията за докладване в законодателството в областта на околната среда ще бъдат рационализирани въз основа на констатациите от проверката за пригодност. </w:t>
            </w:r>
          </w:p>
          <w:p w:rsidR="00155BAC" w:rsidRDefault="00C7415B">
            <w:pPr>
              <w:ind w:left="766" w:hanging="284"/>
              <w:rPr>
                <w:noProof/>
                <w:sz w:val="22"/>
                <w:szCs w:val="22"/>
              </w:rPr>
            </w:pPr>
            <w:r>
              <w:rPr>
                <w:b/>
                <w:i/>
                <w:noProof/>
                <w:sz w:val="22"/>
                <w:szCs w:val="22"/>
              </w:rPr>
              <w:tab/>
            </w:r>
            <w:r>
              <w:rPr>
                <w:b/>
                <w:i/>
                <w:noProof/>
                <w:color w:val="FF0000"/>
                <w:sz w:val="22"/>
                <w:szCs w:val="22"/>
              </w:rPr>
              <w:t>В подкрепа на потребителите</w:t>
            </w:r>
            <w:r>
              <w:rPr>
                <w:noProof/>
                <w:sz w:val="22"/>
                <w:szCs w:val="22"/>
              </w:rPr>
              <w:t>: Опростяване на съществуващите правила в законодателството, свърза</w:t>
            </w:r>
            <w:r>
              <w:rPr>
                <w:noProof/>
                <w:sz w:val="22"/>
                <w:szCs w:val="22"/>
              </w:rPr>
              <w:t>но с потребителите, например в областта на информационните изисквания и комуникацията от разстояние с потребителите. Това би довело до известно намаляване на разходите и на административната тежест.</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Законодателството на Съюза ще продължи да се оценява пери</w:t>
            </w:r>
            <w:r w:rsidRPr="00C7415B">
              <w:rPr>
                <w:noProof/>
                <w:sz w:val="22"/>
                <w:szCs w:val="22"/>
                <w:lang w:eastAsia="en-US" w:bidi="ar-SA"/>
              </w:rPr>
              <w:t xml:space="preserve">одично с цел да се запази целесъобразността му. В момента се извършват важни оценки на законодателството относно химичните вещества, законодателството, свързано с морето, и общото законодателство в областта на храните. </w:t>
            </w:r>
          </w:p>
          <w:p w:rsidR="00155BAC" w:rsidRPr="00C7415B" w:rsidRDefault="00C7415B">
            <w:pPr>
              <w:pStyle w:val="ListBullet"/>
              <w:numPr>
                <w:ilvl w:val="0"/>
                <w:numId w:val="34"/>
              </w:numPr>
              <w:tabs>
                <w:tab w:val="num" w:pos="283"/>
              </w:tabs>
              <w:spacing w:after="120"/>
              <w:ind w:left="283" w:hanging="283"/>
              <w:rPr>
                <w:noProof/>
                <w:sz w:val="22"/>
                <w:szCs w:val="22"/>
                <w:lang w:eastAsia="en-US" w:bidi="ar-SA"/>
              </w:rPr>
            </w:pPr>
            <w:r w:rsidRPr="00C7415B">
              <w:rPr>
                <w:noProof/>
                <w:sz w:val="22"/>
                <w:szCs w:val="22"/>
                <w:lang w:eastAsia="en-US" w:bidi="ar-SA"/>
              </w:rPr>
              <w:t>Ще се гарантира, че заинтересованите</w:t>
            </w:r>
            <w:r w:rsidRPr="00C7415B">
              <w:rPr>
                <w:noProof/>
                <w:sz w:val="22"/>
                <w:szCs w:val="22"/>
                <w:lang w:eastAsia="en-US" w:bidi="ar-SA"/>
              </w:rPr>
              <w:t xml:space="preserve"> страни системно се приканват да споделят своите виждания относно необходимостта и потенциала за опростяване на законодателството (например в обществени консултации по съпътстващите оценки и оценки на въздействието).</w:t>
            </w:r>
          </w:p>
          <w:p w:rsidR="00155BAC" w:rsidRDefault="00C7415B">
            <w:pPr>
              <w:pStyle w:val="ListBullet"/>
              <w:numPr>
                <w:ilvl w:val="0"/>
                <w:numId w:val="34"/>
              </w:numPr>
              <w:tabs>
                <w:tab w:val="num" w:pos="283"/>
              </w:tabs>
              <w:spacing w:after="120"/>
              <w:ind w:left="283" w:hanging="283"/>
              <w:rPr>
                <w:noProof/>
                <w:sz w:val="22"/>
                <w:szCs w:val="22"/>
              </w:rPr>
            </w:pPr>
            <w:r w:rsidRPr="00C7415B">
              <w:rPr>
                <w:noProof/>
                <w:sz w:val="22"/>
                <w:szCs w:val="22"/>
                <w:lang w:eastAsia="en-US" w:bidi="ar-SA"/>
              </w:rPr>
              <w:t>Заедно с Европейския парламент и Съвета</w:t>
            </w:r>
            <w:r w:rsidRPr="00C7415B">
              <w:rPr>
                <w:noProof/>
                <w:sz w:val="22"/>
                <w:szCs w:val="22"/>
                <w:lang w:eastAsia="en-US" w:bidi="ar-SA"/>
              </w:rPr>
              <w:t xml:space="preserve"> ще бъдат увеличени съвместните усилия за прилагане на разпоредбите на Междуинституционалното споразумение за по-добро законотворчество с цел включване на пропорционални</w:t>
            </w:r>
            <w:r>
              <w:rPr>
                <w:noProof/>
                <w:sz w:val="22"/>
                <w:szCs w:val="22"/>
              </w:rPr>
              <w:t xml:space="preserve"> механизми за мониторинг и оценка в новото законодателство.</w:t>
            </w:r>
          </w:p>
        </w:tc>
      </w:tr>
    </w:tbl>
    <w:p w:rsidR="00155BAC" w:rsidRDefault="00155BAC">
      <w:pPr>
        <w:rPr>
          <w:noProof/>
        </w:rPr>
      </w:pPr>
    </w:p>
    <w:sectPr w:rsidR="00155BA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AC" w:rsidRDefault="00C7415B">
      <w:pPr>
        <w:spacing w:after="0"/>
      </w:pPr>
      <w:r>
        <w:separator/>
      </w:r>
    </w:p>
  </w:endnote>
  <w:endnote w:type="continuationSeparator" w:id="0">
    <w:p w:rsidR="00155BAC" w:rsidRDefault="00C74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C7415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C7415B">
    <w:pPr>
      <w:pStyle w:val="Footer"/>
      <w:jc w:val="center"/>
    </w:pPr>
    <w:r>
      <w:fldChar w:fldCharType="begin"/>
    </w:r>
    <w:r>
      <w:instrText>PAGE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07318"/>
      <w:docPartObj>
        <w:docPartGallery w:val="Page Numbers (Bottom of Page)"/>
        <w:docPartUnique/>
      </w:docPartObj>
    </w:sdtPr>
    <w:sdtEndPr>
      <w:rPr>
        <w:noProof/>
      </w:rPr>
    </w:sdtEndPr>
    <w:sdtContent>
      <w:p w:rsidR="00155BAC" w:rsidRDefault="00C74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AC" w:rsidRDefault="00C7415B">
      <w:pPr>
        <w:spacing w:after="0"/>
      </w:pPr>
      <w:r>
        <w:separator/>
      </w:r>
    </w:p>
  </w:footnote>
  <w:footnote w:type="continuationSeparator" w:id="0">
    <w:p w:rsidR="00155BAC" w:rsidRDefault="00C7415B">
      <w:pPr>
        <w:spacing w:after="0"/>
      </w:pPr>
      <w:r>
        <w:continuationSeparator/>
      </w:r>
    </w:p>
  </w:footnote>
  <w:footnote w:id="1">
    <w:p w:rsidR="00155BAC" w:rsidRDefault="00C7415B">
      <w:pPr>
        <w:pStyle w:val="FootnoteText"/>
        <w:spacing w:after="120"/>
      </w:pPr>
      <w:r>
        <w:rPr>
          <w:rStyle w:val="FootnoteReference"/>
        </w:rPr>
        <w:footnoteRef/>
      </w:r>
      <w:r>
        <w:t xml:space="preserve"> </w:t>
      </w:r>
      <w:r>
        <w:tab/>
      </w:r>
      <w:hyperlink r:id="rId1">
        <w:r>
          <w:rPr>
            <w:rStyle w:val="Hyperlink"/>
          </w:rPr>
          <w:t>https://ec.europa.eu/commission/index_bg</w:t>
        </w:r>
      </w:hyperlink>
      <w:r>
        <w:t xml:space="preserve"> </w:t>
      </w:r>
    </w:p>
  </w:footnote>
  <w:footnote w:id="2">
    <w:p w:rsidR="00155BAC" w:rsidRDefault="00C7415B">
      <w:pPr>
        <w:pStyle w:val="FootnoteText"/>
        <w:spacing w:after="120"/>
      </w:pPr>
      <w:r>
        <w:rPr>
          <w:rStyle w:val="FootnoteReference"/>
        </w:rPr>
        <w:footnoteRef/>
      </w:r>
      <w:r>
        <w:t xml:space="preserve"> </w:t>
      </w:r>
      <w:r>
        <w:tab/>
        <w:t xml:space="preserve">COM(2017) xxx </w:t>
      </w:r>
      <w:r>
        <w:rPr>
          <w:i/>
        </w:rPr>
        <w:t>[да се попълни, когато стане известна.]</w:t>
      </w:r>
    </w:p>
  </w:footnote>
  <w:footnote w:id="3">
    <w:p w:rsidR="00155BAC" w:rsidRDefault="00C7415B">
      <w:pPr>
        <w:pStyle w:val="FootnoteText"/>
        <w:spacing w:after="120"/>
      </w:pPr>
      <w:r>
        <w:rPr>
          <w:rStyle w:val="FootnoteReference"/>
        </w:rPr>
        <w:footnoteRef/>
      </w:r>
      <w:r>
        <w:t xml:space="preserve"> </w:t>
      </w:r>
      <w:r>
        <w:tab/>
        <w:t xml:space="preserve">COM(2015) 215 от 19 май 2015 г. </w:t>
      </w:r>
      <w:r>
        <w:rPr>
          <w:i/>
        </w:rPr>
        <w:t>По-добро регулиране за по</w:t>
      </w:r>
      <w:r>
        <w:rPr>
          <w:i/>
        </w:rPr>
        <w:t>стигането на по-добри резултати — Програма на ЕС</w:t>
      </w:r>
      <w:r>
        <w:t>.</w:t>
      </w:r>
    </w:p>
  </w:footnote>
  <w:footnote w:id="4">
    <w:p w:rsidR="00155BAC" w:rsidRDefault="00C7415B">
      <w:pPr>
        <w:pStyle w:val="FootnoteText"/>
        <w:spacing w:after="120"/>
        <w:jc w:val="left"/>
        <w:rPr>
          <w:sz w:val="18"/>
          <w:szCs w:val="18"/>
        </w:rPr>
      </w:pPr>
      <w:r>
        <w:rPr>
          <w:rStyle w:val="FootnoteReference"/>
        </w:rPr>
        <w:footnoteRef/>
      </w:r>
      <w:r>
        <w:t xml:space="preserve"> </w:t>
      </w:r>
      <w:r>
        <w:tab/>
        <w:t xml:space="preserve">Резолюция на Европейския парламент от 12 април 2016 г. относно програмата за пригодност и резултатност на регулаторната рамка (REFIT): настояща ситуация и перспективи“; </w:t>
      </w:r>
      <w:hyperlink r:id="rId2">
        <w:r>
          <w:rPr>
            <w:rStyle w:val="Hyperlink"/>
            <w:sz w:val="18"/>
          </w:rPr>
          <w:t>http://www.europarl.europa.eu/sides/getDoc.do?pubRef=-//EP//TEXT+TA+P8-TA-2016-0104+0+DOC+XML+V0//BG</w:t>
        </w:r>
      </w:hyperlink>
      <w:r>
        <w:rPr>
          <w:sz w:val="18"/>
        </w:rPr>
        <w:t xml:space="preserve"> </w:t>
      </w:r>
    </w:p>
  </w:footnote>
  <w:footnote w:id="5">
    <w:p w:rsidR="00155BAC" w:rsidRDefault="00C7415B">
      <w:pPr>
        <w:pStyle w:val="FootnoteText"/>
        <w:spacing w:after="120"/>
      </w:pPr>
      <w:r>
        <w:rPr>
          <w:rStyle w:val="FootnoteReference"/>
        </w:rPr>
        <w:footnoteRef/>
      </w:r>
      <w:r>
        <w:t xml:space="preserve"> </w:t>
      </w:r>
      <w:r>
        <w:tab/>
        <w:t xml:space="preserve">По-добро регулиране за укрепване </w:t>
      </w:r>
      <w:r>
        <w:t xml:space="preserve">на конкурентоспособността: Заключения на Съвета, 26 май 2016 г.: </w:t>
      </w:r>
      <w:hyperlink r:id="rId3">
        <w:r>
          <w:rPr>
            <w:rStyle w:val="Hyperlink"/>
          </w:rPr>
          <w:t>http://www.consilium.europa.eu/en/press/press-releases/2016/05/26-conclusio</w:t>
        </w:r>
        <w:r>
          <w:rPr>
            <w:rStyle w:val="Hyperlink"/>
          </w:rPr>
          <w:t>ns-better-regulation/</w:t>
        </w:r>
      </w:hyperlink>
      <w:r>
        <w:t xml:space="preserve"> </w:t>
      </w:r>
    </w:p>
  </w:footnote>
  <w:footnote w:id="6">
    <w:p w:rsidR="00155BAC" w:rsidRDefault="00C7415B">
      <w:pPr>
        <w:pStyle w:val="FootnoteText"/>
        <w:spacing w:after="120"/>
      </w:pPr>
      <w:r>
        <w:rPr>
          <w:rStyle w:val="FootnoteReference"/>
        </w:rPr>
        <w:footnoteRef/>
      </w:r>
      <w:r>
        <w:t xml:space="preserve"> </w:t>
      </w:r>
      <w:r>
        <w:tab/>
        <w:t xml:space="preserve">ОИСР (2015), </w:t>
      </w:r>
      <w:r>
        <w:rPr>
          <w:i/>
        </w:rPr>
        <w:t>Перспективи на ОИСР относно регулаторната политика през 2015 г.</w:t>
      </w:r>
      <w:r>
        <w:t xml:space="preserve">, OECD Publishing, Paris; </w:t>
      </w:r>
      <w:hyperlink r:id="rId4">
        <w:r>
          <w:rPr>
            <w:rStyle w:val="Hyperlink"/>
          </w:rPr>
          <w:t>http://www.oecd.org</w:t>
        </w:r>
        <w:r>
          <w:rPr>
            <w:rStyle w:val="Hyperlink"/>
          </w:rPr>
          <w:t>/publications/oecd-regulatory-policy-outlook-2015-9789264238770-en.htm</w:t>
        </w:r>
      </w:hyperlink>
      <w:r>
        <w:t xml:space="preserve"> </w:t>
      </w:r>
    </w:p>
  </w:footnote>
  <w:footnote w:id="7">
    <w:p w:rsidR="00155BAC" w:rsidRDefault="00C7415B">
      <w:pPr>
        <w:pStyle w:val="FootnoteText"/>
        <w:spacing w:after="120"/>
      </w:pPr>
      <w:r>
        <w:rPr>
          <w:rStyle w:val="FootnoteReference"/>
        </w:rPr>
        <w:footnoteRef/>
      </w:r>
      <w:r>
        <w:t xml:space="preserve"> </w:t>
      </w:r>
      <w: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ОВ L 123, 12.5.2016 г., стр.1. </w:t>
      </w:r>
      <w:hyperlink r:id="rId5" w:history="1">
        <w:r>
          <w:rPr>
            <w:rStyle w:val="Hyperlink"/>
          </w:rPr>
          <w:t>http://eur-lex.europa.eu/legal-content/BG/TXT/?uri=OJ:L:2016:123:TOC</w:t>
        </w:r>
      </w:hyperlink>
      <w:r>
        <w:t xml:space="preserve"> </w:t>
      </w:r>
      <w:r>
        <w:rPr>
          <w:rStyle w:val="Hyperlink"/>
        </w:rPr>
        <w:t xml:space="preserve"> </w:t>
      </w:r>
      <w:r>
        <w:t xml:space="preserve"> </w:t>
      </w:r>
    </w:p>
  </w:footnote>
  <w:footnote w:id="8">
    <w:p w:rsidR="00155BAC" w:rsidRDefault="00C7415B">
      <w:pPr>
        <w:pStyle w:val="FootnoteText"/>
        <w:spacing w:after="120"/>
      </w:pPr>
      <w:r>
        <w:rPr>
          <w:rStyle w:val="FootnoteReference"/>
        </w:rPr>
        <w:footnoteRef/>
      </w:r>
      <w:r>
        <w:t xml:space="preserve"> </w:t>
      </w:r>
      <w:r>
        <w:tab/>
        <w:t xml:space="preserve">C(2016) 8600 от 21 декември 2016 г. </w:t>
      </w:r>
      <w:r>
        <w:rPr>
          <w:i/>
        </w:rPr>
        <w:t>„Право на ЕС: по-добри резултати чрез по-добро прилагане</w:t>
      </w:r>
      <w:r>
        <w:t>.</w:t>
      </w:r>
    </w:p>
  </w:footnote>
  <w:footnote w:id="9">
    <w:p w:rsidR="00155BAC" w:rsidRDefault="00C7415B">
      <w:pPr>
        <w:pStyle w:val="FootnoteText"/>
        <w:spacing w:after="120"/>
      </w:pPr>
      <w:r>
        <w:rPr>
          <w:rStyle w:val="FootnoteReference"/>
        </w:rPr>
        <w:footnoteRef/>
      </w:r>
      <w:r>
        <w:t xml:space="preserve"> </w:t>
      </w:r>
      <w:r>
        <w:tab/>
        <w:t>„Участи</w:t>
      </w:r>
      <w:r>
        <w:t xml:space="preserve">е в изготвянето на законодателството“: </w:t>
      </w:r>
      <w:hyperlink r:id="rId6">
        <w:r>
          <w:rPr>
            <w:rStyle w:val="Hyperlink"/>
          </w:rPr>
          <w:t>https://ec.europa.eu/info/law/contribute-law-making_bg</w:t>
        </w:r>
      </w:hyperlink>
      <w:r>
        <w:t xml:space="preserve"> </w:t>
      </w:r>
    </w:p>
  </w:footnote>
  <w:footnote w:id="10">
    <w:p w:rsidR="00155BAC" w:rsidRDefault="00C7415B">
      <w:pPr>
        <w:pStyle w:val="FootnoteText"/>
        <w:spacing w:after="120"/>
      </w:pPr>
      <w:r>
        <w:rPr>
          <w:rStyle w:val="FootnoteReference"/>
        </w:rPr>
        <w:footnoteRef/>
      </w:r>
      <w:r>
        <w:t xml:space="preserve"> </w:t>
      </w:r>
      <w:r>
        <w:tab/>
      </w:r>
      <w:hyperlink r:id="rId7">
        <w:r>
          <w:rPr>
            <w:rStyle w:val="Hyperlink"/>
          </w:rPr>
          <w:t>https://ec.europa.eu/info/better-regulation-guidelines-and-toolbox_bg</w:t>
        </w:r>
      </w:hyperlink>
      <w:r>
        <w:t xml:space="preserve"> </w:t>
      </w:r>
    </w:p>
  </w:footnote>
  <w:footnote w:id="11">
    <w:p w:rsidR="00155BAC" w:rsidRDefault="00C7415B">
      <w:pPr>
        <w:pStyle w:val="FootnoteText"/>
        <w:spacing w:after="120"/>
      </w:pPr>
      <w:r>
        <w:rPr>
          <w:rStyle w:val="FootnoteReference"/>
        </w:rPr>
        <w:footnoteRef/>
      </w:r>
      <w:r>
        <w:t xml:space="preserve"> </w:t>
      </w:r>
      <w:r>
        <w:tab/>
      </w:r>
      <w:hyperlink r:id="rId8">
        <w:r>
          <w:rPr>
            <w:rStyle w:val="Hyperlink"/>
          </w:rPr>
          <w:t>https://ec.europa.eu/info/law/law-making-process/regulatory-scrutiny-board_bg</w:t>
        </w:r>
      </w:hyperlink>
      <w:r>
        <w:t xml:space="preserve"> </w:t>
      </w:r>
    </w:p>
  </w:footnote>
  <w:footnote w:id="12">
    <w:p w:rsidR="00155BAC" w:rsidRDefault="00C7415B">
      <w:pPr>
        <w:pStyle w:val="FootnoteText"/>
        <w:spacing w:after="120"/>
      </w:pPr>
      <w:r>
        <w:rPr>
          <w:rStyle w:val="FootnoteReference"/>
        </w:rPr>
        <w:footnoteRef/>
      </w:r>
      <w:r>
        <w:t xml:space="preserve"> </w:t>
      </w:r>
      <w:r>
        <w:tab/>
        <w:t>Заключения на Съвета от декември 2014 г. (док. 16000/14), с които: „... Комисията беше призована да разработи и въведе — въз основа на приноса на държавите членки и заинтересованите страни — цели за намаляване на тежестта в особено обременени области, по</w:t>
      </w:r>
      <w:r>
        <w:t>-специално по отношение на МСП, в рамките на програмата REFIT, които няма да изискват референтно измерване и същевременно ще отчитат баланса между разходите и ползите от регулирането.“; и заключенията на Съвета от 26 май 2016 г. относно по-доброто регулира</w:t>
      </w:r>
      <w:r>
        <w:t xml:space="preserve">не за укрепване на конкурентоспособността, с които „настоятелно се приканва Комисията бързо да предприеме действия в тази посока, за да стане възможно въвеждането на цели за намаляване на тежестта през 2017 г., като същевременно постоянно се взема предвид </w:t>
      </w:r>
      <w:r>
        <w:t>[…] високо равнище на защита на потребителите, здравето, околната среда и наетите лица и значението на пълноценно функциониращия единен пазар.“</w:t>
      </w:r>
    </w:p>
  </w:footnote>
  <w:footnote w:id="13">
    <w:p w:rsidR="00155BAC" w:rsidRDefault="00C7415B">
      <w:pPr>
        <w:pStyle w:val="FootnoteText"/>
        <w:spacing w:after="120"/>
      </w:pPr>
      <w:r>
        <w:rPr>
          <w:rStyle w:val="FootnoteReference"/>
        </w:rPr>
        <w:footnoteRef/>
      </w:r>
      <w:r>
        <w:t xml:space="preserve"> </w:t>
      </w:r>
      <w:r>
        <w:tab/>
        <w:t xml:space="preserve">Пилотна база данни на ОИСР относно практиките за участие на заинтересованите страни: </w:t>
      </w:r>
      <w:hyperlink r:id="rId9">
        <w:r>
          <w:rPr>
            <w:rStyle w:val="Hyperlink"/>
          </w:rPr>
          <w:t>http://www.oecd.org/gov/regulatory-policy/EC-Stakeholder-Engagement.pdf</w:t>
        </w:r>
      </w:hyperlink>
      <w:r>
        <w:t xml:space="preserve"> </w:t>
      </w:r>
    </w:p>
  </w:footnote>
  <w:footnote w:id="14">
    <w:p w:rsidR="00155BAC" w:rsidRDefault="00C7415B">
      <w:pPr>
        <w:pStyle w:val="FootnoteText"/>
        <w:spacing w:after="120"/>
      </w:pPr>
      <w:r>
        <w:rPr>
          <w:rStyle w:val="FootnoteReference"/>
        </w:rPr>
        <w:footnoteRef/>
      </w:r>
      <w:r>
        <w:t xml:space="preserve"> </w:t>
      </w:r>
      <w:r>
        <w:tab/>
      </w:r>
      <w:hyperlink r:id="rId10">
        <w:r>
          <w:rPr>
            <w:rStyle w:val="Hyperlink"/>
          </w:rPr>
          <w:t>https://ec.europa.eu/info/sites/info/files/xxii4ab_on_stakeholder_consultation_mechanisms.pdf</w:t>
        </w:r>
      </w:hyperlink>
      <w:r>
        <w:t xml:space="preserve"> </w:t>
      </w:r>
    </w:p>
  </w:footnote>
  <w:footnote w:id="15">
    <w:p w:rsidR="00155BAC" w:rsidRDefault="00C7415B">
      <w:pPr>
        <w:pStyle w:val="FootnoteText"/>
      </w:pPr>
      <w:r>
        <w:rPr>
          <w:rStyle w:val="FootnoteReference"/>
        </w:rPr>
        <w:footnoteRef/>
      </w:r>
      <w:r>
        <w:t xml:space="preserve"> </w:t>
      </w:r>
      <w:r>
        <w:tab/>
      </w:r>
      <w:hyperlink r:id="rId11">
        <w:r>
          <w:rPr>
            <w:rStyle w:val="Hyperlink"/>
          </w:rPr>
          <w:t>https://ec.europa.eu/info/law/contribute-law-making_bg</w:t>
        </w:r>
      </w:hyperlink>
      <w:r>
        <w:t xml:space="preserve"> </w:t>
      </w:r>
    </w:p>
  </w:footnote>
  <w:footnote w:id="16">
    <w:p w:rsidR="00155BAC" w:rsidRDefault="00C7415B">
      <w:pPr>
        <w:pStyle w:val="FootnoteText"/>
        <w:spacing w:after="120"/>
      </w:pPr>
      <w:r>
        <w:rPr>
          <w:rStyle w:val="FootnoteReference"/>
        </w:rPr>
        <w:footnoteRef/>
      </w:r>
      <w:r>
        <w:t xml:space="preserve"> </w:t>
      </w:r>
      <w:r>
        <w:tab/>
      </w:r>
      <w:hyperlink r:id="rId12">
        <w:r>
          <w:rPr>
            <w:rStyle w:val="Hyperlink"/>
          </w:rPr>
          <w:t>https://ec.europa.eu/digital-single-market/en/news/roaming-implementing-regulation</w:t>
        </w:r>
      </w:hyperlink>
      <w:r>
        <w:t xml:space="preserve"> </w:t>
      </w:r>
    </w:p>
  </w:footnote>
  <w:footnote w:id="17">
    <w:p w:rsidR="00155BAC" w:rsidRDefault="00C7415B">
      <w:pPr>
        <w:pStyle w:val="FootnoteText"/>
        <w:spacing w:after="120"/>
      </w:pPr>
      <w:r>
        <w:rPr>
          <w:rStyle w:val="FootnoteReference"/>
        </w:rPr>
        <w:footnoteRef/>
      </w:r>
      <w:r>
        <w:t xml:space="preserve"> </w:t>
      </w:r>
      <w:r>
        <w:tab/>
        <w:t xml:space="preserve">COM(2015) 0750. </w:t>
      </w:r>
      <w:r>
        <w:rPr>
          <w:i/>
        </w:rPr>
        <w:t>Предложение за директива на Европейския парламент и н</w:t>
      </w:r>
      <w:r>
        <w:rPr>
          <w:i/>
        </w:rPr>
        <w:t>а Съвета за изменение на Директива 91/477/ЕИО на Съвета относно контрола на придобиването и притежаването на оръжие.</w:t>
      </w:r>
    </w:p>
  </w:footnote>
  <w:footnote w:id="18">
    <w:p w:rsidR="00155BAC" w:rsidRDefault="00C7415B">
      <w:pPr>
        <w:pStyle w:val="FootnoteText"/>
        <w:spacing w:after="120"/>
      </w:pPr>
      <w:r>
        <w:rPr>
          <w:rStyle w:val="FootnoteReference"/>
        </w:rPr>
        <w:footnoteRef/>
      </w:r>
      <w:r>
        <w:t xml:space="preserve"> </w:t>
      </w:r>
      <w:r>
        <w:tab/>
      </w:r>
      <w:hyperlink r:id="rId13">
        <w:r>
          <w:rPr>
            <w:rStyle w:val="Hyperlink"/>
          </w:rPr>
          <w:t>http://ec.europa.eu/info/law/better-regulation/lighten</w:t>
        </w:r>
        <w:r>
          <w:rPr>
            <w:rStyle w:val="Hyperlink"/>
          </w:rPr>
          <w:t>-load_bg</w:t>
        </w:r>
      </w:hyperlink>
      <w:r>
        <w:t xml:space="preserve"> </w:t>
      </w:r>
    </w:p>
  </w:footnote>
  <w:footnote w:id="19">
    <w:p w:rsidR="00155BAC" w:rsidRDefault="00C7415B">
      <w:pPr>
        <w:pStyle w:val="FootnoteText"/>
        <w:spacing w:after="120"/>
      </w:pPr>
      <w:r>
        <w:rPr>
          <w:rStyle w:val="FootnoteReference"/>
        </w:rPr>
        <w:footnoteRef/>
      </w:r>
      <w:r>
        <w:t xml:space="preserve"> </w:t>
      </w:r>
      <w:r>
        <w:tab/>
        <w:t>Примери за това са избрани от Анализa по програмата REFIT. Повече информация е на разположение в съответния работен документ.</w:t>
      </w:r>
    </w:p>
  </w:footnote>
  <w:footnote w:id="20">
    <w:p w:rsidR="00155BAC" w:rsidRDefault="00C7415B">
      <w:pPr>
        <w:pStyle w:val="FootnoteText"/>
        <w:spacing w:after="120"/>
      </w:pPr>
      <w:r>
        <w:rPr>
          <w:rStyle w:val="FootnoteReference"/>
        </w:rPr>
        <w:footnoteRef/>
      </w:r>
      <w:r>
        <w:t xml:space="preserve"> </w:t>
      </w:r>
      <w:r>
        <w:tab/>
      </w:r>
      <w:hyperlink r:id="rId14" w:history="1">
        <w:r>
          <w:rPr>
            <w:rStyle w:val="Hyperlink"/>
          </w:rPr>
          <w:t>https://publications.europa.eu/en/publication-detail/-/publication/257ede84-dd11-4873-be36-77aaca2faeab</w:t>
        </w:r>
      </w:hyperlink>
      <w:r>
        <w:t xml:space="preserve"> (програмата ABR</w:t>
      </w:r>
      <w:r>
        <w:rPr>
          <w:i/>
        </w:rPr>
        <w:t>plus</w:t>
      </w:r>
      <w:r>
        <w:t xml:space="preserve">) </w:t>
      </w:r>
    </w:p>
  </w:footnote>
  <w:footnote w:id="21">
    <w:p w:rsidR="00155BAC" w:rsidRDefault="00C7415B">
      <w:pPr>
        <w:pStyle w:val="FootnoteText"/>
        <w:spacing w:after="120"/>
      </w:pPr>
      <w:r>
        <w:rPr>
          <w:rStyle w:val="FootnoteReference"/>
        </w:rPr>
        <w:footnoteRef/>
      </w:r>
      <w:r>
        <w:t xml:space="preserve"> </w:t>
      </w:r>
      <w:r>
        <w:tab/>
      </w:r>
      <w:hyperlink r:id="rId15" w:history="1">
        <w:r>
          <w:rPr>
            <w:rStyle w:val="Hyperlink"/>
            <w:sz w:val="18"/>
          </w:rPr>
          <w:t>https://ec.europa.eu/info/law/law-making-process/overview-law-making-process/evaluating-and-improving-existing-laws/reducing-burdens-and-simplifying-law/refit-</w:t>
        </w:r>
        <w:r>
          <w:rPr>
            <w:rStyle w:val="Hyperlink"/>
            <w:sz w:val="18"/>
          </w:rPr>
          <w:t>platform/refit-platform-recommendations_en</w:t>
        </w:r>
      </w:hyperlink>
      <w:r>
        <w:rPr>
          <w:sz w:val="18"/>
        </w:rPr>
        <w:t xml:space="preserve">  </w:t>
      </w:r>
      <w:r>
        <w:t xml:space="preserve">   </w:t>
      </w:r>
    </w:p>
  </w:footnote>
  <w:footnote w:id="22">
    <w:p w:rsidR="00155BAC" w:rsidRDefault="00C7415B">
      <w:pPr>
        <w:pStyle w:val="FootnoteText"/>
        <w:spacing w:after="120"/>
      </w:pPr>
      <w:r>
        <w:rPr>
          <w:rStyle w:val="FootnoteReference"/>
        </w:rPr>
        <w:footnoteRef/>
      </w:r>
      <w:r>
        <w:t xml:space="preserve"> </w:t>
      </w:r>
      <w:r>
        <w:tab/>
        <w:t xml:space="preserve">Вж. инструмент #12 относно формата на доклада за оценка на въздействието в инструментариума за по-добро регулиране; </w:t>
      </w:r>
      <w:hyperlink r:id="rId16">
        <w:r>
          <w:rPr>
            <w:rStyle w:val="Hyperlink"/>
          </w:rPr>
          <w:t>https://ec.europa.eu/info/better-regulation-guidelines-and-toolbox_bg</w:t>
        </w:r>
      </w:hyperlink>
      <w:r>
        <w:t xml:space="preserve">  </w:t>
      </w:r>
    </w:p>
  </w:footnote>
  <w:footnote w:id="23">
    <w:p w:rsidR="00155BAC" w:rsidRDefault="00C7415B">
      <w:pPr>
        <w:pStyle w:val="FootnoteText"/>
        <w:spacing w:after="120"/>
        <w:rPr>
          <w:rStyle w:val="FootnoteReference"/>
        </w:rPr>
      </w:pPr>
      <w:r>
        <w:rPr>
          <w:rStyle w:val="FootnoteReference"/>
        </w:rPr>
        <w:footnoteRef/>
      </w:r>
      <w:r>
        <w:rPr>
          <w:rStyle w:val="FootnoteReference"/>
        </w:rPr>
        <w:t xml:space="preserve"> </w:t>
      </w:r>
      <w:r>
        <w:tab/>
      </w:r>
      <w:hyperlink r:id="rId17">
        <w:r>
          <w:t>C(2016) 8600</w:t>
        </w:r>
      </w:hyperlink>
      <w:r>
        <w:t>, OВ C 18, 19 януари 2017 г.</w:t>
      </w:r>
      <w:r>
        <w:rPr>
          <w:rStyle w:val="FootnoteReference"/>
        </w:rPr>
        <w:t xml:space="preserve"> </w:t>
      </w:r>
    </w:p>
  </w:footnote>
  <w:footnote w:id="24">
    <w:p w:rsidR="00155BAC" w:rsidRDefault="00C7415B">
      <w:pPr>
        <w:pStyle w:val="FootnoteText"/>
        <w:spacing w:after="120"/>
      </w:pPr>
      <w:r>
        <w:rPr>
          <w:rStyle w:val="FootnoteReference"/>
        </w:rPr>
        <w:footnoteRef/>
      </w:r>
      <w:r>
        <w:t xml:space="preserve"> </w:t>
      </w:r>
      <w:r>
        <w:tab/>
      </w:r>
      <w:hyperlink r:id="rId18">
        <w:r>
          <w:rPr>
            <w:rStyle w:val="Hyperlink"/>
          </w:rPr>
          <w:t>https://ec.europa.eu/commission/sites/beta-political/files/better-regulation-factsheet_bg.pdf</w:t>
        </w:r>
      </w:hyperlink>
      <w:r>
        <w:t xml:space="preserve"> </w:t>
      </w:r>
    </w:p>
  </w:footnote>
  <w:footnote w:id="25">
    <w:p w:rsidR="00155BAC" w:rsidRDefault="00C7415B">
      <w:pPr>
        <w:pStyle w:val="FootnoteText"/>
        <w:spacing w:after="120"/>
      </w:pPr>
      <w:r>
        <w:rPr>
          <w:rStyle w:val="FootnoteReference"/>
        </w:rPr>
        <w:footnoteRef/>
      </w:r>
      <w:r>
        <w:t xml:space="preserve"> </w:t>
      </w:r>
      <w:r>
        <w:tab/>
        <w:t>Съобщение: „Реализиране на ползите от политикит</w:t>
      </w:r>
      <w:r>
        <w:t>е на ЕС в областта на околната среда посредством редовен преглед на изпълнението на политиките за околната среда“ (COM/2016/ 316 final).</w:t>
      </w:r>
    </w:p>
  </w:footnote>
  <w:footnote w:id="26">
    <w:p w:rsidR="00155BAC" w:rsidRDefault="00C7415B">
      <w:pPr>
        <w:pStyle w:val="FootnoteText"/>
      </w:pPr>
      <w:r>
        <w:rPr>
          <w:rStyle w:val="FootnoteReference"/>
        </w:rPr>
        <w:footnoteRef/>
      </w:r>
      <w:r>
        <w:t xml:space="preserve"> </w:t>
      </w:r>
      <w:r>
        <w:tab/>
        <w:t>Съобщение: „Преглед на ЕС на изпълнението на политиките за околната среда — общи предизвикателства и начини за обеди</w:t>
      </w:r>
      <w:r>
        <w:t>няване на усилията с цел постигане на по-добри резултати“, (COM(2017)063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AC" w:rsidRDefault="00155BA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B385C14"/>
    <w:lvl w:ilvl="0">
      <w:start w:val="1"/>
      <w:numFmt w:val="bullet"/>
      <w:lvlText w:val=""/>
      <w:lvlJc w:val="left"/>
      <w:pPr>
        <w:tabs>
          <w:tab w:val="num" w:pos="360"/>
        </w:tabs>
        <w:ind w:left="360" w:hanging="360"/>
      </w:pPr>
      <w:rPr>
        <w:rFonts w:ascii="Symbol" w:hAnsi="Symbol" w:hint="default"/>
      </w:rPr>
    </w:lvl>
  </w:abstractNum>
  <w:abstractNum w:abstractNumId="3">
    <w:nsid w:val="04DA4462"/>
    <w:multiLevelType w:val="hybridMultilevel"/>
    <w:tmpl w:val="5EA4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A5F50"/>
    <w:multiLevelType w:val="hybridMultilevel"/>
    <w:tmpl w:val="714A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764"/>
        </w:tabs>
        <w:ind w:left="764"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B350FEF"/>
    <w:multiLevelType w:val="hybridMultilevel"/>
    <w:tmpl w:val="CF5A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DEE8E3A0"/>
    <w:lvl w:ilvl="0">
      <w:start w:val="1"/>
      <w:numFmt w:val="bullet"/>
      <w:lvlText w:val=""/>
      <w:lvlJc w:val="left"/>
      <w:pPr>
        <w:tabs>
          <w:tab w:val="num" w:pos="283"/>
        </w:tabs>
        <w:ind w:left="283" w:hanging="283"/>
      </w:pPr>
      <w:rPr>
        <w:rFonts w:ascii="Symbol" w:hAnsi="Symbol"/>
        <w:u w:val="none"/>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8010190"/>
    <w:multiLevelType w:val="hybridMultilevel"/>
    <w:tmpl w:val="4E88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F810E5"/>
    <w:multiLevelType w:val="hybridMultilevel"/>
    <w:tmpl w:val="9746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441BF3"/>
    <w:multiLevelType w:val="hybridMultilevel"/>
    <w:tmpl w:val="C8C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1D5DA1"/>
    <w:multiLevelType w:val="hybridMultilevel"/>
    <w:tmpl w:val="7BC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4567EC5"/>
    <w:multiLevelType w:val="hybridMultilevel"/>
    <w:tmpl w:val="285A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6"/>
  </w:num>
  <w:num w:numId="4">
    <w:abstractNumId w:val="9"/>
  </w:num>
  <w:num w:numId="5">
    <w:abstractNumId w:val="14"/>
  </w:num>
  <w:num w:numId="6">
    <w:abstractNumId w:val="26"/>
  </w:num>
  <w:num w:numId="7">
    <w:abstractNumId w:val="28"/>
  </w:num>
  <w:num w:numId="8">
    <w:abstractNumId w:val="12"/>
  </w:num>
  <w:num w:numId="9">
    <w:abstractNumId w:val="25"/>
  </w:num>
  <w:num w:numId="10">
    <w:abstractNumId w:val="24"/>
  </w:num>
  <w:num w:numId="11">
    <w:abstractNumId w:val="17"/>
  </w:num>
  <w:num w:numId="12">
    <w:abstractNumId w:val="23"/>
  </w:num>
  <w:num w:numId="13">
    <w:abstractNumId w:val="8"/>
  </w:num>
  <w:num w:numId="14">
    <w:abstractNumId w:val="13"/>
  </w:num>
  <w:num w:numId="15">
    <w:abstractNumId w:val="6"/>
  </w:num>
  <w:num w:numId="16">
    <w:abstractNumId w:val="10"/>
  </w:num>
  <w:num w:numId="17">
    <w:abstractNumId w:val="29"/>
  </w:num>
  <w:num w:numId="18">
    <w:abstractNumId w:val="11"/>
  </w:num>
  <w:num w:numId="19">
    <w:abstractNumId w:val="20"/>
  </w:num>
  <w:num w:numId="20">
    <w:abstractNumId w:val="7"/>
  </w:num>
  <w:num w:numId="21">
    <w:abstractNumId w:val="2"/>
  </w:num>
  <w:num w:numId="22">
    <w:abstractNumId w:val="4"/>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5"/>
  </w:num>
  <w:num w:numId="34">
    <w:abstractNumId w:val="15"/>
  </w:num>
  <w:num w:numId="35">
    <w:abstractNumId w:val="22"/>
  </w:num>
  <w:num w:numId="36">
    <w:abstractNumId w:val="21"/>
  </w:num>
  <w:num w:numId="37">
    <w:abstractNumId w:val="27"/>
  </w:num>
  <w:num w:numId="38">
    <w:abstractNumId w:val="3"/>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00CF9A9-BEF6-4C86-BD3F-867E8F33410F"/>
    <w:docVar w:name="LW_COVERPAGE_TYPE" w:val="1"/>
    <w:docVar w:name="LW_CROSSREFERENCE" w:val="{SWD(2017) 675 final}"/>
    <w:docVar w:name="LW_DATE.ADOPT.CP_ISODATE" w:val="&lt;EMPTY&gt;"/>
    <w:docVar w:name="LW_DocType" w:val="REP"/>
    <w:docVar w:name="LW_EMISSION" w:val="24.10.2017"/>
    <w:docVar w:name="LW_EMISSION_ISODATE" w:val="2017-10-24"/>
    <w:docVar w:name="LW_EMISSION_LOCATION" w:val="STR"/>
    <w:docVar w:name="LW_EMISSION_PREFIX" w:val="Страсбург, "/>
    <w:docVar w:name="LW_EMISSION_SUFFIX" w:val="\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7?\u1098?\u1083?\u1074?\u1072?\u1085?\u1077? \u1085?\u1072? \u1076?\u1085?\u1077?\u1074?\u1085?\u1080?\u1103? \u1088?\u1077?\u1076? \u1085?\u1072? \u1087?\u1086?-\u1076?\u1086?\u1073?\u1088?\u1086?\u1090?\u1086? \u1088?\u1077?\u1075?\u1091?\u1083?\u1080?\u1088?\u1072?\u1085?\u1077?: \u1087?\u1086?-\u1076?\u1086?\u1073?\u1088?\u1080? \u1088?\u1077?\u1096?\u1077?\u1085?\u1080?\u1103? \u1079?\u1072? \u1087?\u1086?-\u1076?\u1086?\u1073?\u1088?\u1080? \u1088?\u1077?\u1079?\u1091?\u1083?\u1090?\u1072?\u1090?\u1080? 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w:rsids>
    <w:rsidRoot w:val="00155BAC"/>
    <w:rsid w:val="00155BAC"/>
    <w:rsid w:val="00C7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basedOn w:val="DefaultParagraphFont"/>
    <w:link w:val="FootnoteText"/>
    <w:semiHidden/>
    <w:rPr>
      <w:lang w:eastAsia="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basedOn w:val="DefaultParagraphFont"/>
    <w:link w:val="FootnoteText"/>
    <w:semiHidden/>
    <w:rPr>
      <w:lang w:eastAsia="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bg" TargetMode="External"/><Relationship Id="rId13" Type="http://schemas.openxmlformats.org/officeDocument/2006/relationships/hyperlink" Target="http://ec.europa.eu/info/law/better-regulation/lighten-load_bg" TargetMode="External"/><Relationship Id="rId18" Type="http://schemas.openxmlformats.org/officeDocument/2006/relationships/hyperlink" Target="https://ec.europa.eu/commission/sites/beta-political/files/better-regulation-factsheet_bg.pdf" TargetMode="External"/><Relationship Id="rId3" Type="http://schemas.openxmlformats.org/officeDocument/2006/relationships/hyperlink" Target="http://www.consilium.europa.eu/en/press/press-releases/2016/05/26-conclusions-better-regulation/" TargetMode="External"/><Relationship Id="rId7" Type="http://schemas.openxmlformats.org/officeDocument/2006/relationships/hyperlink" Target="https://ec.europa.eu/info/better-regulation-guidelines-and-toolbox_bg" TargetMode="External"/><Relationship Id="rId12" Type="http://schemas.openxmlformats.org/officeDocument/2006/relationships/hyperlink" Target="https://ec.europa.eu/digital-single-market/en/news/roaming-implementing-regulation" TargetMode="External"/><Relationship Id="rId17" Type="http://schemas.openxmlformats.org/officeDocument/2006/relationships/hyperlink" Target="http://eur-lex.europa.eu/legal-content/BG/TXT/?uri=OJ:C:2017:018:TOC" TargetMode="External"/><Relationship Id="rId2" Type="http://schemas.openxmlformats.org/officeDocument/2006/relationships/hyperlink" Target="http://www.europarl.europa.eu/sides/getDoc.do?pubRef=-//EP//TEXT+TA+P8-TA-2016-0104+0+DOC+XML+V0//BG" TargetMode="External"/><Relationship Id="rId16" Type="http://schemas.openxmlformats.org/officeDocument/2006/relationships/hyperlink" Target="https://ec.europa.eu/info/better-regulation-guidelines-and-toolbox_bg" TargetMode="External"/><Relationship Id="rId1" Type="http://schemas.openxmlformats.org/officeDocument/2006/relationships/hyperlink" Target="https://ec.europa.eu/commission/index_bg" TargetMode="External"/><Relationship Id="rId6" Type="http://schemas.openxmlformats.org/officeDocument/2006/relationships/hyperlink" Target="https://ec.europa.eu/info/law/contribute-law-making_bg" TargetMode="External"/><Relationship Id="rId11" Type="http://schemas.openxmlformats.org/officeDocument/2006/relationships/hyperlink" Target="https://ec.europa.eu/info/law/contribute-law-making_bg" TargetMode="External"/><Relationship Id="rId5" Type="http://schemas.openxmlformats.org/officeDocument/2006/relationships/hyperlink" Target="http://eur-lex.europa.eu/legal-content/BG/TXT/?uri=OJ:L:2016:123:TOC" TargetMode="External"/><Relationship Id="rId15" Type="http://schemas.openxmlformats.org/officeDocument/2006/relationships/hyperlink" Target="https://ec.europa.eu/info/law/law-making-process/overview-law-making-process/evaluating-and-improving-existing-laws/reducing-burdens-and-simplifying-law/refit-platform/refit-platform-recommendations_bg" TargetMode="External"/><Relationship Id="rId10" Type="http://schemas.openxmlformats.org/officeDocument/2006/relationships/hyperlink" Target="https://ec.europa.eu/info/sites/info/files/xxii4ab_on_stakeholder_consultation_mechanisms.pdf" TargetMode="External"/><Relationship Id="rId4" Type="http://schemas.openxmlformats.org/officeDocument/2006/relationships/hyperlink" Target="http://www.oecd.org/publications/oecd-regulatory-policy-outlook-2015-9789264238770-en.htm" TargetMode="External"/><Relationship Id="rId9" Type="http://schemas.openxmlformats.org/officeDocument/2006/relationships/hyperlink" Target="http://www.oecd.org/gov/regulatory-policy/EC-Stakeholder-Engagement.pdf" TargetMode="External"/><Relationship Id="rId14" Type="http://schemas.openxmlformats.org/officeDocument/2006/relationships/hyperlink" Target="https://publications.europa.eu/en/publication-detail/-/publication/257ede84-dd11-4873-be36-77aaca2fae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SG\public\Projects\Smart_Regulation\BR%20COMM%202017\COM%20-%20BR%20main%20text\5-9-2017%20BR%20stats%20&amp;%20figures%20for%20CO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bg-BG"/>
              <a:t>Приоритетни инициативи за периода </a:t>
            </a:r>
            <a:r>
              <a:rPr lang="en-GB"/>
              <a:t>2014-2018</a:t>
            </a:r>
            <a:r>
              <a:rPr lang="bg-BG"/>
              <a:t> г.</a:t>
            </a:r>
            <a:endParaRPr lang="en-GB"/>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'BR stats 2015-2017'!$E$5</c:f>
              <c:strCache>
                <c:ptCount val="1"/>
                <c:pt idx="0">
                  <c:v>Priority initiatives 2014-2018</c:v>
                </c:pt>
              </c:strCache>
            </c:strRef>
          </c:tx>
          <c:invertIfNegative val="0"/>
          <c:cat>
            <c:numRef>
              <c:f>'BR stats 2015-2017'!$F$4:$J$4</c:f>
              <c:numCache>
                <c:formatCode>General</c:formatCode>
                <c:ptCount val="5"/>
                <c:pt idx="0">
                  <c:v>2014</c:v>
                </c:pt>
                <c:pt idx="1">
                  <c:v>2015</c:v>
                </c:pt>
                <c:pt idx="2">
                  <c:v>2016</c:v>
                </c:pt>
                <c:pt idx="3">
                  <c:v>2017</c:v>
                </c:pt>
                <c:pt idx="4">
                  <c:v>2018</c:v>
                </c:pt>
              </c:numCache>
            </c:numRef>
          </c:cat>
          <c:val>
            <c:numRef>
              <c:f>'BR stats 2015-2017'!$F$5:$J$5</c:f>
              <c:numCache>
                <c:formatCode>General</c:formatCode>
                <c:ptCount val="5"/>
                <c:pt idx="0">
                  <c:v>100</c:v>
                </c:pt>
                <c:pt idx="1">
                  <c:v>23</c:v>
                </c:pt>
                <c:pt idx="2">
                  <c:v>23</c:v>
                </c:pt>
                <c:pt idx="3">
                  <c:v>21</c:v>
                </c:pt>
                <c:pt idx="4">
                  <c:v>25</c:v>
                </c:pt>
              </c:numCache>
            </c:numRef>
          </c:val>
        </c:ser>
        <c:dLbls>
          <c:showLegendKey val="0"/>
          <c:showVal val="0"/>
          <c:showCatName val="0"/>
          <c:showSerName val="0"/>
          <c:showPercent val="0"/>
          <c:showBubbleSize val="0"/>
        </c:dLbls>
        <c:gapWidth val="150"/>
        <c:shape val="cylinder"/>
        <c:axId val="176367104"/>
        <c:axId val="178505984"/>
        <c:axId val="0"/>
      </c:bar3DChart>
      <c:catAx>
        <c:axId val="176367104"/>
        <c:scaling>
          <c:orientation val="minMax"/>
        </c:scaling>
        <c:delete val="0"/>
        <c:axPos val="b"/>
        <c:numFmt formatCode="General" sourceLinked="1"/>
        <c:majorTickMark val="out"/>
        <c:minorTickMark val="none"/>
        <c:tickLblPos val="nextTo"/>
        <c:txPr>
          <a:bodyPr/>
          <a:lstStyle/>
          <a:p>
            <a:pPr>
              <a:defRPr sz="1200" b="1"/>
            </a:pPr>
            <a:endParaRPr lang="en-US"/>
          </a:p>
        </c:txPr>
        <c:crossAx val="178505984"/>
        <c:crosses val="autoZero"/>
        <c:auto val="1"/>
        <c:lblAlgn val="ctr"/>
        <c:lblOffset val="100"/>
        <c:noMultiLvlLbl val="0"/>
      </c:catAx>
      <c:valAx>
        <c:axId val="178505984"/>
        <c:scaling>
          <c:orientation val="minMax"/>
        </c:scaling>
        <c:delete val="0"/>
        <c:axPos val="l"/>
        <c:majorGridlines/>
        <c:numFmt formatCode="General" sourceLinked="1"/>
        <c:majorTickMark val="out"/>
        <c:minorTickMark val="none"/>
        <c:tickLblPos val="nextTo"/>
        <c:txPr>
          <a:bodyPr/>
          <a:lstStyle/>
          <a:p>
            <a:pPr>
              <a:defRPr sz="1200" b="1"/>
            </a:pPr>
            <a:endParaRPr lang="en-US"/>
          </a:p>
        </c:txPr>
        <c:crossAx val="1763671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'BR stats 2015-2017'!$C$73</c:f>
              <c:strCache>
                <c:ptCount val="1"/>
                <c:pt idx="0">
                  <c:v>Number of visitors</c:v>
                </c:pt>
              </c:strCache>
            </c:strRef>
          </c:tx>
          <c:cat>
            <c:numRef>
              <c:f>'BR stats 2015-2017'!$B$74:$B$88</c:f>
              <c:numCache>
                <c:formatCode>mmm\-yy</c:formatCode>
                <c:ptCount val="15"/>
                <c:pt idx="0">
                  <c:v>42522</c:v>
                </c:pt>
                <c:pt idx="1">
                  <c:v>42552</c:v>
                </c:pt>
                <c:pt idx="2">
                  <c:v>42583</c:v>
                </c:pt>
                <c:pt idx="3">
                  <c:v>42614</c:v>
                </c:pt>
                <c:pt idx="4">
                  <c:v>42644</c:v>
                </c:pt>
                <c:pt idx="5">
                  <c:v>42675</c:v>
                </c:pt>
                <c:pt idx="6">
                  <c:v>42705</c:v>
                </c:pt>
                <c:pt idx="7">
                  <c:v>42736</c:v>
                </c:pt>
                <c:pt idx="8">
                  <c:v>42767</c:v>
                </c:pt>
                <c:pt idx="9">
                  <c:v>42795</c:v>
                </c:pt>
                <c:pt idx="10">
                  <c:v>42826</c:v>
                </c:pt>
                <c:pt idx="11">
                  <c:v>42856</c:v>
                </c:pt>
                <c:pt idx="12">
                  <c:v>42887</c:v>
                </c:pt>
                <c:pt idx="13">
                  <c:v>42917</c:v>
                </c:pt>
                <c:pt idx="14">
                  <c:v>42948</c:v>
                </c:pt>
              </c:numCache>
            </c:numRef>
          </c:cat>
          <c:val>
            <c:numRef>
              <c:f>'BR stats 2015-2017'!$C$74:$C$88</c:f>
              <c:numCache>
                <c:formatCode>General</c:formatCode>
                <c:ptCount val="15"/>
                <c:pt idx="0">
                  <c:v>0</c:v>
                </c:pt>
                <c:pt idx="1">
                  <c:v>5573</c:v>
                </c:pt>
                <c:pt idx="2">
                  <c:v>6991</c:v>
                </c:pt>
                <c:pt idx="3">
                  <c:v>13275</c:v>
                </c:pt>
                <c:pt idx="4">
                  <c:v>10192</c:v>
                </c:pt>
                <c:pt idx="5">
                  <c:v>10959</c:v>
                </c:pt>
                <c:pt idx="6">
                  <c:v>8787</c:v>
                </c:pt>
                <c:pt idx="7">
                  <c:v>13687</c:v>
                </c:pt>
                <c:pt idx="8">
                  <c:v>12559</c:v>
                </c:pt>
                <c:pt idx="9">
                  <c:v>22799</c:v>
                </c:pt>
                <c:pt idx="10">
                  <c:v>18562</c:v>
                </c:pt>
                <c:pt idx="11">
                  <c:v>25436</c:v>
                </c:pt>
                <c:pt idx="12">
                  <c:v>33360</c:v>
                </c:pt>
                <c:pt idx="13">
                  <c:v>39720</c:v>
                </c:pt>
                <c:pt idx="14">
                  <c:v>47428</c:v>
                </c:pt>
              </c:numCache>
            </c:numRef>
          </c:val>
          <c:smooth val="0"/>
        </c:ser>
        <c:dLbls>
          <c:showLegendKey val="0"/>
          <c:showVal val="0"/>
          <c:showCatName val="0"/>
          <c:showSerName val="0"/>
          <c:showPercent val="0"/>
          <c:showBubbleSize val="0"/>
        </c:dLbls>
        <c:marker val="1"/>
        <c:smooth val="0"/>
        <c:axId val="220111232"/>
        <c:axId val="64081920"/>
      </c:lineChart>
      <c:dateAx>
        <c:axId val="220111232"/>
        <c:scaling>
          <c:orientation val="minMax"/>
        </c:scaling>
        <c:delete val="0"/>
        <c:axPos val="b"/>
        <c:numFmt formatCode="mmm\-yy" sourceLinked="1"/>
        <c:majorTickMark val="out"/>
        <c:minorTickMark val="none"/>
        <c:tickLblPos val="nextTo"/>
        <c:txPr>
          <a:bodyPr/>
          <a:lstStyle/>
          <a:p>
            <a:pPr>
              <a:defRPr b="1"/>
            </a:pPr>
            <a:endParaRPr lang="en-US"/>
          </a:p>
        </c:txPr>
        <c:crossAx val="64081920"/>
        <c:crosses val="autoZero"/>
        <c:auto val="1"/>
        <c:lblOffset val="100"/>
        <c:baseTimeUnit val="months"/>
      </c:dateAx>
      <c:valAx>
        <c:axId val="6408192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220111232"/>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0.76789</cdr:x>
      <cdr:y>0.03818</cdr:y>
    </cdr:from>
    <cdr:to>
      <cdr:x>0.91903</cdr:x>
      <cdr:y>0.15244</cdr:y>
    </cdr:to>
    <cdr:sp macro="" textlink="">
      <cdr:nvSpPr>
        <cdr:cNvPr id="2" name="TextBox 1"/>
        <cdr:cNvSpPr txBox="1"/>
      </cdr:nvSpPr>
      <cdr:spPr>
        <a:xfrm xmlns:a="http://schemas.openxmlformats.org/drawingml/2006/main">
          <a:off x="3181647" y="80370"/>
          <a:ext cx="626223" cy="24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200" b="1">
              <a:solidFill>
                <a:srgbClr val="FF0000"/>
              </a:solidFill>
            </a:rPr>
            <a:t>47 428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5D8C-5792-402C-BB57-A16E360A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66</TotalTime>
  <Pages>18</Pages>
  <Words>6483</Words>
  <Characters>39032</Characters>
  <Application>Microsoft Office Word</Application>
  <DocSecurity>0</DocSecurity>
  <PresentationFormat>Microsoft Word 14.0</PresentationFormat>
  <Lines>639</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43</cp:revision>
  <cp:lastPrinted>2017-10-18T10:09:00Z</cp:lastPrinted>
  <dcterms:created xsi:type="dcterms:W3CDTF">2017-10-20T13:09:00Z</dcterms:created>
  <dcterms:modified xsi:type="dcterms:W3CDTF">2017-11-07T11:17:00Z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