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theme/themeOverride1.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43F" w:rsidRDefault="00CB3F65">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62E9FDD-BB40-4F59-B2F2-0496672C0D71" style="width:451.05pt;height:388.6pt">
            <v:imagedata r:id="rId12" o:title=""/>
          </v:shape>
        </w:pict>
      </w:r>
    </w:p>
    <w:bookmarkEnd w:id="0"/>
    <w:p w:rsidR="0087343F" w:rsidRDefault="0087343F">
      <w:pPr>
        <w:rPr>
          <w:noProof/>
          <w:highlight w:val="yellow"/>
        </w:rPr>
        <w:sectPr w:rsidR="0087343F">
          <w:headerReference w:type="even" r:id="rId13"/>
          <w:headerReference w:type="default" r:id="rId14"/>
          <w:footerReference w:type="even" r:id="rId15"/>
          <w:footerReference w:type="default" r:id="rId16"/>
          <w:headerReference w:type="first" r:id="rId17"/>
          <w:footerReference w:type="first" r:id="rId18"/>
          <w:pgSz w:w="11907" w:h="16839"/>
          <w:pgMar w:top="1134" w:right="1417" w:bottom="1134" w:left="1417" w:header="709" w:footer="709" w:gutter="0"/>
          <w:pgNumType w:start="2"/>
          <w:cols w:space="720"/>
          <w:docGrid w:linePitch="360"/>
        </w:sectPr>
      </w:pPr>
    </w:p>
    <w:p w:rsidR="0087343F" w:rsidRDefault="0087343F">
      <w:pPr>
        <w:pStyle w:val="TOCHeading"/>
        <w:spacing w:line="276" w:lineRule="auto"/>
        <w:rPr>
          <w:noProof/>
        </w:rPr>
      </w:pPr>
    </w:p>
    <w:p w:rsidR="0087343F" w:rsidRDefault="00CB3F65">
      <w:pPr>
        <w:pStyle w:val="TOCHeading"/>
        <w:spacing w:line="276" w:lineRule="auto"/>
        <w:rPr>
          <w:noProof/>
        </w:rPr>
      </w:pPr>
      <w:r>
        <w:rPr>
          <w:noProof/>
        </w:rPr>
        <w:t>Contents</w:t>
      </w:r>
    </w:p>
    <w:p w:rsidR="0087343F" w:rsidRDefault="0087343F">
      <w:pPr>
        <w:spacing w:line="276" w:lineRule="auto"/>
        <w:rPr>
          <w:noProof/>
          <w:lang w:eastAsia="en-GB"/>
        </w:rPr>
      </w:pPr>
    </w:p>
    <w:p w:rsidR="0087343F" w:rsidRDefault="00CB3F65">
      <w:pPr>
        <w:pStyle w:val="TOC1"/>
        <w:rPr>
          <w:rFonts w:asciiTheme="minorHAnsi" w:eastAsiaTheme="minorEastAsia" w:hAnsiTheme="minorHAnsi" w:cstheme="minorBidi"/>
          <w:noProof/>
          <w:sz w:val="22"/>
          <w:szCs w:val="22"/>
          <w:lang w:eastAsia="en-GB"/>
        </w:rPr>
      </w:pPr>
      <w:r>
        <w:rPr>
          <w:b/>
          <w:bCs/>
          <w:noProof/>
        </w:rPr>
        <w:fldChar w:fldCharType="begin"/>
      </w:r>
      <w:r>
        <w:rPr>
          <w:b/>
          <w:bCs/>
          <w:noProof/>
        </w:rPr>
        <w:instrText xml:space="preserve"> TOC \o "1-1" \h \z \u </w:instrText>
      </w:r>
      <w:r>
        <w:rPr>
          <w:b/>
          <w:bCs/>
          <w:noProof/>
        </w:rPr>
        <w:fldChar w:fldCharType="separate"/>
      </w:r>
      <w:hyperlink w:anchor="_Toc493168535" w:history="1">
        <w:r>
          <w:rPr>
            <w:rStyle w:val="Hyperlink"/>
          </w:rPr>
          <w:t>1.</w:t>
        </w:r>
        <w:r>
          <w:rPr>
            <w:rFonts w:asciiTheme="minorHAnsi" w:eastAsiaTheme="minorEastAsia" w:hAnsiTheme="minorHAnsi" w:cstheme="minorBidi"/>
            <w:noProof/>
            <w:sz w:val="22"/>
            <w:szCs w:val="22"/>
            <w:lang w:eastAsia="en-GB"/>
          </w:rPr>
          <w:tab/>
        </w:r>
        <w:r>
          <w:rPr>
            <w:rStyle w:val="Hyperlink"/>
          </w:rPr>
          <w:t>General overview</w:t>
        </w:r>
        <w:r>
          <w:rPr>
            <w:noProof/>
            <w:webHidden/>
          </w:rPr>
          <w:tab/>
        </w:r>
        <w:r>
          <w:rPr>
            <w:noProof/>
            <w:webHidden/>
          </w:rPr>
          <w:fldChar w:fldCharType="begin"/>
        </w:r>
        <w:r>
          <w:rPr>
            <w:noProof/>
            <w:webHidden/>
          </w:rPr>
          <w:instrText xml:space="preserve"> PAGEREF _Toc493168535 \h </w:instrText>
        </w:r>
        <w:r>
          <w:rPr>
            <w:noProof/>
            <w:webHidden/>
          </w:rPr>
        </w:r>
        <w:r>
          <w:rPr>
            <w:noProof/>
            <w:webHidden/>
          </w:rPr>
          <w:fldChar w:fldCharType="separate"/>
        </w:r>
        <w:r>
          <w:rPr>
            <w:noProof/>
            <w:webHidden/>
          </w:rPr>
          <w:t>4</w:t>
        </w:r>
        <w:r>
          <w:rPr>
            <w:noProof/>
            <w:webHidden/>
          </w:rPr>
          <w:fldChar w:fldCharType="end"/>
        </w:r>
      </w:hyperlink>
    </w:p>
    <w:p w:rsidR="0087343F" w:rsidRDefault="00CB3F65">
      <w:pPr>
        <w:pStyle w:val="TOC1"/>
        <w:rPr>
          <w:rFonts w:asciiTheme="minorHAnsi" w:eastAsiaTheme="minorEastAsia" w:hAnsiTheme="minorHAnsi" w:cstheme="minorBidi"/>
          <w:noProof/>
          <w:sz w:val="22"/>
          <w:szCs w:val="22"/>
          <w:lang w:eastAsia="en-GB"/>
        </w:rPr>
      </w:pPr>
      <w:hyperlink w:anchor="_Toc493168536" w:history="1">
        <w:r>
          <w:rPr>
            <w:rStyle w:val="Hyperlink"/>
          </w:rPr>
          <w:t>2.</w:t>
        </w:r>
        <w:r>
          <w:rPr>
            <w:rFonts w:asciiTheme="minorHAnsi" w:eastAsiaTheme="minorEastAsia" w:hAnsiTheme="minorHAnsi" w:cstheme="minorBidi"/>
            <w:noProof/>
            <w:sz w:val="22"/>
            <w:szCs w:val="22"/>
            <w:lang w:eastAsia="en-GB"/>
          </w:rPr>
          <w:tab/>
        </w:r>
        <w:r>
          <w:rPr>
            <w:rStyle w:val="Hyperlink"/>
          </w:rPr>
          <w:t>Climate finance</w:t>
        </w:r>
        <w:r>
          <w:rPr>
            <w:noProof/>
            <w:webHidden/>
          </w:rPr>
          <w:tab/>
        </w:r>
        <w:r>
          <w:rPr>
            <w:noProof/>
            <w:webHidden/>
          </w:rPr>
          <w:fldChar w:fldCharType="begin"/>
        </w:r>
        <w:r>
          <w:rPr>
            <w:noProof/>
            <w:webHidden/>
          </w:rPr>
          <w:instrText xml:space="preserve"> PAGEREF _Toc493168536 \h </w:instrText>
        </w:r>
        <w:r>
          <w:rPr>
            <w:noProof/>
            <w:webHidden/>
          </w:rPr>
        </w:r>
        <w:r>
          <w:rPr>
            <w:noProof/>
            <w:webHidden/>
          </w:rPr>
          <w:fldChar w:fldCharType="separate"/>
        </w:r>
        <w:r>
          <w:rPr>
            <w:noProof/>
            <w:webHidden/>
          </w:rPr>
          <w:t>10</w:t>
        </w:r>
        <w:r>
          <w:rPr>
            <w:noProof/>
            <w:webHidden/>
          </w:rPr>
          <w:fldChar w:fldCharType="end"/>
        </w:r>
      </w:hyperlink>
    </w:p>
    <w:p w:rsidR="0087343F" w:rsidRDefault="00CB3F65">
      <w:pPr>
        <w:pStyle w:val="TOC1"/>
        <w:rPr>
          <w:rFonts w:asciiTheme="minorHAnsi" w:eastAsiaTheme="minorEastAsia" w:hAnsiTheme="minorHAnsi" w:cstheme="minorBidi"/>
          <w:noProof/>
          <w:sz w:val="22"/>
          <w:szCs w:val="22"/>
          <w:lang w:eastAsia="en-GB"/>
        </w:rPr>
      </w:pPr>
      <w:hyperlink w:anchor="_Toc493168537" w:history="1">
        <w:r>
          <w:rPr>
            <w:rStyle w:val="Hyperlink"/>
          </w:rPr>
          <w:t>3.</w:t>
        </w:r>
        <w:r>
          <w:rPr>
            <w:rFonts w:asciiTheme="minorHAnsi" w:eastAsiaTheme="minorEastAsia" w:hAnsiTheme="minorHAnsi" w:cstheme="minorBidi"/>
            <w:noProof/>
            <w:sz w:val="22"/>
            <w:szCs w:val="22"/>
            <w:lang w:eastAsia="en-GB"/>
          </w:rPr>
          <w:tab/>
        </w:r>
        <w:r>
          <w:rPr>
            <w:rStyle w:val="Hyperlink"/>
          </w:rPr>
          <w:t>Mitigating EU emissions</w:t>
        </w:r>
        <w:r>
          <w:rPr>
            <w:noProof/>
            <w:webHidden/>
          </w:rPr>
          <w:tab/>
        </w:r>
        <w:r>
          <w:rPr>
            <w:noProof/>
            <w:webHidden/>
          </w:rPr>
          <w:fldChar w:fldCharType="begin"/>
        </w:r>
        <w:r>
          <w:rPr>
            <w:noProof/>
            <w:webHidden/>
          </w:rPr>
          <w:instrText xml:space="preserve"> PAGEREF _Toc493168537 \h </w:instrText>
        </w:r>
        <w:r>
          <w:rPr>
            <w:noProof/>
            <w:webHidden/>
          </w:rPr>
        </w:r>
        <w:r>
          <w:rPr>
            <w:noProof/>
            <w:webHidden/>
          </w:rPr>
          <w:fldChar w:fldCharType="separate"/>
        </w:r>
        <w:r>
          <w:rPr>
            <w:noProof/>
            <w:webHidden/>
          </w:rPr>
          <w:t>14</w:t>
        </w:r>
        <w:r>
          <w:rPr>
            <w:noProof/>
            <w:webHidden/>
          </w:rPr>
          <w:fldChar w:fldCharType="end"/>
        </w:r>
      </w:hyperlink>
    </w:p>
    <w:p w:rsidR="0087343F" w:rsidRDefault="00CB3F65">
      <w:pPr>
        <w:pStyle w:val="TOC1"/>
        <w:rPr>
          <w:rFonts w:asciiTheme="minorHAnsi" w:eastAsiaTheme="minorEastAsia" w:hAnsiTheme="minorHAnsi" w:cstheme="minorBidi"/>
          <w:noProof/>
          <w:sz w:val="22"/>
          <w:szCs w:val="22"/>
          <w:lang w:eastAsia="en-GB"/>
        </w:rPr>
      </w:pPr>
      <w:hyperlink w:anchor="_Toc493168538" w:history="1">
        <w:r>
          <w:rPr>
            <w:rStyle w:val="Hyperlink"/>
            <w:rFonts w:ascii="TimesNewRoman,Bold" w:hAnsi="TimesNewRoman,Bold" w:cs="TimesNewRoman,Bold"/>
          </w:rPr>
          <w:t>4.</w:t>
        </w:r>
        <w:r>
          <w:rPr>
            <w:rFonts w:asciiTheme="minorHAnsi" w:eastAsiaTheme="minorEastAsia" w:hAnsiTheme="minorHAnsi" w:cstheme="minorBidi"/>
            <w:noProof/>
            <w:sz w:val="22"/>
            <w:szCs w:val="22"/>
            <w:lang w:eastAsia="en-GB"/>
          </w:rPr>
          <w:tab/>
        </w:r>
        <w:r>
          <w:rPr>
            <w:rStyle w:val="Hyperlink"/>
          </w:rPr>
          <w:t>Adapting to climate change</w:t>
        </w:r>
        <w:r>
          <w:rPr>
            <w:noProof/>
            <w:webHidden/>
          </w:rPr>
          <w:tab/>
        </w:r>
        <w:r>
          <w:rPr>
            <w:noProof/>
            <w:webHidden/>
          </w:rPr>
          <w:fldChar w:fldCharType="begin"/>
        </w:r>
        <w:r>
          <w:rPr>
            <w:noProof/>
            <w:webHidden/>
          </w:rPr>
          <w:instrText xml:space="preserve"> PAGEREF _Toc493168538 \h </w:instrText>
        </w:r>
        <w:r>
          <w:rPr>
            <w:noProof/>
            <w:webHidden/>
          </w:rPr>
        </w:r>
        <w:r>
          <w:rPr>
            <w:noProof/>
            <w:webHidden/>
          </w:rPr>
          <w:fldChar w:fldCharType="separate"/>
        </w:r>
        <w:r>
          <w:rPr>
            <w:noProof/>
            <w:webHidden/>
          </w:rPr>
          <w:t>18</w:t>
        </w:r>
        <w:r>
          <w:rPr>
            <w:noProof/>
            <w:webHidden/>
          </w:rPr>
          <w:fldChar w:fldCharType="end"/>
        </w:r>
      </w:hyperlink>
    </w:p>
    <w:p w:rsidR="0087343F" w:rsidRDefault="00CB3F65">
      <w:pPr>
        <w:pStyle w:val="TOC1"/>
        <w:rPr>
          <w:rFonts w:asciiTheme="minorHAnsi" w:eastAsiaTheme="minorEastAsia" w:hAnsiTheme="minorHAnsi" w:cstheme="minorBidi"/>
          <w:noProof/>
          <w:sz w:val="22"/>
          <w:szCs w:val="22"/>
          <w:lang w:eastAsia="en-GB"/>
        </w:rPr>
      </w:pPr>
      <w:hyperlink w:anchor="_Toc493168539" w:history="1">
        <w:r>
          <w:rPr>
            <w:rStyle w:val="Hyperlink"/>
          </w:rPr>
          <w:t>5.</w:t>
        </w:r>
        <w:r>
          <w:rPr>
            <w:rFonts w:asciiTheme="minorHAnsi" w:eastAsiaTheme="minorEastAsia" w:hAnsiTheme="minorHAnsi" w:cstheme="minorBidi"/>
            <w:noProof/>
            <w:sz w:val="22"/>
            <w:szCs w:val="22"/>
            <w:lang w:eastAsia="en-GB"/>
          </w:rPr>
          <w:tab/>
        </w:r>
        <w:r>
          <w:rPr>
            <w:rStyle w:val="Hyperlink"/>
          </w:rPr>
          <w:t>Participating in international climate policy</w:t>
        </w:r>
        <w:r>
          <w:rPr>
            <w:noProof/>
            <w:webHidden/>
          </w:rPr>
          <w:tab/>
        </w:r>
        <w:r>
          <w:rPr>
            <w:noProof/>
            <w:webHidden/>
          </w:rPr>
          <w:fldChar w:fldCharType="begin"/>
        </w:r>
        <w:r>
          <w:rPr>
            <w:noProof/>
            <w:webHidden/>
          </w:rPr>
          <w:instrText xml:space="preserve"> PAGEREF _Toc493168539 \h </w:instrText>
        </w:r>
        <w:r>
          <w:rPr>
            <w:noProof/>
            <w:webHidden/>
          </w:rPr>
        </w:r>
        <w:r>
          <w:rPr>
            <w:noProof/>
            <w:webHidden/>
          </w:rPr>
          <w:fldChar w:fldCharType="separate"/>
        </w:r>
        <w:r>
          <w:rPr>
            <w:noProof/>
            <w:webHidden/>
          </w:rPr>
          <w:t>19</w:t>
        </w:r>
        <w:r>
          <w:rPr>
            <w:noProof/>
            <w:webHidden/>
          </w:rPr>
          <w:fldChar w:fldCharType="end"/>
        </w:r>
      </w:hyperlink>
    </w:p>
    <w:p w:rsidR="0087343F" w:rsidRDefault="00CB3F65">
      <w:pPr>
        <w:spacing w:line="276" w:lineRule="auto"/>
        <w:rPr>
          <w:b/>
          <w:bCs/>
          <w:noProof/>
        </w:rPr>
      </w:pPr>
      <w:r>
        <w:rPr>
          <w:b/>
          <w:bCs/>
          <w:noProof/>
        </w:rPr>
        <w:fldChar w:fldCharType="end"/>
      </w:r>
    </w:p>
    <w:p w:rsidR="0087343F" w:rsidRDefault="00CB3F65">
      <w:pPr>
        <w:spacing w:line="276" w:lineRule="auto"/>
        <w:rPr>
          <w:b/>
          <w:bCs/>
          <w:noProof/>
        </w:rPr>
      </w:pPr>
      <w:r>
        <w:rPr>
          <w:b/>
          <w:bCs/>
          <w:noProof/>
        </w:rPr>
        <w:br w:type="page"/>
      </w:r>
    </w:p>
    <w:p w:rsidR="0087343F" w:rsidRDefault="00CB3F65">
      <w:pPr>
        <w:pStyle w:val="TOCHeading"/>
        <w:spacing w:line="276" w:lineRule="auto"/>
        <w:rPr>
          <w:noProof/>
        </w:rPr>
      </w:pPr>
      <w:r>
        <w:rPr>
          <w:noProof/>
        </w:rPr>
        <w:t>Index of figures</w:t>
      </w:r>
    </w:p>
    <w:p w:rsidR="0087343F" w:rsidRDefault="00CB3F65">
      <w:pPr>
        <w:pStyle w:val="TableofFigures"/>
        <w:tabs>
          <w:tab w:val="right" w:leader="dot" w:pos="9063"/>
        </w:tabs>
        <w:rPr>
          <w:rFonts w:asciiTheme="minorHAnsi" w:eastAsiaTheme="minorEastAsia" w:hAnsiTheme="minorHAnsi" w:cstheme="minorBidi"/>
          <w:noProof/>
          <w:sz w:val="22"/>
          <w:szCs w:val="22"/>
        </w:rPr>
      </w:pPr>
      <w:r>
        <w:rPr>
          <w:noProof/>
        </w:rPr>
        <w:fldChar w:fldCharType="begin"/>
      </w:r>
      <w:r>
        <w:rPr>
          <w:noProof/>
        </w:rPr>
        <w:instrText xml:space="preserve"> TOC \h \z \c "Figure" </w:instrText>
      </w:r>
      <w:r>
        <w:rPr>
          <w:noProof/>
        </w:rPr>
        <w:fldChar w:fldCharType="separate"/>
      </w:r>
      <w:hyperlink w:anchor="_Toc495580774" w:history="1">
        <w:r>
          <w:rPr>
            <w:rStyle w:val="Hyperlink"/>
          </w:rPr>
          <w:t>Figure 1: Progress towards meeting Europe 2020 and 2030 targets (total EU GHG emissions)</w:t>
        </w:r>
        <w:r>
          <w:rPr>
            <w:noProof/>
            <w:webHidden/>
          </w:rPr>
          <w:tab/>
        </w:r>
        <w:r>
          <w:rPr>
            <w:noProof/>
            <w:webHidden/>
          </w:rPr>
          <w:fldChar w:fldCharType="begin"/>
        </w:r>
        <w:r>
          <w:rPr>
            <w:noProof/>
            <w:webHidden/>
          </w:rPr>
          <w:instrText xml:space="preserve"> PAGEREF _Toc495580774 \h </w:instrText>
        </w:r>
        <w:r>
          <w:rPr>
            <w:noProof/>
            <w:webHidden/>
          </w:rPr>
        </w:r>
        <w:r>
          <w:rPr>
            <w:noProof/>
            <w:webHidden/>
          </w:rPr>
          <w:fldChar w:fldCharType="separate"/>
        </w:r>
        <w:r>
          <w:rPr>
            <w:noProof/>
            <w:webHidden/>
          </w:rPr>
          <w:t>4</w:t>
        </w:r>
        <w:r>
          <w:rPr>
            <w:noProof/>
            <w:webHidden/>
          </w:rPr>
          <w:fldChar w:fldCharType="end"/>
        </w:r>
      </w:hyperlink>
    </w:p>
    <w:p w:rsidR="0087343F" w:rsidRDefault="00CB3F65">
      <w:pPr>
        <w:pStyle w:val="TableofFigures"/>
        <w:tabs>
          <w:tab w:val="right" w:leader="dot" w:pos="9063"/>
        </w:tabs>
        <w:rPr>
          <w:rFonts w:asciiTheme="minorHAnsi" w:eastAsiaTheme="minorEastAsia" w:hAnsiTheme="minorHAnsi" w:cstheme="minorBidi"/>
          <w:noProof/>
          <w:sz w:val="22"/>
          <w:szCs w:val="22"/>
        </w:rPr>
      </w:pPr>
      <w:hyperlink w:anchor="_Toc495580775" w:history="1">
        <w:r>
          <w:rPr>
            <w:rStyle w:val="Hyperlink"/>
          </w:rPr>
          <w:t>Figure 2</w:t>
        </w:r>
        <w:r>
          <w:rPr>
            <w:rStyle w:val="Hyperlink"/>
          </w:rPr>
          <w:t>: Change in real GDP, GHG emissions and GHG emission intensity in the EU, 1990-2016</w:t>
        </w:r>
        <w:r>
          <w:rPr>
            <w:noProof/>
            <w:webHidden/>
          </w:rPr>
          <w:tab/>
        </w:r>
        <w:r>
          <w:rPr>
            <w:noProof/>
            <w:webHidden/>
          </w:rPr>
          <w:fldChar w:fldCharType="begin"/>
        </w:r>
        <w:r>
          <w:rPr>
            <w:noProof/>
            <w:webHidden/>
          </w:rPr>
          <w:instrText xml:space="preserve"> PAGEREF _Toc495580775 \h </w:instrText>
        </w:r>
        <w:r>
          <w:rPr>
            <w:noProof/>
            <w:webHidden/>
          </w:rPr>
        </w:r>
        <w:r>
          <w:rPr>
            <w:noProof/>
            <w:webHidden/>
          </w:rPr>
          <w:fldChar w:fldCharType="separate"/>
        </w:r>
        <w:r>
          <w:rPr>
            <w:noProof/>
            <w:webHidden/>
          </w:rPr>
          <w:t>5</w:t>
        </w:r>
        <w:r>
          <w:rPr>
            <w:noProof/>
            <w:webHidden/>
          </w:rPr>
          <w:fldChar w:fldCharType="end"/>
        </w:r>
      </w:hyperlink>
    </w:p>
    <w:p w:rsidR="0087343F" w:rsidRDefault="00CB3F65">
      <w:pPr>
        <w:pStyle w:val="TableofFigures"/>
        <w:tabs>
          <w:tab w:val="right" w:leader="dot" w:pos="9063"/>
        </w:tabs>
        <w:rPr>
          <w:rFonts w:asciiTheme="minorHAnsi" w:eastAsiaTheme="minorEastAsia" w:hAnsiTheme="minorHAnsi" w:cstheme="minorBidi"/>
          <w:noProof/>
          <w:sz w:val="22"/>
          <w:szCs w:val="22"/>
        </w:rPr>
      </w:pPr>
      <w:hyperlink r:id="rId19" w:anchor="_Toc495580776" w:history="1">
        <w:r>
          <w:rPr>
            <w:rStyle w:val="Hyperlink"/>
          </w:rPr>
          <w:t>Figure 3: Development of per capita emissions of the largest economies, 1990-2012</w:t>
        </w:r>
        <w:r>
          <w:rPr>
            <w:noProof/>
            <w:webHidden/>
          </w:rPr>
          <w:tab/>
        </w:r>
        <w:r>
          <w:rPr>
            <w:noProof/>
            <w:webHidden/>
          </w:rPr>
          <w:fldChar w:fldCharType="begin"/>
        </w:r>
        <w:r>
          <w:rPr>
            <w:noProof/>
            <w:webHidden/>
          </w:rPr>
          <w:instrText xml:space="preserve"> PAGEREF _Toc495580776 \h </w:instrText>
        </w:r>
        <w:r>
          <w:rPr>
            <w:noProof/>
            <w:webHidden/>
          </w:rPr>
        </w:r>
        <w:r>
          <w:rPr>
            <w:noProof/>
            <w:webHidden/>
          </w:rPr>
          <w:fldChar w:fldCharType="separate"/>
        </w:r>
        <w:r>
          <w:rPr>
            <w:noProof/>
            <w:webHidden/>
          </w:rPr>
          <w:t>5</w:t>
        </w:r>
        <w:r>
          <w:rPr>
            <w:noProof/>
            <w:webHidden/>
          </w:rPr>
          <w:fldChar w:fldCharType="end"/>
        </w:r>
      </w:hyperlink>
    </w:p>
    <w:p w:rsidR="0087343F" w:rsidRDefault="00CB3F65">
      <w:pPr>
        <w:pStyle w:val="TableofFigures"/>
        <w:tabs>
          <w:tab w:val="right" w:leader="dot" w:pos="9063"/>
        </w:tabs>
        <w:rPr>
          <w:rFonts w:asciiTheme="minorHAnsi" w:eastAsiaTheme="minorEastAsia" w:hAnsiTheme="minorHAnsi" w:cstheme="minorBidi"/>
          <w:noProof/>
          <w:sz w:val="22"/>
          <w:szCs w:val="22"/>
        </w:rPr>
      </w:pPr>
      <w:hyperlink w:anchor="_Toc495580777" w:history="1">
        <w:r>
          <w:rPr>
            <w:rStyle w:val="Hyperlink"/>
          </w:rPr>
          <w:t>Figure 4: Accounted emissions and removals from the LULUCF sector per activity, 2013-2015</w:t>
        </w:r>
        <w:r>
          <w:rPr>
            <w:noProof/>
            <w:webHidden/>
          </w:rPr>
          <w:tab/>
        </w:r>
        <w:r>
          <w:rPr>
            <w:noProof/>
            <w:webHidden/>
          </w:rPr>
          <w:fldChar w:fldCharType="begin"/>
        </w:r>
        <w:r>
          <w:rPr>
            <w:noProof/>
            <w:webHidden/>
          </w:rPr>
          <w:instrText xml:space="preserve"> PAGEREF _Toc495580777 \h </w:instrText>
        </w:r>
        <w:r>
          <w:rPr>
            <w:noProof/>
            <w:webHidden/>
          </w:rPr>
        </w:r>
        <w:r>
          <w:rPr>
            <w:noProof/>
            <w:webHidden/>
          </w:rPr>
          <w:fldChar w:fldCharType="separate"/>
        </w:r>
        <w:r>
          <w:rPr>
            <w:noProof/>
            <w:webHidden/>
          </w:rPr>
          <w:t>6</w:t>
        </w:r>
        <w:r>
          <w:rPr>
            <w:noProof/>
            <w:webHidden/>
          </w:rPr>
          <w:fldChar w:fldCharType="end"/>
        </w:r>
      </w:hyperlink>
    </w:p>
    <w:p w:rsidR="0087343F" w:rsidRDefault="00CB3F65">
      <w:pPr>
        <w:pStyle w:val="TableofFigures"/>
        <w:tabs>
          <w:tab w:val="right" w:leader="dot" w:pos="9063"/>
        </w:tabs>
        <w:rPr>
          <w:rFonts w:asciiTheme="minorHAnsi" w:eastAsiaTheme="minorEastAsia" w:hAnsiTheme="minorHAnsi" w:cstheme="minorBidi"/>
          <w:noProof/>
          <w:sz w:val="22"/>
          <w:szCs w:val="22"/>
        </w:rPr>
      </w:pPr>
      <w:hyperlink w:anchor="_Toc495580778" w:history="1">
        <w:r>
          <w:rPr>
            <w:rStyle w:val="Hyperlink"/>
          </w:rPr>
          <w:t>Figure 5: Relative gap between projected 2020 emissions outside ETS and 2020 targets (in % of 2005 emissions).</w:t>
        </w:r>
        <w:r>
          <w:rPr>
            <w:noProof/>
            <w:webHidden/>
          </w:rPr>
          <w:tab/>
        </w:r>
        <w:r>
          <w:rPr>
            <w:noProof/>
            <w:webHidden/>
          </w:rPr>
          <w:fldChar w:fldCharType="begin"/>
        </w:r>
        <w:r>
          <w:rPr>
            <w:noProof/>
            <w:webHidden/>
          </w:rPr>
          <w:instrText xml:space="preserve"> PAGEREF _Toc495580778 \h </w:instrText>
        </w:r>
        <w:r>
          <w:rPr>
            <w:noProof/>
            <w:webHidden/>
          </w:rPr>
        </w:r>
        <w:r>
          <w:rPr>
            <w:noProof/>
            <w:webHidden/>
          </w:rPr>
          <w:fldChar w:fldCharType="separate"/>
        </w:r>
        <w:r>
          <w:rPr>
            <w:noProof/>
            <w:webHidden/>
          </w:rPr>
          <w:t>8</w:t>
        </w:r>
        <w:r>
          <w:rPr>
            <w:noProof/>
            <w:webHidden/>
          </w:rPr>
          <w:fldChar w:fldCharType="end"/>
        </w:r>
      </w:hyperlink>
    </w:p>
    <w:p w:rsidR="0087343F" w:rsidRDefault="00CB3F65">
      <w:pPr>
        <w:pStyle w:val="TableofFigures"/>
        <w:tabs>
          <w:tab w:val="right" w:leader="dot" w:pos="9063"/>
        </w:tabs>
        <w:rPr>
          <w:rFonts w:asciiTheme="minorHAnsi" w:eastAsiaTheme="minorEastAsia" w:hAnsiTheme="minorHAnsi" w:cstheme="minorBidi"/>
          <w:noProof/>
          <w:sz w:val="22"/>
          <w:szCs w:val="22"/>
        </w:rPr>
      </w:pPr>
      <w:hyperlink w:anchor="_Toc495580779" w:history="1">
        <w:r>
          <w:rPr>
            <w:rStyle w:val="Hyperlink"/>
          </w:rPr>
          <w:t xml:space="preserve">Figure 6: </w:t>
        </w:r>
        <w:r>
          <w:rPr>
            <w:rStyle w:val="Hyperlink"/>
          </w:rPr>
          <w:t>Provisional accounted cumulative LULUCF net emissions and removals per Member State (2013-2015)</w:t>
        </w:r>
        <w:r>
          <w:rPr>
            <w:noProof/>
            <w:webHidden/>
          </w:rPr>
          <w:tab/>
        </w:r>
        <w:r>
          <w:rPr>
            <w:noProof/>
            <w:webHidden/>
          </w:rPr>
          <w:fldChar w:fldCharType="begin"/>
        </w:r>
        <w:r>
          <w:rPr>
            <w:noProof/>
            <w:webHidden/>
          </w:rPr>
          <w:instrText xml:space="preserve"> PAGEREF _Toc495580779 \h </w:instrText>
        </w:r>
        <w:r>
          <w:rPr>
            <w:noProof/>
            <w:webHidden/>
          </w:rPr>
        </w:r>
        <w:r>
          <w:rPr>
            <w:noProof/>
            <w:webHidden/>
          </w:rPr>
          <w:fldChar w:fldCharType="separate"/>
        </w:r>
        <w:r>
          <w:rPr>
            <w:noProof/>
            <w:webHidden/>
          </w:rPr>
          <w:t>9</w:t>
        </w:r>
        <w:r>
          <w:rPr>
            <w:noProof/>
            <w:webHidden/>
          </w:rPr>
          <w:fldChar w:fldCharType="end"/>
        </w:r>
      </w:hyperlink>
    </w:p>
    <w:p w:rsidR="0087343F" w:rsidRDefault="00CB3F65">
      <w:pPr>
        <w:pStyle w:val="TableofFigures"/>
        <w:tabs>
          <w:tab w:val="right" w:leader="dot" w:pos="9063"/>
        </w:tabs>
        <w:rPr>
          <w:rFonts w:asciiTheme="minorHAnsi" w:eastAsiaTheme="minorEastAsia" w:hAnsiTheme="minorHAnsi" w:cstheme="minorBidi"/>
          <w:noProof/>
          <w:sz w:val="22"/>
          <w:szCs w:val="22"/>
        </w:rPr>
      </w:pPr>
      <w:hyperlink w:anchor="_Toc495580780" w:history="1">
        <w:r>
          <w:rPr>
            <w:rStyle w:val="Hyperlink"/>
          </w:rPr>
          <w:t>Figure 7: Cumulative surplus of AEA as percentage of 2005 emissions, 2013-2015</w:t>
        </w:r>
        <w:r>
          <w:rPr>
            <w:noProof/>
            <w:webHidden/>
          </w:rPr>
          <w:tab/>
        </w:r>
        <w:r>
          <w:rPr>
            <w:noProof/>
            <w:webHidden/>
          </w:rPr>
          <w:fldChar w:fldCharType="begin"/>
        </w:r>
        <w:r>
          <w:rPr>
            <w:noProof/>
            <w:webHidden/>
          </w:rPr>
          <w:instrText xml:space="preserve"> PAGEREF _Toc495580780 \h </w:instrText>
        </w:r>
        <w:r>
          <w:rPr>
            <w:noProof/>
            <w:webHidden/>
          </w:rPr>
        </w:r>
        <w:r>
          <w:rPr>
            <w:noProof/>
            <w:webHidden/>
          </w:rPr>
          <w:fldChar w:fldCharType="separate"/>
        </w:r>
        <w:r>
          <w:rPr>
            <w:noProof/>
            <w:webHidden/>
          </w:rPr>
          <w:t>10</w:t>
        </w:r>
        <w:r>
          <w:rPr>
            <w:noProof/>
            <w:webHidden/>
          </w:rPr>
          <w:fldChar w:fldCharType="end"/>
        </w:r>
      </w:hyperlink>
    </w:p>
    <w:p w:rsidR="0087343F" w:rsidRDefault="00CB3F65">
      <w:pPr>
        <w:pStyle w:val="TableofFigures"/>
        <w:tabs>
          <w:tab w:val="right" w:leader="dot" w:pos="9063"/>
        </w:tabs>
        <w:rPr>
          <w:rFonts w:asciiTheme="minorHAnsi" w:eastAsiaTheme="minorEastAsia" w:hAnsiTheme="minorHAnsi" w:cstheme="minorBidi"/>
          <w:noProof/>
          <w:sz w:val="22"/>
          <w:szCs w:val="22"/>
        </w:rPr>
      </w:pPr>
      <w:hyperlink w:anchor="_Toc495580781" w:history="1">
        <w:r>
          <w:rPr>
            <w:rStyle w:val="Hyperlink"/>
          </w:rPr>
          <w:t>Figure 8: Change in the use of ETS revenues, 2013-2016 (in million €)</w:t>
        </w:r>
        <w:r>
          <w:rPr>
            <w:noProof/>
            <w:webHidden/>
          </w:rPr>
          <w:tab/>
        </w:r>
        <w:r>
          <w:rPr>
            <w:noProof/>
            <w:webHidden/>
          </w:rPr>
          <w:fldChar w:fldCharType="begin"/>
        </w:r>
        <w:r>
          <w:rPr>
            <w:noProof/>
            <w:webHidden/>
          </w:rPr>
          <w:instrText xml:space="preserve"> PAGEREF _Toc495580781 \h </w:instrText>
        </w:r>
        <w:r>
          <w:rPr>
            <w:noProof/>
            <w:webHidden/>
          </w:rPr>
        </w:r>
        <w:r>
          <w:rPr>
            <w:noProof/>
            <w:webHidden/>
          </w:rPr>
          <w:fldChar w:fldCharType="separate"/>
        </w:r>
        <w:r>
          <w:rPr>
            <w:noProof/>
            <w:webHidden/>
          </w:rPr>
          <w:t>11</w:t>
        </w:r>
        <w:r>
          <w:rPr>
            <w:noProof/>
            <w:webHidden/>
          </w:rPr>
          <w:fldChar w:fldCharType="end"/>
        </w:r>
      </w:hyperlink>
    </w:p>
    <w:p w:rsidR="0087343F" w:rsidRDefault="00CB3F65">
      <w:pPr>
        <w:pStyle w:val="TableofFigures"/>
        <w:tabs>
          <w:tab w:val="right" w:leader="dot" w:pos="9063"/>
        </w:tabs>
        <w:rPr>
          <w:rFonts w:asciiTheme="minorHAnsi" w:eastAsiaTheme="minorEastAsia" w:hAnsiTheme="minorHAnsi" w:cstheme="minorBidi"/>
          <w:noProof/>
          <w:sz w:val="22"/>
          <w:szCs w:val="22"/>
        </w:rPr>
      </w:pPr>
      <w:hyperlink w:anchor="_Toc495580782" w:history="1">
        <w:r>
          <w:rPr>
            <w:rStyle w:val="Hyperlink"/>
          </w:rPr>
          <w:t>Figure</w:t>
        </w:r>
        <w:r>
          <w:rPr>
            <w:rStyle w:val="Hyperlink"/>
          </w:rPr>
          <w:t xml:space="preserve"> 9: Domestic use of auction revenues, 2013-2016 (in billion €)</w:t>
        </w:r>
        <w:r>
          <w:rPr>
            <w:noProof/>
            <w:webHidden/>
          </w:rPr>
          <w:tab/>
        </w:r>
        <w:r>
          <w:rPr>
            <w:noProof/>
            <w:webHidden/>
          </w:rPr>
          <w:fldChar w:fldCharType="begin"/>
        </w:r>
        <w:r>
          <w:rPr>
            <w:noProof/>
            <w:webHidden/>
          </w:rPr>
          <w:instrText xml:space="preserve"> PAGEREF _Toc495580782 \h </w:instrText>
        </w:r>
        <w:r>
          <w:rPr>
            <w:noProof/>
            <w:webHidden/>
          </w:rPr>
        </w:r>
        <w:r>
          <w:rPr>
            <w:noProof/>
            <w:webHidden/>
          </w:rPr>
          <w:fldChar w:fldCharType="separate"/>
        </w:r>
        <w:r>
          <w:rPr>
            <w:noProof/>
            <w:webHidden/>
          </w:rPr>
          <w:t>11</w:t>
        </w:r>
        <w:r>
          <w:rPr>
            <w:noProof/>
            <w:webHidden/>
          </w:rPr>
          <w:fldChar w:fldCharType="end"/>
        </w:r>
      </w:hyperlink>
    </w:p>
    <w:p w:rsidR="0087343F" w:rsidRDefault="00CB3F65">
      <w:pPr>
        <w:pStyle w:val="TableofFigures"/>
        <w:tabs>
          <w:tab w:val="right" w:leader="dot" w:pos="9063"/>
        </w:tabs>
        <w:rPr>
          <w:rFonts w:asciiTheme="minorHAnsi" w:eastAsiaTheme="minorEastAsia" w:hAnsiTheme="minorHAnsi" w:cstheme="minorBidi"/>
          <w:noProof/>
          <w:sz w:val="22"/>
          <w:szCs w:val="22"/>
        </w:rPr>
      </w:pPr>
      <w:hyperlink w:anchor="_Toc495580783" w:history="1">
        <w:r>
          <w:rPr>
            <w:rStyle w:val="Hyperlink"/>
          </w:rPr>
          <w:t>Figure 10: The three proposed legal bases for the EU’s 2030 clim</w:t>
        </w:r>
        <w:r>
          <w:rPr>
            <w:rStyle w:val="Hyperlink"/>
          </w:rPr>
          <w:t>ate policy framework</w:t>
        </w:r>
        <w:r>
          <w:rPr>
            <w:noProof/>
            <w:webHidden/>
          </w:rPr>
          <w:tab/>
        </w:r>
        <w:r>
          <w:rPr>
            <w:noProof/>
            <w:webHidden/>
          </w:rPr>
          <w:fldChar w:fldCharType="begin"/>
        </w:r>
        <w:r>
          <w:rPr>
            <w:noProof/>
            <w:webHidden/>
          </w:rPr>
          <w:instrText xml:space="preserve"> PAGEREF _Toc495580783 \h </w:instrText>
        </w:r>
        <w:r>
          <w:rPr>
            <w:noProof/>
            <w:webHidden/>
          </w:rPr>
        </w:r>
        <w:r>
          <w:rPr>
            <w:noProof/>
            <w:webHidden/>
          </w:rPr>
          <w:fldChar w:fldCharType="separate"/>
        </w:r>
        <w:r>
          <w:rPr>
            <w:noProof/>
            <w:webHidden/>
          </w:rPr>
          <w:t>15</w:t>
        </w:r>
        <w:r>
          <w:rPr>
            <w:noProof/>
            <w:webHidden/>
          </w:rPr>
          <w:fldChar w:fldCharType="end"/>
        </w:r>
      </w:hyperlink>
    </w:p>
    <w:p w:rsidR="0087343F" w:rsidRDefault="00CB3F65">
      <w:pPr>
        <w:pStyle w:val="TableofFigures"/>
        <w:tabs>
          <w:tab w:val="right" w:leader="dot" w:pos="9063"/>
        </w:tabs>
        <w:rPr>
          <w:noProof/>
        </w:rPr>
      </w:pPr>
      <w:r>
        <w:rPr>
          <w:noProof/>
        </w:rPr>
        <w:fldChar w:fldCharType="end"/>
      </w:r>
    </w:p>
    <w:p w:rsidR="0087343F" w:rsidRDefault="0087343F">
      <w:pPr>
        <w:spacing w:line="276" w:lineRule="auto"/>
        <w:rPr>
          <w:noProof/>
        </w:rPr>
      </w:pPr>
    </w:p>
    <w:p w:rsidR="0087343F" w:rsidRDefault="0087343F">
      <w:pPr>
        <w:spacing w:line="276" w:lineRule="auto"/>
        <w:rPr>
          <w:noProof/>
        </w:rPr>
      </w:pPr>
    </w:p>
    <w:p w:rsidR="0087343F" w:rsidRDefault="0087343F">
      <w:pPr>
        <w:spacing w:line="276" w:lineRule="auto"/>
        <w:rPr>
          <w:noProof/>
        </w:rPr>
        <w:sectPr w:rsidR="0087343F">
          <w:headerReference w:type="even" r:id="rId20"/>
          <w:headerReference w:type="default" r:id="rId21"/>
          <w:footerReference w:type="even" r:id="rId22"/>
          <w:footerReference w:type="default" r:id="rId23"/>
          <w:headerReference w:type="first" r:id="rId24"/>
          <w:footerReference w:type="first" r:id="rId25"/>
          <w:pgSz w:w="11907" w:h="16839"/>
          <w:pgMar w:top="1134" w:right="1417" w:bottom="1134" w:left="1417" w:header="709" w:footer="709" w:gutter="0"/>
          <w:pgNumType w:start="2"/>
          <w:cols w:space="720"/>
          <w:docGrid w:linePitch="360"/>
        </w:sectPr>
      </w:pPr>
    </w:p>
    <w:p w:rsidR="0087343F" w:rsidRDefault="00CB3F65">
      <w:pPr>
        <w:pStyle w:val="ManualHeading1"/>
        <w:rPr>
          <w:noProof/>
        </w:rPr>
      </w:pPr>
      <w:bookmarkStart w:id="2" w:name="_Toc461715115"/>
      <w:bookmarkStart w:id="3" w:name="_Toc493168535"/>
      <w:bookmarkEnd w:id="2"/>
      <w:r>
        <w:lastRenderedPageBreak/>
        <w:t>1.</w:t>
      </w:r>
      <w:r>
        <w:tab/>
      </w:r>
      <w:r>
        <w:rPr>
          <w:noProof/>
        </w:rPr>
        <w:t>General overview</w:t>
      </w:r>
      <w:bookmarkEnd w:id="3"/>
    </w:p>
    <w:p w:rsidR="0087343F" w:rsidRDefault="00CB3F65">
      <w:pPr>
        <w:pStyle w:val="ManualHeading2"/>
        <w:rPr>
          <w:i/>
          <w:noProof/>
        </w:rPr>
      </w:pPr>
      <w:bookmarkStart w:id="4" w:name="_Toc487207214"/>
      <w:bookmarkStart w:id="5" w:name="_Toc487207215"/>
      <w:bookmarkStart w:id="6" w:name="_Toc487207216"/>
      <w:bookmarkStart w:id="7" w:name="_Toc456787438"/>
      <w:bookmarkStart w:id="8" w:name="_Toc461443626"/>
      <w:bookmarkStart w:id="9" w:name="_Toc461715116"/>
      <w:bookmarkStart w:id="10" w:name="_Toc461715490"/>
      <w:bookmarkStart w:id="11" w:name="_Toc463527673"/>
      <w:bookmarkStart w:id="12" w:name="_Toc463538558"/>
      <w:bookmarkStart w:id="13" w:name="_Toc463621132"/>
      <w:bookmarkStart w:id="14" w:name="_Toc463628459"/>
      <w:bookmarkStart w:id="15" w:name="_Toc465073859"/>
      <w:bookmarkStart w:id="16" w:name="_Toc465090122"/>
      <w:bookmarkStart w:id="17" w:name="_Toc492542677"/>
      <w:bookmarkStart w:id="18" w:name="_Toc493004503"/>
      <w:bookmarkEnd w:id="4"/>
      <w:bookmarkEnd w:id="5"/>
      <w:bookmarkEnd w:id="6"/>
      <w:r>
        <w:t>1.1.</w:t>
      </w:r>
      <w:r>
        <w:tab/>
      </w:r>
      <w:r>
        <w:rPr>
          <w:noProof/>
        </w:rPr>
        <w:t xml:space="preserve">Progress towards the </w:t>
      </w:r>
      <w:bookmarkEnd w:id="7"/>
      <w:bookmarkEnd w:id="8"/>
      <w:bookmarkEnd w:id="9"/>
      <w:bookmarkEnd w:id="10"/>
      <w:bookmarkEnd w:id="11"/>
      <w:bookmarkEnd w:id="12"/>
      <w:bookmarkEnd w:id="13"/>
      <w:r>
        <w:rPr>
          <w:noProof/>
        </w:rPr>
        <w:t>2030 target</w:t>
      </w:r>
      <w:bookmarkEnd w:id="14"/>
      <w:bookmarkEnd w:id="15"/>
      <w:bookmarkEnd w:id="16"/>
      <w:bookmarkEnd w:id="17"/>
      <w:bookmarkEnd w:id="18"/>
      <w:r>
        <w:rPr>
          <w:noProof/>
        </w:rPr>
        <w:t xml:space="preserve"> of at least a 40 % cut in emissions </w:t>
      </w:r>
    </w:p>
    <w:p w:rsidR="0087343F" w:rsidRDefault="00CB3F65">
      <w:pPr>
        <w:spacing w:line="276" w:lineRule="auto"/>
        <w:rPr>
          <w:noProof/>
        </w:rPr>
      </w:pPr>
      <w:r>
        <w:rPr>
          <w:noProof/>
        </w:rPr>
        <w:t>The EU and its Member States remain fully committed to the Paris Agreement and to climate action, both as a scientifically proven necessity and as an economic opportunity. The EU and its 28 Member States have deposited</w:t>
      </w:r>
      <w:r>
        <w:rPr>
          <w:noProof/>
        </w:rPr>
        <w:t xml:space="preserve"> their instruments of ratification and will meet their commitment to reduce their domestic emissions by at least 40 % between 1990 and 2030.</w:t>
      </w:r>
    </w:p>
    <w:p w:rsidR="0087343F" w:rsidRDefault="00CB3F65">
      <w:pPr>
        <w:spacing w:line="276" w:lineRule="auto"/>
        <w:rPr>
          <w:noProof/>
        </w:rPr>
      </w:pPr>
      <w:r>
        <w:rPr>
          <w:noProof/>
        </w:rPr>
        <w:t xml:space="preserve">In 2016, the EU greenhouse gas emissions were already 23 % below the 1990 level based on preliminary 2016 data, excluding land use, land use change and forestry (LULUCF) and including international aviation (see </w:t>
      </w:r>
      <w:r>
        <w:rPr>
          <w:noProof/>
        </w:rPr>
        <w:fldChar w:fldCharType="begin"/>
      </w:r>
      <w:r>
        <w:rPr>
          <w:noProof/>
        </w:rPr>
        <w:instrText xml:space="preserve"> REF _Ref492994494 \h </w:instrText>
      </w:r>
      <w:r>
        <w:rPr>
          <w:noProof/>
        </w:rPr>
      </w:r>
      <w:r>
        <w:rPr>
          <w:noProof/>
        </w:rPr>
        <w:fldChar w:fldCharType="separate"/>
      </w:r>
      <w:r>
        <w:rPr>
          <w:noProof/>
        </w:rPr>
        <w:t>Figure 1</w:t>
      </w:r>
      <w:r>
        <w:rPr>
          <w:noProof/>
        </w:rPr>
        <w:fldChar w:fldCharType="end"/>
      </w:r>
      <w:r>
        <w:rPr>
          <w:noProof/>
        </w:rPr>
        <w:t>).</w:t>
      </w:r>
    </w:p>
    <w:p w:rsidR="0087343F" w:rsidRDefault="00CB3F65">
      <w:pPr>
        <w:spacing w:line="276" w:lineRule="auto"/>
        <w:rPr>
          <w:noProof/>
        </w:rPr>
      </w:pPr>
      <w:r>
        <w:rPr>
          <w:noProof/>
        </w:rPr>
        <w:t>According to most recent Member States’ projections based on existing measures, the 20 % target for 2020 will be met. In 2030, emissions are expected to be 30 % lower than in 1990 if no additional po</w:t>
      </w:r>
      <w:r>
        <w:rPr>
          <w:noProof/>
        </w:rPr>
        <w:t>licies are implemented. The EU is therefore currently negotiating new legislation to ensure that it will meet its objective of reducing emissions by at least 40 % between 1990 and 2030 (see section 3).</w:t>
      </w:r>
    </w:p>
    <w:p w:rsidR="0087343F" w:rsidRDefault="00CB3F65">
      <w:pPr>
        <w:pStyle w:val="Caption"/>
        <w:keepNext/>
        <w:jc w:val="center"/>
        <w:rPr>
          <w:noProof/>
        </w:rPr>
      </w:pPr>
      <w:bookmarkStart w:id="19" w:name="_Ref492994494"/>
      <w:bookmarkStart w:id="20" w:name="_Toc495580774"/>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19"/>
      <w:r>
        <w:rPr>
          <w:noProof/>
        </w:rPr>
        <w:t>: Progress towards me</w:t>
      </w:r>
      <w:r>
        <w:rPr>
          <w:noProof/>
        </w:rPr>
        <w:t>eting Europe 2020 and 2030 targets (total EU GHG emissions)</w:t>
      </w:r>
      <w:bookmarkEnd w:id="20"/>
    </w:p>
    <w:p w:rsidR="0087343F" w:rsidRDefault="00CB3F65">
      <w:pPr>
        <w:spacing w:line="276" w:lineRule="auto"/>
        <w:jc w:val="center"/>
        <w:rPr>
          <w:noProof/>
          <w:sz w:val="20"/>
          <w:szCs w:val="20"/>
        </w:rPr>
      </w:pPr>
      <w:r>
        <w:rPr>
          <w:noProof/>
          <w:lang w:eastAsia="en-GB"/>
        </w:rPr>
        <w:drawing>
          <wp:inline distT="0" distB="0" distL="0" distR="0">
            <wp:extent cx="5971735" cy="2757268"/>
            <wp:effectExtent l="0" t="0" r="0" b="508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7343F" w:rsidRDefault="00CB3F65">
      <w:pPr>
        <w:spacing w:line="276" w:lineRule="auto"/>
        <w:rPr>
          <w:noProof/>
        </w:rPr>
      </w:pPr>
      <w:r>
        <w:rPr>
          <w:noProof/>
        </w:rPr>
        <w:t xml:space="preserve">The EU continues to successfully decouple its economic growth from its emissions (see </w:t>
      </w:r>
      <w:r>
        <w:rPr>
          <w:noProof/>
        </w:rPr>
        <w:fldChar w:fldCharType="begin"/>
      </w:r>
      <w:r>
        <w:rPr>
          <w:noProof/>
        </w:rPr>
        <w:instrText xml:space="preserve"> REF _Ref494209937 \h </w:instrText>
      </w:r>
      <w:r>
        <w:rPr>
          <w:noProof/>
        </w:rPr>
      </w:r>
      <w:r>
        <w:rPr>
          <w:noProof/>
        </w:rPr>
        <w:fldChar w:fldCharType="separate"/>
      </w:r>
      <w:r>
        <w:rPr>
          <w:noProof/>
        </w:rPr>
        <w:t>Figure 2</w:t>
      </w:r>
      <w:r>
        <w:rPr>
          <w:noProof/>
        </w:rPr>
        <w:fldChar w:fldCharType="end"/>
      </w:r>
      <w:r>
        <w:rPr>
          <w:noProof/>
        </w:rPr>
        <w:t>). From 19</w:t>
      </w:r>
      <w:r>
        <w:rPr>
          <w:noProof/>
        </w:rPr>
        <w:t>90 to 2016, the EU’s GDP grew by 53 %, while total emissions fell by 23 %. The EU economy’s greenhouse gas emission intensity, defined as the ratio between emissions and GDP, halved in that period.</w:t>
      </w:r>
    </w:p>
    <w:p w:rsidR="0087343F" w:rsidRDefault="00CB3F65">
      <w:pPr>
        <w:pStyle w:val="Caption"/>
        <w:keepNext/>
        <w:jc w:val="center"/>
        <w:rPr>
          <w:noProof/>
        </w:rPr>
      </w:pPr>
      <w:bookmarkStart w:id="21" w:name="_Ref494209937"/>
      <w:bookmarkStart w:id="22" w:name="_Toc495580775"/>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21"/>
      <w:r>
        <w:rPr>
          <w:noProof/>
        </w:rPr>
        <w:t>: Change in real GDP, GHG</w:t>
      </w:r>
      <w:r>
        <w:rPr>
          <w:noProof/>
        </w:rPr>
        <w:t xml:space="preserve"> emissions and GHG emission intensity in the EU, 1990-2016</w:t>
      </w:r>
      <w:bookmarkEnd w:id="22"/>
    </w:p>
    <w:p w:rsidR="0087343F" w:rsidRDefault="00CB3F65">
      <w:pPr>
        <w:spacing w:line="276" w:lineRule="auto"/>
        <w:jc w:val="center"/>
        <w:rPr>
          <w:noProof/>
          <w:lang w:eastAsia="en-GB"/>
        </w:rPr>
      </w:pPr>
      <w:r>
        <w:rPr>
          <w:noProof/>
          <w:lang w:eastAsia="en-GB"/>
        </w:rPr>
        <w:drawing>
          <wp:inline distT="0" distB="0" distL="0" distR="0">
            <wp:extent cx="5972810" cy="3831590"/>
            <wp:effectExtent l="0" t="0" r="889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bookmarkStart w:id="23" w:name="_Toc463527674"/>
    <w:bookmarkStart w:id="24" w:name="_Toc463538560"/>
    <w:bookmarkStart w:id="25" w:name="_Toc463621134"/>
    <w:bookmarkStart w:id="26" w:name="_Toc463628460"/>
    <w:bookmarkStart w:id="27" w:name="_Toc465073860"/>
    <w:bookmarkStart w:id="28" w:name="_Toc465090123"/>
    <w:p w:rsidR="0087343F" w:rsidRDefault="00CB3F65">
      <w:pPr>
        <w:spacing w:line="276" w:lineRule="auto"/>
        <w:rPr>
          <w:noProof/>
        </w:rPr>
      </w:pPr>
      <w:r>
        <w:rPr>
          <w:noProof/>
          <w:lang w:eastAsia="en-GB"/>
        </w:rPr>
        <mc:AlternateContent>
          <mc:Choice Requires="wps">
            <w:drawing>
              <wp:anchor distT="0" distB="0" distL="114300" distR="114300" simplePos="0" relativeHeight="251658243" behindDoc="0" locked="0" layoutInCell="1" allowOverlap="1">
                <wp:simplePos x="0" y="0"/>
                <wp:positionH relativeFrom="column">
                  <wp:posOffset>3034665</wp:posOffset>
                </wp:positionH>
                <wp:positionV relativeFrom="paragraph">
                  <wp:posOffset>89535</wp:posOffset>
                </wp:positionV>
                <wp:extent cx="3114675" cy="106045"/>
                <wp:effectExtent l="0" t="0" r="9525" b="8255"/>
                <wp:wrapSquare wrapText="bothSides"/>
                <wp:docPr id="9" name="Text Box 9"/>
                <wp:cNvGraphicFramePr/>
                <a:graphic xmlns:a="http://schemas.openxmlformats.org/drawingml/2006/main">
                  <a:graphicData uri="http://schemas.microsoft.com/office/word/2010/wordprocessingShape">
                    <wps:wsp>
                      <wps:cNvSpPr txBox="1"/>
                      <wps:spPr>
                        <a:xfrm>
                          <a:off x="0" y="0"/>
                          <a:ext cx="3114675" cy="106045"/>
                        </a:xfrm>
                        <a:prstGeom prst="rect">
                          <a:avLst/>
                        </a:prstGeom>
                        <a:solidFill>
                          <a:prstClr val="white"/>
                        </a:solidFill>
                        <a:ln>
                          <a:noFill/>
                        </a:ln>
                        <a:effectLst/>
                      </wps:spPr>
                      <wps:txbx>
                        <w:txbxContent>
                          <w:p w:rsidR="0087343F" w:rsidRDefault="0087343F">
                            <w:pPr>
                              <w:pStyle w:val="Caption"/>
                              <w:ind w:left="993" w:hanging="993"/>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38.95pt;margin-top:7.05pt;width:245.25pt;height:8.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" stroked="f">
                <v:textbox inset="0,0,0,0">
                  <w:txbxContent>
                    <w:p>
                      <w:pPr>
                        <w:pStyle w:val="Caption"/>
                        <w:ind w:left="993" w:hanging="993"/>
                      </w:pPr>
                    </w:p>
                  </w:txbxContent>
                </v:textbox>
                <w10:wrap type="square"/>
              </v:shape>
            </w:pict>
          </mc:Fallback>
        </mc:AlternateContent>
      </w:r>
    </w:p>
    <w:p w:rsidR="0087343F" w:rsidRDefault="00CB3F65">
      <w:pPr>
        <w:spacing w:line="276" w:lineRule="auto"/>
        <w:rPr>
          <w:noProof/>
        </w:rPr>
      </w:pPr>
      <w:r>
        <w:rPr>
          <w:i/>
          <w:noProof/>
        </w:rPr>
        <w:t>Ex post</w:t>
      </w:r>
      <w:r>
        <w:rPr>
          <w:noProof/>
        </w:rPr>
        <w:t xml:space="preserve"> evaluation of climate policies shows that lower emission intensity of the economy is mainly driven by innovation. Innovation includes not only using low-carbon technologies such as r</w:t>
      </w:r>
      <w:r>
        <w:rPr>
          <w:noProof/>
        </w:rPr>
        <w:t>enewable energy but also raising productivity, for instance through more efficient power plants and cars. The relative shift between economic sectors, e.g. from industry to services, has had a marginal effect across the EU.</w:t>
      </w:r>
    </w:p>
    <w:p w:rsidR="0087343F" w:rsidRDefault="00CB3F65">
      <w:pPr>
        <w:pStyle w:val="Caption"/>
        <w:ind w:left="993" w:hanging="993"/>
        <w:jc w:val="center"/>
        <w:rPr>
          <w:noProof/>
        </w:rPr>
      </w:pPr>
      <w:bookmarkStart w:id="29" w:name="_Ref494210042"/>
      <w:bookmarkStart w:id="30" w:name="_Toc495580776"/>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29"/>
      <w:r>
        <w:rPr>
          <w:noProof/>
        </w:rPr>
        <w:t>: Development of per capita emissions of the largest economies, 1990-2012</w:t>
      </w:r>
      <w:bookmarkEnd w:id="30"/>
    </w:p>
    <w:p w:rsidR="0087343F" w:rsidRDefault="00CB3F65">
      <w:pPr>
        <w:spacing w:line="276" w:lineRule="auto"/>
        <w:jc w:val="center"/>
        <w:rPr>
          <w:noProof/>
        </w:rPr>
      </w:pPr>
      <w:r>
        <w:rPr>
          <w:noProof/>
          <w:lang w:eastAsia="en-GB"/>
        </w:rPr>
        <w:drawing>
          <wp:inline distT="0" distB="0" distL="0" distR="0">
            <wp:extent cx="5972810" cy="2900045"/>
            <wp:effectExtent l="0" t="0" r="889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7343F" w:rsidRDefault="00CB3F65">
      <w:pPr>
        <w:spacing w:line="276" w:lineRule="auto"/>
        <w:rPr>
          <w:noProof/>
          <w:lang w:eastAsia="en-GB"/>
        </w:rPr>
      </w:pPr>
      <w:r>
        <w:rPr>
          <w:noProof/>
        </w:rPr>
        <w:t>It is estimated that the EU’s share of global greenhouse gas emissions fell from 17.3 % in 1990 to 9.9 % in 2012. Its share of CO</w:t>
      </w:r>
      <w:r>
        <w:rPr>
          <w:noProof/>
          <w:vertAlign w:val="subscript"/>
        </w:rPr>
        <w:t>2</w:t>
      </w:r>
      <w:r>
        <w:rPr>
          <w:noProof/>
        </w:rPr>
        <w:t xml:space="preserve"> emissions alone fell from 19.7 % in 1990 to 9.6 % in 2015. A comparison of per capita emissions of the three major greenhouse gases (CO</w:t>
      </w:r>
      <w:r>
        <w:rPr>
          <w:noProof/>
          <w:vertAlign w:val="subscript"/>
        </w:rPr>
        <w:t>2</w:t>
      </w:r>
      <w:r>
        <w:rPr>
          <w:noProof/>
        </w:rPr>
        <w:t>, CH</w:t>
      </w:r>
      <w:r>
        <w:rPr>
          <w:noProof/>
          <w:vertAlign w:val="subscript"/>
        </w:rPr>
        <w:t>4</w:t>
      </w:r>
      <w:r>
        <w:rPr>
          <w:noProof/>
        </w:rPr>
        <w:t xml:space="preserve"> and N</w:t>
      </w:r>
      <w:r>
        <w:rPr>
          <w:noProof/>
          <w:vertAlign w:val="subscript"/>
        </w:rPr>
        <w:t>2</w:t>
      </w:r>
      <w:r>
        <w:rPr>
          <w:noProof/>
        </w:rPr>
        <w:t xml:space="preserve">O) for the three largest economies shows that </w:t>
      </w:r>
      <w:r>
        <w:rPr>
          <w:noProof/>
          <w:lang w:eastAsia="en-GB"/>
        </w:rPr>
        <w:t>the EU and China had significantly lower per capita emissions</w:t>
      </w:r>
      <w:r>
        <w:rPr>
          <w:noProof/>
          <w:lang w:eastAsia="en-GB"/>
        </w:rPr>
        <w:t xml:space="preserve"> than the US (see </w:t>
      </w:r>
      <w:r>
        <w:rPr>
          <w:noProof/>
        </w:rPr>
        <w:fldChar w:fldCharType="begin"/>
      </w:r>
      <w:r>
        <w:rPr>
          <w:noProof/>
          <w:lang w:eastAsia="en-GB"/>
        </w:rPr>
        <w:instrText xml:space="preserve"> REF _Ref494210042 \h </w:instrText>
      </w:r>
      <w:r>
        <w:rPr>
          <w:noProof/>
        </w:rPr>
      </w:r>
      <w:r>
        <w:rPr>
          <w:noProof/>
        </w:rPr>
        <w:fldChar w:fldCharType="separate"/>
      </w:r>
      <w:r>
        <w:rPr>
          <w:noProof/>
        </w:rPr>
        <w:t>Figure 3</w:t>
      </w:r>
      <w:r>
        <w:rPr>
          <w:noProof/>
        </w:rPr>
        <w:fldChar w:fldCharType="end"/>
      </w:r>
      <w:r>
        <w:rPr>
          <w:noProof/>
        </w:rPr>
        <w:t>)</w:t>
      </w:r>
      <w:r>
        <w:rPr>
          <w:noProof/>
          <w:lang w:eastAsia="en-GB"/>
        </w:rPr>
        <w:t>.</w:t>
      </w:r>
    </w:p>
    <w:p w:rsidR="0087343F" w:rsidRDefault="00CB3F65">
      <w:pPr>
        <w:spacing w:line="276" w:lineRule="auto"/>
        <w:rPr>
          <w:noProof/>
        </w:rPr>
      </w:pPr>
      <w:r>
        <w:rPr>
          <w:noProof/>
        </w:rPr>
        <w:t>In 2015, the LULUCF sector in the EU provided a reported carbon sink absorbing 305 Mt CO</w:t>
      </w:r>
      <w:r>
        <w:rPr>
          <w:noProof/>
          <w:vertAlign w:val="subscript"/>
        </w:rPr>
        <w:t>2</w:t>
      </w:r>
      <w:r>
        <w:rPr>
          <w:noProof/>
        </w:rPr>
        <w:t xml:space="preserve"> eq (including cropland and grassland)</w:t>
      </w:r>
      <w:r>
        <w:rPr>
          <w:i/>
          <w:iCs/>
          <w:noProof/>
          <w:color w:val="1F497D"/>
        </w:rPr>
        <w:t xml:space="preserve">. </w:t>
      </w:r>
      <w:r>
        <w:rPr>
          <w:iCs/>
          <w:noProof/>
          <w:color w:val="1F497D"/>
        </w:rPr>
        <w:t>T</w:t>
      </w:r>
      <w:r>
        <w:rPr>
          <w:noProof/>
        </w:rPr>
        <w:t>he acco</w:t>
      </w:r>
      <w:r>
        <w:rPr>
          <w:noProof/>
        </w:rPr>
        <w:t>unted credit, representing the difference between the reported value and a reference baseline, increased from 115 to 122 Mt CO</w:t>
      </w:r>
      <w:r>
        <w:rPr>
          <w:noProof/>
          <w:vertAlign w:val="subscript"/>
        </w:rPr>
        <w:t>2</w:t>
      </w:r>
      <w:r>
        <w:rPr>
          <w:noProof/>
        </w:rPr>
        <w:t xml:space="preserve"> eq. between 2013 and 2015. Forest management accounts for most of this credit (see </w:t>
      </w:r>
      <w:r>
        <w:rPr>
          <w:noProof/>
        </w:rPr>
        <w:fldChar w:fldCharType="begin"/>
      </w:r>
      <w:r>
        <w:rPr>
          <w:noProof/>
        </w:rPr>
        <w:instrText xml:space="preserve"> REF _Ref493168683 \h </w:instrText>
      </w:r>
      <w:r>
        <w:rPr>
          <w:noProof/>
        </w:rPr>
      </w:r>
      <w:r>
        <w:rPr>
          <w:noProof/>
        </w:rPr>
        <w:fldChar w:fldCharType="separate"/>
      </w:r>
      <w:r>
        <w:rPr>
          <w:noProof/>
        </w:rPr>
        <w:t>Figure 4</w:t>
      </w:r>
      <w:r>
        <w:rPr>
          <w:noProof/>
        </w:rPr>
        <w:fldChar w:fldCharType="end"/>
      </w:r>
      <w:r>
        <w:rPr>
          <w:noProof/>
        </w:rPr>
        <w:t xml:space="preserve">). The EU therefore remains on track to have no debit from the LULUCF sector and is very likely meeting its commitment under the Kyoto Protocol. </w:t>
      </w:r>
    </w:p>
    <w:p w:rsidR="0087343F" w:rsidRDefault="00CB3F65">
      <w:pPr>
        <w:pStyle w:val="Caption"/>
        <w:ind w:left="993" w:hanging="993"/>
        <w:jc w:val="center"/>
        <w:rPr>
          <w:noProof/>
        </w:rPr>
      </w:pPr>
      <w:bookmarkStart w:id="31" w:name="_Ref493168683"/>
      <w:bookmarkStart w:id="32" w:name="_Toc493153418"/>
      <w:bookmarkStart w:id="33" w:name="_Toc495580777"/>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31"/>
      <w:r>
        <w:rPr>
          <w:noProof/>
        </w:rPr>
        <w:t>: Accounted emissions and</w:t>
      </w:r>
      <w:r>
        <w:rPr>
          <w:noProof/>
        </w:rPr>
        <w:t xml:space="preserve"> removals from the LULUCF sector per activity, 2013-201</w:t>
      </w:r>
      <w:bookmarkEnd w:id="32"/>
      <w:r>
        <w:rPr>
          <w:noProof/>
        </w:rPr>
        <w:t>5</w:t>
      </w:r>
      <w:bookmarkEnd w:id="33"/>
      <w:r>
        <w:rPr>
          <w:noProof/>
        </w:rPr>
        <w:t xml:space="preserve"> </w:t>
      </w:r>
    </w:p>
    <w:p w:rsidR="0087343F" w:rsidRDefault="00CB3F65">
      <w:pPr>
        <w:spacing w:line="276" w:lineRule="auto"/>
        <w:jc w:val="center"/>
        <w:rPr>
          <w:noProof/>
        </w:rPr>
      </w:pPr>
      <w:r>
        <w:rPr>
          <w:noProof/>
          <w:lang w:eastAsia="en-GB"/>
        </w:rPr>
        <mc:AlternateContent>
          <mc:Choice Requires="wps">
            <w:drawing>
              <wp:anchor distT="0" distB="0" distL="114300" distR="114300" simplePos="0" relativeHeight="251673608" behindDoc="0" locked="0" layoutInCell="1" allowOverlap="1">
                <wp:simplePos x="0" y="0"/>
                <wp:positionH relativeFrom="column">
                  <wp:posOffset>1494204</wp:posOffset>
                </wp:positionH>
                <wp:positionV relativeFrom="paragraph">
                  <wp:posOffset>787400</wp:posOffset>
                </wp:positionV>
                <wp:extent cx="3797300" cy="6350"/>
                <wp:effectExtent l="0" t="0" r="12700" b="31750"/>
                <wp:wrapNone/>
                <wp:docPr id="27" name="Straight Connector 5"/>
                <wp:cNvGraphicFramePr/>
                <a:graphic xmlns:a="http://schemas.openxmlformats.org/drawingml/2006/main">
                  <a:graphicData uri="http://schemas.microsoft.com/office/word/2010/wordprocessingShape">
                    <wps:wsp>
                      <wps:cNvCnPr/>
                      <wps:spPr>
                        <a:xfrm flipV="1">
                          <a:off x="0" y="0"/>
                          <a:ext cx="37973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flip:y;z-index:251673608;visibility:visible;mso-wrap-style:square;mso-wrap-distance-left:9pt;mso-wrap-distance-top:0;mso-wrap-distance-right:9pt;mso-wrap-distance-bottom:0;mso-position-horizontal:absolute;mso-position-horizontal-relative:text;mso-position-vertical:absolute;mso-position-vertical-relative:text" from="117.65pt,62pt" to="416.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" strokecolor="black [3040]"/>
            </w:pict>
          </mc:Fallback>
        </mc:AlternateContent>
      </w:r>
      <w:r>
        <w:rPr>
          <w:noProof/>
          <w:lang w:eastAsia="en-GB"/>
        </w:rPr>
        <w:drawing>
          <wp:inline distT="0" distB="0" distL="0" distR="0">
            <wp:extent cx="4610100" cy="2689225"/>
            <wp:effectExtent l="0" t="0" r="19050" b="1587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lang w:eastAsia="en-GB"/>
        </w:rPr>
        <mc:AlternateContent>
          <mc:Choice Requires="wps">
            <w:drawing>
              <wp:anchor distT="0" distB="0" distL="114300" distR="114300" simplePos="0" relativeHeight="251671560" behindDoc="0" locked="0" layoutInCell="1" allowOverlap="1">
                <wp:simplePos x="0" y="0"/>
                <wp:positionH relativeFrom="column">
                  <wp:posOffset>2511425</wp:posOffset>
                </wp:positionH>
                <wp:positionV relativeFrom="paragraph">
                  <wp:posOffset>298450</wp:posOffset>
                </wp:positionV>
                <wp:extent cx="1865126" cy="254493"/>
                <wp:effectExtent l="0" t="0" r="0" b="0"/>
                <wp:wrapNone/>
                <wp:docPr id="25" name="TextBox 2"/>
                <wp:cNvGraphicFramePr/>
                <a:graphic xmlns:a="http://schemas.openxmlformats.org/drawingml/2006/main">
                  <a:graphicData uri="http://schemas.microsoft.com/office/word/2010/wordprocessingShape">
                    <wps:wsp>
                      <wps:cNvSpPr txBox="1"/>
                      <wps:spPr>
                        <a:xfrm>
                          <a:off x="0" y="0"/>
                          <a:ext cx="1865126" cy="254493"/>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87343F" w:rsidRDefault="00CB3F65">
                            <w:pPr>
                              <w:pStyle w:val="NormalWeb"/>
                              <w:spacing w:before="0" w:after="0"/>
                            </w:pPr>
                            <w:r>
                              <w:rPr>
                                <w:color w:val="000000" w:themeColor="text1"/>
                                <w:sz w:val="22"/>
                                <w:szCs w:val="22"/>
                              </w:rPr>
                              <w:t>net emissions (positive value)</w:t>
                            </w:r>
                          </w:p>
                        </w:txbxContent>
                      </wps:txbx>
                      <wps:bodyPr vertOverflow="clip" horzOverflow="clip" wrap="none" rtlCol="0" anchor="t">
                        <a:spAutoFit/>
                      </wps:bodyPr>
                    </wps:wsp>
                  </a:graphicData>
                </a:graphic>
              </wp:anchor>
            </w:drawing>
          </mc:Choice>
          <mc:Fallback>
            <w:pict>
              <v:shape id="TextBox 2" o:spid="_x0000_s1027" type="#_x0000_t202" style="position:absolute;left:0;text-align:left;margin-left:197.75pt;margin-top:23.5pt;width:146.85pt;height:20.05pt;z-index:251671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" filled="f" stroked="f">
                <v:textbox style="mso-fit-shape-to-text:t">
                  <w:txbxContent>
                    <w:p>
                      <w:pPr>
                        <w:pStyle w:val="NormalWeb"/>
                        <w:spacing w:before="0" w:after="0"/>
                      </w:pPr>
                      <w:r>
                        <w:rPr>
                          <w:color w:val="000000" w:themeColor="text1"/>
                          <w:sz w:val="22"/>
                          <w:szCs w:val="22"/>
                        </w:rPr>
                        <w:t>net emissions (positive value)</w:t>
                      </w:r>
                    </w:p>
                  </w:txbxContent>
                </v:textbox>
              </v:shape>
            </w:pict>
          </mc:Fallback>
        </mc:AlternateContent>
      </w:r>
      <w:r>
        <w:rPr>
          <w:noProof/>
          <w:lang w:eastAsia="en-GB"/>
        </w:rPr>
        <mc:AlternateContent>
          <mc:Choice Requires="wps">
            <w:drawing>
              <wp:anchor distT="0" distB="0" distL="114300" distR="114300" simplePos="0" relativeHeight="251672584" behindDoc="0" locked="0" layoutInCell="1" allowOverlap="1">
                <wp:simplePos x="0" y="0"/>
                <wp:positionH relativeFrom="column">
                  <wp:posOffset>2733675</wp:posOffset>
                </wp:positionH>
                <wp:positionV relativeFrom="paragraph">
                  <wp:posOffset>1739900</wp:posOffset>
                </wp:positionV>
                <wp:extent cx="1856855" cy="254493"/>
                <wp:effectExtent l="0" t="0" r="0" b="0"/>
                <wp:wrapNone/>
                <wp:docPr id="26" name="TextBox 3"/>
                <wp:cNvGraphicFramePr/>
                <a:graphic xmlns:a="http://schemas.openxmlformats.org/drawingml/2006/main">
                  <a:graphicData uri="http://schemas.microsoft.com/office/word/2010/wordprocessingShape">
                    <wps:wsp>
                      <wps:cNvSpPr txBox="1"/>
                      <wps:spPr>
                        <a:xfrm>
                          <a:off x="0" y="0"/>
                          <a:ext cx="1856855" cy="254493"/>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87343F" w:rsidRDefault="00CB3F65">
                            <w:pPr>
                              <w:pStyle w:val="NormalWeb"/>
                              <w:spacing w:before="0" w:after="0"/>
                            </w:pPr>
                            <w:r>
                              <w:rPr>
                                <w:color w:val="000000" w:themeColor="text1"/>
                                <w:sz w:val="22"/>
                                <w:szCs w:val="22"/>
                              </w:rPr>
                              <w:t>net removals (negative value)</w:t>
                            </w:r>
                          </w:p>
                        </w:txbxContent>
                      </wps:txbx>
                      <wps:bodyPr vertOverflow="clip" horzOverflow="clip" wrap="none" rtlCol="0" anchor="t">
                        <a:spAutoFit/>
                      </wps:bodyPr>
                    </wps:wsp>
                  </a:graphicData>
                </a:graphic>
              </wp:anchor>
            </w:drawing>
          </mc:Choice>
          <mc:Fallback>
            <w:pict>
              <v:shape id="TextBox 3" o:spid="_x0000_s1028" type="#_x0000_t202" style="position:absolute;left:0;text-align:left;margin-left:215.25pt;margin-top:137pt;width:146.2pt;height:20.05pt;z-index:251672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" filled="f" stroked="f">
                <v:textbox style="mso-fit-shape-to-text:t">
                  <w:txbxContent>
                    <w:p>
                      <w:pPr>
                        <w:pStyle w:val="NormalWeb"/>
                        <w:spacing w:before="0" w:after="0"/>
                      </w:pPr>
                      <w:r>
                        <w:rPr>
                          <w:color w:val="000000" w:themeColor="text1"/>
                          <w:sz w:val="22"/>
                          <w:szCs w:val="22"/>
                        </w:rPr>
                        <w:t>net removals (negative value)</w:t>
                      </w:r>
                    </w:p>
                  </w:txbxContent>
                </v:textbox>
              </v:shape>
            </w:pict>
          </mc:Fallback>
        </mc:AlternateContent>
      </w:r>
    </w:p>
    <w:p w:rsidR="0087343F" w:rsidRDefault="00CB3F65">
      <w:pPr>
        <w:pStyle w:val="ManualHeading2"/>
        <w:rPr>
          <w:i/>
          <w:noProof/>
        </w:rPr>
      </w:pPr>
      <w:bookmarkStart w:id="34" w:name="_Toc492542678"/>
      <w:bookmarkStart w:id="35" w:name="_Toc493004504"/>
      <w:r>
        <w:t>1.2.</w:t>
      </w:r>
      <w:r>
        <w:tab/>
      </w:r>
      <w:r>
        <w:rPr>
          <w:noProof/>
        </w:rPr>
        <w:t>Progress towards the 2020 targets</w:t>
      </w:r>
      <w:bookmarkEnd w:id="23"/>
      <w:bookmarkEnd w:id="24"/>
      <w:bookmarkEnd w:id="25"/>
      <w:bookmarkEnd w:id="26"/>
      <w:bookmarkEnd w:id="27"/>
      <w:bookmarkEnd w:id="28"/>
      <w:bookmarkEnd w:id="34"/>
      <w:bookmarkEnd w:id="35"/>
    </w:p>
    <w:p w:rsidR="0087343F" w:rsidRDefault="00CB3F65">
      <w:pPr>
        <w:spacing w:line="276" w:lineRule="auto"/>
        <w:rPr>
          <w:noProof/>
        </w:rPr>
      </w:pPr>
      <w:r>
        <w:rPr>
          <w:noProof/>
        </w:rPr>
        <w:t xml:space="preserve">According to Member States’ latest projections based on existing measures, emissions are </w:t>
      </w:r>
      <w:r>
        <w:rPr>
          <w:noProof/>
        </w:rPr>
        <w:t>expected to be 26 % lower in 2020 than in 1990. The EU therefore remains on track to meet its domestic emissions reduction target of 20 % by 2020 and consequently its obligations under the second commitment period of the Kyoto Protocol.</w:t>
      </w:r>
    </w:p>
    <w:p w:rsidR="0087343F" w:rsidRDefault="00CB3F65">
      <w:pPr>
        <w:spacing w:line="276" w:lineRule="auto"/>
        <w:rPr>
          <w:noProof/>
        </w:rPr>
      </w:pPr>
      <w:r>
        <w:rPr>
          <w:noProof/>
        </w:rPr>
        <w:t>Between 2005 and 20</w:t>
      </w:r>
      <w:r>
        <w:rPr>
          <w:noProof/>
        </w:rPr>
        <w:t>16, stationary emissions, e.g. from power plants or refineries, covered by the EU emissions trading system (ETS) fell by 26 %. This is markedly more than the 23 % reduction set as the 2020 target. Such emissions accounted for around 40 % of total EU greenh</w:t>
      </w:r>
      <w:r>
        <w:rPr>
          <w:noProof/>
        </w:rPr>
        <w:t>ouse gas emissions in 2016. Total EU emissions fell by 0.7 % from 2015 to 2016, while overall GDP rose by 1.9 %, confirming that emissions and GDP are being decoupled.</w:t>
      </w:r>
    </w:p>
    <w:p w:rsidR="0087343F" w:rsidRDefault="00CB3F65">
      <w:pPr>
        <w:spacing w:line="276" w:lineRule="auto"/>
        <w:rPr>
          <w:noProof/>
        </w:rPr>
      </w:pPr>
      <w:r>
        <w:rPr>
          <w:noProof/>
        </w:rPr>
        <w:t>Greenhouse gas emissions from fixed installations covered by the EU ETS fell by 2.9 % co</w:t>
      </w:r>
      <w:r>
        <w:rPr>
          <w:noProof/>
        </w:rPr>
        <w:t>mpared to 2015, according to preliminary data. This marks a decreasing trend in emissions since the start of Phase 3 of the EU ETS. Moreover, the surplus of emission allowances that had built up since 2009 fell significantly, to around 1.69 billion allowan</w:t>
      </w:r>
      <w:r>
        <w:rPr>
          <w:noProof/>
        </w:rPr>
        <w:t>ces, as fewer allowances were auctioned. The surplus is at its lowest level since 2013.</w:t>
      </w:r>
    </w:p>
    <w:p w:rsidR="0087343F" w:rsidRDefault="00CB3F65">
      <w:pPr>
        <w:spacing w:line="276" w:lineRule="auto"/>
        <w:rPr>
          <w:noProof/>
        </w:rPr>
      </w:pPr>
      <w:r>
        <w:rPr>
          <w:noProof/>
        </w:rPr>
        <w:t xml:space="preserve">Emissions not covered by the EU ETS were 11 % lower in 2016 than in 2005, exceeding the 2020 target of a 10 % reduction. However, in 2016 they increased for the second </w:t>
      </w:r>
      <w:r>
        <w:rPr>
          <w:noProof/>
        </w:rPr>
        <w:t>year in a row, by 0.9 %. This is at least partly explained by the lower oil prices and higher demand for heating because of weather conditions in both 2015 and 2016. Under the Effort Sharing Decision (ESD), Member States must meet binding annual greenhouse</w:t>
      </w:r>
      <w:r>
        <w:rPr>
          <w:noProof/>
        </w:rPr>
        <w:t xml:space="preserve"> gas emission targets for 2013-2020 in sectors not covered by the ETS, including buildings, transport, waste and agriculture. Malta has failed to meet its ESD target for each of the three years 2013-2015 and has used the flexibility mechanism to comply wit</w:t>
      </w:r>
      <w:r>
        <w:rPr>
          <w:noProof/>
        </w:rPr>
        <w:t>h its legal obligations. Preliminary estimates for 2016 show that Malta, Belgium, Finland and Ireland will likely fail to meet their non-ETS targets.</w:t>
      </w:r>
    </w:p>
    <w:p w:rsidR="0087343F" w:rsidRDefault="00CB3F65">
      <w:pPr>
        <w:spacing w:line="276" w:lineRule="auto"/>
        <w:rPr>
          <w:noProof/>
        </w:rPr>
      </w:pPr>
      <w:r>
        <w:rPr>
          <w:noProof/>
        </w:rPr>
        <w:t>According to national projections based on policies already implemented, most Member States are expected t</w:t>
      </w:r>
      <w:r>
        <w:rPr>
          <w:noProof/>
        </w:rPr>
        <w:t xml:space="preserve">o reach their 2020 targets (see </w:t>
      </w:r>
      <w:r>
        <w:rPr>
          <w:noProof/>
        </w:rPr>
        <w:fldChar w:fldCharType="begin"/>
      </w:r>
      <w:r>
        <w:rPr>
          <w:noProof/>
        </w:rPr>
        <w:instrText xml:space="preserve"> REF _Ref494210659 \h </w:instrText>
      </w:r>
      <w:r>
        <w:rPr>
          <w:noProof/>
        </w:rPr>
      </w:r>
      <w:r>
        <w:rPr>
          <w:noProof/>
        </w:rPr>
        <w:fldChar w:fldCharType="separate"/>
      </w:r>
      <w:r>
        <w:rPr>
          <w:noProof/>
        </w:rPr>
        <w:t>Figure 5</w:t>
      </w:r>
      <w:r>
        <w:rPr>
          <w:noProof/>
        </w:rPr>
        <w:fldChar w:fldCharType="end"/>
      </w:r>
      <w:r>
        <w:rPr>
          <w:noProof/>
        </w:rPr>
        <w:t xml:space="preserve">). Only a few will need to take additional measures or make use of flexibilities such as buying allocations from other Member </w:t>
      </w:r>
      <w:r>
        <w:rPr>
          <w:noProof/>
        </w:rPr>
        <w:t>States that have overcomplied or use own surpluses from the first years of the period.</w:t>
      </w:r>
    </w:p>
    <w:p w:rsidR="0087343F" w:rsidRDefault="00CB3F65">
      <w:pPr>
        <w:spacing w:line="276" w:lineRule="auto"/>
        <w:rPr>
          <w:noProof/>
          <w:sz w:val="20"/>
          <w:szCs w:val="20"/>
        </w:rPr>
      </w:pPr>
      <w:r>
        <w:rPr>
          <w:noProof/>
        </w:rPr>
        <w:t>Some Member States are in a special situation with regard to 2020.</w:t>
      </w:r>
    </w:p>
    <w:p w:rsidR="0087343F" w:rsidRDefault="00CB3F65">
      <w:pPr>
        <w:numPr>
          <w:ilvl w:val="0"/>
          <w:numId w:val="36"/>
        </w:numPr>
        <w:spacing w:line="276" w:lineRule="auto"/>
        <w:rPr>
          <w:noProof/>
        </w:rPr>
      </w:pPr>
      <w:r>
        <w:rPr>
          <w:noProof/>
        </w:rPr>
        <w:t>In Ireland, emissions are expected to increase by 6 percentage points between 2015 and 2020 and to rem</w:t>
      </w:r>
      <w:r>
        <w:rPr>
          <w:noProof/>
        </w:rPr>
        <w:t>ain above the annual ESD allocations, with transport emissions expected to increase by 12 %. In June 2017, as part of the EU’s annual cycle of economic coordination (the European Semester), it was recommended that Ireland further increases investment in pu</w:t>
      </w:r>
      <w:r>
        <w:rPr>
          <w:noProof/>
        </w:rPr>
        <w:t>blic transport.</w:t>
      </w:r>
    </w:p>
    <w:p w:rsidR="0087343F" w:rsidRDefault="00CB3F65">
      <w:pPr>
        <w:numPr>
          <w:ilvl w:val="0"/>
          <w:numId w:val="36"/>
        </w:numPr>
        <w:spacing w:line="276" w:lineRule="auto"/>
        <w:rPr>
          <w:noProof/>
        </w:rPr>
      </w:pPr>
      <w:r>
        <w:rPr>
          <w:noProof/>
        </w:rPr>
        <w:t>Malta’s emissions are expected to remain above the annual ESD allocations. Emissions from hydrofluorocarbons and in the transport sector rose.</w:t>
      </w:r>
    </w:p>
    <w:p w:rsidR="0087343F" w:rsidRDefault="0087343F">
      <w:pPr>
        <w:pStyle w:val="Caption"/>
        <w:keepNext/>
        <w:ind w:left="1560" w:right="198"/>
        <w:jc w:val="center"/>
        <w:rPr>
          <w:noProof/>
        </w:rPr>
      </w:pPr>
      <w:bookmarkStart w:id="36" w:name="_Ref391375663"/>
      <w:bookmarkEnd w:id="36"/>
    </w:p>
    <w:p w:rsidR="0087343F" w:rsidRDefault="00CB3F65">
      <w:pPr>
        <w:pStyle w:val="Caption"/>
        <w:keepNext/>
        <w:jc w:val="center"/>
        <w:rPr>
          <w:noProof/>
        </w:rPr>
      </w:pPr>
      <w:bookmarkStart w:id="37" w:name="_Ref494210659"/>
      <w:bookmarkStart w:id="38" w:name="_Toc495580778"/>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37"/>
      <w:r>
        <w:rPr>
          <w:noProof/>
        </w:rPr>
        <w:t>: Relative gap between projected 2020 emissions outside ETS and</w:t>
      </w:r>
      <w:r>
        <w:rPr>
          <w:noProof/>
        </w:rPr>
        <w:t xml:space="preserve"> 2020 targets (in % of 2005 emissions).</w:t>
      </w:r>
      <w:bookmarkEnd w:id="38"/>
    </w:p>
    <w:p w:rsidR="0087343F" w:rsidRDefault="00CB3F65">
      <w:pPr>
        <w:pStyle w:val="Caption"/>
        <w:keepNext/>
        <w:ind w:left="1560" w:right="198"/>
        <w:jc w:val="center"/>
        <w:rPr>
          <w:noProof/>
        </w:rPr>
      </w:pPr>
      <w:r>
        <w:rPr>
          <w:noProof/>
          <w:color w:val="FF0000"/>
          <w:bdr w:val="single" w:sz="4" w:space="0" w:color="auto"/>
        </w:rPr>
        <w:drawing>
          <wp:inline distT="0" distB="0" distL="0" distR="0">
            <wp:extent cx="5276850" cy="4425950"/>
            <wp:effectExtent l="0" t="0" r="1905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7343F" w:rsidRDefault="00CB3F65">
      <w:pPr>
        <w:numPr>
          <w:ilvl w:val="0"/>
          <w:numId w:val="36"/>
        </w:numPr>
        <w:spacing w:line="276" w:lineRule="auto"/>
        <w:rPr>
          <w:noProof/>
        </w:rPr>
      </w:pPr>
      <w:r>
        <w:rPr>
          <w:noProof/>
        </w:rPr>
        <w:t>Belgium is expected to miss its 2020 target by 3.5 percentage points. As indicated in the European Semester, the composition of public spending must be improved in order to create room for infrastructure investment</w:t>
      </w:r>
      <w:r>
        <w:rPr>
          <w:noProof/>
        </w:rPr>
        <w:t>, including transport infrastructure. Continuing favourable tax treatment of company cars contributes to pollution, congestion and greenhouse gas emissions.</w:t>
      </w:r>
    </w:p>
    <w:p w:rsidR="0087343F" w:rsidRDefault="00CB3F65">
      <w:pPr>
        <w:numPr>
          <w:ilvl w:val="0"/>
          <w:numId w:val="36"/>
        </w:numPr>
        <w:spacing w:line="276" w:lineRule="auto"/>
        <w:rPr>
          <w:noProof/>
        </w:rPr>
      </w:pPr>
      <w:r>
        <w:rPr>
          <w:noProof/>
        </w:rPr>
        <w:t>According to the most recent national projections, Germany is expected to miss its target by 3.3 pe</w:t>
      </w:r>
      <w:r>
        <w:rPr>
          <w:noProof/>
        </w:rPr>
        <w:t>rcentage points by 2020. Based on preliminary data, in 2016, Germany’s non-ETS emissions reductions were only slightly below the target.</w:t>
      </w:r>
    </w:p>
    <w:p w:rsidR="0087343F" w:rsidRDefault="00CB3F65">
      <w:pPr>
        <w:numPr>
          <w:ilvl w:val="0"/>
          <w:numId w:val="36"/>
        </w:numPr>
        <w:spacing w:line="276" w:lineRule="auto"/>
        <w:rPr>
          <w:noProof/>
        </w:rPr>
      </w:pPr>
      <w:r>
        <w:rPr>
          <w:noProof/>
        </w:rPr>
        <w:t>Austria and Luxembourg are expected to miss their 2020 targets by a margin of less than 3 percentage points.</w:t>
      </w:r>
    </w:p>
    <w:p w:rsidR="0087343F" w:rsidRDefault="00CB3F65">
      <w:pPr>
        <w:numPr>
          <w:ilvl w:val="0"/>
          <w:numId w:val="36"/>
        </w:numPr>
        <w:spacing w:line="276" w:lineRule="auto"/>
        <w:rPr>
          <w:noProof/>
        </w:rPr>
      </w:pPr>
      <w:r>
        <w:rPr>
          <w:noProof/>
        </w:rPr>
        <w:t xml:space="preserve">According </w:t>
      </w:r>
      <w:r>
        <w:rPr>
          <w:noProof/>
        </w:rPr>
        <w:t xml:space="preserve">to its own projection, Finland could miss its 2020 emissions target, by a margin of less than 1 percentage point. However, for 2016, preliminary data indicate that Finland’s non-ETS emissions were already 3 percentage points higher than the allocation for </w:t>
      </w:r>
      <w:r>
        <w:rPr>
          <w:noProof/>
        </w:rPr>
        <w:t>that year.</w:t>
      </w:r>
    </w:p>
    <w:p w:rsidR="0087343F" w:rsidRDefault="00CB3F65">
      <w:pPr>
        <w:spacing w:line="276" w:lineRule="auto"/>
        <w:rPr>
          <w:noProof/>
        </w:rPr>
      </w:pPr>
      <w:r>
        <w:rPr>
          <w:noProof/>
        </w:rPr>
        <w:t>As regards LULUCF, under the Kyoto Protocol most Member States have a cumulative accounted net removal from 2013 to 2015. Only Latvia, Bulgaria, Finland and the Netherlands have a provisional net emission. It should be noted that LULUCF accounts</w:t>
      </w:r>
      <w:r>
        <w:rPr>
          <w:noProof/>
        </w:rPr>
        <w:t xml:space="preserve"> will be cumulated over the period 2013 to 2020, and therefore full accounting results cannot yet be determined and are therefore provisional. Nevertheless, as mentioned above, as yet there is no significant compliance risk at EU level. </w:t>
      </w:r>
    </w:p>
    <w:p w:rsidR="0087343F" w:rsidRDefault="00CB3F65">
      <w:pPr>
        <w:pStyle w:val="Caption"/>
        <w:keepNext/>
        <w:jc w:val="center"/>
        <w:rPr>
          <w:noProof/>
        </w:rPr>
      </w:pPr>
      <w:bookmarkStart w:id="39" w:name="_Toc495580779"/>
      <w:r>
        <w:rPr>
          <w:noProof/>
        </w:rPr>
        <w:t xml:space="preserve">Figure </w:t>
      </w:r>
      <w:r>
        <w:rPr>
          <w:noProof/>
        </w:rPr>
        <w:fldChar w:fldCharType="begin"/>
      </w:r>
      <w:r>
        <w:rPr>
          <w:noProof/>
        </w:rPr>
        <w:instrText xml:space="preserve"> SEQ Figure</w:instrText>
      </w:r>
      <w:r>
        <w:rPr>
          <w:noProof/>
        </w:rPr>
        <w:instrText xml:space="preserve"> \* ARABIC </w:instrText>
      </w:r>
      <w:r>
        <w:rPr>
          <w:noProof/>
        </w:rPr>
        <w:fldChar w:fldCharType="separate"/>
      </w:r>
      <w:r>
        <w:rPr>
          <w:noProof/>
        </w:rPr>
        <w:t>6</w:t>
      </w:r>
      <w:r>
        <w:rPr>
          <w:noProof/>
        </w:rPr>
        <w:fldChar w:fldCharType="end"/>
      </w:r>
      <w:r>
        <w:rPr>
          <w:noProof/>
        </w:rPr>
        <w:t>: Provisional accounted cumulative LULUCF net emissions and removals per Member State (2013-2015)</w:t>
      </w:r>
      <w:bookmarkEnd w:id="39"/>
      <w:r>
        <w:rPr>
          <w:noProof/>
        </w:rPr>
        <w:t xml:space="preserve"> </w:t>
      </w:r>
    </w:p>
    <w:p w:rsidR="0087343F" w:rsidRDefault="00CB3F65">
      <w:pPr>
        <w:spacing w:line="276" w:lineRule="auto"/>
        <w:jc w:val="center"/>
        <w:rPr>
          <w:noProof/>
        </w:rPr>
      </w:pPr>
      <w:r>
        <w:rPr>
          <w:noProof/>
          <w:lang w:eastAsia="en-GB"/>
        </w:rPr>
        <w:drawing>
          <wp:inline distT="0" distB="0" distL="0" distR="0">
            <wp:extent cx="5971735" cy="5430130"/>
            <wp:effectExtent l="0" t="0" r="10160" b="1841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7343F" w:rsidRDefault="00CB3F65">
      <w:pPr>
        <w:pStyle w:val="ManualHeading2"/>
        <w:rPr>
          <w:i/>
          <w:noProof/>
        </w:rPr>
      </w:pPr>
      <w:bookmarkStart w:id="40" w:name="_Toc493004505"/>
      <w:bookmarkStart w:id="41" w:name="_Toc492542679"/>
      <w:bookmarkStart w:id="42" w:name="_Ref485636584"/>
      <w:r>
        <w:t>1.3.</w:t>
      </w:r>
      <w:r>
        <w:tab/>
      </w:r>
      <w:r>
        <w:rPr>
          <w:noProof/>
        </w:rPr>
        <w:t>Member States’ compliance with the Effort Sharing Decision</w:t>
      </w:r>
      <w:bookmarkEnd w:id="40"/>
      <w:bookmarkEnd w:id="41"/>
      <w:bookmarkEnd w:id="42"/>
    </w:p>
    <w:p w:rsidR="0087343F" w:rsidRDefault="00CB3F65">
      <w:pPr>
        <w:spacing w:line="276" w:lineRule="auto"/>
        <w:rPr>
          <w:noProof/>
        </w:rPr>
      </w:pPr>
      <w:r>
        <w:rPr>
          <w:noProof/>
        </w:rPr>
        <w:t>All 28 Member States complied with their ESD obligations for the years 2013-</w:t>
      </w:r>
      <w:r>
        <w:rPr>
          <w:noProof/>
        </w:rPr>
        <w:t xml:space="preserve">2015. Malta emitted more than its annual emission allocations (AEA), but covered its surplus emissions by purchases of units from Bulgaria. Sweden emitted less than its allocation and cancelled its spare units to enhance the environmental integrity of the </w:t>
      </w:r>
      <w:r>
        <w:rPr>
          <w:noProof/>
        </w:rPr>
        <w:t>system. As yet, no international credits from the clean development mechanism (CDM) or joint implementation (JI) have been used to comply with ESD obligations. The expected cumulative surplus of annual emission allocations per Member State for the three ye</w:t>
      </w:r>
      <w:r>
        <w:rPr>
          <w:noProof/>
        </w:rPr>
        <w:t xml:space="preserve">ars 2013-2015 is shown in </w:t>
      </w:r>
      <w:r>
        <w:rPr>
          <w:noProof/>
        </w:rPr>
        <w:fldChar w:fldCharType="begin"/>
      </w:r>
      <w:r>
        <w:rPr>
          <w:noProof/>
        </w:rPr>
        <w:instrText xml:space="preserve"> REF _Ref493001472 \h </w:instrText>
      </w:r>
      <w:r>
        <w:rPr>
          <w:noProof/>
        </w:rPr>
      </w:r>
      <w:r>
        <w:rPr>
          <w:noProof/>
        </w:rPr>
        <w:fldChar w:fldCharType="separate"/>
      </w:r>
      <w:r>
        <w:rPr>
          <w:noProof/>
        </w:rPr>
        <w:t>Figure 7</w:t>
      </w:r>
      <w:r>
        <w:rPr>
          <w:noProof/>
        </w:rPr>
        <w:fldChar w:fldCharType="end"/>
      </w:r>
      <w:r>
        <w:rPr>
          <w:noProof/>
        </w:rPr>
        <w:t>.</w:t>
      </w:r>
    </w:p>
    <w:p w:rsidR="0087343F" w:rsidRDefault="00CB3F65">
      <w:pPr>
        <w:pStyle w:val="Caption"/>
        <w:keepNext/>
        <w:jc w:val="center"/>
        <w:rPr>
          <w:noProof/>
        </w:rPr>
      </w:pPr>
      <w:bookmarkStart w:id="43" w:name="_Ref493001472"/>
      <w:bookmarkStart w:id="44" w:name="_Toc495580780"/>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43"/>
      <w:r>
        <w:rPr>
          <w:noProof/>
        </w:rPr>
        <w:t>: Cumulative surplus of AEA as percentage of 2005 emissions, 2013-2015</w:t>
      </w:r>
      <w:bookmarkEnd w:id="44"/>
    </w:p>
    <w:p w:rsidR="0087343F" w:rsidRDefault="00CB3F65">
      <w:pPr>
        <w:spacing w:line="276" w:lineRule="auto"/>
        <w:jc w:val="center"/>
        <w:rPr>
          <w:noProof/>
        </w:rPr>
      </w:pPr>
      <w:r>
        <w:rPr>
          <w:noProof/>
          <w:lang w:eastAsia="en-GB"/>
        </w:rPr>
        <w:drawing>
          <wp:inline distT="0" distB="0" distL="0" distR="0">
            <wp:extent cx="4572000" cy="5054600"/>
            <wp:effectExtent l="0" t="0" r="19050"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7343F" w:rsidRDefault="00CB3F65">
      <w:pPr>
        <w:pStyle w:val="ManualHeading1"/>
        <w:rPr>
          <w:noProof/>
        </w:rPr>
      </w:pPr>
      <w:bookmarkStart w:id="45" w:name="_Toc493001851"/>
      <w:bookmarkStart w:id="46" w:name="_Toc493004506"/>
      <w:bookmarkStart w:id="47" w:name="_Toc493001854"/>
      <w:bookmarkStart w:id="48" w:name="_Toc493004509"/>
      <w:bookmarkStart w:id="49" w:name="_Toc493001855"/>
      <w:bookmarkStart w:id="50" w:name="_Toc493004510"/>
      <w:bookmarkStart w:id="51" w:name="_Toc493001856"/>
      <w:bookmarkStart w:id="52" w:name="_Toc493004511"/>
      <w:bookmarkStart w:id="53" w:name="_Toc493001857"/>
      <w:bookmarkStart w:id="54" w:name="_Toc493004512"/>
      <w:bookmarkStart w:id="55" w:name="_Toc493001858"/>
      <w:bookmarkStart w:id="56" w:name="_Toc493004513"/>
      <w:bookmarkStart w:id="57" w:name="_Toc487207221"/>
      <w:bookmarkStart w:id="58" w:name="_Toc463527676"/>
      <w:bookmarkStart w:id="59" w:name="_Toc463538562"/>
      <w:bookmarkStart w:id="60" w:name="_Toc463621136"/>
      <w:bookmarkStart w:id="61" w:name="_Toc463527677"/>
      <w:bookmarkStart w:id="62" w:name="_Toc463538563"/>
      <w:bookmarkStart w:id="63" w:name="_Toc463621137"/>
      <w:bookmarkStart w:id="64" w:name="_Toc463626519"/>
      <w:bookmarkStart w:id="65" w:name="_Toc463527678"/>
      <w:bookmarkStart w:id="66" w:name="_Toc463538564"/>
      <w:bookmarkStart w:id="67" w:name="_Toc463621138"/>
      <w:bookmarkStart w:id="68" w:name="_Toc463626520"/>
      <w:bookmarkStart w:id="69" w:name="_Toc463527679"/>
      <w:bookmarkStart w:id="70" w:name="_Toc463538565"/>
      <w:bookmarkStart w:id="71" w:name="_Toc463621139"/>
      <w:bookmarkStart w:id="72" w:name="_Toc463626521"/>
      <w:bookmarkStart w:id="73" w:name="_Ref425340651"/>
      <w:bookmarkStart w:id="74" w:name="_Toc463527680"/>
      <w:bookmarkStart w:id="75" w:name="_Toc463538566"/>
      <w:bookmarkStart w:id="76" w:name="_Toc463621140"/>
      <w:bookmarkStart w:id="77" w:name="_Toc463626522"/>
      <w:bookmarkStart w:id="78" w:name="_Toc463527681"/>
      <w:bookmarkStart w:id="79" w:name="_Toc463538567"/>
      <w:bookmarkStart w:id="80" w:name="_Toc463621141"/>
      <w:bookmarkStart w:id="81" w:name="_Toc463626523"/>
      <w:bookmarkStart w:id="82" w:name="_Toc463527682"/>
      <w:bookmarkStart w:id="83" w:name="_Toc463538568"/>
      <w:bookmarkStart w:id="84" w:name="_Toc463621142"/>
      <w:bookmarkStart w:id="85" w:name="_Toc463626524"/>
      <w:bookmarkStart w:id="86" w:name="_Toc463527683"/>
      <w:bookmarkStart w:id="87" w:name="_Toc463538569"/>
      <w:bookmarkStart w:id="88" w:name="_Toc463621143"/>
      <w:bookmarkStart w:id="89" w:name="_Toc463626525"/>
      <w:bookmarkStart w:id="90" w:name="_Toc463527684"/>
      <w:bookmarkStart w:id="91" w:name="_Toc463538570"/>
      <w:bookmarkStart w:id="92" w:name="_Toc463621144"/>
      <w:bookmarkStart w:id="93" w:name="_Toc463626526"/>
      <w:bookmarkStart w:id="94" w:name="_Toc463527685"/>
      <w:bookmarkStart w:id="95" w:name="_Toc463538571"/>
      <w:bookmarkStart w:id="96" w:name="_Toc463621145"/>
      <w:bookmarkStart w:id="97" w:name="_Toc463626527"/>
      <w:bookmarkStart w:id="98" w:name="_Toc463527686"/>
      <w:bookmarkStart w:id="99" w:name="_Toc463538572"/>
      <w:bookmarkStart w:id="100" w:name="_Toc463621146"/>
      <w:bookmarkStart w:id="101" w:name="_Toc463626528"/>
      <w:bookmarkStart w:id="102" w:name="_Toc463527687"/>
      <w:bookmarkStart w:id="103" w:name="_Toc463538573"/>
      <w:bookmarkStart w:id="104" w:name="_Toc463621147"/>
      <w:bookmarkStart w:id="105" w:name="_Toc463626529"/>
      <w:bookmarkStart w:id="106" w:name="_Toc463527688"/>
      <w:bookmarkStart w:id="107" w:name="_Toc463538574"/>
      <w:bookmarkStart w:id="108" w:name="_Toc463621148"/>
      <w:bookmarkStart w:id="109" w:name="_Toc463626530"/>
      <w:bookmarkStart w:id="110" w:name="_Toc397608268"/>
      <w:bookmarkStart w:id="111" w:name="_Toc397608298"/>
      <w:bookmarkStart w:id="112" w:name="_Toc397608328"/>
      <w:bookmarkStart w:id="113" w:name="_Toc397612334"/>
      <w:bookmarkStart w:id="114" w:name="_Toc398043825"/>
      <w:bookmarkStart w:id="115" w:name="_Toc398193290"/>
      <w:bookmarkStart w:id="116" w:name="_Toc397608269"/>
      <w:bookmarkStart w:id="117" w:name="_Toc397608299"/>
      <w:bookmarkStart w:id="118" w:name="_Toc397608329"/>
      <w:bookmarkStart w:id="119" w:name="_Toc397612335"/>
      <w:bookmarkStart w:id="120" w:name="_Toc398043826"/>
      <w:bookmarkStart w:id="121" w:name="_Toc398193291"/>
      <w:bookmarkStart w:id="122" w:name="_Toc463527689"/>
      <w:bookmarkStart w:id="123" w:name="_Toc463538575"/>
      <w:bookmarkStart w:id="124" w:name="_Toc463621149"/>
      <w:bookmarkStart w:id="125" w:name="_Toc463626531"/>
      <w:bookmarkStart w:id="126" w:name="_Toc463527690"/>
      <w:bookmarkStart w:id="127" w:name="_Toc463538576"/>
      <w:bookmarkStart w:id="128" w:name="_Toc463621150"/>
      <w:bookmarkStart w:id="129" w:name="_Toc463626532"/>
      <w:bookmarkStart w:id="130" w:name="_Toc463527691"/>
      <w:bookmarkStart w:id="131" w:name="_Toc463538577"/>
      <w:bookmarkStart w:id="132" w:name="_Toc463621151"/>
      <w:bookmarkStart w:id="133" w:name="_Toc463626533"/>
      <w:bookmarkStart w:id="134" w:name="_Toc463527692"/>
      <w:bookmarkStart w:id="135" w:name="_Toc463538578"/>
      <w:bookmarkStart w:id="136" w:name="_Toc463621152"/>
      <w:bookmarkStart w:id="137" w:name="_Toc463626534"/>
      <w:bookmarkStart w:id="138" w:name="_Toc463527693"/>
      <w:bookmarkStart w:id="139" w:name="_Toc463538579"/>
      <w:bookmarkStart w:id="140" w:name="_Toc463621153"/>
      <w:bookmarkStart w:id="141" w:name="_Toc463626535"/>
      <w:bookmarkStart w:id="142" w:name="_Toc463527694"/>
      <w:bookmarkStart w:id="143" w:name="_Toc463538580"/>
      <w:bookmarkStart w:id="144" w:name="_Toc463621154"/>
      <w:bookmarkStart w:id="145" w:name="_Toc463626536"/>
      <w:bookmarkStart w:id="146" w:name="_Toc463527695"/>
      <w:bookmarkStart w:id="147" w:name="_Toc463538581"/>
      <w:bookmarkStart w:id="148" w:name="_Toc463621155"/>
      <w:bookmarkStart w:id="149" w:name="_Toc463626537"/>
      <w:bookmarkStart w:id="150" w:name="_Toc463527696"/>
      <w:bookmarkStart w:id="151" w:name="_Toc463538582"/>
      <w:bookmarkStart w:id="152" w:name="_Toc463621156"/>
      <w:bookmarkStart w:id="153" w:name="_Toc463626538"/>
      <w:bookmarkStart w:id="154" w:name="_Toc463527697"/>
      <w:bookmarkStart w:id="155" w:name="_Toc463538583"/>
      <w:bookmarkStart w:id="156" w:name="_Toc463621157"/>
      <w:bookmarkStart w:id="157" w:name="_Toc463626539"/>
      <w:bookmarkStart w:id="158" w:name="_Toc463527698"/>
      <w:bookmarkStart w:id="159" w:name="_Toc463538584"/>
      <w:bookmarkStart w:id="160" w:name="_Toc463621158"/>
      <w:bookmarkStart w:id="161" w:name="_Toc463626540"/>
      <w:bookmarkStart w:id="162" w:name="_Toc463527699"/>
      <w:bookmarkStart w:id="163" w:name="_Toc463538585"/>
      <w:bookmarkStart w:id="164" w:name="_Toc463621159"/>
      <w:bookmarkStart w:id="165" w:name="_Toc463626541"/>
      <w:bookmarkStart w:id="166" w:name="_Toc493168536"/>
      <w:bookmarkStart w:id="167" w:name="_Toc371338153"/>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t>2.</w:t>
      </w:r>
      <w:r>
        <w:tab/>
      </w:r>
      <w:r>
        <w:rPr>
          <w:noProof/>
        </w:rPr>
        <w:t>Climate finance</w:t>
      </w:r>
      <w:bookmarkEnd w:id="166"/>
    </w:p>
    <w:p w:rsidR="0087343F" w:rsidRDefault="00CB3F65">
      <w:pPr>
        <w:pStyle w:val="ManualHeading2"/>
        <w:rPr>
          <w:i/>
          <w:noProof/>
        </w:rPr>
      </w:pPr>
      <w:bookmarkStart w:id="168" w:name="_Toc463527701"/>
      <w:bookmarkStart w:id="169" w:name="_Toc463538587"/>
      <w:bookmarkStart w:id="170" w:name="_Toc463621161"/>
      <w:bookmarkStart w:id="171" w:name="_Toc463628463"/>
      <w:bookmarkStart w:id="172" w:name="_Toc465073863"/>
      <w:bookmarkStart w:id="173" w:name="_Toc465090126"/>
      <w:bookmarkStart w:id="174" w:name="_Toc492542682"/>
      <w:bookmarkStart w:id="175" w:name="_Toc493004515"/>
      <w:r>
        <w:t>2.1.</w:t>
      </w:r>
      <w:r>
        <w:tab/>
      </w:r>
      <w:r>
        <w:rPr>
          <w:noProof/>
        </w:rPr>
        <w:t>Revenue from auctioning EU ETS allowances</w:t>
      </w:r>
      <w:bookmarkEnd w:id="168"/>
      <w:bookmarkEnd w:id="169"/>
      <w:bookmarkEnd w:id="170"/>
      <w:bookmarkEnd w:id="171"/>
      <w:bookmarkEnd w:id="172"/>
      <w:bookmarkEnd w:id="173"/>
      <w:bookmarkEnd w:id="174"/>
      <w:bookmarkEnd w:id="175"/>
    </w:p>
    <w:p w:rsidR="0087343F" w:rsidRDefault="00CB3F65">
      <w:pPr>
        <w:spacing w:line="276" w:lineRule="auto"/>
        <w:rPr>
          <w:noProof/>
          <w:lang w:eastAsia="en-GB"/>
        </w:rPr>
      </w:pPr>
      <w:r>
        <w:rPr>
          <w:noProof/>
          <w:lang w:eastAsia="en-GB"/>
        </w:rPr>
        <w:t>Member States earned nearly EUR 15.8 billion from the auctioning of EU ETS allowances over the period 2013-2016. Approximately 80 % has been used or is planned to be used for climate and energy purposes. Member Sta</w:t>
      </w:r>
      <w:r>
        <w:rPr>
          <w:noProof/>
          <w:lang w:eastAsia="en-GB"/>
        </w:rPr>
        <w:t xml:space="preserve">tes stated that most of these revenues would be used domestically (see </w:t>
      </w:r>
      <w:r>
        <w:rPr>
          <w:noProof/>
          <w:lang w:eastAsia="en-GB"/>
        </w:rPr>
        <w:fldChar w:fldCharType="begin"/>
      </w:r>
      <w:r>
        <w:rPr>
          <w:noProof/>
          <w:lang w:eastAsia="en-GB"/>
        </w:rPr>
        <w:instrText xml:space="preserve"> REF _Ref494211186 \h </w:instrText>
      </w:r>
      <w:r>
        <w:rPr>
          <w:noProof/>
          <w:lang w:eastAsia="en-GB"/>
        </w:rPr>
      </w:r>
      <w:r>
        <w:rPr>
          <w:noProof/>
          <w:lang w:eastAsia="en-GB"/>
        </w:rPr>
        <w:fldChar w:fldCharType="separate"/>
      </w:r>
      <w:r>
        <w:rPr>
          <w:noProof/>
        </w:rPr>
        <w:t>Figure 8</w:t>
      </w:r>
      <w:r>
        <w:rPr>
          <w:noProof/>
          <w:lang w:eastAsia="en-GB"/>
        </w:rPr>
        <w:fldChar w:fldCharType="end"/>
      </w:r>
      <w:r>
        <w:rPr>
          <w:noProof/>
          <w:lang w:eastAsia="en-GB"/>
        </w:rPr>
        <w:t>).</w:t>
      </w:r>
    </w:p>
    <w:p w:rsidR="0087343F" w:rsidRDefault="00CB3F65">
      <w:pPr>
        <w:pStyle w:val="Caption"/>
        <w:keepNext/>
        <w:jc w:val="center"/>
        <w:rPr>
          <w:noProof/>
        </w:rPr>
      </w:pPr>
      <w:bookmarkStart w:id="176" w:name="_Ref494211186"/>
      <w:bookmarkStart w:id="177" w:name="_Toc495580781"/>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176"/>
      <w:r>
        <w:rPr>
          <w:noProof/>
        </w:rPr>
        <w:t>: Change in the use of ETS revenues, 2013-2016 (in million €)</w:t>
      </w:r>
      <w:bookmarkEnd w:id="177"/>
    </w:p>
    <w:p w:rsidR="0087343F" w:rsidRDefault="00CB3F65">
      <w:pPr>
        <w:spacing w:line="276" w:lineRule="auto"/>
        <w:jc w:val="center"/>
        <w:rPr>
          <w:noProof/>
          <w:lang w:eastAsia="en-GB"/>
        </w:rPr>
      </w:pPr>
      <w:r>
        <w:rPr>
          <w:noProof/>
          <w:lang w:eastAsia="en-GB"/>
        </w:rPr>
        <w:drawing>
          <wp:inline distT="0" distB="0" distL="0" distR="0">
            <wp:extent cx="4648200" cy="2028825"/>
            <wp:effectExtent l="0" t="0" r="1905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7343F" w:rsidRDefault="00CB3F65">
      <w:pPr>
        <w:spacing w:line="276" w:lineRule="auto"/>
        <w:rPr>
          <w:noProof/>
          <w:lang w:eastAsia="en-GB"/>
        </w:rPr>
      </w:pPr>
      <w:r>
        <w:rPr>
          <w:noProof/>
          <w:lang w:eastAsia="en-GB"/>
        </w:rPr>
        <w:fldChar w:fldCharType="begin"/>
      </w:r>
      <w:r>
        <w:rPr>
          <w:noProof/>
          <w:lang w:eastAsia="en-GB"/>
        </w:rPr>
        <w:instrText xml:space="preserve"> REF _Ref493057372 </w:instrText>
      </w:r>
      <w:r>
        <w:rPr>
          <w:noProof/>
          <w:lang w:eastAsia="en-GB"/>
        </w:rPr>
        <w:fldChar w:fldCharType="separate"/>
      </w:r>
      <w:r>
        <w:rPr>
          <w:noProof/>
        </w:rPr>
        <w:t>Figure 9</w:t>
      </w:r>
      <w:r>
        <w:rPr>
          <w:noProof/>
          <w:lang w:eastAsia="en-GB"/>
        </w:rPr>
        <w:fldChar w:fldCharType="end"/>
      </w:r>
      <w:r>
        <w:rPr>
          <w:noProof/>
          <w:lang w:eastAsia="en-GB"/>
        </w:rPr>
        <w:t xml:space="preserve"> breaks down domestic use of revenues for energy and climate p</w:t>
      </w:r>
      <w:r>
        <w:rPr>
          <w:noProof/>
          <w:lang w:eastAsia="en-GB"/>
        </w:rPr>
        <w:t>urposes by category. The largest category is renewable energy, followed by energy efficiency and sustainable transport.</w:t>
      </w:r>
    </w:p>
    <w:p w:rsidR="0087343F" w:rsidRDefault="00CB3F65">
      <w:pPr>
        <w:pStyle w:val="Caption"/>
        <w:keepNext/>
        <w:jc w:val="center"/>
        <w:rPr>
          <w:noProof/>
        </w:rPr>
      </w:pPr>
      <w:bookmarkStart w:id="178" w:name="_Ref493057372"/>
      <w:bookmarkStart w:id="179" w:name="_Toc495580782"/>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178"/>
      <w:r>
        <w:rPr>
          <w:noProof/>
        </w:rPr>
        <w:t>: Domestic use of auction revenues, 2013-2016 (in billion €)</w:t>
      </w:r>
      <w:bookmarkEnd w:id="179"/>
    </w:p>
    <w:p w:rsidR="0087343F" w:rsidRDefault="00CB3F65">
      <w:pPr>
        <w:spacing w:line="276" w:lineRule="auto"/>
        <w:jc w:val="center"/>
        <w:rPr>
          <w:noProof/>
          <w:lang w:eastAsia="en-GB"/>
        </w:rPr>
      </w:pPr>
      <w:r>
        <w:rPr>
          <w:noProof/>
          <w:lang w:eastAsia="en-GB"/>
        </w:rPr>
        <w:drawing>
          <wp:inline distT="0" distB="0" distL="0" distR="0">
            <wp:extent cx="3581400" cy="1797050"/>
            <wp:effectExtent l="0" t="0" r="19050" b="1270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7343F" w:rsidRDefault="00CB3F65">
      <w:pPr>
        <w:spacing w:line="276" w:lineRule="auto"/>
        <w:rPr>
          <w:rFonts w:ascii="Verdana" w:hAnsi="Verdana"/>
          <w:noProof/>
          <w:sz w:val="20"/>
          <w:lang w:eastAsia="en-GB"/>
        </w:rPr>
      </w:pPr>
      <w:r>
        <w:rPr>
          <w:noProof/>
          <w:lang w:eastAsia="en-GB"/>
        </w:rPr>
        <w:t>For instance, in Greece, Malta, Portugal</w:t>
      </w:r>
      <w:r>
        <w:rPr>
          <w:noProof/>
          <w:lang w:eastAsia="en-GB"/>
        </w:rPr>
        <w:t xml:space="preserve"> and Spain the largest share of these revenues is invested in renewable energy. In the Czech Republic, France, Hungary and Slovakia, by contrast, the largest share of auctioning revenues is invested in energy efficiency, e.g. in renovating apartment buildi</w:t>
      </w:r>
      <w:r>
        <w:rPr>
          <w:noProof/>
          <w:lang w:eastAsia="en-GB"/>
        </w:rPr>
        <w:t>ngs. In Cyprus, 30 % of auctioning revenues is spent on forest management, while 33 % of revenues in Italy go towards adapting to climate change.</w:t>
      </w:r>
    </w:p>
    <w:p w:rsidR="0087343F" w:rsidRDefault="00CB3F65">
      <w:pPr>
        <w:pStyle w:val="Heading2"/>
        <w:spacing w:after="200" w:line="276" w:lineRule="auto"/>
        <w:rPr>
          <w:b w:val="0"/>
          <w:i w:val="0"/>
          <w:noProof/>
          <w:u w:val="single"/>
        </w:rPr>
      </w:pPr>
      <w:bookmarkStart w:id="180" w:name="_Toc463527703"/>
      <w:bookmarkStart w:id="181" w:name="_Toc463538589"/>
      <w:bookmarkStart w:id="182" w:name="_Toc463621163"/>
      <w:bookmarkStart w:id="183" w:name="_Toc463628465"/>
      <w:bookmarkStart w:id="184" w:name="_Toc465073865"/>
      <w:bookmarkStart w:id="185" w:name="_Toc465090128"/>
      <w:bookmarkStart w:id="186" w:name="_Toc492542683"/>
      <w:bookmarkStart w:id="187" w:name="_Toc493004516"/>
      <w:r>
        <w:rPr>
          <w:b w:val="0"/>
          <w:i w:val="0"/>
          <w:noProof/>
          <w:u w:val="single"/>
        </w:rPr>
        <w:t>NER 300</w:t>
      </w:r>
      <w:bookmarkEnd w:id="180"/>
      <w:bookmarkEnd w:id="181"/>
      <w:bookmarkEnd w:id="182"/>
      <w:bookmarkEnd w:id="183"/>
      <w:bookmarkEnd w:id="184"/>
      <w:bookmarkEnd w:id="185"/>
      <w:bookmarkEnd w:id="186"/>
      <w:bookmarkEnd w:id="187"/>
      <w:r>
        <w:rPr>
          <w:b w:val="0"/>
          <w:i w:val="0"/>
          <w:noProof/>
          <w:u w:val="single"/>
        </w:rPr>
        <w:t xml:space="preserve"> </w:t>
      </w:r>
    </w:p>
    <w:p w:rsidR="0087343F" w:rsidRDefault="00CB3F65">
      <w:pPr>
        <w:spacing w:line="276" w:lineRule="auto"/>
        <w:rPr>
          <w:noProof/>
        </w:rPr>
      </w:pPr>
      <w:r>
        <w:rPr>
          <w:noProof/>
        </w:rPr>
        <w:t>NER 300 is one of the world’s largest funding programmes for innovative low-carbon energy demonstrati</w:t>
      </w:r>
      <w:r>
        <w:rPr>
          <w:noProof/>
        </w:rPr>
        <w:t xml:space="preserve">on projects. Thirty-nine innovative demonstration projects in renewable energy and carbon capture and storage covering 20 EU Member States were awarded EUR 2.1 billion in funding from the auction of 300 million ETS allowances. Four of the projects are now </w:t>
      </w:r>
      <w:r>
        <w:rPr>
          <w:noProof/>
        </w:rPr>
        <w:t>operational and 16 have reached their final investment decision.</w:t>
      </w:r>
    </w:p>
    <w:p w:rsidR="0087343F" w:rsidRDefault="00CB3F65">
      <w:pPr>
        <w:spacing w:line="276" w:lineRule="auto"/>
        <w:rPr>
          <w:noProof/>
        </w:rPr>
      </w:pPr>
      <w:r>
        <w:rPr>
          <w:noProof/>
        </w:rPr>
        <w:t>Approximately EUR 2.2 billion in additional private investment has been attracted. Thus, in total, about EUR 4.3 billion has been raised, paving the way for further market replication and fal</w:t>
      </w:r>
      <w:r>
        <w:rPr>
          <w:noProof/>
        </w:rPr>
        <w:t>ling costs. However, these first-of-a-kind projects are risky and, so far, four project proponents have not been able to raise sufficient funding; the projects have had to be cancelled. In early 2017, Member States decided to re-invest these unspent funds,</w:t>
      </w:r>
      <w:r>
        <w:rPr>
          <w:noProof/>
        </w:rPr>
        <w:t xml:space="preserve"> totalling at least EUR 436 million, in relevant low-carbon projects through two existing financial instruments managed by the European Investment Bank, namely the InnovFin Energy Demo Projects and the Connecting Europe Facility.</w:t>
      </w:r>
    </w:p>
    <w:tbl>
      <w:tblPr>
        <w:tblStyle w:val="TableGrid"/>
        <w:tblW w:w="0" w:type="auto"/>
        <w:tblLook w:val="04A0" w:firstRow="1" w:lastRow="0" w:firstColumn="1" w:lastColumn="0" w:noHBand="0" w:noVBand="1"/>
      </w:tblPr>
      <w:tblGrid>
        <w:gridCol w:w="10195"/>
      </w:tblGrid>
      <w:tr w:rsidR="0087343F">
        <w:tc>
          <w:tcPr>
            <w:tcW w:w="10195" w:type="dxa"/>
          </w:tcPr>
          <w:p w:rsidR="0087343F" w:rsidRDefault="00CB3F65">
            <w:pPr>
              <w:spacing w:line="276" w:lineRule="auto"/>
              <w:rPr>
                <w:i/>
                <w:noProof/>
              </w:rPr>
            </w:pPr>
            <w:r>
              <w:rPr>
                <w:noProof/>
                <w:sz w:val="22"/>
                <w:lang w:eastAsia="en-GB"/>
              </w:rPr>
              <w:drawing>
                <wp:anchor distT="0" distB="0" distL="114300" distR="114300" simplePos="0" relativeHeight="251658242" behindDoc="0" locked="0" layoutInCell="1" allowOverlap="1">
                  <wp:simplePos x="0" y="0"/>
                  <wp:positionH relativeFrom="column">
                    <wp:posOffset>2559685</wp:posOffset>
                  </wp:positionH>
                  <wp:positionV relativeFrom="paragraph">
                    <wp:posOffset>23495</wp:posOffset>
                  </wp:positionV>
                  <wp:extent cx="3742055" cy="2473960"/>
                  <wp:effectExtent l="0" t="0" r="0" b="2540"/>
                  <wp:wrapSquare wrapText="bothSides"/>
                  <wp:docPr id="13" name="Picture 13" descr="C:\Users\brunhth\Desktop\Optimized-No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hth\Desktop\Optimized-Nodex.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742055" cy="247396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sz w:val="22"/>
              </w:rPr>
              <w:t>The Swedish Windpark Blai</w:t>
            </w:r>
            <w:r>
              <w:rPr>
                <w:i/>
                <w:noProof/>
                <w:sz w:val="22"/>
              </w:rPr>
              <w:t>ken project is one of four already operational NER 300 projects. It developed a 225 MW wind farm in an arctic climate with turbines equipped with innovative anti-icing systems. The NER 300 programme only finances the additional costs incurred by this innov</w:t>
            </w:r>
            <w:r>
              <w:rPr>
                <w:i/>
                <w:noProof/>
                <w:sz w:val="22"/>
              </w:rPr>
              <w:t>ative system.</w:t>
            </w:r>
          </w:p>
        </w:tc>
      </w:tr>
    </w:tbl>
    <w:p w:rsidR="0087343F" w:rsidRDefault="0087343F">
      <w:pPr>
        <w:spacing w:line="276" w:lineRule="auto"/>
        <w:rPr>
          <w:noProof/>
        </w:rPr>
      </w:pPr>
    </w:p>
    <w:p w:rsidR="0087343F" w:rsidRDefault="00CB3F65">
      <w:pPr>
        <w:pStyle w:val="ManualHeading2"/>
        <w:rPr>
          <w:i/>
          <w:noProof/>
        </w:rPr>
      </w:pPr>
      <w:bookmarkStart w:id="188" w:name="_Toc463527704"/>
      <w:bookmarkStart w:id="189" w:name="_Toc463538590"/>
      <w:bookmarkStart w:id="190" w:name="_Toc463621164"/>
      <w:bookmarkStart w:id="191" w:name="_Toc463628466"/>
      <w:bookmarkStart w:id="192" w:name="_Toc465073866"/>
      <w:bookmarkStart w:id="193" w:name="_Toc465090129"/>
      <w:bookmarkStart w:id="194" w:name="_Toc492542684"/>
      <w:bookmarkStart w:id="195" w:name="_Toc493004517"/>
      <w:r>
        <w:t>2.2.</w:t>
      </w:r>
      <w:r>
        <w:tab/>
      </w:r>
      <w:r>
        <w:rPr>
          <w:noProof/>
        </w:rPr>
        <w:t>Mainstreaming climate policies into the EU budget</w:t>
      </w:r>
      <w:bookmarkEnd w:id="188"/>
      <w:bookmarkEnd w:id="189"/>
      <w:bookmarkEnd w:id="190"/>
      <w:bookmarkEnd w:id="191"/>
      <w:bookmarkEnd w:id="192"/>
      <w:bookmarkEnd w:id="193"/>
      <w:bookmarkEnd w:id="194"/>
      <w:bookmarkEnd w:id="195"/>
    </w:p>
    <w:p w:rsidR="0087343F" w:rsidRDefault="00CB3F65">
      <w:pPr>
        <w:spacing w:line="276" w:lineRule="auto"/>
        <w:rPr>
          <w:noProof/>
        </w:rPr>
      </w:pPr>
      <w:r>
        <w:rPr>
          <w:noProof/>
        </w:rPr>
        <w:t>Between 2014 and 2020 at least 20 % of the EU budget is expected to be allocated to climate-relevant expenditure, amounting to approximately EUR 200 billion. The state of implementation</w:t>
      </w:r>
      <w:r>
        <w:rPr>
          <w:noProof/>
        </w:rPr>
        <w:t xml:space="preserve"> is as follows.</w:t>
      </w:r>
    </w:p>
    <w:p w:rsidR="0087343F" w:rsidRDefault="00CB3F65">
      <w:pPr>
        <w:pStyle w:val="ListParagraph"/>
        <w:numPr>
          <w:ilvl w:val="0"/>
          <w:numId w:val="35"/>
        </w:numPr>
        <w:spacing w:after="120" w:line="276" w:lineRule="auto"/>
        <w:jc w:val="both"/>
        <w:rPr>
          <w:rFonts w:ascii="Times New Roman" w:hAnsi="Times New Roman"/>
          <w:noProof/>
          <w:sz w:val="24"/>
          <w:szCs w:val="24"/>
        </w:rPr>
      </w:pPr>
      <w:r>
        <w:rPr>
          <w:rFonts w:ascii="Times New Roman" w:hAnsi="Times New Roman"/>
          <w:noProof/>
          <w:sz w:val="24"/>
          <w:szCs w:val="24"/>
        </w:rPr>
        <w:t xml:space="preserve">Five </w:t>
      </w:r>
      <w:r>
        <w:rPr>
          <w:rFonts w:ascii="Times New Roman" w:hAnsi="Times New Roman"/>
          <w:noProof/>
          <w:sz w:val="24"/>
          <w:szCs w:val="24"/>
          <w:u w:val="single"/>
        </w:rPr>
        <w:t>European structural and investments funds</w:t>
      </w:r>
      <w:r>
        <w:rPr>
          <w:rFonts w:ascii="Times New Roman" w:hAnsi="Times New Roman"/>
          <w:noProof/>
          <w:sz w:val="24"/>
          <w:szCs w:val="24"/>
        </w:rPr>
        <w:t xml:space="preserve"> (ESIFs), namely the European regional development fund, the cohesion fund, the european social fund, the European agricultural fund for rural development and the European maritime and fisheries fund. They account for more than 43 % of the EU budget. Twent</w:t>
      </w:r>
      <w:r>
        <w:rPr>
          <w:rFonts w:ascii="Times New Roman" w:hAnsi="Times New Roman"/>
          <w:noProof/>
          <w:sz w:val="24"/>
          <w:szCs w:val="24"/>
        </w:rPr>
        <w:t>y-eight partnership agreements and more than 530 fund-specific programmes contribute to financing climate policies. A common methodology has been set up to determine the level of support for climate change objectives. More than EUR 115 billion will support</w:t>
      </w:r>
      <w:r>
        <w:rPr>
          <w:rFonts w:ascii="Times New Roman" w:hAnsi="Times New Roman"/>
          <w:noProof/>
          <w:sz w:val="24"/>
          <w:szCs w:val="24"/>
        </w:rPr>
        <w:t xml:space="preserve"> climate action objectives, corresponding to about 25 % of the total funds.</w:t>
      </w:r>
    </w:p>
    <w:tbl>
      <w:tblPr>
        <w:tblStyle w:val="TableGrid"/>
        <w:tblW w:w="0" w:type="auto"/>
        <w:tblLook w:val="04A0" w:firstRow="1" w:lastRow="0" w:firstColumn="1" w:lastColumn="0" w:noHBand="0" w:noVBand="1"/>
      </w:tblPr>
      <w:tblGrid>
        <w:gridCol w:w="10195"/>
      </w:tblGrid>
      <w:tr w:rsidR="0087343F">
        <w:tc>
          <w:tcPr>
            <w:tcW w:w="10195" w:type="dxa"/>
          </w:tcPr>
          <w:p w:rsidR="0087343F" w:rsidRDefault="00CB3F65">
            <w:pPr>
              <w:spacing w:line="276" w:lineRule="auto"/>
              <w:rPr>
                <w:i/>
                <w:noProof/>
              </w:rPr>
            </w:pPr>
            <w:r>
              <w:rPr>
                <w:i/>
                <w:noProof/>
                <w:sz w:val="22"/>
              </w:rPr>
              <w:t xml:space="preserve">The MYRTE and PAGLIA ORBA platforms in Corsica, France have been co-financed by the European regional development fund. These platforms produce and store energy through a hydrogen </w:t>
            </w:r>
            <w:r>
              <w:rPr>
                <w:i/>
                <w:noProof/>
                <w:sz w:val="22"/>
              </w:rPr>
              <w:t>chain. This consists of an electrolysis apparatus which, during hours of low consumption, produces hydrogen a</w:t>
            </w:r>
            <w:r>
              <w:rPr>
                <w:noProof/>
                <w:sz w:val="22"/>
                <w:lang w:eastAsia="en-GB"/>
              </w:rPr>
              <w:drawing>
                <wp:anchor distT="0" distB="0" distL="114300" distR="114300" simplePos="0" relativeHeight="251658244" behindDoc="0" locked="0" layoutInCell="1" allowOverlap="1">
                  <wp:simplePos x="0" y="0"/>
                  <wp:positionH relativeFrom="column">
                    <wp:posOffset>-40640</wp:posOffset>
                  </wp:positionH>
                  <wp:positionV relativeFrom="paragraph">
                    <wp:posOffset>-678815</wp:posOffset>
                  </wp:positionV>
                  <wp:extent cx="3303905" cy="2476500"/>
                  <wp:effectExtent l="0" t="0" r="0" b="0"/>
                  <wp:wrapSquare wrapText="bothSides"/>
                  <wp:docPr id="17" name="Picture 17" descr="C:\Users\brunhth\Desktop\vignola-e147507677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hth\Desktop\vignola-e1475076773130.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30390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sz w:val="22"/>
              </w:rPr>
              <w:t>nd oxygen from water molecules. This energy is then distributed via a fuel cell producing electricity during hours of high consumption, for exampl</w:t>
            </w:r>
            <w:r>
              <w:rPr>
                <w:i/>
                <w:noProof/>
                <w:sz w:val="22"/>
              </w:rPr>
              <w:t>e in the evening, while the photovoltaic panels are inactive.</w:t>
            </w:r>
          </w:p>
        </w:tc>
      </w:tr>
    </w:tbl>
    <w:p w:rsidR="0087343F" w:rsidRDefault="0087343F">
      <w:pPr>
        <w:pStyle w:val="ListParagraph"/>
        <w:spacing w:after="120" w:line="276" w:lineRule="auto"/>
        <w:jc w:val="both"/>
        <w:rPr>
          <w:rFonts w:ascii="Times New Roman" w:hAnsi="Times New Roman"/>
          <w:noProof/>
          <w:sz w:val="24"/>
          <w:szCs w:val="24"/>
        </w:rPr>
      </w:pPr>
    </w:p>
    <w:p w:rsidR="0087343F" w:rsidRDefault="00CB3F65">
      <w:pPr>
        <w:pStyle w:val="ListParagraph"/>
        <w:numPr>
          <w:ilvl w:val="0"/>
          <w:numId w:val="35"/>
        </w:numPr>
        <w:spacing w:after="120" w:line="276" w:lineRule="auto"/>
        <w:jc w:val="both"/>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noProof/>
          <w:sz w:val="24"/>
          <w:szCs w:val="24"/>
          <w:u w:val="single"/>
        </w:rPr>
        <w:t>common agricultural policy (CAP)</w:t>
      </w:r>
      <w:r>
        <w:rPr>
          <w:rFonts w:ascii="Times New Roman" w:hAnsi="Times New Roman"/>
          <w:noProof/>
          <w:sz w:val="24"/>
          <w:szCs w:val="24"/>
        </w:rPr>
        <w:t xml:space="preserve"> covers the European agricultural guarantee fund (EAGF) and the European agricultural fund for rural development (EAFRD), which together account for 39 % of the EU budget. Since 1990, agriculture-related non-CO</w:t>
      </w:r>
      <w:r>
        <w:rPr>
          <w:rFonts w:ascii="Times New Roman" w:hAnsi="Times New Roman"/>
          <w:noProof/>
          <w:sz w:val="24"/>
          <w:szCs w:val="24"/>
          <w:vertAlign w:val="subscript"/>
        </w:rPr>
        <w:t>2</w:t>
      </w:r>
      <w:r>
        <w:rPr>
          <w:rFonts w:ascii="Times New Roman" w:hAnsi="Times New Roman"/>
          <w:noProof/>
          <w:sz w:val="24"/>
          <w:szCs w:val="24"/>
        </w:rPr>
        <w:t xml:space="preserve"> emissions have fallen by 24 % in the EU. CAP</w:t>
      </w:r>
      <w:r>
        <w:rPr>
          <w:rFonts w:ascii="Times New Roman" w:hAnsi="Times New Roman"/>
          <w:noProof/>
          <w:sz w:val="24"/>
          <w:szCs w:val="24"/>
        </w:rPr>
        <w:t xml:space="preserve"> support for climate-friendly agriculture has contributed to this decoupling. Environmental legislation such as the nitrate directive also contributed to reducing emissions.</w:t>
      </w:r>
    </w:p>
    <w:p w:rsidR="0087343F" w:rsidRDefault="00CB3F65">
      <w:pPr>
        <w:pStyle w:val="ListParagraph"/>
        <w:spacing w:after="120" w:line="276" w:lineRule="auto"/>
        <w:jc w:val="both"/>
        <w:rPr>
          <w:rFonts w:ascii="Times New Roman" w:hAnsi="Times New Roman"/>
          <w:noProof/>
          <w:sz w:val="24"/>
          <w:szCs w:val="24"/>
        </w:rPr>
      </w:pPr>
      <w:r>
        <w:rPr>
          <w:rFonts w:ascii="Times New Roman" w:hAnsi="Times New Roman"/>
          <w:noProof/>
          <w:sz w:val="24"/>
          <w:szCs w:val="24"/>
        </w:rPr>
        <w:t>The CAP requires farmers receiving direct payments to respect certain farming prac</w:t>
      </w:r>
      <w:r>
        <w:rPr>
          <w:rFonts w:ascii="Times New Roman" w:hAnsi="Times New Roman"/>
          <w:noProof/>
          <w:sz w:val="24"/>
          <w:szCs w:val="24"/>
        </w:rPr>
        <w:t xml:space="preserve">tices which are beneficial for the climate and the environment. Farmers also have to comply with a number of statutory requirement relating to climate change and the environment. In addition, the CAP rural development policy, for instance, seeks to reduce </w:t>
      </w:r>
      <w:r>
        <w:rPr>
          <w:rFonts w:ascii="Times New Roman" w:hAnsi="Times New Roman"/>
          <w:noProof/>
          <w:sz w:val="24"/>
          <w:szCs w:val="24"/>
        </w:rPr>
        <w:t>emissions by supporting farm modernisation in order to cut energy consumption, produce renewable energy, improve livestock and land management and improve input efficiency. Support for afforestation, forest protection and sustainable forest management also</w:t>
      </w:r>
      <w:r>
        <w:rPr>
          <w:rFonts w:ascii="Times New Roman" w:hAnsi="Times New Roman"/>
          <w:noProof/>
          <w:sz w:val="24"/>
          <w:szCs w:val="24"/>
        </w:rPr>
        <w:t xml:space="preserve"> contribute to reducing emissions. In 2016, EUR 18.7 billion of the CAP’s budget was estimated to be climate-related. Moreover, the use of innovation strategies are stimulated by the Rural Development Programmes, which help to decrease emissions and to inc</w:t>
      </w:r>
      <w:r>
        <w:rPr>
          <w:rFonts w:ascii="Times New Roman" w:hAnsi="Times New Roman"/>
          <w:noProof/>
          <w:sz w:val="24"/>
          <w:szCs w:val="24"/>
        </w:rPr>
        <w:t>rease the capacity to sequester carbon and organic matter in agricultural soils.</w:t>
      </w:r>
    </w:p>
    <w:p w:rsidR="0087343F" w:rsidRDefault="00CB3F65">
      <w:pPr>
        <w:pStyle w:val="ListParagraph"/>
        <w:numPr>
          <w:ilvl w:val="0"/>
          <w:numId w:val="35"/>
        </w:numPr>
        <w:spacing w:after="120" w:line="276" w:lineRule="auto"/>
        <w:jc w:val="both"/>
        <w:rPr>
          <w:rFonts w:ascii="Times New Roman" w:hAnsi="Times New Roman"/>
          <w:noProof/>
          <w:sz w:val="24"/>
          <w:szCs w:val="24"/>
        </w:rPr>
      </w:pPr>
      <w:r>
        <w:rPr>
          <w:rFonts w:ascii="Times New Roman" w:hAnsi="Times New Roman"/>
          <w:noProof/>
          <w:sz w:val="24"/>
          <w:szCs w:val="24"/>
          <w:u w:val="single"/>
        </w:rPr>
        <w:t>Horizon 2020</w:t>
      </w:r>
      <w:r>
        <w:rPr>
          <w:rFonts w:ascii="Times New Roman" w:hAnsi="Times New Roman"/>
          <w:noProof/>
          <w:sz w:val="24"/>
          <w:szCs w:val="24"/>
        </w:rPr>
        <w:t>, the main EU funding programme for research and innovation (R&amp;I), has a budget of EUR 79 billion for 2014-2020. Of this, 35 % is expected to support climate-relat</w:t>
      </w:r>
      <w:r>
        <w:rPr>
          <w:rFonts w:ascii="Times New Roman" w:hAnsi="Times New Roman"/>
          <w:noProof/>
          <w:sz w:val="24"/>
          <w:szCs w:val="24"/>
        </w:rPr>
        <w:t>ed R&amp;I. This support includes targeted, societal challenge-driven R&amp;I actions and bottom-up, demand-driven funding.</w:t>
      </w:r>
    </w:p>
    <w:p w:rsidR="0087343F" w:rsidRDefault="00CB3F65">
      <w:pPr>
        <w:pStyle w:val="ListParagraph"/>
        <w:spacing w:after="120" w:line="276" w:lineRule="auto"/>
        <w:jc w:val="both"/>
        <w:rPr>
          <w:rFonts w:ascii="Times New Roman" w:hAnsi="Times New Roman"/>
          <w:noProof/>
          <w:sz w:val="24"/>
          <w:szCs w:val="24"/>
        </w:rPr>
      </w:pPr>
      <w:r>
        <w:rPr>
          <w:rFonts w:ascii="Times New Roman" w:hAnsi="Times New Roman"/>
          <w:noProof/>
          <w:sz w:val="24"/>
          <w:szCs w:val="24"/>
        </w:rPr>
        <w:t>In the first three years of Horizon 2020, approximately EUR 4 billion has been committed to societal challenges such as climate change, low-</w:t>
      </w:r>
      <w:r>
        <w:rPr>
          <w:rFonts w:ascii="Times New Roman" w:hAnsi="Times New Roman"/>
          <w:noProof/>
          <w:sz w:val="24"/>
          <w:szCs w:val="24"/>
        </w:rPr>
        <w:t>carbon energy and industrial processes, clean transport and a sustainable bio-economy. On the top of this, around EUR 2 billion has been provided to support bottom-up scientific initiatives and innovative ideas through the ‘excellent science’ and ‘industri</w:t>
      </w:r>
      <w:r>
        <w:rPr>
          <w:rFonts w:ascii="Times New Roman" w:hAnsi="Times New Roman"/>
          <w:noProof/>
          <w:sz w:val="24"/>
          <w:szCs w:val="24"/>
        </w:rPr>
        <w:t>al leadership’ pillars of the programme.</w:t>
      </w:r>
    </w:p>
    <w:p w:rsidR="0087343F" w:rsidRDefault="00CB3F65">
      <w:pPr>
        <w:pStyle w:val="ListParagraph"/>
        <w:spacing w:after="120" w:line="276" w:lineRule="auto"/>
        <w:jc w:val="both"/>
        <w:rPr>
          <w:rFonts w:ascii="Times New Roman" w:hAnsi="Times New Roman"/>
          <w:noProof/>
          <w:sz w:val="24"/>
          <w:szCs w:val="24"/>
        </w:rPr>
      </w:pPr>
      <w:r>
        <w:rPr>
          <w:rFonts w:ascii="Times New Roman" w:hAnsi="Times New Roman"/>
          <w:noProof/>
          <w:sz w:val="24"/>
          <w:szCs w:val="24"/>
        </w:rPr>
        <w:t>Following the adoption of the Paris Agreement at COP21, efforts and resources will be further concentrated on fighting climate change and decarbonising the economy. A new EU focus area, ‘Building a low-carbon, clima</w:t>
      </w:r>
      <w:r>
        <w:rPr>
          <w:rFonts w:ascii="Times New Roman" w:hAnsi="Times New Roman"/>
          <w:noProof/>
          <w:sz w:val="24"/>
          <w:szCs w:val="24"/>
        </w:rPr>
        <w:t>te-resilient future’, will specifically support the implementation of the Paris Agreement with a budget of about EUR 3 billion for 2018-2020. Actions will accelerate clean energy and transport innovation, support the design of cost-effective mitigation pat</w:t>
      </w:r>
      <w:r>
        <w:rPr>
          <w:rFonts w:ascii="Times New Roman" w:hAnsi="Times New Roman"/>
          <w:noProof/>
          <w:sz w:val="24"/>
          <w:szCs w:val="24"/>
        </w:rPr>
        <w:t>hways and adaptation planning, and produce new scientific knowledge for national mid-century strategies, the IPCC’s sixth assessment cycle and the UNFCCC global stocktake in 2023.</w:t>
      </w:r>
    </w:p>
    <w:p w:rsidR="0087343F" w:rsidRDefault="00CB3F65">
      <w:pPr>
        <w:pStyle w:val="ListParagraph"/>
        <w:spacing w:after="120" w:line="276" w:lineRule="auto"/>
        <w:jc w:val="both"/>
        <w:rPr>
          <w:rFonts w:ascii="Times New Roman" w:hAnsi="Times New Roman"/>
          <w:noProof/>
          <w:sz w:val="24"/>
          <w:szCs w:val="24"/>
        </w:rPr>
      </w:pPr>
      <w:r>
        <w:rPr>
          <w:rFonts w:ascii="Times New Roman" w:hAnsi="Times New Roman"/>
          <w:noProof/>
          <w:sz w:val="24"/>
          <w:szCs w:val="24"/>
        </w:rPr>
        <w:t>Horizon 2020 is open to the world, and many of these projects and activities</w:t>
      </w:r>
      <w:r>
        <w:rPr>
          <w:rFonts w:ascii="Times New Roman" w:hAnsi="Times New Roman"/>
          <w:noProof/>
          <w:sz w:val="24"/>
          <w:szCs w:val="24"/>
        </w:rPr>
        <w:t xml:space="preserve"> will be realised through international cooperation advancing the global effort to meet the climate challenge. </w:t>
      </w:r>
    </w:p>
    <w:p w:rsidR="0087343F" w:rsidRDefault="00CB3F65">
      <w:pPr>
        <w:pStyle w:val="ListParagraph"/>
        <w:numPr>
          <w:ilvl w:val="0"/>
          <w:numId w:val="35"/>
        </w:numPr>
        <w:spacing w:after="120" w:line="276" w:lineRule="auto"/>
        <w:jc w:val="both"/>
        <w:rPr>
          <w:rFonts w:ascii="Times New Roman" w:hAnsi="Times New Roman"/>
          <w:noProof/>
          <w:sz w:val="24"/>
          <w:szCs w:val="24"/>
        </w:rPr>
      </w:pPr>
      <w:r>
        <w:rPr>
          <w:rFonts w:ascii="Times New Roman" w:hAnsi="Times New Roman"/>
          <w:noProof/>
          <w:sz w:val="24"/>
          <w:szCs w:val="24"/>
          <w:u w:val="single"/>
        </w:rPr>
        <w:t>The European fund for strategic investments (EFSI)</w:t>
      </w:r>
      <w:r>
        <w:rPr>
          <w:rFonts w:ascii="Times New Roman" w:hAnsi="Times New Roman"/>
          <w:noProof/>
          <w:sz w:val="24"/>
          <w:szCs w:val="24"/>
        </w:rPr>
        <w:t xml:space="preserve"> is an initiative backed by a EUR 16 billion guarantee from the EU budget, complemented by a E</w:t>
      </w:r>
      <w:r>
        <w:rPr>
          <w:rFonts w:ascii="Times New Roman" w:hAnsi="Times New Roman"/>
          <w:noProof/>
          <w:sz w:val="24"/>
          <w:szCs w:val="24"/>
        </w:rPr>
        <w:t>UR 5 billion allocation from the European Investment Bank’s (EIB) own resources. This fund supports strategic investment in key areas such as infrastructure, education, research,</w:t>
      </w:r>
      <w:r>
        <w:rPr>
          <w:noProof/>
        </w:rPr>
        <w:t xml:space="preserve"> </w:t>
      </w:r>
      <w:r>
        <w:rPr>
          <w:rFonts w:ascii="Times New Roman" w:hAnsi="Times New Roman" w:cs="Times New Roman"/>
          <w:noProof/>
          <w:sz w:val="24"/>
          <w:szCs w:val="24"/>
        </w:rPr>
        <w:t>environment and resource efficiency, as well as innovation and risk finance f</w:t>
      </w:r>
      <w:r>
        <w:rPr>
          <w:rFonts w:ascii="Times New Roman" w:hAnsi="Times New Roman" w:cs="Times New Roman"/>
          <w:noProof/>
          <w:sz w:val="24"/>
          <w:szCs w:val="24"/>
        </w:rPr>
        <w:t>or small businesses. Based on the total guarantee of € 21 billion, the EFSI is expected to mobilse EUR 315 billion of investment by mid-2018. The EFSI has already financed several renewable energy investments, including transport, industry and energy stora</w:t>
      </w:r>
      <w:r>
        <w:rPr>
          <w:rFonts w:ascii="Times New Roman" w:hAnsi="Times New Roman" w:cs="Times New Roman"/>
          <w:noProof/>
          <w:sz w:val="24"/>
          <w:szCs w:val="24"/>
        </w:rPr>
        <w:t>ge projects. For 2018-2020, an extension of the fund, EFSI 2.0, is under preparation. It will have a particular focus on innovative, low-carbon projects that will contribute to achieving the Union's climate targets. Under EFSI 2.0 the EU guaran</w:t>
      </w:r>
      <w:r>
        <w:rPr>
          <w:rFonts w:ascii="Times New Roman" w:hAnsi="Times New Roman"/>
          <w:noProof/>
          <w:sz w:val="24"/>
          <w:szCs w:val="24"/>
        </w:rPr>
        <w:t>tee shall in</w:t>
      </w:r>
      <w:r>
        <w:rPr>
          <w:rFonts w:ascii="Times New Roman" w:hAnsi="Times New Roman"/>
          <w:noProof/>
          <w:sz w:val="24"/>
          <w:szCs w:val="24"/>
        </w:rPr>
        <w:t>crease to EUR 26 billion, complemented by a EUR 7.5 billion EIB allocation. In the new configuration, EFSI 2.0 is expected to mobilise a total of at least half a trillion euro of investment by the end of 2020.</w:t>
      </w:r>
    </w:p>
    <w:p w:rsidR="0087343F" w:rsidRDefault="00CB3F65">
      <w:pPr>
        <w:pStyle w:val="ListParagraph"/>
        <w:numPr>
          <w:ilvl w:val="0"/>
          <w:numId w:val="35"/>
        </w:numPr>
        <w:spacing w:after="120" w:line="276" w:lineRule="auto"/>
        <w:jc w:val="both"/>
        <w:rPr>
          <w:rFonts w:ascii="Times New Roman" w:hAnsi="Times New Roman"/>
          <w:noProof/>
          <w:sz w:val="24"/>
          <w:szCs w:val="24"/>
        </w:rPr>
      </w:pPr>
      <w:r>
        <w:rPr>
          <w:rFonts w:ascii="Times New Roman" w:hAnsi="Times New Roman"/>
          <w:noProof/>
          <w:sz w:val="24"/>
          <w:szCs w:val="24"/>
        </w:rPr>
        <w:t>The</w:t>
      </w:r>
      <w:r>
        <w:rPr>
          <w:noProof/>
        </w:rPr>
        <w:t xml:space="preserve"> </w:t>
      </w:r>
      <w:r>
        <w:rPr>
          <w:rFonts w:ascii="Times New Roman" w:hAnsi="Times New Roman"/>
          <w:noProof/>
          <w:sz w:val="24"/>
          <w:szCs w:val="24"/>
          <w:u w:val="single"/>
        </w:rPr>
        <w:t>LIFE</w:t>
      </w:r>
      <w:r>
        <w:rPr>
          <w:rFonts w:ascii="Times New Roman" w:hAnsi="Times New Roman"/>
          <w:noProof/>
          <w:sz w:val="24"/>
          <w:szCs w:val="24"/>
        </w:rPr>
        <w:t xml:space="preserve"> sub-programme for climate action cont</w:t>
      </w:r>
      <w:r>
        <w:rPr>
          <w:rFonts w:ascii="Times New Roman" w:hAnsi="Times New Roman"/>
          <w:noProof/>
          <w:sz w:val="24"/>
          <w:szCs w:val="24"/>
        </w:rPr>
        <w:t>ributes to the implementation and development of climate policy and legislation through action grants and financial instruments. In 2016, EUR 54.5 million has been awarded to twenty nine projects with EU added value for mitigation, adaptation, and governan</w:t>
      </w:r>
      <w:r>
        <w:rPr>
          <w:rFonts w:ascii="Times New Roman" w:hAnsi="Times New Roman"/>
          <w:noProof/>
          <w:sz w:val="24"/>
          <w:szCs w:val="24"/>
        </w:rPr>
        <w:t>ce and information. Two LIFE pilot financial instruments are also under implementation: the Private Finance for Energy Efficiency (PF4EE), which aims to increase private financing for investment in energy efficiency-enhancing projects, and the Natural Capi</w:t>
      </w:r>
      <w:r>
        <w:rPr>
          <w:rFonts w:ascii="Times New Roman" w:hAnsi="Times New Roman"/>
          <w:noProof/>
          <w:sz w:val="24"/>
          <w:szCs w:val="24"/>
        </w:rPr>
        <w:t>tal Financing Facility (NCFF), which supports investment in natural capital that helps to achieve biodiversity and/or climate change adaptation objectives.</w:t>
      </w:r>
      <w:r>
        <w:rPr>
          <w:noProof/>
        </w:rPr>
        <w:t xml:space="preserve"> </w:t>
      </w:r>
      <w:r>
        <w:rPr>
          <w:rFonts w:ascii="Times New Roman" w:hAnsi="Times New Roman"/>
          <w:noProof/>
          <w:sz w:val="24"/>
          <w:szCs w:val="24"/>
        </w:rPr>
        <w:t>So far, six local banks have created innovative lending facilities for energy efficiency investments</w:t>
      </w:r>
      <w:r>
        <w:rPr>
          <w:rFonts w:ascii="Times New Roman" w:hAnsi="Times New Roman"/>
          <w:noProof/>
          <w:sz w:val="24"/>
          <w:szCs w:val="24"/>
        </w:rPr>
        <w:t>, particularly for small and medium-sized enterprises in the Czech Republic, Spain, Belgium, France, Italy and Portugal. For NCFF, one project in Netherlands has been signed. The EUR 6 million NCFF loan to Rewilding Europe Capital will be able to support o</w:t>
      </w:r>
      <w:r>
        <w:rPr>
          <w:rFonts w:ascii="Times New Roman" w:hAnsi="Times New Roman"/>
          <w:noProof/>
          <w:sz w:val="24"/>
          <w:szCs w:val="24"/>
        </w:rPr>
        <w:t>ver 30 conservation and rewilding businesses across Europe, including wildlife tourism operators, sustainable fisheries and producers of natural products such as honey.</w:t>
      </w:r>
    </w:p>
    <w:tbl>
      <w:tblPr>
        <w:tblStyle w:val="TableGrid"/>
        <w:tblW w:w="0" w:type="auto"/>
        <w:tblLook w:val="04A0" w:firstRow="1" w:lastRow="0" w:firstColumn="1" w:lastColumn="0" w:noHBand="0" w:noVBand="1"/>
      </w:tblPr>
      <w:tblGrid>
        <w:gridCol w:w="10195"/>
      </w:tblGrid>
      <w:tr w:rsidR="0087343F">
        <w:trPr>
          <w:trHeight w:val="3461"/>
        </w:trPr>
        <w:tc>
          <w:tcPr>
            <w:tcW w:w="10195" w:type="dxa"/>
          </w:tcPr>
          <w:p w:rsidR="0087343F" w:rsidRDefault="00CB3F65">
            <w:pPr>
              <w:pStyle w:val="ListParagraph"/>
              <w:spacing w:after="120" w:line="276" w:lineRule="auto"/>
              <w:ind w:left="0"/>
              <w:jc w:val="both"/>
              <w:rPr>
                <w:i/>
                <w:noProof/>
              </w:rPr>
            </w:pPr>
            <w:r>
              <w:rPr>
                <w:rFonts w:ascii="Times New Roman" w:hAnsi="Times New Roman"/>
                <w:noProof/>
                <w:szCs w:val="24"/>
              </w:rPr>
              <w:drawing>
                <wp:anchor distT="0" distB="0" distL="114300" distR="114300" simplePos="0" relativeHeight="251658246" behindDoc="0" locked="0" layoutInCell="1" allowOverlap="1">
                  <wp:simplePos x="0" y="0"/>
                  <wp:positionH relativeFrom="column">
                    <wp:posOffset>2903220</wp:posOffset>
                  </wp:positionH>
                  <wp:positionV relativeFrom="paragraph">
                    <wp:posOffset>10160</wp:posOffset>
                  </wp:positionV>
                  <wp:extent cx="3506470" cy="2314575"/>
                  <wp:effectExtent l="0" t="0" r="0" b="9525"/>
                  <wp:wrapSquare wrapText="bothSides"/>
                  <wp:docPr id="2" name="Picture 2" descr="C:\Users\zmijeag\Desktop\Barcelona LIFE urban platform - visit to Methamorphosis project, 22 June 2017 -IMG_20170622_16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mijeag\Desktop\Barcelona LIFE urban platform - visit to Methamorphosis project, 22 June 2017 -IMG_20170622_163154.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50647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noProof/>
                <w:szCs w:val="24"/>
              </w:rPr>
              <w:t>LIFE METHAmorphosis is a Spanish project co-financed under LIFE 2014. It aims to impro</w:t>
            </w:r>
            <w:r>
              <w:rPr>
                <w:rFonts w:ascii="Times New Roman" w:hAnsi="Times New Roman"/>
                <w:i/>
                <w:noProof/>
                <w:szCs w:val="24"/>
              </w:rPr>
              <w:t>ve waste management, reduce energy consumption and produce high-quality bio-methane by demonstrating, at industrial scale, two innovative waste treatment systems: one for urban waste plants and the other for agri-industrial and other organic waste treatmen</w:t>
            </w:r>
            <w:r>
              <w:rPr>
                <w:rFonts w:ascii="Times New Roman" w:hAnsi="Times New Roman"/>
                <w:i/>
                <w:noProof/>
                <w:szCs w:val="24"/>
              </w:rPr>
              <w:t>t plants.</w:t>
            </w:r>
          </w:p>
        </w:tc>
      </w:tr>
    </w:tbl>
    <w:p w:rsidR="0087343F" w:rsidRDefault="0087343F">
      <w:pPr>
        <w:pStyle w:val="ListParagraph"/>
        <w:spacing w:after="120" w:line="276" w:lineRule="auto"/>
        <w:ind w:left="0"/>
        <w:jc w:val="both"/>
        <w:rPr>
          <w:rFonts w:ascii="Times New Roman" w:hAnsi="Times New Roman"/>
          <w:noProof/>
          <w:sz w:val="24"/>
          <w:szCs w:val="24"/>
        </w:rPr>
      </w:pPr>
    </w:p>
    <w:p w:rsidR="0087343F" w:rsidRDefault="00CB3F65">
      <w:pPr>
        <w:pStyle w:val="ManualHeading1"/>
        <w:rPr>
          <w:noProof/>
        </w:rPr>
      </w:pPr>
      <w:bookmarkStart w:id="196" w:name="_Toc493001863"/>
      <w:bookmarkStart w:id="197" w:name="_Toc493004518"/>
      <w:bookmarkStart w:id="198" w:name="_Toc493001864"/>
      <w:bookmarkStart w:id="199" w:name="_Toc493004519"/>
      <w:bookmarkStart w:id="200" w:name="_Toc463527706"/>
      <w:bookmarkStart w:id="201" w:name="_Toc463538592"/>
      <w:bookmarkStart w:id="202" w:name="_Toc463621166"/>
      <w:bookmarkStart w:id="203" w:name="_Toc428971769"/>
      <w:bookmarkStart w:id="204" w:name="_Toc428971820"/>
      <w:bookmarkStart w:id="205" w:name="_Toc428971926"/>
      <w:bookmarkStart w:id="206" w:name="_Toc428972056"/>
      <w:bookmarkStart w:id="207" w:name="_Toc428972156"/>
      <w:bookmarkStart w:id="208" w:name="_Toc428972417"/>
      <w:bookmarkStart w:id="209" w:name="_Toc429056993"/>
      <w:bookmarkStart w:id="210" w:name="_Toc428971770"/>
      <w:bookmarkStart w:id="211" w:name="_Toc428971821"/>
      <w:bookmarkStart w:id="212" w:name="_Toc428971927"/>
      <w:bookmarkStart w:id="213" w:name="_Toc428972057"/>
      <w:bookmarkStart w:id="214" w:name="_Toc428972157"/>
      <w:bookmarkStart w:id="215" w:name="_Toc428972418"/>
      <w:bookmarkStart w:id="216" w:name="_Toc429056994"/>
      <w:bookmarkStart w:id="217" w:name="_Toc428971771"/>
      <w:bookmarkStart w:id="218" w:name="_Toc428971822"/>
      <w:bookmarkStart w:id="219" w:name="_Toc428971928"/>
      <w:bookmarkStart w:id="220" w:name="_Toc428972058"/>
      <w:bookmarkStart w:id="221" w:name="_Toc428972158"/>
      <w:bookmarkStart w:id="222" w:name="_Toc428972419"/>
      <w:bookmarkStart w:id="223" w:name="_Toc429056995"/>
      <w:bookmarkStart w:id="224" w:name="_Toc428971772"/>
      <w:bookmarkStart w:id="225" w:name="_Toc428971823"/>
      <w:bookmarkStart w:id="226" w:name="_Toc428971929"/>
      <w:bookmarkStart w:id="227" w:name="_Toc428972059"/>
      <w:bookmarkStart w:id="228" w:name="_Toc428972159"/>
      <w:bookmarkStart w:id="229" w:name="_Toc428972420"/>
      <w:bookmarkStart w:id="230" w:name="_Toc429056996"/>
      <w:bookmarkStart w:id="231" w:name="_Toc398043851"/>
      <w:bookmarkStart w:id="232" w:name="_Toc398193317"/>
      <w:bookmarkStart w:id="233" w:name="_Toc390936627"/>
      <w:bookmarkStart w:id="234" w:name="_Toc390942408"/>
      <w:bookmarkStart w:id="235" w:name="_Toc390936628"/>
      <w:bookmarkStart w:id="236" w:name="_Toc390942409"/>
      <w:bookmarkStart w:id="237" w:name="_Toc493168537"/>
      <w:bookmarkStart w:id="238" w:name="_Ref494356873"/>
      <w:bookmarkStart w:id="239" w:name="_Ref459646814"/>
      <w:bookmarkStart w:id="240" w:name="_Toc461715120"/>
      <w:bookmarkStart w:id="241" w:name="_Toc395255564"/>
      <w:bookmarkStart w:id="242" w:name="_Toc392749511"/>
      <w:bookmarkStart w:id="243" w:name="_Toc371338170"/>
      <w:bookmarkStart w:id="244" w:name="_Ref389744201"/>
      <w:bookmarkEnd w:id="167"/>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t>3.</w:t>
      </w:r>
      <w:r>
        <w:tab/>
      </w:r>
      <w:r>
        <w:rPr>
          <w:noProof/>
        </w:rPr>
        <w:t>Mitigating EU emissions</w:t>
      </w:r>
      <w:bookmarkEnd w:id="237"/>
      <w:bookmarkEnd w:id="238"/>
    </w:p>
    <w:p w:rsidR="0087343F" w:rsidRDefault="00CB3F65">
      <w:pPr>
        <w:spacing w:line="276" w:lineRule="auto"/>
        <w:rPr>
          <w:noProof/>
        </w:rPr>
      </w:pPr>
      <w:r>
        <w:rPr>
          <w:noProof/>
        </w:rPr>
        <w:t>Under the Paris Agreement, the EU and its Member States collectively committed to decreasing their emissions by at least 40 % by 2030 from 1990 levels. This commitment is linked to a raft of proposed legislation in the area of climate action, energy and tr</w:t>
      </w:r>
      <w:r>
        <w:rPr>
          <w:noProof/>
        </w:rPr>
        <w:t xml:space="preserve">ansport. The proposals are currently being negotiated with the European Parliament and the Council. </w:t>
      </w:r>
      <w:r>
        <w:rPr>
          <w:noProof/>
        </w:rPr>
        <w:fldChar w:fldCharType="begin"/>
      </w:r>
      <w:r>
        <w:rPr>
          <w:noProof/>
        </w:rPr>
        <w:instrText xml:space="preserve"> REF _Ref493159394 \h </w:instrText>
      </w:r>
      <w:r>
        <w:rPr>
          <w:noProof/>
        </w:rPr>
      </w:r>
      <w:r>
        <w:rPr>
          <w:noProof/>
        </w:rPr>
        <w:fldChar w:fldCharType="separate"/>
      </w:r>
      <w:r>
        <w:rPr>
          <w:noProof/>
        </w:rPr>
        <w:t>Figure 10</w:t>
      </w:r>
      <w:r>
        <w:rPr>
          <w:noProof/>
        </w:rPr>
        <w:fldChar w:fldCharType="end"/>
      </w:r>
      <w:r>
        <w:rPr>
          <w:noProof/>
        </w:rPr>
        <w:t xml:space="preserve"> below shows how the three main pillars of the EU’s propos</w:t>
      </w:r>
      <w:r>
        <w:rPr>
          <w:noProof/>
        </w:rPr>
        <w:t>ed 2030 climate policy framework, covering all greenhouse gas emissions, are inter-related. Implementation is proposed to be closely monitored through the governance of the EU’s Energy Union. Member States’ public and private stakeholders will also be aide</w:t>
      </w:r>
      <w:r>
        <w:rPr>
          <w:noProof/>
        </w:rPr>
        <w:t>d in meeting the overarching 2030 greenhouse gas targets by:</w:t>
      </w:r>
    </w:p>
    <w:p w:rsidR="0087343F" w:rsidRDefault="00CB3F65">
      <w:pPr>
        <w:numPr>
          <w:ilvl w:val="0"/>
          <w:numId w:val="47"/>
        </w:numPr>
        <w:spacing w:line="276" w:lineRule="auto"/>
        <w:rPr>
          <w:noProof/>
        </w:rPr>
      </w:pPr>
      <w:r>
        <w:rPr>
          <w:noProof/>
        </w:rPr>
        <w:t>the provision of climate finance (see previous section) without prejudging financial allocations for the climate financing in the next Multiannual Financial Framework, and</w:t>
      </w:r>
    </w:p>
    <w:p w:rsidR="0087343F" w:rsidRDefault="00CB3F65">
      <w:pPr>
        <w:numPr>
          <w:ilvl w:val="0"/>
          <w:numId w:val="47"/>
        </w:numPr>
        <w:spacing w:line="276" w:lineRule="auto"/>
        <w:rPr>
          <w:noProof/>
        </w:rPr>
      </w:pPr>
      <w:r>
        <w:rPr>
          <w:noProof/>
        </w:rPr>
        <w:t>complementary new EU-wi</w:t>
      </w:r>
      <w:r>
        <w:rPr>
          <w:noProof/>
        </w:rPr>
        <w:t>de legislation, especially on energy efficiency, renewable energy, emissions standards for cars, vans and heavy duty vehicles, carbon capture and storage, and fluorinated gases.</w:t>
      </w:r>
    </w:p>
    <w:p w:rsidR="0087343F" w:rsidRDefault="00CB3F65">
      <w:pPr>
        <w:pStyle w:val="Caption"/>
        <w:keepNext/>
        <w:jc w:val="center"/>
        <w:rPr>
          <w:noProof/>
        </w:rPr>
      </w:pPr>
      <w:bookmarkStart w:id="245" w:name="_Ref493159394"/>
      <w:bookmarkStart w:id="246" w:name="_Toc495580783"/>
      <w:bookmarkStart w:id="247" w:name="_Toc493004521"/>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bookmarkEnd w:id="245"/>
      <w:r>
        <w:rPr>
          <w:noProof/>
        </w:rPr>
        <w:t>: The three proposed legal bases for the EU’</w:t>
      </w:r>
      <w:r>
        <w:rPr>
          <w:noProof/>
        </w:rPr>
        <w:t>s 2030 climate policy framework</w:t>
      </w:r>
      <w:bookmarkEnd w:id="246"/>
    </w:p>
    <w:p w:rsidR="0087343F" w:rsidRDefault="00CB3F65">
      <w:pPr>
        <w:rPr>
          <w:noProof/>
        </w:rPr>
      </w:pPr>
      <w:r>
        <w:rPr>
          <w:noProof/>
          <w:lang w:eastAsia="en-GB"/>
        </w:rPr>
        <mc:AlternateContent>
          <mc:Choice Requires="wps">
            <w:drawing>
              <wp:anchor distT="0" distB="0" distL="114300" distR="114300" simplePos="0" relativeHeight="251669512" behindDoc="0" locked="0" layoutInCell="1" allowOverlap="1">
                <wp:simplePos x="0" y="0"/>
                <wp:positionH relativeFrom="column">
                  <wp:posOffset>4146550</wp:posOffset>
                </wp:positionH>
                <wp:positionV relativeFrom="paragraph">
                  <wp:posOffset>1441450</wp:posOffset>
                </wp:positionV>
                <wp:extent cx="666750" cy="349250"/>
                <wp:effectExtent l="0" t="0" r="19050"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49250"/>
                        </a:xfrm>
                        <a:prstGeom prst="rect">
                          <a:avLst/>
                        </a:prstGeom>
                        <a:solidFill>
                          <a:srgbClr val="FFFFFF"/>
                        </a:solidFill>
                        <a:ln w="9525">
                          <a:solidFill>
                            <a:srgbClr val="000000"/>
                          </a:solidFill>
                          <a:miter lim="800000"/>
                          <a:headEnd/>
                          <a:tailEnd/>
                        </a:ln>
                      </wps:spPr>
                      <wps:txbx>
                        <w:txbxContent>
                          <w:p w:rsidR="0087343F" w:rsidRDefault="00CB3F65">
                            <w:pPr>
                              <w:spacing w:before="0"/>
                              <w:rPr>
                                <w:sz w:val="16"/>
                                <w:szCs w:val="16"/>
                                <w:lang w:val="fr-FR"/>
                              </w:rPr>
                            </w:pPr>
                            <w:r>
                              <w:rPr>
                                <w:sz w:val="16"/>
                                <w:szCs w:val="16"/>
                                <w:lang w:val="fr-FR"/>
                              </w:rPr>
                              <w:t>Max 280 Mt CO</w:t>
                            </w:r>
                            <w:r>
                              <w:rPr>
                                <w:sz w:val="16"/>
                                <w:szCs w:val="16"/>
                                <w:vertAlign w:val="subscript"/>
                                <w:lang w:val="fr-FR"/>
                              </w:rPr>
                              <w:t>2</w:t>
                            </w:r>
                            <w:r>
                              <w:rPr>
                                <w:sz w:val="16"/>
                                <w:szCs w:val="16"/>
                                <w:lang w:val="fr-FR"/>
                              </w:rPr>
                              <w:t xml:space="preserve"> eq.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326.5pt;margin-top:113.5pt;width:52.5pt;height:27.5pt;z-index:251669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">
                <v:textbox>
                  <w:txbxContent>
                    <w:p>
                      <w:pPr>
                        <w:spacing w:before="0"/>
                        <w:rPr>
                          <w:sz w:val="16"/>
                          <w:szCs w:val="16"/>
                          <w:lang w:val="fr-FR"/>
                        </w:rPr>
                      </w:pPr>
                      <w:r>
                        <w:rPr>
                          <w:sz w:val="16"/>
                          <w:szCs w:val="16"/>
                          <w:lang w:val="fr-FR"/>
                        </w:rPr>
                        <w:t>Max 280 Mt CO</w:t>
                      </w:r>
                      <w:r>
                        <w:rPr>
                          <w:sz w:val="16"/>
                          <w:szCs w:val="16"/>
                          <w:vertAlign w:val="subscript"/>
                          <w:lang w:val="fr-FR"/>
                        </w:rPr>
                        <w:t>2</w:t>
                      </w:r>
                      <w:r>
                        <w:rPr>
                          <w:sz w:val="16"/>
                          <w:szCs w:val="16"/>
                          <w:lang w:val="fr-FR"/>
                        </w:rPr>
                        <w:t xml:space="preserve"> eq. </w:t>
                      </w:r>
                    </w:p>
                  </w:txbxContent>
                </v:textbox>
              </v:shape>
            </w:pict>
          </mc:Fallback>
        </mc:AlternateContent>
      </w:r>
      <w:r>
        <w:rPr>
          <w:noProof/>
          <w:lang w:eastAsia="en-GB"/>
        </w:rPr>
        <mc:AlternateContent>
          <mc:Choice Requires="wps">
            <w:drawing>
              <wp:anchor distT="0" distB="0" distL="114300" distR="114300" simplePos="0" relativeHeight="251666440" behindDoc="0" locked="0" layoutInCell="1" allowOverlap="1">
                <wp:simplePos x="0" y="0"/>
                <wp:positionH relativeFrom="column">
                  <wp:posOffset>4114800</wp:posOffset>
                </wp:positionH>
                <wp:positionV relativeFrom="paragraph">
                  <wp:posOffset>1206500</wp:posOffset>
                </wp:positionV>
                <wp:extent cx="755650" cy="139700"/>
                <wp:effectExtent l="0" t="0" r="25400" b="12700"/>
                <wp:wrapNone/>
                <wp:docPr id="5" name="Left Arrow 5"/>
                <wp:cNvGraphicFramePr/>
                <a:graphic xmlns:a="http://schemas.openxmlformats.org/drawingml/2006/main">
                  <a:graphicData uri="http://schemas.microsoft.com/office/word/2010/wordprocessingShape">
                    <wps:wsp>
                      <wps:cNvSpPr/>
                      <wps:spPr>
                        <a:xfrm>
                          <a:off x="0" y="0"/>
                          <a:ext cx="755650" cy="139700"/>
                        </a:xfrm>
                        <a:prstGeom prst="leftArrow">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324pt;margin-top:95pt;width:59.5pt;height:11pt;z-index:251666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" adj="1997" filled="f" strokecolor="black [1600]" strokeweight="2pt"/>
            </w:pict>
          </mc:Fallback>
        </mc:AlternateContent>
      </w:r>
      <w:r>
        <w:rPr>
          <w:noProof/>
          <w:lang w:eastAsia="en-GB"/>
        </w:rPr>
        <mc:AlternateContent>
          <mc:Choice Requires="wps">
            <w:drawing>
              <wp:anchor distT="0" distB="0" distL="114300" distR="114300" simplePos="0" relativeHeight="251665416" behindDoc="0" locked="0" layoutInCell="1" allowOverlap="1">
                <wp:simplePos x="0" y="0"/>
                <wp:positionH relativeFrom="column">
                  <wp:posOffset>4114800</wp:posOffset>
                </wp:positionH>
                <wp:positionV relativeFrom="paragraph">
                  <wp:posOffset>527050</wp:posOffset>
                </wp:positionV>
                <wp:extent cx="755650" cy="133350"/>
                <wp:effectExtent l="0" t="19050" r="44450" b="38100"/>
                <wp:wrapNone/>
                <wp:docPr id="6" name="Right Arrow 6"/>
                <wp:cNvGraphicFramePr/>
                <a:graphic xmlns:a="http://schemas.openxmlformats.org/drawingml/2006/main">
                  <a:graphicData uri="http://schemas.microsoft.com/office/word/2010/wordprocessingShape">
                    <wps:wsp>
                      <wps:cNvSpPr/>
                      <wps:spPr>
                        <a:xfrm>
                          <a:off x="0" y="0"/>
                          <a:ext cx="755650" cy="133350"/>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rsidR="0087343F" w:rsidRDefault="00CB3F65">
                            <w:pPr>
                              <w:jc w:val="center"/>
                            </w:pPr>
                            <w:r>
                              <w:rPr>
                                <w:lang w:val="fr-FR"/>
                              </w:rPr>
                              <w:t>f</w:t>
                            </w:r>
                            <w:r>
                              <w:t>Effort Sharing</w:t>
                            </w:r>
                          </w:p>
                          <w:p w:rsidR="0087343F" w:rsidRDefault="0087343F">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30" type="#_x0000_t13" style="position:absolute;left:0;text-align:left;margin-left:324pt;margin-top:41.5pt;width:59.5pt;height:10.5pt;z-index:251665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" adj="19694" fillcolor="black [3200]" strokecolor="black [1600]" strokeweight="2pt">
                <v:textbox>
                  <w:txbxContent>
                    <w:p>
                      <w:pPr>
                        <w:jc w:val="center"/>
                      </w:pPr>
                      <w:r>
                        <w:rPr>
                          <w:lang w:val="fr-FR"/>
                        </w:rPr>
                        <w:t>f</w:t>
                      </w:r>
                      <w:r>
                        <w:t>Effort Sharing</w:t>
                      </w:r>
                    </w:p>
                    <w:p>
                      <w:pPr>
                        <w:jc w:val="center"/>
                        <w:rPr>
                          <w:lang w:val="fr-FR"/>
                        </w:rPr>
                      </w:pPr>
                    </w:p>
                  </w:txbxContent>
                </v:textbox>
              </v:shape>
            </w:pict>
          </mc:Fallback>
        </mc:AlternateContent>
      </w:r>
      <w:r>
        <w:rPr>
          <w:noProof/>
          <w:lang w:eastAsia="en-GB"/>
        </w:rPr>
        <mc:AlternateContent>
          <mc:Choice Requires="wps">
            <w:drawing>
              <wp:anchor distT="0" distB="0" distL="114300" distR="114300" simplePos="0" relativeHeight="251664392" behindDoc="0" locked="0" layoutInCell="1" allowOverlap="1">
                <wp:simplePos x="0" y="0"/>
                <wp:positionH relativeFrom="column">
                  <wp:posOffset>4870450</wp:posOffset>
                </wp:positionH>
                <wp:positionV relativeFrom="paragraph">
                  <wp:posOffset>209550</wp:posOffset>
                </wp:positionV>
                <wp:extent cx="895350" cy="1479550"/>
                <wp:effectExtent l="0" t="0" r="19050" b="25400"/>
                <wp:wrapNone/>
                <wp:docPr id="15" name="Rectangle 15"/>
                <wp:cNvGraphicFramePr/>
                <a:graphic xmlns:a="http://schemas.openxmlformats.org/drawingml/2006/main">
                  <a:graphicData uri="http://schemas.microsoft.com/office/word/2010/wordprocessingShape">
                    <wps:wsp>
                      <wps:cNvSpPr/>
                      <wps:spPr>
                        <a:xfrm>
                          <a:off x="0" y="0"/>
                          <a:ext cx="895350" cy="147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7343F" w:rsidRDefault="00CB3F65">
                            <w:pPr>
                              <w:jc w:val="center"/>
                            </w:pPr>
                            <w:r>
                              <w:t>Land Use, Land Use Change and Forestry (LULUCF)</w:t>
                            </w:r>
                          </w:p>
                          <w:p w:rsidR="0087343F" w:rsidRDefault="00CB3F65">
                            <w:pPr>
                              <w:jc w:val="center"/>
                            </w:pPr>
                            <w:r>
                              <w:t>No debit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1" style="position:absolute;left:0;text-align:left;margin-left:383.5pt;margin-top:16.5pt;width:70.5pt;height:116.5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" fillcolor="white [3201]" strokecolor="black [3213]">
                <v:textbox>
                  <w:txbxContent>
                    <w:p>
                      <w:pPr>
                        <w:jc w:val="center"/>
                      </w:pPr>
                      <w:r>
                        <w:t>Land Use, Land Use Change and Forestry (LULUCF)</w:t>
                      </w:r>
                    </w:p>
                    <w:p>
                      <w:pPr>
                        <w:jc w:val="center"/>
                      </w:pPr>
                      <w:r>
                        <w:t>No debit</w:t>
                      </w:r>
                    </w:p>
                  </w:txbxContent>
                </v:textbox>
              </v:rect>
            </w:pict>
          </mc:Fallback>
        </mc:AlternateContent>
      </w:r>
      <w:r>
        <w:rPr>
          <w:noProof/>
          <w:lang w:eastAsia="en-GB"/>
        </w:rPr>
        <mc:AlternateContent>
          <mc:Choice Requires="wps">
            <w:drawing>
              <wp:anchor distT="0" distB="0" distL="114300" distR="114300" simplePos="0" relativeHeight="251668488" behindDoc="0" locked="0" layoutInCell="1" allowOverlap="1">
                <wp:simplePos x="0" y="0"/>
                <wp:positionH relativeFrom="column">
                  <wp:posOffset>2178050</wp:posOffset>
                </wp:positionH>
                <wp:positionV relativeFrom="paragraph">
                  <wp:posOffset>850900</wp:posOffset>
                </wp:positionV>
                <wp:extent cx="603250" cy="1403985"/>
                <wp:effectExtent l="0" t="0" r="25400" b="171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403985"/>
                        </a:xfrm>
                        <a:prstGeom prst="rect">
                          <a:avLst/>
                        </a:prstGeom>
                        <a:solidFill>
                          <a:srgbClr val="FFFFFF"/>
                        </a:solidFill>
                        <a:ln w="9525">
                          <a:solidFill>
                            <a:srgbClr val="000000"/>
                          </a:solidFill>
                          <a:miter lim="800000"/>
                          <a:headEnd/>
                          <a:tailEnd/>
                        </a:ln>
                      </wps:spPr>
                      <wps:txbx>
                        <w:txbxContent>
                          <w:p w:rsidR="0087343F" w:rsidRDefault="00CB3F65">
                            <w:pPr>
                              <w:rPr>
                                <w:sz w:val="16"/>
                                <w:szCs w:val="16"/>
                                <w:lang w:val="fr-FR"/>
                              </w:rPr>
                            </w:pPr>
                            <w:r>
                              <w:rPr>
                                <w:sz w:val="16"/>
                                <w:szCs w:val="16"/>
                                <w:lang w:val="fr-FR"/>
                              </w:rPr>
                              <w:t>Max 100 Mt CO</w:t>
                            </w:r>
                            <w:r>
                              <w:rPr>
                                <w:sz w:val="16"/>
                                <w:szCs w:val="16"/>
                                <w:vertAlign w:val="subscript"/>
                                <w:lang w:val="fr-FR"/>
                              </w:rPr>
                              <w:t>2</w:t>
                            </w:r>
                            <w:r>
                              <w:rPr>
                                <w:sz w:val="16"/>
                                <w:szCs w:val="16"/>
                                <w:lang w:val="fr-FR"/>
                              </w:rPr>
                              <w:t xml:space="preserve"> eq.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71.5pt;margin-top:67pt;width:47.5pt;height:110.55pt;z-index:251668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">
                <v:textbox style="mso-fit-shape-to-text:t">
                  <w:txbxContent>
                    <w:p>
                      <w:pPr>
                        <w:rPr>
                          <w:sz w:val="16"/>
                          <w:szCs w:val="16"/>
                          <w:lang w:val="fr-FR"/>
                        </w:rPr>
                      </w:pPr>
                      <w:r>
                        <w:rPr>
                          <w:sz w:val="16"/>
                          <w:szCs w:val="16"/>
                          <w:lang w:val="fr-FR"/>
                        </w:rPr>
                        <w:t>Max 100 Mt CO</w:t>
                      </w:r>
                      <w:r>
                        <w:rPr>
                          <w:sz w:val="16"/>
                          <w:szCs w:val="16"/>
                          <w:vertAlign w:val="subscript"/>
                          <w:lang w:val="fr-FR"/>
                        </w:rPr>
                        <w:t>2</w:t>
                      </w:r>
                      <w:r>
                        <w:rPr>
                          <w:sz w:val="16"/>
                          <w:szCs w:val="16"/>
                          <w:lang w:val="fr-FR"/>
                        </w:rPr>
                        <w:t xml:space="preserve"> eq. </w:t>
                      </w:r>
                    </w:p>
                  </w:txbxContent>
                </v:textbox>
              </v:shape>
            </w:pict>
          </mc:Fallback>
        </mc:AlternateContent>
      </w:r>
      <w:r>
        <w:rPr>
          <w:noProof/>
          <w:lang w:eastAsia="en-GB"/>
        </w:rPr>
        <mc:AlternateContent>
          <mc:Choice Requires="wps">
            <w:drawing>
              <wp:anchor distT="0" distB="0" distL="114300" distR="114300" simplePos="0" relativeHeight="251667464" behindDoc="0" locked="0" layoutInCell="1" allowOverlap="1">
                <wp:simplePos x="0" y="0"/>
                <wp:positionH relativeFrom="column">
                  <wp:posOffset>1993900</wp:posOffset>
                </wp:positionH>
                <wp:positionV relativeFrom="paragraph">
                  <wp:posOffset>754381</wp:posOffset>
                </wp:positionV>
                <wp:extent cx="901700" cy="45719"/>
                <wp:effectExtent l="0" t="19050" r="31750" b="31115"/>
                <wp:wrapNone/>
                <wp:docPr id="18" name="Right Arrow 18"/>
                <wp:cNvGraphicFramePr/>
                <a:graphic xmlns:a="http://schemas.openxmlformats.org/drawingml/2006/main">
                  <a:graphicData uri="http://schemas.microsoft.com/office/word/2010/wordprocessingShape">
                    <wps:wsp>
                      <wps:cNvSpPr/>
                      <wps:spPr>
                        <a:xfrm>
                          <a:off x="0" y="0"/>
                          <a:ext cx="90170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8" o:spid="_x0000_s1026" type="#_x0000_t13" style="position:absolute;margin-left:157pt;margin-top:59.4pt;width:71pt;height:3.6pt;z-index:251667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" adj="21052" fillcolor="black [3200]" strokecolor="black [1600]" strokeweight="2pt"/>
            </w:pict>
          </mc:Fallback>
        </mc:AlternateContent>
      </w:r>
      <w:r>
        <w:rPr>
          <w:noProof/>
          <w:lang w:eastAsia="en-GB"/>
        </w:rPr>
        <mc:AlternateContent>
          <mc:Choice Requires="wps">
            <w:drawing>
              <wp:anchor distT="0" distB="0" distL="114300" distR="114300" simplePos="0" relativeHeight="251663368" behindDoc="0" locked="0" layoutInCell="1" allowOverlap="1">
                <wp:simplePos x="0" y="0"/>
                <wp:positionH relativeFrom="column">
                  <wp:posOffset>2997200</wp:posOffset>
                </wp:positionH>
                <wp:positionV relativeFrom="paragraph">
                  <wp:posOffset>209550</wp:posOffset>
                </wp:positionV>
                <wp:extent cx="1117600" cy="1479550"/>
                <wp:effectExtent l="0" t="0" r="25400" b="25400"/>
                <wp:wrapNone/>
                <wp:docPr id="19" name="Rectangle 19"/>
                <wp:cNvGraphicFramePr/>
                <a:graphic xmlns:a="http://schemas.openxmlformats.org/drawingml/2006/main">
                  <a:graphicData uri="http://schemas.microsoft.com/office/word/2010/wordprocessingShape">
                    <wps:wsp>
                      <wps:cNvSpPr/>
                      <wps:spPr>
                        <a:xfrm>
                          <a:off x="0" y="0"/>
                          <a:ext cx="1117600" cy="14795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7343F" w:rsidRDefault="00CB3F65">
                            <w:pPr>
                              <w:jc w:val="center"/>
                            </w:pPr>
                            <w:r>
                              <w:t>Effort Sharing</w:t>
                            </w:r>
                          </w:p>
                          <w:p w:rsidR="0087343F" w:rsidRDefault="00CB3F65">
                            <w:pPr>
                              <w:jc w:val="center"/>
                            </w:pPr>
                            <w:r>
                              <w:t>Target: -30% by 2030 vs 2005</w:t>
                            </w:r>
                          </w:p>
                          <w:p w:rsidR="0087343F" w:rsidRDefault="00CB3F65">
                            <w:pPr>
                              <w:jc w:val="center"/>
                              <w:rPr>
                                <w:sz w:val="16"/>
                                <w:szCs w:val="16"/>
                              </w:rPr>
                            </w:pPr>
                            <w:r>
                              <w:rPr>
                                <w:sz w:val="16"/>
                                <w:szCs w:val="16"/>
                              </w:rPr>
                              <w:t xml:space="preserve">including households transport agriculture waste </w:t>
                            </w:r>
                            <w:r>
                              <w:rPr>
                                <w:sz w:val="16"/>
                                <w:szCs w:val="16"/>
                              </w:rPr>
                              <w:t>(60% of EU emissions)</w:t>
                            </w:r>
                          </w:p>
                          <w:p w:rsidR="0087343F" w:rsidRDefault="0087343F">
                            <w:pPr>
                              <w:jc w:val="center"/>
                            </w:pPr>
                          </w:p>
                          <w:p w:rsidR="0087343F" w:rsidRDefault="0087343F">
                            <w:pPr>
                              <w:jc w:val="center"/>
                            </w:pPr>
                          </w:p>
                          <w:p w:rsidR="0087343F" w:rsidRDefault="008734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3" style="position:absolute;left:0;text-align:left;margin-left:236pt;margin-top:16.5pt;width:88pt;height:116.5pt;z-index:251663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" fillcolor="white [3201]" strokecolor="black [3213]">
                <v:textbox>
                  <w:txbxContent>
                    <w:p>
                      <w:pPr>
                        <w:jc w:val="center"/>
                      </w:pPr>
                      <w:r>
                        <w:t>Effort Sharing</w:t>
                      </w:r>
                    </w:p>
                    <w:p>
                      <w:pPr>
                        <w:jc w:val="center"/>
                      </w:pPr>
                      <w:r>
                        <w:t>Target: -30% by 2030 vs 2005</w:t>
                      </w:r>
                    </w:p>
                    <w:p>
                      <w:pPr>
                        <w:jc w:val="center"/>
                        <w:rPr>
                          <w:sz w:val="16"/>
                          <w:szCs w:val="16"/>
                        </w:rPr>
                      </w:pPr>
                      <w:r>
                        <w:rPr>
                          <w:sz w:val="16"/>
                          <w:szCs w:val="16"/>
                        </w:rPr>
                        <w:t>including households transport agriculture waste (60% of EU emissions)</w:t>
                      </w:r>
                    </w:p>
                    <w:p>
                      <w:pPr>
                        <w:jc w:val="center"/>
                      </w:pPr>
                    </w:p>
                    <w:p>
                      <w:pPr>
                        <w:jc w:val="center"/>
                      </w:pPr>
                    </w:p>
                    <w:p/>
                  </w:txbxContent>
                </v:textbox>
              </v:rect>
            </w:pict>
          </mc:Fallback>
        </mc:AlternateContent>
      </w:r>
      <w:r>
        <w:rPr>
          <w:noProof/>
          <w:lang w:eastAsia="en-GB"/>
        </w:rPr>
        <mc:AlternateContent>
          <mc:Choice Requires="wps">
            <w:drawing>
              <wp:anchor distT="0" distB="0" distL="114300" distR="114300" simplePos="0" relativeHeight="251662344" behindDoc="0" locked="0" layoutInCell="1" allowOverlap="1">
                <wp:simplePos x="0" y="0"/>
                <wp:positionH relativeFrom="column">
                  <wp:posOffset>3340100</wp:posOffset>
                </wp:positionH>
                <wp:positionV relativeFrom="paragraph">
                  <wp:posOffset>355600</wp:posOffset>
                </wp:positionV>
                <wp:extent cx="806450" cy="1225550"/>
                <wp:effectExtent l="0" t="0" r="12700" b="12700"/>
                <wp:wrapNone/>
                <wp:docPr id="4" name="Rectangle 4"/>
                <wp:cNvGraphicFramePr/>
                <a:graphic xmlns:a="http://schemas.openxmlformats.org/drawingml/2006/main">
                  <a:graphicData uri="http://schemas.microsoft.com/office/word/2010/wordprocessingShape">
                    <wps:wsp>
                      <wps:cNvSpPr/>
                      <wps:spPr>
                        <a:xfrm>
                          <a:off x="0" y="0"/>
                          <a:ext cx="806450" cy="1225550"/>
                        </a:xfrm>
                        <a:prstGeom prst="rect">
                          <a:avLst/>
                        </a:prstGeom>
                        <a:ln w="12700">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263pt;margin-top:28pt;width:63.5pt;height:96.5pt;z-index:251662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" fillcolor="white [3201]" strokecolor="white [3212]" strokeweight="1pt"/>
            </w:pict>
          </mc:Fallback>
        </mc:AlternateContent>
      </w:r>
      <w:r>
        <w:rPr>
          <w:noProof/>
          <w:lang w:eastAsia="en-GB"/>
        </w:rPr>
        <mc:AlternateContent>
          <mc:Choice Requires="wps">
            <w:drawing>
              <wp:anchor distT="0" distB="0" distL="114300" distR="114300" simplePos="0" relativeHeight="251660296" behindDoc="0" locked="0" layoutInCell="1" allowOverlap="1">
                <wp:simplePos x="0" y="0"/>
                <wp:positionH relativeFrom="column">
                  <wp:posOffset>2895600</wp:posOffset>
                </wp:positionH>
                <wp:positionV relativeFrom="paragraph">
                  <wp:posOffset>31750</wp:posOffset>
                </wp:positionV>
                <wp:extent cx="2946400" cy="1841500"/>
                <wp:effectExtent l="0" t="0" r="25400" b="25400"/>
                <wp:wrapNone/>
                <wp:docPr id="20" name="Rounded Rectangle 20"/>
                <wp:cNvGraphicFramePr/>
                <a:graphic xmlns:a="http://schemas.openxmlformats.org/drawingml/2006/main">
                  <a:graphicData uri="http://schemas.microsoft.com/office/word/2010/wordprocessingShape">
                    <wps:wsp>
                      <wps:cNvSpPr/>
                      <wps:spPr>
                        <a:xfrm>
                          <a:off x="0" y="0"/>
                          <a:ext cx="2946400" cy="1841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7343F" w:rsidRDefault="00CB3F65">
                            <w:pPr>
                              <w:jc w:val="center"/>
                              <w:rPr>
                                <w:i/>
                                <w:sz w:val="16"/>
                                <w:szCs w:val="16"/>
                                <w:lang w:val="fr-FR"/>
                              </w:rPr>
                            </w:pPr>
                            <w:r>
                              <w:rPr>
                                <w:i/>
                                <w:sz w:val="16"/>
                                <w:szCs w:val="16"/>
                                <w:lang w:val="fr-FR"/>
                              </w:rPr>
                              <w:t xml:space="preserve">full </w:t>
                            </w:r>
                          </w:p>
                          <w:p w:rsidR="0087343F" w:rsidRDefault="00CB3F65">
                            <w:pPr>
                              <w:jc w:val="center"/>
                              <w:rPr>
                                <w:i/>
                                <w:sz w:val="16"/>
                                <w:szCs w:val="16"/>
                                <w:lang w:val="fr-FR"/>
                              </w:rPr>
                            </w:pPr>
                            <w:r>
                              <w:rPr>
                                <w:i/>
                                <w:sz w:val="16"/>
                                <w:szCs w:val="16"/>
                                <w:lang w:val="fr-FR"/>
                              </w:rPr>
                              <w:t>flexibility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0" o:spid="_x0000_s1034" style="position:absolute;left:0;text-align:left;margin-left:228pt;margin-top:2.5pt;width:232pt;height:145pt;z-index:251660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" fillcolor="white [3201]" strokecolor="black [3213]" strokeweight="2pt">
                <v:textbox>
                  <w:txbxContent>
                    <w:p>
                      <w:pPr>
                        <w:jc w:val="center"/>
                        <w:rPr>
                          <w:i/>
                          <w:sz w:val="16"/>
                          <w:szCs w:val="16"/>
                          <w:lang w:val="fr-FR"/>
                        </w:rPr>
                      </w:pPr>
                      <w:r>
                        <w:rPr>
                          <w:i/>
                          <w:sz w:val="16"/>
                          <w:szCs w:val="16"/>
                          <w:lang w:val="fr-FR"/>
                        </w:rPr>
                        <w:t xml:space="preserve">full </w:t>
                      </w:r>
                    </w:p>
                    <w:p>
                      <w:pPr>
                        <w:jc w:val="center"/>
                        <w:rPr>
                          <w:i/>
                          <w:sz w:val="16"/>
                          <w:szCs w:val="16"/>
                          <w:lang w:val="fr-FR"/>
                        </w:rPr>
                      </w:pPr>
                      <w:r>
                        <w:rPr>
                          <w:i/>
                          <w:sz w:val="16"/>
                          <w:szCs w:val="16"/>
                          <w:lang w:val="fr-FR"/>
                        </w:rPr>
                        <w:t>flexibility</w:t>
                      </w:r>
                    </w:p>
                  </w:txbxContent>
                </v:textbox>
              </v:roundrect>
            </w:pict>
          </mc:Fallback>
        </mc:AlternateContent>
      </w:r>
      <w:r>
        <w:rPr>
          <w:noProof/>
          <w:lang w:eastAsia="en-GB"/>
        </w:rPr>
        <mc:AlternateContent>
          <mc:Choice Requires="wps">
            <w:drawing>
              <wp:anchor distT="0" distB="0" distL="114300" distR="114300" simplePos="0" relativeHeight="251661320" behindDoc="0" locked="0" layoutInCell="1" allowOverlap="1">
                <wp:simplePos x="0" y="0"/>
                <wp:positionH relativeFrom="column">
                  <wp:posOffset>57150</wp:posOffset>
                </wp:positionH>
                <wp:positionV relativeFrom="paragraph">
                  <wp:posOffset>12700</wp:posOffset>
                </wp:positionV>
                <wp:extent cx="1936750" cy="1841500"/>
                <wp:effectExtent l="0" t="0" r="25400" b="25400"/>
                <wp:wrapNone/>
                <wp:docPr id="21" name="Rounded Rectangle 21"/>
                <wp:cNvGraphicFramePr/>
                <a:graphic xmlns:a="http://schemas.openxmlformats.org/drawingml/2006/main">
                  <a:graphicData uri="http://schemas.microsoft.com/office/word/2010/wordprocessingShape">
                    <wps:wsp>
                      <wps:cNvSpPr/>
                      <wps:spPr>
                        <a:xfrm>
                          <a:off x="0" y="0"/>
                          <a:ext cx="1936750" cy="1841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7343F" w:rsidRDefault="00CB3F65">
                            <w:pPr>
                              <w:jc w:val="center"/>
                            </w:pPr>
                            <w:r>
                              <w:t>Emission Trading (ETS)</w:t>
                            </w:r>
                          </w:p>
                          <w:p w:rsidR="0087343F" w:rsidRDefault="00CB3F65">
                            <w:pPr>
                              <w:jc w:val="center"/>
                            </w:pPr>
                            <w:r>
                              <w:t>Target: -43% by 2030 vs 2005</w:t>
                            </w:r>
                          </w:p>
                          <w:p w:rsidR="0087343F" w:rsidRDefault="0087343F">
                            <w:pPr>
                              <w:jc w:val="center"/>
                            </w:pPr>
                          </w:p>
                          <w:p w:rsidR="0087343F" w:rsidRDefault="00CB3F65">
                            <w:pPr>
                              <w:jc w:val="center"/>
                              <w:rPr>
                                <w:i/>
                                <w:sz w:val="16"/>
                                <w:szCs w:val="16"/>
                              </w:rPr>
                            </w:pPr>
                            <w:r>
                              <w:rPr>
                                <w:i/>
                                <w:sz w:val="16"/>
                                <w:szCs w:val="16"/>
                              </w:rPr>
                              <w:t>including Power/energy sector, Industry, aviation (40% of EU emissions)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1" o:spid="_x0000_s1035" style="position:absolute;left:0;text-align:left;margin-left:4.5pt;margin-top:1pt;width:152.5pt;height:145pt;z-index:251661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" fillcolor="white [3201]" strokecolor="black [3213]" strokeweight="2pt">
                <v:textbox>
                  <w:txbxContent>
                    <w:p>
                      <w:pPr>
                        <w:jc w:val="center"/>
                      </w:pPr>
                      <w:r>
                        <w:t>Emission Trading (ETS)</w:t>
                      </w:r>
                    </w:p>
                    <w:p>
                      <w:pPr>
                        <w:jc w:val="center"/>
                      </w:pPr>
                      <w:r>
                        <w:t>Target: -43% by 2030 vs 2005</w:t>
                      </w:r>
                    </w:p>
                    <w:p>
                      <w:pPr>
                        <w:jc w:val="center"/>
                      </w:pPr>
                    </w:p>
                    <w:p>
                      <w:pPr>
                        <w:jc w:val="center"/>
                        <w:rPr>
                          <w:i/>
                          <w:sz w:val="16"/>
                          <w:szCs w:val="16"/>
                        </w:rPr>
                      </w:pPr>
                      <w:r>
                        <w:rPr>
                          <w:i/>
                          <w:sz w:val="16"/>
                          <w:szCs w:val="16"/>
                        </w:rPr>
                        <w:t>including Power/energy sector, Industry, aviation (40% of EU emissions)</w:t>
                      </w:r>
                    </w:p>
                  </w:txbxContent>
                </v:textbox>
              </v:roundrect>
            </w:pict>
          </mc:Fallback>
        </mc:AlternateContent>
      </w:r>
    </w:p>
    <w:p w:rsidR="0087343F" w:rsidRDefault="0087343F">
      <w:pPr>
        <w:jc w:val="center"/>
        <w:rPr>
          <w:noProof/>
        </w:rPr>
      </w:pPr>
    </w:p>
    <w:p w:rsidR="0087343F" w:rsidRDefault="0087343F">
      <w:pPr>
        <w:rPr>
          <w:b/>
          <w:i/>
          <w:noProof/>
        </w:rPr>
      </w:pPr>
    </w:p>
    <w:p w:rsidR="0087343F" w:rsidRDefault="0087343F">
      <w:pPr>
        <w:pStyle w:val="Heading2"/>
        <w:spacing w:after="200" w:line="276" w:lineRule="auto"/>
        <w:ind w:left="850"/>
        <w:rPr>
          <w:b w:val="0"/>
          <w:i w:val="0"/>
          <w:noProof/>
          <w:u w:val="single"/>
        </w:rPr>
      </w:pPr>
    </w:p>
    <w:p w:rsidR="0087343F" w:rsidRDefault="0087343F">
      <w:pPr>
        <w:pStyle w:val="Heading2"/>
        <w:spacing w:after="200" w:line="276" w:lineRule="auto"/>
        <w:ind w:left="850"/>
        <w:rPr>
          <w:b w:val="0"/>
          <w:i w:val="0"/>
          <w:noProof/>
          <w:u w:val="single"/>
        </w:rPr>
      </w:pPr>
    </w:p>
    <w:p w:rsidR="0087343F" w:rsidRDefault="0087343F">
      <w:pPr>
        <w:pStyle w:val="Heading2"/>
        <w:spacing w:after="200" w:line="276" w:lineRule="auto"/>
        <w:ind w:left="850"/>
        <w:rPr>
          <w:b w:val="0"/>
          <w:i w:val="0"/>
          <w:noProof/>
          <w:u w:val="single"/>
        </w:rPr>
      </w:pPr>
    </w:p>
    <w:p w:rsidR="0087343F" w:rsidRDefault="0087343F">
      <w:pPr>
        <w:pStyle w:val="Heading2"/>
        <w:spacing w:after="200" w:line="276" w:lineRule="auto"/>
        <w:ind w:left="850"/>
        <w:rPr>
          <w:b w:val="0"/>
          <w:i w:val="0"/>
          <w:noProof/>
          <w:u w:val="single"/>
        </w:rPr>
      </w:pPr>
    </w:p>
    <w:p w:rsidR="0087343F" w:rsidRDefault="0087343F">
      <w:pPr>
        <w:pStyle w:val="Heading2"/>
        <w:spacing w:after="200" w:line="276" w:lineRule="auto"/>
        <w:ind w:left="850"/>
        <w:rPr>
          <w:b w:val="0"/>
          <w:i w:val="0"/>
          <w:noProof/>
          <w:u w:val="single"/>
        </w:rPr>
      </w:pPr>
    </w:p>
    <w:p w:rsidR="0087343F" w:rsidRDefault="00CB3F65">
      <w:pPr>
        <w:pStyle w:val="ManualHeading2"/>
        <w:rPr>
          <w:i/>
          <w:noProof/>
        </w:rPr>
      </w:pPr>
      <w:r>
        <w:t>3.1.</w:t>
      </w:r>
      <w:r>
        <w:tab/>
      </w:r>
      <w:r>
        <w:rPr>
          <w:noProof/>
        </w:rPr>
        <w:t>Revision of the EU ETS — phase 4 (2021-2030)</w:t>
      </w:r>
      <w:bookmarkEnd w:id="247"/>
    </w:p>
    <w:p w:rsidR="0087343F" w:rsidRDefault="00CB3F65">
      <w:pPr>
        <w:spacing w:line="276" w:lineRule="auto"/>
        <w:rPr>
          <w:noProof/>
        </w:rPr>
      </w:pPr>
      <w:r>
        <w:rPr>
          <w:noProof/>
        </w:rPr>
        <w:t xml:space="preserve">The Commission’s </w:t>
      </w:r>
      <w:r>
        <w:rPr>
          <w:noProof/>
        </w:rPr>
        <w:t>legislative proposal of July 2015 on revising the EU ETS for phase 4 aims to reduce the emissions from energy production plants and industry by 43 % by 2030 from their 2005 levels. The European Parliament and Council are currently involved in trilogue nego</w:t>
      </w:r>
      <w:r>
        <w:rPr>
          <w:noProof/>
        </w:rPr>
        <w:t>tiations, having adopted positions on the revision of the Directive in February 2017.</w:t>
      </w:r>
    </w:p>
    <w:p w:rsidR="0087343F" w:rsidRDefault="00CB3F65">
      <w:pPr>
        <w:spacing w:line="276" w:lineRule="auto"/>
        <w:rPr>
          <w:noProof/>
        </w:rPr>
      </w:pPr>
      <w:r>
        <w:rPr>
          <w:noProof/>
        </w:rPr>
        <w:t>The proposal would increase the annual reduction in the number of allowances from the current 1.74 % to 2.2 % in order to provide the emissions reductions and thus delive</w:t>
      </w:r>
      <w:r>
        <w:rPr>
          <w:noProof/>
        </w:rPr>
        <w:t>r the underlying environmental objective. In their positions, both Parliament and the Council propose further strengthening the EU ETS by temporarily doubling the rate at which allowances are placed in the Market Stability Reserve (MSR) from 2019. This cha</w:t>
      </w:r>
      <w:r>
        <w:rPr>
          <w:noProof/>
        </w:rPr>
        <w:t>nge would allow the MSR to reduce the existing market oversupply of allowances faster.</w:t>
      </w:r>
    </w:p>
    <w:p w:rsidR="0087343F" w:rsidRDefault="00CB3F65">
      <w:pPr>
        <w:spacing w:line="276" w:lineRule="auto"/>
        <w:rPr>
          <w:noProof/>
        </w:rPr>
      </w:pPr>
      <w:r>
        <w:rPr>
          <w:noProof/>
        </w:rPr>
        <w:t>Since European leaders have agreed to continue free allocation after 2021, the necessary changes to update the relevant rules are also proposed. This includes updated be</w:t>
      </w:r>
      <w:r>
        <w:rPr>
          <w:noProof/>
        </w:rPr>
        <w:t>nchmarks to reflect technological progress where necessary, criteria for the future composition of the carbon leakage list and procedures to reflect changes in production.</w:t>
      </w:r>
    </w:p>
    <w:p w:rsidR="0087343F" w:rsidRDefault="00CB3F65">
      <w:pPr>
        <w:spacing w:line="276" w:lineRule="auto"/>
        <w:rPr>
          <w:noProof/>
        </w:rPr>
      </w:pPr>
      <w:r>
        <w:rPr>
          <w:noProof/>
        </w:rPr>
        <w:t>Several low carbon funding mechanisms are proposed, in particular an Innovation Fund</w:t>
      </w:r>
      <w:r>
        <w:rPr>
          <w:noProof/>
        </w:rPr>
        <w:t xml:space="preserve"> (to support demonstration of innovative renewable energy and low-carbon innovation in industry, as well as carbon capture, use and storage) and a Modernisation Fund (modernising the energy systems of EU Member States with lower GDP).</w:t>
      </w:r>
    </w:p>
    <w:p w:rsidR="0087343F" w:rsidRDefault="00CB3F65">
      <w:pPr>
        <w:pStyle w:val="ManualHeading2"/>
        <w:rPr>
          <w:bCs/>
          <w:i/>
          <w:iCs/>
          <w:noProof/>
        </w:rPr>
      </w:pPr>
      <w:bookmarkStart w:id="248" w:name="_Toc493004522"/>
      <w:bookmarkStart w:id="249" w:name="_Ref493079721"/>
      <w:bookmarkStart w:id="250" w:name="_Hlk493144725"/>
      <w:r>
        <w:t>3.2.</w:t>
      </w:r>
      <w:r>
        <w:tab/>
      </w:r>
      <w:r>
        <w:rPr>
          <w:noProof/>
        </w:rPr>
        <w:t>Proposals for re</w:t>
      </w:r>
      <w:r>
        <w:rPr>
          <w:noProof/>
        </w:rPr>
        <w:t>gulations on effort sharing and on land use for 2021-2030</w:t>
      </w:r>
      <w:bookmarkEnd w:id="248"/>
      <w:bookmarkEnd w:id="249"/>
    </w:p>
    <w:bookmarkEnd w:id="250"/>
    <w:p w:rsidR="0087343F" w:rsidRDefault="00CB3F65">
      <w:pPr>
        <w:spacing w:line="276" w:lineRule="auto"/>
        <w:rPr>
          <w:noProof/>
        </w:rPr>
      </w:pPr>
      <w:r>
        <w:rPr>
          <w:noProof/>
        </w:rPr>
        <w:t>Two proposals tabled in July 2016 set out how exactly the EU’s Member States should implement their commitment to reduce its non-ETS emissions by 30 % by 2030 compared to 2005. The European Parliame</w:t>
      </w:r>
      <w:r>
        <w:rPr>
          <w:noProof/>
        </w:rPr>
        <w:t>nt and Council are currently involved in trilogue negotiations, having adopted positions on the two proposals between June and October 2017.</w:t>
      </w:r>
    </w:p>
    <w:p w:rsidR="0087343F" w:rsidRDefault="00CB3F65">
      <w:pPr>
        <w:spacing w:line="276" w:lineRule="auto"/>
        <w:rPr>
          <w:noProof/>
        </w:rPr>
      </w:pPr>
      <w:r>
        <w:rPr>
          <w:noProof/>
        </w:rPr>
        <w:t>First, for sectors outside the ETS and LULUCF each Member State would have binding annual greenhouse gas emission l</w:t>
      </w:r>
      <w:r>
        <w:rPr>
          <w:noProof/>
        </w:rPr>
        <w:t>imits for 2021-2030. Member States have agreed to share efforts on the basis of fairness, solidarity, cost-effectiveness and environmental integrity. Thus, the proposal recognises Member States’ varying capacity to take action by setting them different 203</w:t>
      </w:r>
      <w:r>
        <w:rPr>
          <w:noProof/>
        </w:rPr>
        <w:t>0 targets, primarily based on 2013 GDP per capita. The proposed 2030 targets range from 0 % to 40 % reductions compared to 2005 levels. Two new limited flexibilitiess are given: allowing eligible Member States to use EU ETS allowances, and allowing all Mem</w:t>
      </w:r>
      <w:r>
        <w:rPr>
          <w:noProof/>
        </w:rPr>
        <w:t>ber States to use greater action in land use sectors in order to meet part of their binding effort-sharing targets.</w:t>
      </w:r>
    </w:p>
    <w:p w:rsidR="0087343F" w:rsidRDefault="00CB3F65">
      <w:pPr>
        <w:spacing w:line="276" w:lineRule="auto"/>
        <w:rPr>
          <w:noProof/>
        </w:rPr>
      </w:pPr>
      <w:r>
        <w:rPr>
          <w:noProof/>
        </w:rPr>
        <w:t xml:space="preserve">Second, Member States would be required to balance greenhouse gas emissions and removals from land use, land use change and forestry under </w:t>
      </w:r>
      <w:r>
        <w:rPr>
          <w:noProof/>
        </w:rPr>
        <w:t>the ‘no debits rule’. It is proposed that greenhouse gas emissions from land use would have to be entirely compensated by equivalent removal of CO</w:t>
      </w:r>
      <w:r>
        <w:rPr>
          <w:rFonts w:ascii="Cambria Math" w:hAnsi="Cambria Math"/>
          <w:noProof/>
        </w:rPr>
        <w:t>₂</w:t>
      </w:r>
      <w:r>
        <w:rPr>
          <w:noProof/>
        </w:rPr>
        <w:t xml:space="preserve"> from the atmosphere through action in that sector or in the effort-sharing sectors. For example, if a Member</w:t>
      </w:r>
      <w:r>
        <w:rPr>
          <w:noProof/>
        </w:rPr>
        <w:t xml:space="preserve"> State cuts down forests, it must compensate for the resulting emissions by planting new forest, by managing its existing forests, croplands and grasslands more sustainably, or by further reducing emissions in its effort-sharing sectors. In addition, Membe</w:t>
      </w:r>
      <w:r>
        <w:rPr>
          <w:noProof/>
        </w:rPr>
        <w:t>r States would also have the option of trading LULUCF credits. If implemented, this accounting system would help Member States to incentivise farmers and foresters to move towards climate-smart agriculture and forest management. </w:t>
      </w:r>
    </w:p>
    <w:p w:rsidR="0087343F" w:rsidRDefault="00CB3F65">
      <w:pPr>
        <w:pStyle w:val="ManualHeading2"/>
        <w:rPr>
          <w:i/>
          <w:noProof/>
        </w:rPr>
      </w:pPr>
      <w:bookmarkStart w:id="251" w:name="_Toc493004523"/>
      <w:r>
        <w:t>3.3.</w:t>
      </w:r>
      <w:r>
        <w:tab/>
      </w:r>
      <w:r>
        <w:rPr>
          <w:noProof/>
        </w:rPr>
        <w:t>Low emission mobility</w:t>
      </w:r>
      <w:r>
        <w:rPr>
          <w:noProof/>
        </w:rPr>
        <w:t xml:space="preserve"> strategy</w:t>
      </w:r>
      <w:bookmarkEnd w:id="251"/>
    </w:p>
    <w:p w:rsidR="0087343F" w:rsidRDefault="00CB3F65">
      <w:pPr>
        <w:spacing w:line="276" w:lineRule="auto"/>
        <w:rPr>
          <w:noProof/>
        </w:rPr>
      </w:pPr>
      <w:r>
        <w:rPr>
          <w:noProof/>
        </w:rPr>
        <w:t>The EU’s mobility sector is a major employer and an indispensable driver of the EU economy’s global competitiveness. A modern mobility system is needed for the transition to a low-carbon economy. Measures include developing clean technologies thr</w:t>
      </w:r>
      <w:r>
        <w:rPr>
          <w:noProof/>
        </w:rPr>
        <w:t xml:space="preserve">ough improved emissions standards, and making use of low-carbon fuels. In July 2016 the Commission adopted an EU Strategy for low emission mobility which is based on three pillars: higher efficiency of the transport system, low-emission alternative energy </w:t>
      </w:r>
      <w:r>
        <w:rPr>
          <w:noProof/>
        </w:rPr>
        <w:t>for transport, and low- and zero emission vehicles.</w:t>
      </w:r>
    </w:p>
    <w:p w:rsidR="0087343F" w:rsidRDefault="00CB3F65">
      <w:pPr>
        <w:spacing w:line="276" w:lineRule="auto"/>
        <w:rPr>
          <w:noProof/>
        </w:rPr>
      </w:pPr>
      <w:r>
        <w:rPr>
          <w:noProof/>
        </w:rPr>
        <w:t xml:space="preserve">The Commission is working towards the deployment of cooperative, connected and automated vehicles, which will help reduce emissions and congestion. Furthermore, the Commission proposes adjustments to the </w:t>
      </w:r>
      <w:r>
        <w:rPr>
          <w:noProof/>
        </w:rPr>
        <w:t>regulatory frameworks for road charging, electronic tolling and combined transport.</w:t>
      </w:r>
    </w:p>
    <w:p w:rsidR="0087343F" w:rsidRDefault="00CB3F65">
      <w:pPr>
        <w:spacing w:line="276" w:lineRule="auto"/>
        <w:rPr>
          <w:noProof/>
          <w:sz w:val="23"/>
          <w:szCs w:val="23"/>
        </w:rPr>
      </w:pPr>
      <w:r>
        <w:rPr>
          <w:noProof/>
        </w:rPr>
        <w:t>As regards clean technologies, EU-wide carbon dioxide emissions standards are driving innovation and efficiency. The Commission is proposing new post-2020 standards for car</w:t>
      </w:r>
      <w:r>
        <w:rPr>
          <w:noProof/>
        </w:rPr>
        <w:t>s and vans. It has proposed a monitoring and reporting system for emissions from heavy duty vehicles that paves the way for standards for this type of vehicles in 2018. The proposed review of public procurement of clean vehicles will consequently help crea</w:t>
      </w:r>
      <w:r>
        <w:rPr>
          <w:noProof/>
        </w:rPr>
        <w:t>te markets for innovative and low-emission products.</w:t>
      </w:r>
    </w:p>
    <w:p w:rsidR="0087343F" w:rsidRDefault="00CB3F65">
      <w:pPr>
        <w:spacing w:line="276" w:lineRule="auto"/>
        <w:rPr>
          <w:noProof/>
        </w:rPr>
      </w:pPr>
      <w:r>
        <w:rPr>
          <w:noProof/>
        </w:rPr>
        <w:t>As regards the use of low-carbon and renewable fuels, in November 2016 the Commission proposed a recast of the Renewable Energy Directive with a strong advanced biofuels component, by means of an EU-wide</w:t>
      </w:r>
      <w:r>
        <w:rPr>
          <w:noProof/>
        </w:rPr>
        <w:t xml:space="preserve"> obligation on transport fuel suppliers. The proposed revision of the Energy Performance of Buildings Directive (see section 3.4) and the electricity market design will contribute to the provision of charging points in buildings and an energy grid/system w</w:t>
      </w:r>
      <w:r>
        <w:rPr>
          <w:noProof/>
        </w:rPr>
        <w:t>hich is fit for purpose, and support the transition towards zero-emission mobility. The Alternative Fuels Infrastructure Directive provides a strong framework to ensure the availability of infrastructure, common standards and consumer information for alter</w:t>
      </w:r>
      <w:r>
        <w:rPr>
          <w:noProof/>
        </w:rPr>
        <w:t>native energy. The Commission is issuing an Alternative Fuels Infrastructure Action Plan to address governance, financing and interoperability of infrastructure services.</w:t>
      </w:r>
    </w:p>
    <w:p w:rsidR="0087343F" w:rsidRDefault="00CB3F65">
      <w:pPr>
        <w:pStyle w:val="ManualHeading2"/>
        <w:rPr>
          <w:i/>
          <w:noProof/>
        </w:rPr>
      </w:pPr>
      <w:bookmarkStart w:id="252" w:name="_Toc493004524"/>
      <w:bookmarkStart w:id="253" w:name="_Ref493079346"/>
      <w:r>
        <w:t>3.4.</w:t>
      </w:r>
      <w:r>
        <w:tab/>
      </w:r>
      <w:r>
        <w:rPr>
          <w:noProof/>
        </w:rPr>
        <w:t>Energy efficiency</w:t>
      </w:r>
      <w:bookmarkEnd w:id="252"/>
      <w:bookmarkEnd w:id="253"/>
    </w:p>
    <w:p w:rsidR="0087343F" w:rsidRDefault="00CB3F65">
      <w:pPr>
        <w:autoSpaceDE w:val="0"/>
        <w:autoSpaceDN w:val="0"/>
        <w:spacing w:line="276" w:lineRule="auto"/>
        <w:rPr>
          <w:noProof/>
        </w:rPr>
      </w:pPr>
      <w:r>
        <w:rPr>
          <w:noProof/>
        </w:rPr>
        <w:t xml:space="preserve">The Commission has proposed a revision of the Energy </w:t>
      </w:r>
      <w:r>
        <w:rPr>
          <w:noProof/>
        </w:rPr>
        <w:t>Efficiency Directive (EED) with a binding 30 % EU target for 2030. The EED will also extend energy savings requirements to 2030 and simplify the rules for calculating such energy savings.</w:t>
      </w:r>
    </w:p>
    <w:p w:rsidR="0087343F" w:rsidRDefault="00CB3F65">
      <w:pPr>
        <w:autoSpaceDE w:val="0"/>
        <w:autoSpaceDN w:val="0"/>
        <w:spacing w:line="276" w:lineRule="auto"/>
        <w:rPr>
          <w:noProof/>
        </w:rPr>
      </w:pPr>
      <w:r>
        <w:rPr>
          <w:noProof/>
        </w:rPr>
        <w:t>The review of the European Performance of Buildings Directive promot</w:t>
      </w:r>
      <w:r>
        <w:rPr>
          <w:noProof/>
        </w:rPr>
        <w:t>es the use of smart technology in buildings and includes key measures to further promote investment in energy efficiency and renewable energy.</w:t>
      </w:r>
    </w:p>
    <w:p w:rsidR="0087343F" w:rsidRDefault="00CB3F65">
      <w:pPr>
        <w:pStyle w:val="ManualHeading2"/>
        <w:rPr>
          <w:i/>
          <w:noProof/>
        </w:rPr>
      </w:pPr>
      <w:bookmarkStart w:id="254" w:name="_Toc493004525"/>
      <w:r>
        <w:t>3.5.</w:t>
      </w:r>
      <w:r>
        <w:tab/>
      </w:r>
      <w:r>
        <w:rPr>
          <w:noProof/>
        </w:rPr>
        <w:t>Renewable energy</w:t>
      </w:r>
      <w:bookmarkEnd w:id="254"/>
    </w:p>
    <w:p w:rsidR="0087343F" w:rsidRDefault="00CB3F65">
      <w:pPr>
        <w:autoSpaceDE w:val="0"/>
        <w:autoSpaceDN w:val="0"/>
        <w:spacing w:line="276" w:lineRule="auto"/>
        <w:rPr>
          <w:i/>
          <w:noProof/>
        </w:rPr>
      </w:pPr>
      <w:r>
        <w:rPr>
          <w:noProof/>
        </w:rPr>
        <w:t xml:space="preserve">Under the proposed recast of the Renewable Energy Directive, renewable energy sources must </w:t>
      </w:r>
      <w:r>
        <w:rPr>
          <w:noProof/>
        </w:rPr>
        <w:t>account for at least 27 % of the EU’s gross final energy consumption by 2030. This binding target is in line with European Council conclusions of October 2014. The recast directive also creates an innovation-friendly regulatory environment and promotes lon</w:t>
      </w:r>
      <w:r>
        <w:rPr>
          <w:noProof/>
        </w:rPr>
        <w:t>g-term investment.</w:t>
      </w:r>
      <w:bookmarkStart w:id="255" w:name="_Toc493004526"/>
    </w:p>
    <w:p w:rsidR="0087343F" w:rsidRDefault="00CB3F65">
      <w:pPr>
        <w:pStyle w:val="ManualHeading2"/>
        <w:rPr>
          <w:i/>
          <w:noProof/>
        </w:rPr>
      </w:pPr>
      <w:r>
        <w:t>3.6.</w:t>
      </w:r>
      <w:r>
        <w:tab/>
      </w:r>
      <w:r>
        <w:rPr>
          <w:noProof/>
        </w:rPr>
        <w:t>Governance</w:t>
      </w:r>
      <w:bookmarkEnd w:id="255"/>
    </w:p>
    <w:p w:rsidR="0087343F" w:rsidRDefault="00CB3F65">
      <w:pPr>
        <w:spacing w:line="276" w:lineRule="auto"/>
        <w:rPr>
          <w:noProof/>
        </w:rPr>
      </w:pPr>
      <w:r>
        <w:rPr>
          <w:noProof/>
        </w:rPr>
        <w:t>The European Commission adopted in November 2016 a regulation proposal for the governance of the Energy Union. This would require Member States to draft integrated national energy and climate (NECP) plans covering a 10-ye</w:t>
      </w:r>
      <w:r>
        <w:rPr>
          <w:noProof/>
        </w:rPr>
        <w:t xml:space="preserve">ar period, starting from 2021 to 2030. The plans will set out their national energy and climate objectives and will represent their contribution to the Energy Union’s objectives, including the EU’s joint energy efficiency and renewable energy targets. The </w:t>
      </w:r>
      <w:r>
        <w:rPr>
          <w:noProof/>
        </w:rPr>
        <w:t>plans should also be aligned with the long-term low emissions strategies submitted every 10 years with a proposed 50-year outlook.</w:t>
      </w:r>
    </w:p>
    <w:p w:rsidR="0087343F" w:rsidRDefault="00CB3F65">
      <w:pPr>
        <w:spacing w:line="276" w:lineRule="auto"/>
        <w:rPr>
          <w:noProof/>
        </w:rPr>
      </w:pPr>
      <w:r>
        <w:rPr>
          <w:noProof/>
        </w:rPr>
        <w:t xml:space="preserve">The proposal establishes a calendar for drafting, finalisation and updating the plans closely aligned with the 5-year review </w:t>
      </w:r>
      <w:r>
        <w:rPr>
          <w:noProof/>
        </w:rPr>
        <w:t xml:space="preserve">cycle set out in the Paris Agreement. The plans will inform the EU’s and the Member States’ participation in the facilitative dialogue in 2018 and the Global Stocktake in 2023, and every 5 years thereafter. </w:t>
      </w:r>
    </w:p>
    <w:p w:rsidR="0087343F" w:rsidRDefault="00CB3F65">
      <w:pPr>
        <w:spacing w:line="276" w:lineRule="auto"/>
        <w:rPr>
          <w:noProof/>
        </w:rPr>
      </w:pPr>
      <w:r>
        <w:rPr>
          <w:noProof/>
        </w:rPr>
        <w:t>The proposal also lays down integrated monitorin</w:t>
      </w:r>
      <w:r>
        <w:rPr>
          <w:noProof/>
        </w:rPr>
        <w:t>g and reporting rules for tracking progress on implementing the plans. It provides for specific mechanisms to cover any gaps in achieving EU targets for energy efficiency and renewable energy. It also provides for a transparent, accurate, comprehensive, co</w:t>
      </w:r>
      <w:r>
        <w:rPr>
          <w:noProof/>
        </w:rPr>
        <w:t>mplete and consistent monitoring mechanism for greenhouse gas emissions so that the EU meets its reporting obligations under the Paris Agreement.</w:t>
      </w:r>
    </w:p>
    <w:p w:rsidR="0087343F" w:rsidRDefault="00CB3F65">
      <w:pPr>
        <w:spacing w:line="276" w:lineRule="auto"/>
        <w:rPr>
          <w:noProof/>
        </w:rPr>
      </w:pPr>
      <w:r>
        <w:rPr>
          <w:noProof/>
        </w:rPr>
        <w:t>Member States are already drafting their national plans, with more than two thirds having set up political pro</w:t>
      </w:r>
      <w:r>
        <w:rPr>
          <w:noProof/>
        </w:rPr>
        <w:t>cesses to prepare these. More than half of them engaged in public consultation in relation to national plans. Approximately half of them already have long-term strategies for climate with a perspective until at least 2030. More than one third of Member Sta</w:t>
      </w:r>
      <w:r>
        <w:rPr>
          <w:noProof/>
        </w:rPr>
        <w:t>tes have indicated to the Commission that they have started work on the analytical basis and on regional cooperation in preparation of their NECPs.</w:t>
      </w:r>
    </w:p>
    <w:p w:rsidR="0087343F" w:rsidRDefault="00CB3F65">
      <w:pPr>
        <w:pStyle w:val="ManualHeading2"/>
        <w:rPr>
          <w:i/>
          <w:noProof/>
        </w:rPr>
      </w:pPr>
      <w:bookmarkStart w:id="256" w:name="_Toc493004527"/>
      <w:r>
        <w:t>3.7.</w:t>
      </w:r>
      <w:r>
        <w:tab/>
      </w:r>
      <w:r>
        <w:rPr>
          <w:noProof/>
        </w:rPr>
        <w:t>The monitoring, reporting and verification (MRV) system for EU shipping</w:t>
      </w:r>
      <w:bookmarkEnd w:id="256"/>
    </w:p>
    <w:p w:rsidR="0087343F" w:rsidRDefault="00CB3F65">
      <w:pPr>
        <w:spacing w:line="276" w:lineRule="auto"/>
        <w:rPr>
          <w:noProof/>
        </w:rPr>
      </w:pPr>
      <w:r>
        <w:rPr>
          <w:noProof/>
        </w:rPr>
        <w:t>The EU supports ongoing discuss</w:t>
      </w:r>
      <w:r>
        <w:rPr>
          <w:noProof/>
        </w:rPr>
        <w:t>ions at the International Maritime Organisation (IMO) to globally reduce emissions from international shipping (see section 5.3). It has already amended its own MRV laws on shipping emissions in relation to ports in the European Economic Area. As a result,</w:t>
      </w:r>
      <w:r>
        <w:rPr>
          <w:noProof/>
        </w:rPr>
        <w:t xml:space="preserve"> companies operating ships over 5 000 gross tonnes submitted plans detailing their monitoring procedures in August 2017. Monitoring and reporting will apply to shipping activities from 1 January 2018. An assessment of the possible alignment of the EU MRV s</w:t>
      </w:r>
      <w:r>
        <w:rPr>
          <w:noProof/>
        </w:rPr>
        <w:t>cheme with the IMO data collection system concerning fuel consumption from ships is ongoing. Following this assessment, there could be further proposals to amend the EU’s MRV legislation in 2018.</w:t>
      </w:r>
    </w:p>
    <w:p w:rsidR="0087343F" w:rsidRDefault="00CB3F65">
      <w:pPr>
        <w:pStyle w:val="ManualHeading2"/>
        <w:rPr>
          <w:i/>
          <w:noProof/>
        </w:rPr>
      </w:pPr>
      <w:bookmarkStart w:id="257" w:name="_Toc493004528"/>
      <w:r>
        <w:t>3.8.</w:t>
      </w:r>
      <w:r>
        <w:tab/>
      </w:r>
      <w:r>
        <w:rPr>
          <w:noProof/>
        </w:rPr>
        <w:t>Space strategy</w:t>
      </w:r>
      <w:bookmarkEnd w:id="257"/>
    </w:p>
    <w:p w:rsidR="0087343F" w:rsidRDefault="00CB3F65">
      <w:pPr>
        <w:spacing w:line="276" w:lineRule="auto"/>
        <w:rPr>
          <w:noProof/>
        </w:rPr>
      </w:pPr>
      <w:r>
        <w:rPr>
          <w:noProof/>
        </w:rPr>
        <w:t>Services provided by Copernicus, the wor</w:t>
      </w:r>
      <w:r>
        <w:rPr>
          <w:noProof/>
        </w:rPr>
        <w:t>ld’s largest single earth observation programme, can already be used to track land cover and land use change, and could be used in the future to achieve the objectives of the LULUCF proposal (see section 3.2) and monitor deforestation and all forms of land</w:t>
      </w:r>
      <w:r>
        <w:rPr>
          <w:noProof/>
        </w:rPr>
        <w:t xml:space="preserve"> use change on a global scale.</w:t>
      </w:r>
    </w:p>
    <w:p w:rsidR="0087343F" w:rsidRDefault="00CB3F65">
      <w:pPr>
        <w:spacing w:line="276" w:lineRule="auto"/>
        <w:rPr>
          <w:noProof/>
        </w:rPr>
      </w:pPr>
      <w:r>
        <w:rPr>
          <w:noProof/>
        </w:rPr>
        <w:t>Furthermore, in line with its space strategy, the Commission is testing the feasibility of global CO</w:t>
      </w:r>
      <w:r>
        <w:rPr>
          <w:noProof/>
          <w:vertAlign w:val="subscript"/>
        </w:rPr>
        <w:t>2</w:t>
      </w:r>
      <w:r>
        <w:rPr>
          <w:noProof/>
        </w:rPr>
        <w:t xml:space="preserve"> anthropogenic emission monitoring and verification support capacity using a collection of independent, observation-based at</w:t>
      </w:r>
      <w:r>
        <w:rPr>
          <w:noProof/>
        </w:rPr>
        <w:t>mospheric data which could in future complement national inventory systems and help increase their reliability and accuracy.</w:t>
      </w:r>
    </w:p>
    <w:p w:rsidR="0087343F" w:rsidRDefault="00CB3F65">
      <w:pPr>
        <w:pStyle w:val="ManualHeading2"/>
        <w:rPr>
          <w:i/>
          <w:noProof/>
        </w:rPr>
      </w:pPr>
      <w:bookmarkStart w:id="258" w:name="_Toc493004529"/>
      <w:r>
        <w:t>3.9.</w:t>
      </w:r>
      <w:r>
        <w:tab/>
      </w:r>
      <w:r>
        <w:rPr>
          <w:noProof/>
        </w:rPr>
        <w:t>Carbon capture and storage</w:t>
      </w:r>
      <w:bookmarkEnd w:id="258"/>
    </w:p>
    <w:p w:rsidR="0087343F" w:rsidRDefault="00CB3F65">
      <w:pPr>
        <w:spacing w:line="276" w:lineRule="auto"/>
        <w:rPr>
          <w:noProof/>
        </w:rPr>
      </w:pPr>
      <w:r>
        <w:rPr>
          <w:noProof/>
        </w:rPr>
        <w:t>The European Union is stepping up its research efforts into carbon capture and storage (CCS) and in</w:t>
      </w:r>
      <w:r>
        <w:rPr>
          <w:noProof/>
        </w:rPr>
        <w:t>to the commercial viability of carbon capture and use (CCU). A number of countries such as The Netherlands, the UK and France are exploring options for developing clusters of energy- and carbon-intensive industries where CO</w:t>
      </w:r>
      <w:r>
        <w:rPr>
          <w:noProof/>
          <w:vertAlign w:val="subscript"/>
        </w:rPr>
        <w:t>2</w:t>
      </w:r>
      <w:r>
        <w:rPr>
          <w:noProof/>
        </w:rPr>
        <w:t xml:space="preserve"> could be captured for subsequen</w:t>
      </w:r>
      <w:r>
        <w:rPr>
          <w:noProof/>
        </w:rPr>
        <w:t>t safe geological storage or use. Four proposals for cross-border CO</w:t>
      </w:r>
      <w:r>
        <w:rPr>
          <w:noProof/>
          <w:vertAlign w:val="subscript"/>
        </w:rPr>
        <w:t>2</w:t>
      </w:r>
      <w:r>
        <w:rPr>
          <w:noProof/>
        </w:rPr>
        <w:t xml:space="preserve"> transport infrastructure were submitted for inclusion in the list of projects of common interest and are eligible for financial support.</w:t>
      </w:r>
    </w:p>
    <w:p w:rsidR="0087343F" w:rsidRDefault="00CB3F65">
      <w:pPr>
        <w:pStyle w:val="ManualHeading2"/>
        <w:rPr>
          <w:noProof/>
        </w:rPr>
      </w:pPr>
      <w:bookmarkStart w:id="259" w:name="_Toc493004530"/>
      <w:r>
        <w:t>3.10.</w:t>
      </w:r>
      <w:r>
        <w:tab/>
      </w:r>
      <w:r>
        <w:rPr>
          <w:noProof/>
        </w:rPr>
        <w:t>F-gases</w:t>
      </w:r>
      <w:bookmarkEnd w:id="259"/>
    </w:p>
    <w:p w:rsidR="0087343F" w:rsidRDefault="00CB3F65">
      <w:pPr>
        <w:spacing w:line="276" w:lineRule="auto"/>
        <w:rPr>
          <w:noProof/>
        </w:rPr>
      </w:pPr>
      <w:r>
        <w:rPr>
          <w:noProof/>
        </w:rPr>
        <w:t>The new European Regulation to cont</w:t>
      </w:r>
      <w:r>
        <w:rPr>
          <w:noProof/>
        </w:rPr>
        <w:t>rol emissions from fluorinated greenhouse gases (F-gases) has been in effect since 1 January 2015. It is aimed at cutting total EU emissions from F-gases by two thirds by 2030 compared to 2014 levels. It prohibits the placing of F-gases on the market in ce</w:t>
      </w:r>
      <w:r>
        <w:rPr>
          <w:noProof/>
        </w:rPr>
        <w:t>rtain circumstances where alternatives are available. In 2018, quotas for legally placing HFCs on the EU market were reduced to 63 % of 2015 levels.</w:t>
      </w:r>
    </w:p>
    <w:p w:rsidR="0087343F" w:rsidRDefault="00CB3F65">
      <w:pPr>
        <w:pStyle w:val="ManualHeading1"/>
        <w:rPr>
          <w:rFonts w:ascii="TimesNewRoman,Bold" w:hAnsi="TimesNewRoman,Bold" w:cs="TimesNewRoman,Bold"/>
          <w:bCs/>
          <w:noProof/>
          <w:sz w:val="19"/>
          <w:szCs w:val="19"/>
        </w:rPr>
      </w:pPr>
      <w:bookmarkStart w:id="260" w:name="_Toc493001876"/>
      <w:bookmarkStart w:id="261" w:name="_Toc493004531"/>
      <w:bookmarkStart w:id="262" w:name="_Toc493001879"/>
      <w:bookmarkStart w:id="263" w:name="_Toc493004534"/>
      <w:bookmarkStart w:id="264" w:name="_Toc493001880"/>
      <w:bookmarkStart w:id="265" w:name="_Toc493004535"/>
      <w:bookmarkStart w:id="266" w:name="_Toc493001881"/>
      <w:bookmarkStart w:id="267" w:name="_Toc493004536"/>
      <w:bookmarkStart w:id="268" w:name="_Toc456787445"/>
      <w:bookmarkStart w:id="269" w:name="_Toc461443633"/>
      <w:bookmarkStart w:id="270" w:name="_Toc461715122"/>
      <w:bookmarkStart w:id="271" w:name="_Toc461715496"/>
      <w:bookmarkStart w:id="272" w:name="_Ref463526945"/>
      <w:bookmarkStart w:id="273" w:name="_Toc463527710"/>
      <w:bookmarkStart w:id="274" w:name="_Toc463538596"/>
      <w:bookmarkStart w:id="275" w:name="_Toc463621170"/>
      <w:bookmarkStart w:id="276" w:name="_Toc463628470"/>
      <w:bookmarkStart w:id="277" w:name="_Toc465073870"/>
      <w:bookmarkStart w:id="278" w:name="_Toc465090133"/>
      <w:bookmarkStart w:id="279" w:name="_Toc493001888"/>
      <w:bookmarkStart w:id="280" w:name="_Toc493004543"/>
      <w:bookmarkStart w:id="281" w:name="_Toc493001890"/>
      <w:bookmarkStart w:id="282" w:name="_Toc493004545"/>
      <w:bookmarkStart w:id="283" w:name="_Toc493001891"/>
      <w:bookmarkStart w:id="284" w:name="_Toc493004546"/>
      <w:bookmarkStart w:id="285" w:name="_Toc493001892"/>
      <w:bookmarkStart w:id="286" w:name="_Toc493004547"/>
      <w:bookmarkStart w:id="287" w:name="_Toc493001893"/>
      <w:bookmarkStart w:id="288" w:name="_Toc493004548"/>
      <w:bookmarkStart w:id="289" w:name="_Toc493001894"/>
      <w:bookmarkStart w:id="290" w:name="_Toc493004549"/>
      <w:bookmarkStart w:id="291" w:name="_Toc493001895"/>
      <w:bookmarkStart w:id="292" w:name="_Toc493004550"/>
      <w:bookmarkStart w:id="293" w:name="_Toc493001897"/>
      <w:bookmarkStart w:id="294" w:name="_Toc493004552"/>
      <w:bookmarkStart w:id="295" w:name="_Ref482879954"/>
      <w:bookmarkStart w:id="296" w:name="_Toc493001898"/>
      <w:bookmarkStart w:id="297" w:name="_Toc493004553"/>
      <w:bookmarkStart w:id="298" w:name="_Toc493001907"/>
      <w:bookmarkStart w:id="299" w:name="_Toc493004562"/>
      <w:bookmarkStart w:id="300" w:name="_Toc493001912"/>
      <w:bookmarkStart w:id="301" w:name="_Toc493004567"/>
      <w:bookmarkStart w:id="302" w:name="_Toc493001913"/>
      <w:bookmarkStart w:id="303" w:name="_Toc493004568"/>
      <w:bookmarkStart w:id="304" w:name="_Toc493001914"/>
      <w:bookmarkStart w:id="305" w:name="_Toc493004569"/>
      <w:bookmarkStart w:id="306" w:name="_Toc493001916"/>
      <w:bookmarkStart w:id="307" w:name="_Toc493004571"/>
      <w:bookmarkStart w:id="308" w:name="_Toc493001919"/>
      <w:bookmarkStart w:id="309" w:name="_Toc493004574"/>
      <w:bookmarkStart w:id="310" w:name="_Toc493001920"/>
      <w:bookmarkStart w:id="311" w:name="_Toc493004575"/>
      <w:bookmarkStart w:id="312" w:name="_Toc493001921"/>
      <w:bookmarkStart w:id="313" w:name="_Toc493004576"/>
      <w:bookmarkStart w:id="314" w:name="_Toc493001922"/>
      <w:bookmarkStart w:id="315" w:name="_Toc493004577"/>
      <w:bookmarkStart w:id="316" w:name="_Toc463527720"/>
      <w:bookmarkStart w:id="317" w:name="_Toc463538606"/>
      <w:bookmarkStart w:id="318" w:name="_Toc463621180"/>
      <w:bookmarkStart w:id="319" w:name="_Toc493001925"/>
      <w:bookmarkStart w:id="320" w:name="_Toc493004580"/>
      <w:bookmarkStart w:id="321" w:name="_Toc493001926"/>
      <w:bookmarkStart w:id="322" w:name="_Toc493004581"/>
      <w:bookmarkStart w:id="323" w:name="_Toc487207236"/>
      <w:bookmarkStart w:id="324" w:name="_Toc487207237"/>
      <w:bookmarkStart w:id="325" w:name="_Toc390936614"/>
      <w:bookmarkStart w:id="326" w:name="_Toc390942394"/>
      <w:bookmarkStart w:id="327" w:name="_Toc390936615"/>
      <w:bookmarkStart w:id="328" w:name="_Toc390942395"/>
      <w:bookmarkStart w:id="329" w:name="_Toc397612356"/>
      <w:bookmarkStart w:id="330" w:name="_Toc398043847"/>
      <w:bookmarkStart w:id="331" w:name="_Toc398193313"/>
      <w:bookmarkStart w:id="332" w:name="_Toc493168538"/>
      <w:bookmarkEnd w:id="239"/>
      <w:bookmarkEnd w:id="240"/>
      <w:bookmarkEnd w:id="241"/>
      <w:bookmarkEnd w:id="242"/>
      <w:bookmarkEnd w:id="243"/>
      <w:bookmarkEnd w:id="244"/>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t>4.</w:t>
      </w:r>
      <w:r>
        <w:tab/>
      </w:r>
      <w:r>
        <w:rPr>
          <w:noProof/>
        </w:rPr>
        <w:t>Adapting to climate change</w:t>
      </w:r>
      <w:bookmarkEnd w:id="332"/>
    </w:p>
    <w:p w:rsidR="0087343F" w:rsidRDefault="00CB3F65">
      <w:pPr>
        <w:spacing w:line="276" w:lineRule="auto"/>
        <w:rPr>
          <w:rFonts w:ascii="TimesNewRoman" w:hAnsi="TimesNewRoman" w:cs="TimesNewRoman"/>
          <w:noProof/>
        </w:rPr>
      </w:pPr>
      <w:r>
        <w:rPr>
          <w:rFonts w:ascii="TimesNewRoman" w:hAnsi="TimesNewRoman" w:cs="TimesNewRoman"/>
          <w:noProof/>
        </w:rPr>
        <w:t xml:space="preserve">The </w:t>
      </w:r>
      <w:r>
        <w:rPr>
          <w:noProof/>
        </w:rPr>
        <w:t>2013</w:t>
      </w:r>
      <w:r>
        <w:rPr>
          <w:rFonts w:ascii="TimesNewRoman" w:hAnsi="TimesNewRoman" w:cs="TimesNewRoman"/>
          <w:noProof/>
        </w:rPr>
        <w:t xml:space="preserve"> strategy for adapting to climate change aims to prepare EU Member St</w:t>
      </w:r>
      <w:r>
        <w:rPr>
          <w:rFonts w:ascii="TimesNewRoman" w:hAnsi="TimesNewRoman" w:cs="TimesNewRoman"/>
          <w:noProof/>
        </w:rPr>
        <w:t>ates for current and future impacts. In particular, it ensures that adaptation is mainstreamed across all relevant EU policies, to secure greater coordination, coherence and information sharing across Member States. The Commission is evaluating the strateg</w:t>
      </w:r>
      <w:r>
        <w:rPr>
          <w:rFonts w:ascii="TimesNewRoman" w:hAnsi="TimesNewRoman" w:cs="TimesNewRoman"/>
          <w:noProof/>
        </w:rPr>
        <w:t xml:space="preserve">y to mid-2018 and is considering revising it, partly in view of the Paris Agreement. </w:t>
      </w:r>
    </w:p>
    <w:tbl>
      <w:tblPr>
        <w:tblStyle w:val="TableGrid"/>
        <w:tblW w:w="0" w:type="auto"/>
        <w:tblLook w:val="04A0" w:firstRow="1" w:lastRow="0" w:firstColumn="1" w:lastColumn="0" w:noHBand="0" w:noVBand="1"/>
      </w:tblPr>
      <w:tblGrid>
        <w:gridCol w:w="10195"/>
      </w:tblGrid>
      <w:tr w:rsidR="0087343F">
        <w:tc>
          <w:tcPr>
            <w:tcW w:w="10195" w:type="dxa"/>
          </w:tcPr>
          <w:p w:rsidR="0087343F" w:rsidRDefault="00CB3F65">
            <w:pPr>
              <w:pStyle w:val="ListParagraph"/>
              <w:spacing w:after="120" w:line="276" w:lineRule="auto"/>
              <w:ind w:left="0" w:right="5726"/>
              <w:jc w:val="both"/>
              <w:rPr>
                <w:i/>
                <w:noProof/>
              </w:rPr>
            </w:pPr>
            <w:r>
              <w:rPr>
                <w:rFonts w:ascii="Times New Roman" w:hAnsi="Times New Roman"/>
                <w:i/>
                <w:noProof/>
                <w:szCs w:val="24"/>
              </w:rPr>
              <w:drawing>
                <wp:anchor distT="0" distB="0" distL="114300" distR="114300" simplePos="0" relativeHeight="251658248" behindDoc="0" locked="0" layoutInCell="1" allowOverlap="1">
                  <wp:simplePos x="0" y="0"/>
                  <wp:positionH relativeFrom="column">
                    <wp:posOffset>2893060</wp:posOffset>
                  </wp:positionH>
                  <wp:positionV relativeFrom="paragraph">
                    <wp:posOffset>-635</wp:posOffset>
                  </wp:positionV>
                  <wp:extent cx="3505200" cy="20853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05200" cy="20853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i/>
                <w:noProof/>
                <w:szCs w:val="24"/>
              </w:rPr>
              <w:t xml:space="preserve">LIFE FRANCA is an Italian project co-financed under LIFE 2015, focusing on flood risk anticipation and communication in the Alps.     The project aims to prepare the </w:t>
            </w:r>
            <w:r>
              <w:rPr>
                <w:rFonts w:ascii="Times New Roman" w:hAnsi="Times New Roman"/>
                <w:i/>
                <w:noProof/>
                <w:szCs w:val="24"/>
              </w:rPr>
              <w:t>population for flood events through a participatory process involving citizens, authorities and experts.  The results of this pilot project will be transferable to other regions, as well as to other natural hazards connected with climate change.</w:t>
            </w:r>
          </w:p>
        </w:tc>
      </w:tr>
    </w:tbl>
    <w:p w:rsidR="0087343F" w:rsidRDefault="00CB3F65">
      <w:pPr>
        <w:spacing w:line="276" w:lineRule="auto"/>
        <w:rPr>
          <w:rFonts w:ascii="TimesNewRoman" w:hAnsi="TimesNewRoman" w:cs="TimesNewRoman"/>
          <w:noProof/>
        </w:rPr>
      </w:pPr>
      <w:r>
        <w:rPr>
          <w:rFonts w:ascii="TimesNewRoman" w:hAnsi="TimesNewRoman" w:cs="TimesNewRoman"/>
          <w:noProof/>
        </w:rPr>
        <w:t xml:space="preserve">The </w:t>
      </w:r>
      <w:r>
        <w:rPr>
          <w:rFonts w:ascii="TimesNewRoman" w:hAnsi="TimesNewRoman" w:cs="TimesNewRoman"/>
          <w:noProof/>
        </w:rPr>
        <w:t>general trends include the following:</w:t>
      </w:r>
    </w:p>
    <w:p w:rsidR="0087343F" w:rsidRDefault="00CB3F65">
      <w:pPr>
        <w:numPr>
          <w:ilvl w:val="0"/>
          <w:numId w:val="37"/>
        </w:numPr>
        <w:spacing w:line="276" w:lineRule="auto"/>
        <w:rPr>
          <w:rFonts w:ascii="TimesNewRoman" w:hAnsi="TimesNewRoman" w:cs="TimesNewRoman"/>
          <w:noProof/>
        </w:rPr>
      </w:pPr>
      <w:r>
        <w:rPr>
          <w:rFonts w:ascii="TimesNewRoman" w:hAnsi="TimesNewRoman" w:cs="TimesNewRoman"/>
          <w:noProof/>
        </w:rPr>
        <w:t>Twenty five Member States have adopted national adaptation strategies and the rest are being drafted. However, less than half of Member States have yet produced or started to implement action plans.</w:t>
      </w:r>
    </w:p>
    <w:p w:rsidR="0087343F" w:rsidRDefault="00CB3F65">
      <w:pPr>
        <w:numPr>
          <w:ilvl w:val="0"/>
          <w:numId w:val="37"/>
        </w:numPr>
        <w:autoSpaceDE w:val="0"/>
        <w:autoSpaceDN w:val="0"/>
        <w:adjustRightInd w:val="0"/>
        <w:spacing w:after="0" w:line="276" w:lineRule="auto"/>
        <w:rPr>
          <w:rFonts w:ascii="TimesNewRoman" w:hAnsi="TimesNewRoman" w:cs="TimesNewRoman"/>
          <w:noProof/>
        </w:rPr>
      </w:pPr>
      <w:r>
        <w:rPr>
          <w:rFonts w:ascii="TimesNewRoman" w:hAnsi="TimesNewRoman" w:cs="TimesNewRoman"/>
          <w:noProof/>
        </w:rPr>
        <w:t>The sectors most co</w:t>
      </w:r>
      <w:r>
        <w:rPr>
          <w:rFonts w:ascii="TimesNewRoman" w:hAnsi="TimesNewRoman" w:cs="TimesNewRoman"/>
          <w:noProof/>
        </w:rPr>
        <w:t>mmonly identified as needing to adapt to the adverse effects of climate change are water management and water resources, coastal areas, forests and forestry, agriculture, biodiversity and ecosystems, human health, and tourism and recreation.</w:t>
      </w:r>
    </w:p>
    <w:p w:rsidR="0087343F" w:rsidRDefault="00CB3F65">
      <w:pPr>
        <w:numPr>
          <w:ilvl w:val="0"/>
          <w:numId w:val="37"/>
        </w:numPr>
        <w:autoSpaceDE w:val="0"/>
        <w:autoSpaceDN w:val="0"/>
        <w:adjustRightInd w:val="0"/>
        <w:spacing w:after="0" w:line="276" w:lineRule="auto"/>
        <w:rPr>
          <w:noProof/>
        </w:rPr>
      </w:pPr>
      <w:r>
        <w:rPr>
          <w:rFonts w:ascii="TimesNewRoman" w:hAnsi="TimesNewRoman" w:cs="TimesNewRoman"/>
          <w:noProof/>
        </w:rPr>
        <w:t>Most Member St</w:t>
      </w:r>
      <w:r>
        <w:rPr>
          <w:rFonts w:ascii="TimesNewRoman" w:hAnsi="TimesNewRoman" w:cs="TimesNewRoman"/>
          <w:noProof/>
        </w:rPr>
        <w:t>ates are just starting to monitor and evaluate the effectiveness and efficiency of adaptation actions.</w:t>
      </w:r>
    </w:p>
    <w:p w:rsidR="0087343F" w:rsidRDefault="00CB3F65">
      <w:pPr>
        <w:numPr>
          <w:ilvl w:val="0"/>
          <w:numId w:val="37"/>
        </w:numPr>
        <w:autoSpaceDE w:val="0"/>
        <w:autoSpaceDN w:val="0"/>
        <w:adjustRightInd w:val="0"/>
        <w:spacing w:after="0" w:line="276" w:lineRule="auto"/>
        <w:rPr>
          <w:rFonts w:ascii="TimesNewRoman" w:hAnsi="TimesNewRoman" w:cs="TimesNewRoman"/>
          <w:noProof/>
        </w:rPr>
      </w:pPr>
      <w:r>
        <w:rPr>
          <w:rFonts w:ascii="TimesNewRoman" w:hAnsi="TimesNewRoman" w:cs="TimesNewRoman"/>
          <w:noProof/>
        </w:rPr>
        <w:t>Cities have stepped up efforts to identify climate change adaptation needs and update their urban policies (see section 5.1), including implementing gree</w:t>
      </w:r>
      <w:r>
        <w:rPr>
          <w:rFonts w:ascii="TimesNewRoman" w:hAnsi="TimesNewRoman" w:cs="TimesNewRoman"/>
          <w:noProof/>
        </w:rPr>
        <w:t xml:space="preserve">n infrastructure and ecosystem-based approaches to adaptation.  </w:t>
      </w:r>
    </w:p>
    <w:p w:rsidR="0087343F" w:rsidRDefault="00CB3F65">
      <w:pPr>
        <w:pStyle w:val="ManualHeading1"/>
        <w:rPr>
          <w:noProof/>
        </w:rPr>
      </w:pPr>
      <w:bookmarkStart w:id="333" w:name="_Toc390936632"/>
      <w:bookmarkStart w:id="334" w:name="_Toc390942413"/>
      <w:bookmarkStart w:id="335" w:name="_Toc461715132"/>
      <w:bookmarkStart w:id="336" w:name="_Toc493168539"/>
      <w:bookmarkStart w:id="337" w:name="_Toc429156145"/>
      <w:bookmarkStart w:id="338" w:name="_Toc395255569"/>
      <w:bookmarkStart w:id="339" w:name="_Toc392749516"/>
      <w:bookmarkStart w:id="340" w:name="_Toc371338173"/>
      <w:bookmarkEnd w:id="333"/>
      <w:bookmarkEnd w:id="334"/>
      <w:r>
        <w:t>5.</w:t>
      </w:r>
      <w:r>
        <w:tab/>
      </w:r>
      <w:r>
        <w:rPr>
          <w:noProof/>
        </w:rPr>
        <w:t xml:space="preserve">Participating in international </w:t>
      </w:r>
      <w:bookmarkEnd w:id="335"/>
      <w:r>
        <w:rPr>
          <w:noProof/>
        </w:rPr>
        <w:t>climate policy</w:t>
      </w:r>
      <w:bookmarkEnd w:id="336"/>
    </w:p>
    <w:p w:rsidR="0087343F" w:rsidRDefault="00CB3F65">
      <w:pPr>
        <w:pStyle w:val="ManualHeading2"/>
        <w:rPr>
          <w:noProof/>
        </w:rPr>
      </w:pPr>
      <w:bookmarkStart w:id="341" w:name="_Ref487470179"/>
      <w:bookmarkStart w:id="342" w:name="_Toc492542519"/>
      <w:bookmarkStart w:id="343" w:name="_Toc492542698"/>
      <w:bookmarkStart w:id="344" w:name="_Toc493004584"/>
      <w:bookmarkStart w:id="345" w:name="_Toc461715134"/>
      <w:bookmarkStart w:id="346" w:name="_Toc461715508"/>
      <w:bookmarkStart w:id="347" w:name="_Toc463527727"/>
      <w:bookmarkStart w:id="348" w:name="_Toc463538613"/>
      <w:bookmarkStart w:id="349" w:name="_Toc463621191"/>
      <w:bookmarkStart w:id="350" w:name="_Toc463628478"/>
      <w:bookmarkStart w:id="351" w:name="_Toc465073878"/>
      <w:bookmarkStart w:id="352" w:name="_Toc465090141"/>
      <w:r>
        <w:t>5.1.</w:t>
      </w:r>
      <w:r>
        <w:tab/>
      </w:r>
      <w:r>
        <w:rPr>
          <w:noProof/>
        </w:rPr>
        <w:t>Global climate action agenda</w:t>
      </w:r>
      <w:bookmarkEnd w:id="341"/>
      <w:bookmarkEnd w:id="342"/>
      <w:bookmarkEnd w:id="343"/>
      <w:bookmarkEnd w:id="344"/>
    </w:p>
    <w:p w:rsidR="0087343F" w:rsidRDefault="00CB3F65">
      <w:pPr>
        <w:autoSpaceDE w:val="0"/>
        <w:autoSpaceDN w:val="0"/>
        <w:spacing w:line="276" w:lineRule="auto"/>
        <w:rPr>
          <w:noProof/>
        </w:rPr>
      </w:pPr>
      <w:r>
        <w:rPr>
          <w:noProof/>
        </w:rPr>
        <w:t xml:space="preserve">In response to the Paris Agreement’s call to mobilise non-state actors including business, cities, citizens </w:t>
      </w:r>
      <w:r>
        <w:rPr>
          <w:noProof/>
        </w:rPr>
        <w:t>and international civil society, the EU is supporting a number of flagship initiatives such as Mission Innovation, the Covenant of Mayors, the NDC Partnership, Renewable Energy for Africa, 4/1000 for Climate Smart Agriculture and InsuResilience. All of the</w:t>
      </w:r>
      <w:r>
        <w:rPr>
          <w:noProof/>
        </w:rPr>
        <w:t>se initiatives are meeting the specific targets they have set themselves. Systematic tracking tools to measure their impact on emissions reductions and resilience are currently being devised.</w:t>
      </w:r>
    </w:p>
    <w:p w:rsidR="0087343F" w:rsidRDefault="00CB3F65">
      <w:pPr>
        <w:autoSpaceDE w:val="0"/>
        <w:autoSpaceDN w:val="0"/>
        <w:spacing w:line="276" w:lineRule="auto"/>
        <w:rPr>
          <w:noProof/>
        </w:rPr>
      </w:pPr>
      <w:r>
        <w:rPr>
          <w:noProof/>
        </w:rPr>
        <w:t>By way of example, the Global Covenant of Mayors for Climate &amp; E</w:t>
      </w:r>
      <w:r>
        <w:rPr>
          <w:noProof/>
        </w:rPr>
        <w:t>nergy brings together more than 7 300 cities and towns in more than 56 countries. It informs, mobilises and supports cities taking action on mitigation and adaptation to climate change, and on access to clean and affordable energy. Cities voluntarily draft</w:t>
      </w:r>
      <w:r>
        <w:rPr>
          <w:noProof/>
        </w:rPr>
        <w:t xml:space="preserve"> local strategies and plans for mitigation and adaptation. The Covenant makes their commitments and actions visible, assists with exchanges of experience and provides technical support. It has a strong, bottom-up approach based on three points:</w:t>
      </w:r>
    </w:p>
    <w:p w:rsidR="0087343F" w:rsidRDefault="00CB3F65">
      <w:pPr>
        <w:numPr>
          <w:ilvl w:val="0"/>
          <w:numId w:val="42"/>
        </w:numPr>
        <w:autoSpaceDE w:val="0"/>
        <w:autoSpaceDN w:val="0"/>
        <w:spacing w:line="276" w:lineRule="auto"/>
        <w:rPr>
          <w:noProof/>
        </w:rPr>
      </w:pPr>
      <w:r>
        <w:rPr>
          <w:noProof/>
        </w:rPr>
        <w:t>a new targe</w:t>
      </w:r>
      <w:r>
        <w:rPr>
          <w:noProof/>
        </w:rPr>
        <w:t>t of at least a 40 % reduction in CO</w:t>
      </w:r>
      <w:r>
        <w:rPr>
          <w:noProof/>
          <w:vertAlign w:val="subscript"/>
        </w:rPr>
        <w:t>2</w:t>
      </w:r>
      <w:r>
        <w:rPr>
          <w:noProof/>
        </w:rPr>
        <w:t xml:space="preserve"> emissions (and possibly other greenhouse gases) by 2030;</w:t>
      </w:r>
    </w:p>
    <w:p w:rsidR="0087343F" w:rsidRDefault="00CB3F65">
      <w:pPr>
        <w:numPr>
          <w:ilvl w:val="0"/>
          <w:numId w:val="42"/>
        </w:numPr>
        <w:autoSpaceDE w:val="0"/>
        <w:autoSpaceDN w:val="0"/>
        <w:spacing w:line="276" w:lineRule="auto"/>
        <w:rPr>
          <w:noProof/>
        </w:rPr>
      </w:pPr>
      <w:r>
        <w:rPr>
          <w:noProof/>
        </w:rPr>
        <w:t>both mitigation and adaptation through the Mayors Adapt initiative;</w:t>
      </w:r>
    </w:p>
    <w:p w:rsidR="0087343F" w:rsidRDefault="00CB3F65">
      <w:pPr>
        <w:numPr>
          <w:ilvl w:val="0"/>
          <w:numId w:val="42"/>
        </w:numPr>
        <w:autoSpaceDE w:val="0"/>
        <w:autoSpaceDN w:val="0"/>
        <w:spacing w:line="276" w:lineRule="auto"/>
        <w:rPr>
          <w:noProof/>
        </w:rPr>
      </w:pPr>
      <w:r>
        <w:rPr>
          <w:noProof/>
        </w:rPr>
        <w:t>global scope, opening up participation to local authorities worldwide.</w:t>
      </w:r>
    </w:p>
    <w:p w:rsidR="0087343F" w:rsidRDefault="00CB3F65">
      <w:pPr>
        <w:pStyle w:val="ManualHeading2"/>
        <w:rPr>
          <w:i/>
          <w:noProof/>
        </w:rPr>
      </w:pPr>
      <w:bookmarkStart w:id="353" w:name="_Toc492542520"/>
      <w:bookmarkStart w:id="354" w:name="_Toc492542699"/>
      <w:bookmarkStart w:id="355" w:name="_Toc493004585"/>
      <w:r>
        <w:t>5.2.</w:t>
      </w:r>
      <w:r>
        <w:tab/>
      </w:r>
      <w:r>
        <w:rPr>
          <w:noProof/>
        </w:rPr>
        <w:t>Aviation</w:t>
      </w:r>
      <w:bookmarkEnd w:id="345"/>
      <w:bookmarkEnd w:id="346"/>
      <w:bookmarkEnd w:id="347"/>
      <w:bookmarkEnd w:id="348"/>
      <w:bookmarkEnd w:id="349"/>
      <w:bookmarkEnd w:id="350"/>
      <w:bookmarkEnd w:id="351"/>
      <w:bookmarkEnd w:id="352"/>
      <w:bookmarkEnd w:id="353"/>
      <w:bookmarkEnd w:id="354"/>
      <w:bookmarkEnd w:id="355"/>
    </w:p>
    <w:p w:rsidR="0087343F" w:rsidRDefault="00CB3F65">
      <w:pPr>
        <w:autoSpaceDE w:val="0"/>
        <w:autoSpaceDN w:val="0"/>
        <w:spacing w:line="276" w:lineRule="auto"/>
        <w:rPr>
          <w:noProof/>
        </w:rPr>
      </w:pPr>
      <w:r>
        <w:rPr>
          <w:noProof/>
        </w:rPr>
        <w:t>The EU h</w:t>
      </w:r>
      <w:r>
        <w:rPr>
          <w:noProof/>
        </w:rPr>
        <w:t>as supported the development of a global measure to address CO</w:t>
      </w:r>
      <w:r>
        <w:rPr>
          <w:noProof/>
          <w:vertAlign w:val="subscript"/>
        </w:rPr>
        <w:t>2</w:t>
      </w:r>
      <w:r>
        <w:rPr>
          <w:noProof/>
        </w:rPr>
        <w:t xml:space="preserve"> emissions from international aviation. A Resolution on a Carbon Offsetting and Reduction Scheme for International Aviation (CORSIA) was adopted at the 39th ICAO Assembly in early October 2016.</w:t>
      </w:r>
      <w:r>
        <w:rPr>
          <w:noProof/>
        </w:rPr>
        <w:t xml:space="preserve"> CORSIA is conceived as a carbon offsetting scheme with the objective of stabilising international aviation emissions at 2020 levels. It will be introduced from 2021.</w:t>
      </w:r>
    </w:p>
    <w:p w:rsidR="0087343F" w:rsidRDefault="00CB3F65">
      <w:pPr>
        <w:autoSpaceDE w:val="0"/>
        <w:autoSpaceDN w:val="0"/>
        <w:spacing w:line="276" w:lineRule="auto"/>
        <w:rPr>
          <w:noProof/>
        </w:rPr>
      </w:pPr>
      <w:r>
        <w:rPr>
          <w:noProof/>
        </w:rPr>
        <w:t xml:space="preserve">ICAO member countries are free to participate in the first two phases, which run until </w:t>
      </w:r>
      <w:r>
        <w:rPr>
          <w:noProof/>
        </w:rPr>
        <w:t>2027. Currently, according to Member State's statements on their participation in the scheme, emission coverage could be around 80 % of what is needed to make aviation carbon-neutral from 2020. To ensure CORSIA’s effectiveness and integrity, key elements n</w:t>
      </w:r>
      <w:r>
        <w:rPr>
          <w:noProof/>
        </w:rPr>
        <w:t>eed to be in place, such as:</w:t>
      </w:r>
    </w:p>
    <w:p w:rsidR="0087343F" w:rsidRDefault="00CB3F65">
      <w:pPr>
        <w:numPr>
          <w:ilvl w:val="0"/>
          <w:numId w:val="43"/>
        </w:numPr>
        <w:autoSpaceDE w:val="0"/>
        <w:autoSpaceDN w:val="0"/>
        <w:spacing w:line="276" w:lineRule="auto"/>
        <w:rPr>
          <w:noProof/>
        </w:rPr>
      </w:pPr>
      <w:r>
        <w:rPr>
          <w:noProof/>
        </w:rPr>
        <w:t>rules on monitoring, reporting and verification of emissions (including biofuels);</w:t>
      </w:r>
    </w:p>
    <w:p w:rsidR="0087343F" w:rsidRDefault="00CB3F65">
      <w:pPr>
        <w:numPr>
          <w:ilvl w:val="0"/>
          <w:numId w:val="43"/>
        </w:numPr>
        <w:autoSpaceDE w:val="0"/>
        <w:autoSpaceDN w:val="0"/>
        <w:spacing w:line="276" w:lineRule="auto"/>
        <w:rPr>
          <w:noProof/>
        </w:rPr>
      </w:pPr>
      <w:r>
        <w:rPr>
          <w:noProof/>
        </w:rPr>
        <w:t>eligibility criteria for emission units;</w:t>
      </w:r>
    </w:p>
    <w:p w:rsidR="0087343F" w:rsidRDefault="00CB3F65">
      <w:pPr>
        <w:numPr>
          <w:ilvl w:val="0"/>
          <w:numId w:val="43"/>
        </w:numPr>
        <w:autoSpaceDE w:val="0"/>
        <w:autoSpaceDN w:val="0"/>
        <w:spacing w:line="276" w:lineRule="auto"/>
        <w:rPr>
          <w:noProof/>
        </w:rPr>
      </w:pPr>
      <w:r>
        <w:rPr>
          <w:noProof/>
        </w:rPr>
        <w:t>a registry that provides an appropriate level of transparency and accountability.</w:t>
      </w:r>
    </w:p>
    <w:p w:rsidR="0087343F" w:rsidRDefault="00CB3F65">
      <w:pPr>
        <w:autoSpaceDE w:val="0"/>
        <w:autoSpaceDN w:val="0"/>
        <w:spacing w:line="276" w:lineRule="auto"/>
        <w:rPr>
          <w:noProof/>
        </w:rPr>
      </w:pPr>
      <w:r>
        <w:rPr>
          <w:noProof/>
        </w:rPr>
        <w:t xml:space="preserve">Once final agreement </w:t>
      </w:r>
      <w:r>
        <w:rPr>
          <w:noProof/>
        </w:rPr>
        <w:t>on these is reached, ICAO members will have to introduce them in each country.</w:t>
      </w:r>
    </w:p>
    <w:p w:rsidR="0087343F" w:rsidRDefault="00CB3F65">
      <w:pPr>
        <w:autoSpaceDE w:val="0"/>
        <w:autoSpaceDN w:val="0"/>
        <w:spacing w:line="276" w:lineRule="auto"/>
        <w:rPr>
          <w:noProof/>
        </w:rPr>
      </w:pPr>
      <w:r>
        <w:rPr>
          <w:noProof/>
        </w:rPr>
        <w:t>At the same time, the EU is addressing aviation emissions through the EU Emissions Trading System. After the 2016 ICAO Assembly the Commission approved a legislative proposal to</w:t>
      </w:r>
      <w:r>
        <w:rPr>
          <w:noProof/>
        </w:rPr>
        <w:t xml:space="preserve"> extend the current intra-European scope of the EU ETS for aviation (flights between airports in the European Economic Area) beyond 2017, and provide for a new review once there is more clarity on CORSIA’s rules and implementation by non-EU countries. The </w:t>
      </w:r>
      <w:r>
        <w:rPr>
          <w:noProof/>
        </w:rPr>
        <w:t xml:space="preserve">proposal on ETS aviation is expected to be adopted by the Council and by the European Parliament by the end of 2017. </w:t>
      </w:r>
    </w:p>
    <w:p w:rsidR="0087343F" w:rsidRDefault="00CB3F65">
      <w:pPr>
        <w:autoSpaceDE w:val="0"/>
        <w:autoSpaceDN w:val="0"/>
        <w:spacing w:line="276" w:lineRule="auto"/>
        <w:rPr>
          <w:noProof/>
        </w:rPr>
      </w:pPr>
      <w:r>
        <w:rPr>
          <w:noProof/>
        </w:rPr>
        <w:t>Horizon 2020 contributes to the achievement of ICAO's carbon neutrality growth objective with research and development on aircraft technol</w:t>
      </w:r>
      <w:r>
        <w:rPr>
          <w:noProof/>
        </w:rPr>
        <w:t xml:space="preserve">ogies, operational improvements as well as on the development of alternative fuels. </w:t>
      </w:r>
    </w:p>
    <w:p w:rsidR="0087343F" w:rsidRDefault="00CB3F65">
      <w:pPr>
        <w:pStyle w:val="ManualHeading2"/>
        <w:rPr>
          <w:i/>
          <w:noProof/>
        </w:rPr>
      </w:pPr>
      <w:bookmarkStart w:id="356" w:name="_Toc429156149"/>
      <w:bookmarkStart w:id="357" w:name="_Toc456787460"/>
      <w:bookmarkStart w:id="358" w:name="_Toc461443650"/>
      <w:bookmarkStart w:id="359" w:name="_Toc463527743"/>
      <w:bookmarkStart w:id="360" w:name="_Toc398043857"/>
      <w:bookmarkStart w:id="361" w:name="_Toc398193323"/>
      <w:bookmarkStart w:id="362" w:name="_Toc391369940"/>
      <w:bookmarkStart w:id="363" w:name="_Toc391487176"/>
      <w:bookmarkStart w:id="364" w:name="_Toc391487825"/>
      <w:bookmarkStart w:id="365" w:name="_Toc391487917"/>
      <w:bookmarkStart w:id="366" w:name="_Toc463527749"/>
      <w:bookmarkStart w:id="367" w:name="_Toc463527751"/>
      <w:bookmarkStart w:id="368" w:name="_Ref487465273"/>
      <w:bookmarkStart w:id="369" w:name="_Toc492542521"/>
      <w:bookmarkStart w:id="370" w:name="_Toc492542700"/>
      <w:bookmarkStart w:id="371" w:name="_Toc493004586"/>
      <w:bookmarkEnd w:id="337"/>
      <w:bookmarkEnd w:id="338"/>
      <w:bookmarkEnd w:id="339"/>
      <w:bookmarkEnd w:id="340"/>
      <w:bookmarkEnd w:id="356"/>
      <w:bookmarkEnd w:id="357"/>
      <w:bookmarkEnd w:id="358"/>
      <w:bookmarkEnd w:id="359"/>
      <w:bookmarkEnd w:id="360"/>
      <w:bookmarkEnd w:id="361"/>
      <w:bookmarkEnd w:id="362"/>
      <w:bookmarkEnd w:id="363"/>
      <w:bookmarkEnd w:id="364"/>
      <w:bookmarkEnd w:id="365"/>
      <w:bookmarkEnd w:id="366"/>
      <w:bookmarkEnd w:id="367"/>
      <w:r>
        <w:t>5.3.</w:t>
      </w:r>
      <w:r>
        <w:tab/>
      </w:r>
      <w:r>
        <w:rPr>
          <w:noProof/>
        </w:rPr>
        <w:t>Maritime policy</w:t>
      </w:r>
      <w:bookmarkEnd w:id="368"/>
      <w:bookmarkEnd w:id="369"/>
      <w:bookmarkEnd w:id="370"/>
      <w:bookmarkEnd w:id="371"/>
    </w:p>
    <w:p w:rsidR="0087343F" w:rsidRDefault="00CB3F65">
      <w:pPr>
        <w:spacing w:before="0" w:after="0" w:line="276" w:lineRule="auto"/>
        <w:rPr>
          <w:noProof/>
        </w:rPr>
      </w:pPr>
      <w:r>
        <w:rPr>
          <w:noProof/>
        </w:rPr>
        <w:t>In October 2016, the IMO agreed on a roadmap for drafting a comprehensive IMO strategy for reducing GHG emissions from ships. Two key meetings on this</w:t>
      </w:r>
      <w:r>
        <w:rPr>
          <w:noProof/>
        </w:rPr>
        <w:t xml:space="preserve"> IMO strategy were held in June and July 2017. At these meetings, a number of non-EU partners (e.g. small island developing states and Canada) and the EU Member States argued in favour of including an adequate emissions reduction objective in the strategy.</w:t>
      </w:r>
    </w:p>
    <w:p w:rsidR="0087343F" w:rsidRDefault="0087343F">
      <w:pPr>
        <w:spacing w:before="0" w:after="0" w:line="276" w:lineRule="auto"/>
        <w:rPr>
          <w:noProof/>
        </w:rPr>
      </w:pPr>
    </w:p>
    <w:p w:rsidR="0087343F" w:rsidRDefault="00CB3F65">
      <w:pPr>
        <w:spacing w:before="0" w:after="0" w:line="276" w:lineRule="auto"/>
        <w:rPr>
          <w:noProof/>
        </w:rPr>
      </w:pPr>
      <w:r>
        <w:rPr>
          <w:noProof/>
        </w:rPr>
        <w:t>The IMO is expected to adopt an initial strategy setting out the level of ambition and suggesting measures and timelines in Spring 2018. If that happens, the international shipping sector and the IMO would be in a position to provide information on its i</w:t>
      </w:r>
      <w:r>
        <w:rPr>
          <w:noProof/>
        </w:rPr>
        <w:t>nitial ‘contribution’ to international efforts to cut CO</w:t>
      </w:r>
      <w:r>
        <w:rPr>
          <w:noProof/>
          <w:vertAlign w:val="subscript"/>
        </w:rPr>
        <w:t>2</w:t>
      </w:r>
      <w:r>
        <w:rPr>
          <w:noProof/>
        </w:rPr>
        <w:t xml:space="preserve"> emissions for the 2018 stock-taking process (the ‘facilitative dialogue’) under the Paris Agreement. Adoption of the final IMO strategy, including short-, medium- and long-term measures, is expected</w:t>
      </w:r>
      <w:r>
        <w:rPr>
          <w:noProof/>
        </w:rPr>
        <w:t xml:space="preserve"> in Spring 2023.</w:t>
      </w:r>
    </w:p>
    <w:p w:rsidR="0087343F" w:rsidRDefault="00CB3F65">
      <w:pPr>
        <w:pStyle w:val="ManualHeading2"/>
        <w:rPr>
          <w:i/>
          <w:noProof/>
        </w:rPr>
      </w:pPr>
      <w:bookmarkStart w:id="372" w:name="_Toc492542523"/>
      <w:bookmarkStart w:id="373" w:name="_Toc492542702"/>
      <w:bookmarkStart w:id="374" w:name="_Toc493004588"/>
      <w:r>
        <w:t>5.4.</w:t>
      </w:r>
      <w:r>
        <w:tab/>
      </w:r>
      <w:r>
        <w:rPr>
          <w:noProof/>
        </w:rPr>
        <w:t>ETS linking with Switzerland</w:t>
      </w:r>
      <w:bookmarkEnd w:id="372"/>
      <w:bookmarkEnd w:id="373"/>
      <w:bookmarkEnd w:id="374"/>
      <w:r>
        <w:rPr>
          <w:noProof/>
        </w:rPr>
        <w:t xml:space="preserve"> </w:t>
      </w:r>
    </w:p>
    <w:p w:rsidR="0087343F" w:rsidRDefault="00CB3F65">
      <w:pPr>
        <w:spacing w:before="0" w:after="0" w:line="276" w:lineRule="auto"/>
        <w:rPr>
          <w:noProof/>
        </w:rPr>
      </w:pPr>
      <w:r>
        <w:rPr>
          <w:noProof/>
        </w:rPr>
        <w:t>The emergence of a global carbon market, notably through the linking of emissions trading systems, is a longstanding goal of the EU. It would offer opportunities for greater emissions reductions while cut</w:t>
      </w:r>
      <w:r>
        <w:rPr>
          <w:noProof/>
        </w:rPr>
        <w:t xml:space="preserve">ting the cost of climate change mitigation. Negotiations with Switzerland on linking emissions trading systems started in 2010 and were concluded in 2015. The Linking Agreement was initialled in January 2016 and proposals for signing and concluding it are </w:t>
      </w:r>
      <w:r>
        <w:rPr>
          <w:noProof/>
        </w:rPr>
        <w:t>now with the Council and Parliament.</w:t>
      </w:r>
    </w:p>
    <w:p w:rsidR="0087343F" w:rsidRDefault="00CB3F65">
      <w:pPr>
        <w:pStyle w:val="ManualHeading2"/>
        <w:rPr>
          <w:i/>
          <w:noProof/>
        </w:rPr>
      </w:pPr>
      <w:r>
        <w:t>5.5.</w:t>
      </w:r>
      <w:r>
        <w:tab/>
      </w:r>
      <w:r>
        <w:rPr>
          <w:noProof/>
        </w:rPr>
        <w:t>International carbon markets</w:t>
      </w:r>
    </w:p>
    <w:p w:rsidR="0087343F" w:rsidRDefault="00CB3F65">
      <w:pPr>
        <w:spacing w:before="0" w:after="0" w:line="276" w:lineRule="auto"/>
        <w:rPr>
          <w:noProof/>
        </w:rPr>
      </w:pPr>
      <w:r>
        <w:rPr>
          <w:noProof/>
        </w:rPr>
        <w:t>Beyond this, and even more so following COP 21 and the entry into force of the Paris Agreement, the EU continues to play an active role in supporting the development of carbon pricing a</w:t>
      </w:r>
      <w:r>
        <w:rPr>
          <w:noProof/>
        </w:rPr>
        <w:t xml:space="preserve">nd, in particular, of emissions trading systems in other parts of the world. It does this both through multilateral initiatives such as the Partnership for Market Readiness, run by the World Bank, and involvement in International Carbon Action Partnership </w:t>
      </w:r>
      <w:r>
        <w:rPr>
          <w:noProof/>
        </w:rPr>
        <w:t>(ICAP) activities and training. It also conducts bilateral activities, in particular by stepping up cooperation with China, which is preparing a nationwide system. As in the EU, emissions trading and carbon pricing in general have an important role to play</w:t>
      </w:r>
      <w:r>
        <w:rPr>
          <w:noProof/>
        </w:rPr>
        <w:t xml:space="preserve"> in the rest of the world’s transition to a low-carbon, energy-efficient economy.</w:t>
      </w:r>
    </w:p>
    <w:p w:rsidR="0087343F" w:rsidRDefault="00CB3F65">
      <w:pPr>
        <w:pStyle w:val="ManualHeading2"/>
        <w:rPr>
          <w:noProof/>
        </w:rPr>
      </w:pPr>
      <w:bookmarkStart w:id="375" w:name="_Toc492542524"/>
      <w:bookmarkStart w:id="376" w:name="_Toc492542703"/>
      <w:bookmarkStart w:id="377" w:name="_Toc493004589"/>
      <w:r>
        <w:t>5.6.</w:t>
      </w:r>
      <w:r>
        <w:tab/>
      </w:r>
      <w:r>
        <w:rPr>
          <w:noProof/>
        </w:rPr>
        <w:t>Ratification of the Kigali Amendment</w:t>
      </w:r>
      <w:bookmarkEnd w:id="375"/>
      <w:bookmarkEnd w:id="376"/>
      <w:bookmarkEnd w:id="377"/>
    </w:p>
    <w:p w:rsidR="0087343F" w:rsidRDefault="00CB3F65">
      <w:pPr>
        <w:spacing w:before="0" w:after="0" w:line="276" w:lineRule="auto"/>
        <w:rPr>
          <w:noProof/>
        </w:rPr>
      </w:pPr>
      <w:r>
        <w:rPr>
          <w:noProof/>
        </w:rPr>
        <w:t xml:space="preserve">In July 2017, the EU and its Member States committed to ratifying the Kigali Amendment to the Montreal Protocol quickly, so that it </w:t>
      </w:r>
      <w:r>
        <w:rPr>
          <w:noProof/>
        </w:rPr>
        <w:t>comes into force on 1 January 2019. This amendment, adopted in October 2016, is a significant step forward in implementing the Paris Agreement by limiting the global production and use of hydrofluorocarbons (HFCs). Science suggests that an ambitious phase-</w:t>
      </w:r>
      <w:r>
        <w:rPr>
          <w:noProof/>
        </w:rPr>
        <w:t>down of HFCs alone could prevent up to 0.5 °C of global warming by the end of the century.</w:t>
      </w:r>
    </w:p>
    <w:p w:rsidR="0087343F" w:rsidRDefault="00CB3F65">
      <w:pPr>
        <w:pStyle w:val="ManualHeading2"/>
        <w:rPr>
          <w:i/>
          <w:noProof/>
        </w:rPr>
      </w:pPr>
      <w:bookmarkStart w:id="378" w:name="_Toc492542475"/>
      <w:bookmarkStart w:id="379" w:name="_Toc492542525"/>
      <w:bookmarkStart w:id="380" w:name="_Toc492542571"/>
      <w:bookmarkStart w:id="381" w:name="_Toc492542704"/>
      <w:bookmarkStart w:id="382" w:name="_Toc492542526"/>
      <w:bookmarkStart w:id="383" w:name="_Toc492542705"/>
      <w:bookmarkStart w:id="384" w:name="_Toc493004590"/>
      <w:bookmarkEnd w:id="378"/>
      <w:bookmarkEnd w:id="379"/>
      <w:bookmarkEnd w:id="380"/>
      <w:bookmarkEnd w:id="381"/>
      <w:r>
        <w:t>5.7.</w:t>
      </w:r>
      <w:r>
        <w:tab/>
      </w:r>
      <w:r>
        <w:rPr>
          <w:noProof/>
        </w:rPr>
        <w:t>Supporting developing countries</w:t>
      </w:r>
      <w:bookmarkEnd w:id="382"/>
      <w:bookmarkEnd w:id="383"/>
      <w:bookmarkEnd w:id="384"/>
    </w:p>
    <w:p w:rsidR="0087343F" w:rsidRDefault="00CB3F65">
      <w:pPr>
        <w:spacing w:line="276" w:lineRule="auto"/>
        <w:rPr>
          <w:noProof/>
        </w:rPr>
      </w:pPr>
      <w:r>
        <w:rPr>
          <w:noProof/>
        </w:rPr>
        <w:t>The EU and its Member States are the world's biggest providers of official development assistance to developing countries, deliv</w:t>
      </w:r>
      <w:r>
        <w:rPr>
          <w:noProof/>
        </w:rPr>
        <w:t>ering EUR 75.4 billion in 2016. In particular, the EU, EIB and Member States provided EUR 20.2 billion to help developing countries tackle climate change that year.</w:t>
      </w:r>
    </w:p>
    <w:p w:rsidR="0087343F" w:rsidRDefault="00CB3F65">
      <w:pPr>
        <w:spacing w:line="276" w:lineRule="auto"/>
        <w:rPr>
          <w:noProof/>
        </w:rPr>
      </w:pPr>
      <w:r>
        <w:rPr>
          <w:noProof/>
        </w:rPr>
        <w:t>Furthermore, the EU and the African Union intend to put in place an Africa Research and Inn</w:t>
      </w:r>
      <w:r>
        <w:rPr>
          <w:noProof/>
        </w:rPr>
        <w:t xml:space="preserve">ovation Partnership on Climate Change and Sustainable Energy. This partnership, which needs to be approved formally by both sides, will be jointly funded and owned. </w:t>
      </w:r>
    </w:p>
    <w:p w:rsidR="0087343F" w:rsidRDefault="00CB3F65">
      <w:pPr>
        <w:spacing w:line="276" w:lineRule="auto"/>
        <w:rPr>
          <w:noProof/>
          <w:color w:val="000000"/>
        </w:rPr>
      </w:pPr>
      <w:r>
        <w:rPr>
          <w:noProof/>
          <w:color w:val="000000"/>
          <w:lang w:val="en"/>
        </w:rPr>
        <w:t>The EU also supports developing countries in their efforts toward implementing the Reducing Emissions from Deforestation and Forest Degradation (REDD+) programme. Support is provided through international initiatives such as the REDD+ Partnership, the Fore</w:t>
      </w:r>
      <w:r>
        <w:rPr>
          <w:noProof/>
          <w:color w:val="000000"/>
          <w:lang w:val="en"/>
        </w:rPr>
        <w:t xml:space="preserve">st Carbon Partnership Facility (FCPF), the EU REDD Facility, and the UN-REDD programme. </w:t>
      </w:r>
      <w:r>
        <w:rPr>
          <w:noProof/>
          <w:color w:val="000000"/>
        </w:rPr>
        <w:t>In order to support developing countries in limiting and reducing GHG emissions from their shipping sectors, in 2015 the Commission signed a contract with the Internati</w:t>
      </w:r>
      <w:r>
        <w:rPr>
          <w:noProof/>
          <w:color w:val="000000"/>
        </w:rPr>
        <w:t>onal Maritime Organization (IMO) providing EUR 10 million to implement a four-year project entitled 'Capacity Building for Climate Change Mitigation in the Maritime Shipping Industry'. For this purpose, five Maritime Technology Cooperation Centres (MTCC) a</w:t>
      </w:r>
      <w:r>
        <w:rPr>
          <w:noProof/>
          <w:color w:val="000000"/>
        </w:rPr>
        <w:t>re being established in the different eligible world regions, namely Africa, Asia, Small Islands Developing States in the Pacific, Caribbean and Latin America. These MTCCs will act as centers of excellence to promote the uptake of low carbon technologies a</w:t>
      </w:r>
      <w:r>
        <w:rPr>
          <w:noProof/>
          <w:color w:val="000000"/>
        </w:rPr>
        <w:t>nd operations in maritime transport.</w:t>
      </w:r>
    </w:p>
    <w:p w:rsidR="0087343F" w:rsidRDefault="00CB3F65">
      <w:pPr>
        <w:spacing w:line="276" w:lineRule="auto"/>
        <w:rPr>
          <w:noProof/>
        </w:rPr>
      </w:pPr>
      <w:r>
        <w:rPr>
          <w:noProof/>
        </w:rPr>
        <w:t>In the shipping sector, the Commission has signed in 2015 a contract with the International Maritime Organization (IMO) providing EUR 10 million to implement a four-year project entitled "Capacity Building for Climate C</w:t>
      </w:r>
      <w:r>
        <w:rPr>
          <w:noProof/>
        </w:rPr>
        <w:t>hange Mitigation in the Maritime Shipping Industry" to promote the uptake of low carbon technologies and operations in maritime transport.</w:t>
      </w:r>
    </w:p>
    <w:p w:rsidR="0087343F" w:rsidRDefault="0087343F">
      <w:pPr>
        <w:spacing w:line="276" w:lineRule="auto"/>
        <w:rPr>
          <w:noProof/>
        </w:rPr>
      </w:pPr>
    </w:p>
    <w:p w:rsidR="0087343F" w:rsidRDefault="0087343F">
      <w:pPr>
        <w:spacing w:line="276" w:lineRule="auto"/>
        <w:rPr>
          <w:noProof/>
        </w:rPr>
      </w:pPr>
    </w:p>
    <w:sectPr w:rsidR="0087343F">
      <w:headerReference w:type="even" r:id="rId39"/>
      <w:headerReference w:type="default" r:id="rId40"/>
      <w:footerReference w:type="even" r:id="rId41"/>
      <w:footerReference w:type="default" r:id="rId42"/>
      <w:headerReference w:type="first" r:id="rId43"/>
      <w:footerReference w:type="first" r:id="rId44"/>
      <w:pgSz w:w="11907" w:h="16839"/>
      <w:pgMar w:top="1418" w:right="964" w:bottom="1418" w:left="96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43F" w:rsidRDefault="00CB3F65">
      <w:pPr>
        <w:spacing w:before="0" w:after="0"/>
      </w:pPr>
      <w:r>
        <w:separator/>
      </w:r>
    </w:p>
  </w:endnote>
  <w:endnote w:type="continuationSeparator" w:id="0">
    <w:p w:rsidR="0087343F" w:rsidRDefault="00CB3F65">
      <w:pPr>
        <w:spacing w:before="0" w:after="0"/>
      </w:pPr>
      <w:r>
        <w:continuationSeparator/>
      </w:r>
    </w:p>
  </w:endnote>
  <w:endnote w:type="continuationNotice" w:id="1">
    <w:p w:rsidR="0087343F" w:rsidRDefault="0087343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venir 55">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NewBskvll BT">
    <w:altName w:val="Times New Roman"/>
    <w:charset w:val="00"/>
    <w:family w:val="roman"/>
    <w:pitch w:val="variable"/>
    <w:sig w:usb0="00000087" w:usb1="00000000" w:usb2="00000000" w:usb3="00000000" w:csb0="0000001B"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3F" w:rsidRDefault="008734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3F" w:rsidRDefault="00CB3F65">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3F" w:rsidRDefault="0087343F">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3F" w:rsidRDefault="0087343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0350506"/>
      <w:docPartObj>
        <w:docPartGallery w:val="Page Numbers (Bottom of Page)"/>
        <w:docPartUnique/>
      </w:docPartObj>
    </w:sdtPr>
    <w:sdtEndPr>
      <w:rPr>
        <w:noProof/>
      </w:rPr>
    </w:sdtEndPr>
    <w:sdtContent>
      <w:p w:rsidR="0087343F" w:rsidRDefault="00CB3F65">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87343F" w:rsidRDefault="0087343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3F" w:rsidRDefault="0087343F">
    <w:pPr>
      <w:pStyle w:val="FooterCover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3F" w:rsidRDefault="0087343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3F" w:rsidRDefault="00CB3F65">
    <w:pPr>
      <w:pStyle w:val="Footer"/>
      <w:jc w:val="center"/>
    </w:pPr>
    <w:r>
      <w:fldChar w:fldCharType="begin"/>
    </w:r>
    <w:r>
      <w:instrText xml:space="preserve"> PAGE   \* MERGEFORMAT </w:instrText>
    </w:r>
    <w:r>
      <w:fldChar w:fldCharType="separate"/>
    </w:r>
    <w:r>
      <w:rPr>
        <w:noProof/>
      </w:rPr>
      <w:t>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3F" w:rsidRDefault="008734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43F" w:rsidRDefault="00CB3F65">
      <w:pPr>
        <w:spacing w:before="0" w:after="0"/>
      </w:pPr>
      <w:r>
        <w:separator/>
      </w:r>
    </w:p>
  </w:footnote>
  <w:footnote w:type="continuationSeparator" w:id="0">
    <w:p w:rsidR="0087343F" w:rsidRDefault="00CB3F65">
      <w:pPr>
        <w:spacing w:before="0" w:after="0"/>
      </w:pPr>
      <w:r>
        <w:continuationSeparator/>
      </w:r>
    </w:p>
  </w:footnote>
  <w:footnote w:type="continuationNotice" w:id="1">
    <w:p w:rsidR="0087343F" w:rsidRDefault="0087343F">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3F" w:rsidRDefault="008734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3F" w:rsidRDefault="0087343F">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3F" w:rsidRDefault="0087343F">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3F" w:rsidRDefault="0087343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3F" w:rsidRDefault="0087343F">
    <w:pPr>
      <w:pStyle w:val="HeaderCoverPag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3F" w:rsidRDefault="0087343F">
    <w:pPr>
      <w:pStyle w:val="HeaderCoverPag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3F" w:rsidRDefault="0087343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3F" w:rsidRDefault="0087343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3F" w:rsidRDefault="008734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A884AD4"/>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2"/>
    <w:multiLevelType w:val="singleLevel"/>
    <w:tmpl w:val="87AAF8E2"/>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3"/>
    <w:multiLevelType w:val="singleLevel"/>
    <w:tmpl w:val="E848B4B6"/>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9"/>
    <w:multiLevelType w:val="singleLevel"/>
    <w:tmpl w:val="07C69E94"/>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6E706BF"/>
    <w:multiLevelType w:val="hybridMultilevel"/>
    <w:tmpl w:val="01E4E73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EC2CEF"/>
    <w:multiLevelType w:val="hybridMultilevel"/>
    <w:tmpl w:val="33A49EA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F3D5A9C"/>
    <w:multiLevelType w:val="hybridMultilevel"/>
    <w:tmpl w:val="DB3C2BF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0FC3DE6"/>
    <w:multiLevelType w:val="multilevel"/>
    <w:tmpl w:val="A34AC8D6"/>
    <w:lvl w:ilvl="0">
      <w:start w:val="1"/>
      <w:numFmt w:val="lowerRoman"/>
      <w:lvlText w:val="%1."/>
      <w:lvlJc w:val="right"/>
      <w:pPr>
        <w:tabs>
          <w:tab w:val="num" w:pos="2290"/>
        </w:tabs>
        <w:ind w:left="2290" w:hanging="850"/>
      </w:pPr>
      <w:rPr>
        <w:rFonts w:hint="default"/>
        <w:b/>
        <w:sz w:val="24"/>
        <w:szCs w:val="24"/>
      </w:rPr>
    </w:lvl>
    <w:lvl w:ilvl="1">
      <w:start w:val="1"/>
      <w:numFmt w:val="decimal"/>
      <w:lvlText w:val="%1.%2."/>
      <w:lvlJc w:val="left"/>
      <w:pPr>
        <w:tabs>
          <w:tab w:val="num" w:pos="2290"/>
        </w:tabs>
        <w:ind w:left="2290" w:hanging="850"/>
      </w:pPr>
      <w:rPr>
        <w:rFonts w:hint="default"/>
        <w:b w:val="0"/>
        <w:i w:val="0"/>
      </w:rPr>
    </w:lvl>
    <w:lvl w:ilvl="2">
      <w:start w:val="1"/>
      <w:numFmt w:val="decimal"/>
      <w:lvlText w:val="%1.%2.%3."/>
      <w:lvlJc w:val="left"/>
      <w:pPr>
        <w:tabs>
          <w:tab w:val="num" w:pos="2290"/>
        </w:tabs>
        <w:ind w:left="2290" w:hanging="850"/>
      </w:pPr>
      <w:rPr>
        <w:rFonts w:hint="default"/>
        <w:color w:val="auto"/>
      </w:rPr>
    </w:lvl>
    <w:lvl w:ilvl="3">
      <w:start w:val="1"/>
      <w:numFmt w:val="decimal"/>
      <w:lvlText w:val="%1.%2.%3.%4."/>
      <w:lvlJc w:val="left"/>
      <w:pPr>
        <w:tabs>
          <w:tab w:val="num" w:pos="2290"/>
        </w:tabs>
        <w:ind w:left="2290" w:hanging="85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8">
    <w:nsid w:val="13C64C5F"/>
    <w:multiLevelType w:val="hybridMultilevel"/>
    <w:tmpl w:val="3892A1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B345104"/>
    <w:multiLevelType w:val="multilevel"/>
    <w:tmpl w:val="BD3E8A8E"/>
    <w:name w:val="List Bullet 2"/>
    <w:lvl w:ilvl="0">
      <w:start w:val="1"/>
      <w:numFmt w:val="decimal"/>
      <w:pStyle w:val="BoxTitle"/>
      <w:lvlText w:val="Box %1: "/>
      <w:lvlJc w:val="left"/>
      <w:pPr>
        <w:tabs>
          <w:tab w:val="num" w:pos="2520"/>
        </w:tabs>
        <w:ind w:left="1077" w:hanging="357"/>
      </w:pPr>
      <w:rPr>
        <w:rFonts w:cs="Times New Roman" w:hint="default"/>
      </w:rPr>
    </w:lvl>
    <w:lvl w:ilvl="1">
      <w:start w:val="1"/>
      <w:numFmt w:val="decimal"/>
      <w:lvlText w:val="%1.%2"/>
      <w:lvlJc w:val="left"/>
      <w:pPr>
        <w:tabs>
          <w:tab w:val="num" w:pos="1440"/>
        </w:tabs>
        <w:ind w:left="1296" w:hanging="576"/>
      </w:pPr>
      <w:rPr>
        <w:rFonts w:cs="Times New Roman" w:hint="default"/>
      </w:rPr>
    </w:lvl>
    <w:lvl w:ilvl="2">
      <w:start w:val="1"/>
      <w:numFmt w:val="decimal"/>
      <w:lvlRestart w:val="0"/>
      <w:lvlText w:val="Figure %1.%3:"/>
      <w:lvlJc w:val="left"/>
      <w:pPr>
        <w:tabs>
          <w:tab w:val="num" w:pos="3240"/>
        </w:tabs>
        <w:ind w:left="1440" w:hanging="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1872"/>
        </w:tabs>
        <w:ind w:left="187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2304"/>
        </w:tabs>
        <w:ind w:left="2304" w:hanging="1584"/>
      </w:pPr>
      <w:rPr>
        <w:rFonts w:cs="Times New Roman" w:hint="default"/>
      </w:rPr>
    </w:lvl>
  </w:abstractNum>
  <w:abstractNum w:abstractNumId="1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11">
    <w:nsid w:val="1E9B5F97"/>
    <w:multiLevelType w:val="hybridMultilevel"/>
    <w:tmpl w:val="ED567ED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06164DF"/>
    <w:multiLevelType w:val="hybridMultilevel"/>
    <w:tmpl w:val="3B721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2BD64B5"/>
    <w:multiLevelType w:val="multilevel"/>
    <w:tmpl w:val="25D60FC2"/>
    <w:name w:val="List Bullet 3__1"/>
    <w:lvl w:ilvl="0">
      <w:start w:val="1"/>
      <w:numFmt w:val="decimal"/>
      <w:lvlRestart w:val="0"/>
      <w:pStyle w:val="ListNumber4"/>
      <w:lvlText w:val="(%1)"/>
      <w:lvlJc w:val="left"/>
      <w:pPr>
        <w:tabs>
          <w:tab w:val="num" w:pos="1560"/>
        </w:tabs>
        <w:ind w:left="1560" w:hanging="709"/>
      </w:pPr>
    </w:lvl>
    <w:lvl w:ilvl="1">
      <w:start w:val="1"/>
      <w:numFmt w:val="lowerLetter"/>
      <w:pStyle w:val="ListNumber4Level2"/>
      <w:lvlText w:val="(%2)"/>
      <w:lvlJc w:val="left"/>
      <w:pPr>
        <w:tabs>
          <w:tab w:val="num" w:pos="2268"/>
        </w:tabs>
        <w:ind w:left="2268" w:hanging="708"/>
      </w:pPr>
    </w:lvl>
    <w:lvl w:ilvl="2">
      <w:start w:val="1"/>
      <w:numFmt w:val="bullet"/>
      <w:pStyle w:val="ListNumber4Level3"/>
      <w:lvlText w:val="–"/>
      <w:lvlJc w:val="left"/>
      <w:pPr>
        <w:tabs>
          <w:tab w:val="num" w:pos="2977"/>
        </w:tabs>
        <w:ind w:left="2977" w:hanging="709"/>
      </w:pPr>
      <w:rPr>
        <w:rFonts w:ascii="Times New Roman" w:hAnsi="Times New Roman" w:cs="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2E44180"/>
    <w:multiLevelType w:val="multilevel"/>
    <w:tmpl w:val="DFC88CEC"/>
    <w:name w:val="NumPar"/>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3CC0674"/>
    <w:multiLevelType w:val="multilevel"/>
    <w:tmpl w:val="04988288"/>
    <w:name w:val="List Bullet 4"/>
    <w:lvl w:ilvl="0">
      <w:start w:val="1"/>
      <w:numFmt w:val="decimal"/>
      <w:lvlRestart w:val="0"/>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cs="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AF76E7A"/>
    <w:multiLevelType w:val="singleLevel"/>
    <w:tmpl w:val="C74C5A32"/>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7">
    <w:nsid w:val="2B9B1BC9"/>
    <w:multiLevelType w:val="hybridMultilevel"/>
    <w:tmpl w:val="2878C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D820C1F"/>
    <w:multiLevelType w:val="singleLevel"/>
    <w:tmpl w:val="49B2A54A"/>
    <w:name w:val="List Number 4__1"/>
    <w:lvl w:ilvl="0">
      <w:start w:val="1"/>
      <w:numFmt w:val="bullet"/>
      <w:lvlRestart w:val="0"/>
      <w:pStyle w:val="Tyret1"/>
      <w:lvlText w:val="–"/>
      <w:lvlJc w:val="left"/>
      <w:pPr>
        <w:tabs>
          <w:tab w:val="num" w:pos="283"/>
        </w:tabs>
        <w:ind w:left="283" w:hanging="283"/>
      </w:pPr>
      <w:rPr>
        <w:rFonts w:ascii="Times New Roman" w:hAnsi="Times New Roman"/>
      </w:rPr>
    </w:lvl>
  </w:abstractNum>
  <w:abstractNum w:abstractNumId="19">
    <w:nsid w:val="3A5459E8"/>
    <w:multiLevelType w:val="singleLevel"/>
    <w:tmpl w:val="2188C922"/>
    <w:name w:val="Tiret 1"/>
    <w:lvl w:ilvl="0">
      <w:start w:val="1"/>
      <w:numFmt w:val="bullet"/>
      <w:lvlRestart w:val="0"/>
      <w:pStyle w:val="Tiret1"/>
      <w:lvlText w:val="–"/>
      <w:lvlJc w:val="left"/>
      <w:pPr>
        <w:tabs>
          <w:tab w:val="num" w:pos="1417"/>
        </w:tabs>
        <w:ind w:left="1417" w:hanging="567"/>
      </w:pPr>
    </w:lvl>
  </w:abstractNum>
  <w:abstractNum w:abstractNumId="20">
    <w:nsid w:val="3AAA4224"/>
    <w:multiLevelType w:val="hybridMultilevel"/>
    <w:tmpl w:val="35FC71E2"/>
    <w:lvl w:ilvl="0" w:tplc="B890FA2C">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3BA736C9"/>
    <w:multiLevelType w:val="singleLevel"/>
    <w:tmpl w:val="F00A6C0C"/>
    <w:name w:val="Tiret 0"/>
    <w:lvl w:ilvl="0">
      <w:start w:val="1"/>
      <w:numFmt w:val="bullet"/>
      <w:lvlRestart w:val="0"/>
      <w:pStyle w:val="Tiret0"/>
      <w:lvlText w:val="–"/>
      <w:lvlJc w:val="left"/>
      <w:pPr>
        <w:tabs>
          <w:tab w:val="num" w:pos="850"/>
        </w:tabs>
        <w:ind w:left="850" w:hanging="850"/>
      </w:pPr>
    </w:lvl>
  </w:abstractNum>
  <w:abstractNum w:abstractNumId="22">
    <w:nsid w:val="3C90278F"/>
    <w:multiLevelType w:val="singleLevel"/>
    <w:tmpl w:val="0FE08974"/>
    <w:name w:val="Tiret 3"/>
    <w:lvl w:ilvl="0">
      <w:start w:val="1"/>
      <w:numFmt w:val="bullet"/>
      <w:lvlRestart w:val="0"/>
      <w:pStyle w:val="Tiret3"/>
      <w:lvlText w:val="–"/>
      <w:lvlJc w:val="left"/>
      <w:pPr>
        <w:tabs>
          <w:tab w:val="num" w:pos="2551"/>
        </w:tabs>
        <w:ind w:left="2551" w:hanging="567"/>
      </w:pPr>
    </w:lvl>
  </w:abstractNum>
  <w:abstractNum w:abstractNumId="23">
    <w:nsid w:val="401533D7"/>
    <w:multiLevelType w:val="hybridMultilevel"/>
    <w:tmpl w:val="D8F485EC"/>
    <w:name w:val="Heading3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5">
    <w:nsid w:val="48842C30"/>
    <w:multiLevelType w:val="singleLevel"/>
    <w:tmpl w:val="4FA60B9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6">
    <w:nsid w:val="4E5850D6"/>
    <w:multiLevelType w:val="hybridMultilevel"/>
    <w:tmpl w:val="F17E054A"/>
    <w:name w:val="Heading32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54593082"/>
    <w:multiLevelType w:val="singleLevel"/>
    <w:tmpl w:val="EDE069AC"/>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8">
    <w:nsid w:val="54F80146"/>
    <w:multiLevelType w:val="multilevel"/>
    <w:tmpl w:val="C7B89B54"/>
    <w:lvl w:ilvl="0">
      <w:start w:val="1"/>
      <w:numFmt w:val="decimal"/>
      <w:lvlText w:val="%1"/>
      <w:lvlJc w:val="left"/>
      <w:pPr>
        <w:tabs>
          <w:tab w:val="num" w:pos="1152"/>
        </w:tabs>
        <w:ind w:left="1152" w:hanging="792"/>
      </w:pPr>
      <w:rPr>
        <w:rFonts w:cs="Times New Roman" w:hint="default"/>
      </w:rPr>
    </w:lvl>
    <w:lvl w:ilvl="1">
      <w:start w:val="1"/>
      <w:numFmt w:val="decimal"/>
      <w:lvlText w:val="%1.%2"/>
      <w:lvlJc w:val="left"/>
      <w:pPr>
        <w:tabs>
          <w:tab w:val="num" w:pos="1440"/>
        </w:tabs>
        <w:ind w:left="1296" w:hanging="576"/>
      </w:pPr>
      <w:rPr>
        <w:rFonts w:cs="Times New Roman" w:hint="default"/>
      </w:rPr>
    </w:lvl>
    <w:lvl w:ilvl="2">
      <w:start w:val="1"/>
      <w:numFmt w:val="decimal"/>
      <w:lvlText w:val="%1.%2.%3"/>
      <w:lvlJc w:val="left"/>
      <w:pPr>
        <w:tabs>
          <w:tab w:val="num" w:pos="1800"/>
        </w:tabs>
        <w:ind w:left="1440" w:hanging="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pStyle w:val="Heading5"/>
      <w:lvlText w:val="%1.%2.%3.%4.%5"/>
      <w:lvlJc w:val="left"/>
      <w:pPr>
        <w:tabs>
          <w:tab w:val="num" w:pos="1728"/>
        </w:tabs>
        <w:ind w:left="1728" w:hanging="1008"/>
      </w:pPr>
      <w:rPr>
        <w:rFonts w:cs="Times New Roman" w:hint="default"/>
      </w:rPr>
    </w:lvl>
    <w:lvl w:ilvl="5">
      <w:start w:val="1"/>
      <w:numFmt w:val="decimal"/>
      <w:pStyle w:val="Heading6"/>
      <w:lvlText w:val="%1.%2.%3.%4.%5.%6"/>
      <w:lvlJc w:val="left"/>
      <w:pPr>
        <w:tabs>
          <w:tab w:val="num" w:pos="1872"/>
        </w:tabs>
        <w:ind w:left="187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2304"/>
        </w:tabs>
        <w:ind w:left="2304" w:hanging="1584"/>
      </w:pPr>
      <w:rPr>
        <w:rFonts w:cs="Times New Roman" w:hint="default"/>
      </w:rPr>
    </w:lvl>
  </w:abstractNum>
  <w:abstractNum w:abstractNumId="29">
    <w:nsid w:val="568864DC"/>
    <w:multiLevelType w:val="singleLevel"/>
    <w:tmpl w:val="485EBDAC"/>
    <w:name w:val="Tiret 4"/>
    <w:lvl w:ilvl="0">
      <w:start w:val="1"/>
      <w:numFmt w:val="bullet"/>
      <w:lvlRestart w:val="0"/>
      <w:pStyle w:val="Tiret4"/>
      <w:lvlText w:val="–"/>
      <w:lvlJc w:val="left"/>
      <w:pPr>
        <w:tabs>
          <w:tab w:val="num" w:pos="3118"/>
        </w:tabs>
        <w:ind w:left="3118" w:hanging="567"/>
      </w:pPr>
    </w:lvl>
  </w:abstractNum>
  <w:abstractNum w:abstractNumId="3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31">
    <w:nsid w:val="5C8B1830"/>
    <w:multiLevelType w:val="multilevel"/>
    <w:tmpl w:val="EC9E1398"/>
    <w:lvl w:ilvl="0">
      <w:start w:val="1"/>
      <w:numFmt w:val="decimal"/>
      <w:lvlRestart w:val="0"/>
      <w:pStyle w:val="Heading1"/>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pStyle w:val="Heading3"/>
      <w:lvlText w:val="%1.%2.%3."/>
      <w:lvlJc w:val="left"/>
      <w:pPr>
        <w:tabs>
          <w:tab w:val="num" w:pos="850"/>
        </w:tabs>
        <w:ind w:left="850" w:hanging="850"/>
      </w:pPr>
      <w:rPr>
        <w:rFonts w:hint="default"/>
      </w:rPr>
    </w:lvl>
    <w:lvl w:ilvl="3">
      <w:start w:val="1"/>
      <w:numFmt w:val="decimal"/>
      <w:pStyle w:val="Heading4"/>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5F342530"/>
    <w:multiLevelType w:val="singleLevel"/>
    <w:tmpl w:val="D5444702"/>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3">
    <w:nsid w:val="5F9C40AA"/>
    <w:multiLevelType w:val="singleLevel"/>
    <w:tmpl w:val="B89CB5A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4">
    <w:nsid w:val="6212116F"/>
    <w:multiLevelType w:val="hybridMultilevel"/>
    <w:tmpl w:val="5000A0C4"/>
    <w:lvl w:ilvl="0" w:tplc="FFFFFFFF">
      <w:start w:val="1"/>
      <w:numFmt w:val="bullet"/>
      <w:pStyle w:val="Keymessage"/>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5">
    <w:nsid w:val="62970F71"/>
    <w:multiLevelType w:val="singleLevel"/>
    <w:tmpl w:val="5AFA8C72"/>
    <w:name w:val="Tiret 2"/>
    <w:lvl w:ilvl="0">
      <w:start w:val="1"/>
      <w:numFmt w:val="bullet"/>
      <w:lvlRestart w:val="0"/>
      <w:pStyle w:val="Tiret2"/>
      <w:lvlText w:val="–"/>
      <w:lvlJc w:val="left"/>
      <w:pPr>
        <w:tabs>
          <w:tab w:val="num" w:pos="1984"/>
        </w:tabs>
        <w:ind w:left="1984" w:hanging="567"/>
      </w:pPr>
    </w:lvl>
  </w:abstractNum>
  <w:abstractNum w:abstractNumId="36">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7">
    <w:nsid w:val="63EE759E"/>
    <w:multiLevelType w:val="hybridMultilevel"/>
    <w:tmpl w:val="19BA7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4A12FA4"/>
    <w:multiLevelType w:val="multilevel"/>
    <w:tmpl w:val="792AA9B2"/>
    <w:lvl w:ilvl="0">
      <w:start w:val="1"/>
      <w:numFmt w:val="decimal"/>
      <w:lvlRestart w:val="0"/>
      <w:lvlText w:val="%1."/>
      <w:lvlJc w:val="left"/>
      <w:pPr>
        <w:tabs>
          <w:tab w:val="num" w:pos="850"/>
        </w:tabs>
        <w:ind w:left="850" w:hanging="850"/>
      </w:pPr>
      <w:rPr>
        <w:rFonts w:hint="default"/>
        <w:b/>
        <w:sz w:val="24"/>
        <w:szCs w:val="24"/>
      </w:rPr>
    </w:lvl>
    <w:lvl w:ilvl="1">
      <w:start w:val="1"/>
      <w:numFmt w:val="decimal"/>
      <w:lvlText w:val="%1.%2."/>
      <w:lvlJc w:val="left"/>
      <w:pPr>
        <w:tabs>
          <w:tab w:val="num" w:pos="850"/>
        </w:tabs>
        <w:ind w:left="850" w:hanging="850"/>
      </w:pPr>
      <w:rPr>
        <w:rFonts w:hint="default"/>
        <w:b w:val="0"/>
        <w:i w:val="0"/>
      </w:rPr>
    </w:lvl>
    <w:lvl w:ilvl="2">
      <w:start w:val="1"/>
      <w:numFmt w:val="decimal"/>
      <w:lvlText w:val="%1.%2.%3."/>
      <w:lvlJc w:val="left"/>
      <w:pPr>
        <w:tabs>
          <w:tab w:val="num" w:pos="850"/>
        </w:tabs>
        <w:ind w:left="850" w:hanging="850"/>
      </w:pPr>
      <w:rPr>
        <w:rFonts w:hint="default"/>
        <w:color w:val="auto"/>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67212A20"/>
    <w:multiLevelType w:val="hybridMultilevel"/>
    <w:tmpl w:val="9968D3B2"/>
    <w:name w:val="Heading3"/>
    <w:lvl w:ilvl="0" w:tplc="0809001B">
      <w:start w:val="1"/>
      <w:numFmt w:val="lowerRoman"/>
      <w:lvlText w:val="%1."/>
      <w:lvlJc w:val="right"/>
      <w:pPr>
        <w:ind w:left="1570" w:hanging="360"/>
      </w:pPr>
    </w:lvl>
    <w:lvl w:ilvl="1" w:tplc="08090019" w:tentative="1">
      <w:start w:val="1"/>
      <w:numFmt w:val="lowerLetter"/>
      <w:lvlText w:val="%2."/>
      <w:lvlJc w:val="left"/>
      <w:pPr>
        <w:ind w:left="2290" w:hanging="360"/>
      </w:pPr>
    </w:lvl>
    <w:lvl w:ilvl="2" w:tplc="08090001">
      <w:start w:val="1"/>
      <w:numFmt w:val="bullet"/>
      <w:lvlText w:val=""/>
      <w:lvlJc w:val="left"/>
      <w:pPr>
        <w:ind w:left="3010" w:hanging="180"/>
      </w:pPr>
      <w:rPr>
        <w:rFonts w:ascii="Symbol" w:hAnsi="Symbol" w:hint="default"/>
      </w:rPr>
    </w:lvl>
    <w:lvl w:ilvl="3" w:tplc="0809000F" w:tentative="1">
      <w:start w:val="1"/>
      <w:numFmt w:val="decimal"/>
      <w:lvlText w:val="%4."/>
      <w:lvlJc w:val="left"/>
      <w:pPr>
        <w:ind w:left="3730" w:hanging="360"/>
      </w:pPr>
    </w:lvl>
    <w:lvl w:ilvl="4" w:tplc="08090019" w:tentative="1">
      <w:start w:val="1"/>
      <w:numFmt w:val="lowerLetter"/>
      <w:lvlText w:val="%5."/>
      <w:lvlJc w:val="left"/>
      <w:pPr>
        <w:ind w:left="4450" w:hanging="360"/>
      </w:pPr>
    </w:lvl>
    <w:lvl w:ilvl="5" w:tplc="0809001B" w:tentative="1">
      <w:start w:val="1"/>
      <w:numFmt w:val="lowerRoman"/>
      <w:lvlText w:val="%6."/>
      <w:lvlJc w:val="right"/>
      <w:pPr>
        <w:ind w:left="5170" w:hanging="180"/>
      </w:pPr>
    </w:lvl>
    <w:lvl w:ilvl="6" w:tplc="0809000F" w:tentative="1">
      <w:start w:val="1"/>
      <w:numFmt w:val="decimal"/>
      <w:lvlText w:val="%7."/>
      <w:lvlJc w:val="left"/>
      <w:pPr>
        <w:ind w:left="5890" w:hanging="360"/>
      </w:pPr>
    </w:lvl>
    <w:lvl w:ilvl="7" w:tplc="08090019" w:tentative="1">
      <w:start w:val="1"/>
      <w:numFmt w:val="lowerLetter"/>
      <w:lvlText w:val="%8."/>
      <w:lvlJc w:val="left"/>
      <w:pPr>
        <w:ind w:left="6610" w:hanging="360"/>
      </w:pPr>
    </w:lvl>
    <w:lvl w:ilvl="8" w:tplc="0809001B" w:tentative="1">
      <w:start w:val="1"/>
      <w:numFmt w:val="lowerRoman"/>
      <w:lvlText w:val="%9."/>
      <w:lvlJc w:val="right"/>
      <w:pPr>
        <w:ind w:left="7330" w:hanging="180"/>
      </w:pPr>
    </w:lvl>
  </w:abstractNum>
  <w:abstractNum w:abstractNumId="40">
    <w:nsid w:val="69995580"/>
    <w:multiLevelType w:val="singleLevel"/>
    <w:tmpl w:val="75CC7CBA"/>
    <w:name w:val="Considérant"/>
    <w:lvl w:ilvl="0">
      <w:start w:val="1"/>
      <w:numFmt w:val="decimal"/>
      <w:lvlRestart w:val="0"/>
      <w:pStyle w:val="Considrant"/>
      <w:lvlText w:val="(%1)"/>
      <w:lvlJc w:val="left"/>
      <w:pPr>
        <w:tabs>
          <w:tab w:val="num" w:pos="709"/>
        </w:tabs>
        <w:ind w:left="709" w:hanging="709"/>
      </w:pPr>
    </w:lvl>
  </w:abstractNum>
  <w:abstractNum w:abstractNumId="41">
    <w:nsid w:val="6A6901C1"/>
    <w:multiLevelType w:val="singleLevel"/>
    <w:tmpl w:val="208841AE"/>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42">
    <w:nsid w:val="711167E2"/>
    <w:multiLevelType w:val="multilevel"/>
    <w:tmpl w:val="C3843A7A"/>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77967710"/>
    <w:multiLevelType w:val="multilevel"/>
    <w:tmpl w:val="96CA5D34"/>
    <w:name w:val="Default"/>
    <w:lvl w:ilvl="0">
      <w:start w:val="1"/>
      <w:numFmt w:val="decimal"/>
      <w:lvlRestart w:val="0"/>
      <w:pStyle w:val="ListNumber3"/>
      <w:lvlText w:val="(%1)"/>
      <w:lvlJc w:val="left"/>
      <w:pPr>
        <w:tabs>
          <w:tab w:val="num" w:pos="1560"/>
        </w:tabs>
        <w:ind w:left="1560" w:hanging="709"/>
      </w:pPr>
    </w:lvl>
    <w:lvl w:ilvl="1">
      <w:start w:val="1"/>
      <w:numFmt w:val="lowerLetter"/>
      <w:pStyle w:val="ListNumber3Level2"/>
      <w:lvlText w:val="(%2)"/>
      <w:lvlJc w:val="left"/>
      <w:pPr>
        <w:tabs>
          <w:tab w:val="num" w:pos="2268"/>
        </w:tabs>
        <w:ind w:left="2268" w:hanging="708"/>
      </w:pPr>
    </w:lvl>
    <w:lvl w:ilvl="2">
      <w:start w:val="1"/>
      <w:numFmt w:val="bullet"/>
      <w:pStyle w:val="ListNumber3Level3"/>
      <w:lvlText w:val="–"/>
      <w:lvlJc w:val="left"/>
      <w:pPr>
        <w:tabs>
          <w:tab w:val="num" w:pos="2977"/>
        </w:tabs>
        <w:ind w:left="2977" w:hanging="709"/>
      </w:pPr>
      <w:rPr>
        <w:rFonts w:ascii="Times New Roman" w:hAnsi="Times New Roman" w:cs="Times New Roman"/>
      </w:rPr>
    </w:lvl>
    <w:lvl w:ilvl="3">
      <w:start w:val="1"/>
      <w:numFmt w:val="bullet"/>
      <w:pStyle w:val="ListNumber3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78A241BD"/>
    <w:multiLevelType w:val="singleLevel"/>
    <w:tmpl w:val="53C4DF32"/>
    <w:name w:val="List Number"/>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45">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6">
    <w:nsid w:val="7BE95D7F"/>
    <w:multiLevelType w:val="multilevel"/>
    <w:tmpl w:val="F126F780"/>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7">
    <w:nsid w:val="7BE97E39"/>
    <w:multiLevelType w:val="hybridMultilevel"/>
    <w:tmpl w:val="28DCD2A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49">
    <w:nsid w:val="7D8A6BAC"/>
    <w:multiLevelType w:val="hybridMultilevel"/>
    <w:tmpl w:val="C5060C2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7EFE37DD"/>
    <w:multiLevelType w:val="multilevel"/>
    <w:tmpl w:val="7FF8D8A2"/>
    <w:name w:val="List Number 3__1"/>
    <w:lvl w:ilvl="0">
      <w:start w:val="1"/>
      <w:numFmt w:val="decimal"/>
      <w:lvlRestart w:val="0"/>
      <w:pStyle w:val="ListNumber2"/>
      <w:lvlText w:val="(%1)"/>
      <w:lvlJc w:val="left"/>
      <w:pPr>
        <w:tabs>
          <w:tab w:val="num" w:pos="1560"/>
        </w:tabs>
        <w:ind w:left="1560" w:hanging="709"/>
      </w:pPr>
    </w:lvl>
    <w:lvl w:ilvl="1">
      <w:start w:val="1"/>
      <w:numFmt w:val="lowerLetter"/>
      <w:pStyle w:val="ListNumber2Level2"/>
      <w:lvlText w:val="(%2)"/>
      <w:lvlJc w:val="left"/>
      <w:pPr>
        <w:tabs>
          <w:tab w:val="num" w:pos="2268"/>
        </w:tabs>
        <w:ind w:left="2268" w:hanging="708"/>
      </w:pPr>
    </w:lvl>
    <w:lvl w:ilvl="2">
      <w:start w:val="1"/>
      <w:numFmt w:val="bullet"/>
      <w:pStyle w:val="ListNumber2Level3"/>
      <w:lvlText w:val="–"/>
      <w:lvlJc w:val="left"/>
      <w:pPr>
        <w:tabs>
          <w:tab w:val="num" w:pos="2977"/>
        </w:tabs>
        <w:ind w:left="2977" w:hanging="709"/>
      </w:pPr>
      <w:rPr>
        <w:rFonts w:ascii="Times New Roman" w:hAnsi="Times New Roman" w:cs="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7"/>
  </w:num>
  <w:num w:numId="2">
    <w:abstractNumId w:val="16"/>
  </w:num>
  <w:num w:numId="3">
    <w:abstractNumId w:val="33"/>
  </w:num>
  <w:num w:numId="4">
    <w:abstractNumId w:val="32"/>
  </w:num>
  <w:num w:numId="5">
    <w:abstractNumId w:val="25"/>
  </w:num>
  <w:num w:numId="6">
    <w:abstractNumId w:val="40"/>
  </w:num>
  <w:num w:numId="7">
    <w:abstractNumId w:val="42"/>
  </w:num>
  <w:num w:numId="8">
    <w:abstractNumId w:val="46"/>
  </w:num>
  <w:num w:numId="9">
    <w:abstractNumId w:val="21"/>
  </w:num>
  <w:num w:numId="10">
    <w:abstractNumId w:val="19"/>
  </w:num>
  <w:num w:numId="11">
    <w:abstractNumId w:val="35"/>
  </w:num>
  <w:num w:numId="12">
    <w:abstractNumId w:val="22"/>
  </w:num>
  <w:num w:numId="13">
    <w:abstractNumId w:val="29"/>
  </w:num>
  <w:num w:numId="14">
    <w:abstractNumId w:val="3"/>
  </w:num>
  <w:num w:numId="15">
    <w:abstractNumId w:val="2"/>
  </w:num>
  <w:num w:numId="16">
    <w:abstractNumId w:val="1"/>
  </w:num>
  <w:num w:numId="17">
    <w:abstractNumId w:val="0"/>
  </w:num>
  <w:num w:numId="18">
    <w:abstractNumId w:val="41"/>
  </w:num>
  <w:num w:numId="19">
    <w:abstractNumId w:val="24"/>
  </w:num>
  <w:num w:numId="20">
    <w:abstractNumId w:val="36"/>
  </w:num>
  <w:num w:numId="21">
    <w:abstractNumId w:val="30"/>
  </w:num>
  <w:num w:numId="22">
    <w:abstractNumId w:val="44"/>
  </w:num>
  <w:num w:numId="23">
    <w:abstractNumId w:val="48"/>
  </w:num>
  <w:num w:numId="24">
    <w:abstractNumId w:val="45"/>
  </w:num>
  <w:num w:numId="25">
    <w:abstractNumId w:val="18"/>
  </w:num>
  <w:num w:numId="26">
    <w:abstractNumId w:val="13"/>
  </w:num>
  <w:num w:numId="27">
    <w:abstractNumId w:val="43"/>
  </w:num>
  <w:num w:numId="28">
    <w:abstractNumId w:val="50"/>
  </w:num>
  <w:num w:numId="29">
    <w:abstractNumId w:val="15"/>
  </w:num>
  <w:num w:numId="30">
    <w:abstractNumId w:val="9"/>
  </w:num>
  <w:num w:numId="31">
    <w:abstractNumId w:val="28"/>
  </w:num>
  <w:num w:numId="32">
    <w:abstractNumId w:val="34"/>
  </w:num>
  <w:num w:numId="33">
    <w:abstractNumId w:val="38"/>
  </w:num>
  <w:num w:numId="34">
    <w:abstractNumId w:val="31"/>
  </w:num>
  <w:num w:numId="35">
    <w:abstractNumId w:val="20"/>
  </w:num>
  <w:num w:numId="36">
    <w:abstractNumId w:val="17"/>
  </w:num>
  <w:num w:numId="37">
    <w:abstractNumId w:val="12"/>
  </w:num>
  <w:num w:numId="38">
    <w:abstractNumId w:val="23"/>
  </w:num>
  <w:num w:numId="39">
    <w:abstractNumId w:val="8"/>
  </w:num>
  <w:num w:numId="40">
    <w:abstractNumId w:val="6"/>
  </w:num>
  <w:num w:numId="41">
    <w:abstractNumId w:val="5"/>
  </w:num>
  <w:num w:numId="42">
    <w:abstractNumId w:val="4"/>
  </w:num>
  <w:num w:numId="43">
    <w:abstractNumId w:val="37"/>
  </w:num>
  <w:num w:numId="44">
    <w:abstractNumId w:val="47"/>
  </w:num>
  <w:num w:numId="45">
    <w:abstractNumId w:val="7"/>
  </w:num>
  <w:num w:numId="46">
    <w:abstractNumId w:val="49"/>
  </w:num>
  <w:num w:numId="47">
    <w:abstractNumId w:val="11"/>
  </w:num>
  <w:num w:numId="48">
    <w:abstractNumId w:val="31"/>
  </w:num>
  <w:num w:numId="49">
    <w:abstractNumId w:val="31"/>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rtur Runge-Metzger">
    <w15:presenceInfo w15:providerId="Windows Live" w15:userId="4f8ecf49707b7c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126977"/>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LW_CORRIGENDUM" w:val="&lt;UNUSED&gt;"/>
    <w:docVar w:name="LW_COVERPAGE_EXISTS" w:val="True"/>
    <w:docVar w:name="LW_COVERPAGE_GUID" w:val="D62E9FDD-BB40-4F59-B2F2-0496672C0D71"/>
    <w:docVar w:name="LW_COVERPAGE_TYPE" w:val="1"/>
    <w:docVar w:name="LW_CROSSREFERENCE" w:val="{SWD(2017) 357 final}"/>
    <w:docVar w:name="LW_DocType" w:val="NORMAL"/>
    <w:docVar w:name="LW_EMISSION" w:val="7.11.2017"/>
    <w:docVar w:name="LW_EMISSION_ISODATE" w:val="2017-11-07"/>
    <w:docVar w:name="LW_EMISSION_LOCATION" w:val="BRX"/>
    <w:docVar w:name="LW_EMISSION_PREFIX" w:val="Brussels, "/>
    <w:docVar w:name="LW_EMISSION_SUFFIX" w:val=" "/>
    <w:docVar w:name="LW_ID_DOCTYPE_NONLW" w:val="CP-006"/>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7) 64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 w:val="(required under Article 21 of Regulation (EU) No 525/2013 of the European Parliament and of the Council of 21 May 2013 on a mechanism for monitoring and reporting greenhouse gas emissions and for reporting other information at national and Union level relevant to climate change and repealing Decision No 280/2004/EC) _x000b_"/>
    <w:docVar w:name="LW_SOUS.TITRE.OBJ.CP" w:val="(required under Article 21 of Regulation (EU) No 525/2013 of the European Parliament and of the Council of 21 May 2013 on a mechanism for monitoring and reporting greenhouse gas emissions and for reporting other information at national and Union level relevant to climate change and repealing Decision No 280/2004/EC) _x000b_"/>
    <w:docVar w:name="LW_SUPERTITRE" w:val="&lt;UNUSED&gt;"/>
    <w:docVar w:name="LW_TITRE.OBJ.CP" w:val="Two years after Paris \u8211? Progress towards meeting the EU's climate commitments_x000b__x000b_(required under Article 21 of Regulation (EU) No 525/2013 of the European Parliament and of the Council of 21 May 2013 on a mechanism for monitoring and reporting greenhouse gas emissions and for reporting other information at national and Union level relevant to climate change and repealing Decision No 280/2004/EC)"/>
    <w:docVar w:name="LW_TYPE.DOC.CP" w:val="REPORT FROM THE COMMISSION TO THE EUROPEAN PARLIAMENT AND THE COUNCIL"/>
    <w:docVar w:name="Stamp" w:val="\\dossiers.dgt.cec.eu.int\dossiers\CLIMA\CLIMA-2017-00120\CLIMA-2017-00120-00-00-EN-REV-00.201709251408424098130.DOCX"/>
  </w:docVars>
  <w:rsids>
    <w:rsidRoot w:val="0087343F"/>
    <w:rsid w:val="0087343F"/>
    <w:rsid w:val="00CB3F6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qFormat="1"/>
    <w:lsdException w:name="annotation reference" w:uiPriority="99"/>
    <w:lsdException w:name="page number" w:uiPriority="99"/>
    <w:lsdException w:name="endnote reference" w:uiPriority="99"/>
    <w:lsdException w:name="endnote text" w:uiPriority="99"/>
    <w:lsdException w:name="macro" w:semiHidden="0" w:unhideWhenUsed="0"/>
    <w:lsdException w:name="List Bullet" w:semiHidden="0" w:uiPriority="99" w:unhideWhenUsed="0"/>
    <w:lsdException w:name="List Number" w:semiHidden="0" w:uiPriority="99" w:unhideWhenUsed="0"/>
    <w:lsdException w:name="List Bullet 2" w:uiPriority="99"/>
    <w:lsdException w:name="List Bullet 3" w:uiPriority="99"/>
    <w:lsdException w:name="List Bullet 4" w:uiPriority="99"/>
    <w:lsdException w:name="List Number 2" w:uiPriority="99"/>
    <w:lsdException w:name="List Number 3" w:uiPriority="99"/>
    <w:lsdException w:name="List Number 4" w:uiPriority="99"/>
    <w:lsdException w:name="Title" w:semiHidden="0" w:unhideWhenUsed="0" w:qFormat="1"/>
    <w:lsdException w:name="Default Paragraph Font" w:uiPriority="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before="120" w:after="120"/>
      <w:jc w:val="both"/>
    </w:pPr>
    <w:rPr>
      <w:sz w:val="24"/>
      <w:szCs w:val="24"/>
      <w:lang w:eastAsia="en-US"/>
    </w:rPr>
  </w:style>
  <w:style w:type="paragraph" w:styleId="Heading1">
    <w:name w:val="heading 1"/>
    <w:basedOn w:val="Normal"/>
    <w:next w:val="Normal"/>
    <w:link w:val="Heading1Char"/>
    <w:uiPriority w:val="9"/>
    <w:qFormat/>
    <w:pPr>
      <w:keepNext/>
      <w:numPr>
        <w:numId w:val="34"/>
      </w:numPr>
      <w:spacing w:before="360"/>
      <w:outlineLvl w:val="0"/>
    </w:pPr>
    <w:rPr>
      <w:b/>
      <w:bCs/>
      <w:smallCaps/>
      <w:szCs w:val="32"/>
    </w:rPr>
  </w:style>
  <w:style w:type="paragraph" w:styleId="Heading2">
    <w:name w:val="heading 2"/>
    <w:basedOn w:val="Normal"/>
    <w:next w:val="Normal"/>
    <w:link w:val="Heading2Char"/>
    <w:uiPriority w:val="9"/>
    <w:qFormat/>
    <w:pPr>
      <w:keepNext/>
      <w:outlineLvl w:val="1"/>
    </w:pPr>
    <w:rPr>
      <w:b/>
      <w:bCs/>
      <w:i/>
      <w:iCs/>
      <w:szCs w:val="28"/>
    </w:rPr>
  </w:style>
  <w:style w:type="paragraph" w:styleId="Heading3">
    <w:name w:val="heading 3"/>
    <w:basedOn w:val="Normal"/>
    <w:next w:val="Normal"/>
    <w:link w:val="Heading3Char"/>
    <w:uiPriority w:val="9"/>
    <w:qFormat/>
    <w:pPr>
      <w:keepNext/>
      <w:numPr>
        <w:ilvl w:val="2"/>
        <w:numId w:val="34"/>
      </w:numPr>
      <w:outlineLvl w:val="2"/>
    </w:pPr>
    <w:rPr>
      <w:bCs/>
      <w:i/>
      <w:szCs w:val="26"/>
    </w:rPr>
  </w:style>
  <w:style w:type="paragraph" w:styleId="Heading4">
    <w:name w:val="heading 4"/>
    <w:basedOn w:val="Normal"/>
    <w:next w:val="Normal"/>
    <w:link w:val="Heading4Char"/>
    <w:uiPriority w:val="9"/>
    <w:qFormat/>
    <w:pPr>
      <w:keepNext/>
      <w:numPr>
        <w:ilvl w:val="3"/>
        <w:numId w:val="34"/>
      </w:numPr>
      <w:outlineLvl w:val="3"/>
    </w:pPr>
    <w:rPr>
      <w:bCs/>
      <w:szCs w:val="28"/>
    </w:rPr>
  </w:style>
  <w:style w:type="paragraph" w:styleId="Heading5">
    <w:name w:val="heading 5"/>
    <w:basedOn w:val="Normal"/>
    <w:next w:val="Normal"/>
    <w:link w:val="Heading5Char"/>
    <w:uiPriority w:val="9"/>
    <w:qFormat/>
    <w:pPr>
      <w:numPr>
        <w:ilvl w:val="4"/>
        <w:numId w:val="31"/>
      </w:numPr>
      <w:tabs>
        <w:tab w:val="clear" w:pos="1728"/>
        <w:tab w:val="num" w:pos="1368"/>
      </w:tabs>
      <w:spacing w:before="240" w:after="60"/>
      <w:ind w:left="1368"/>
      <w:jc w:val="left"/>
      <w:outlineLvl w:val="4"/>
    </w:pPr>
    <w:rPr>
      <w:b/>
      <w:bCs/>
      <w:i/>
      <w:iCs/>
      <w:sz w:val="26"/>
      <w:szCs w:val="26"/>
      <w:lang w:eastAsia="en-GB"/>
    </w:rPr>
  </w:style>
  <w:style w:type="paragraph" w:styleId="Heading6">
    <w:name w:val="heading 6"/>
    <w:basedOn w:val="Normal"/>
    <w:next w:val="Normal"/>
    <w:link w:val="Heading6Char"/>
    <w:uiPriority w:val="9"/>
    <w:qFormat/>
    <w:pPr>
      <w:numPr>
        <w:ilvl w:val="5"/>
        <w:numId w:val="31"/>
      </w:numPr>
      <w:tabs>
        <w:tab w:val="clear" w:pos="1872"/>
        <w:tab w:val="num" w:pos="1512"/>
      </w:tabs>
      <w:spacing w:before="240" w:after="60"/>
      <w:ind w:left="1512"/>
      <w:jc w:val="left"/>
      <w:outlineLvl w:val="5"/>
    </w:pPr>
    <w:rPr>
      <w:b/>
      <w:bCs/>
      <w:sz w:val="22"/>
      <w:szCs w:val="20"/>
      <w:lang w:eastAsia="en-GB"/>
    </w:rPr>
  </w:style>
  <w:style w:type="paragraph" w:styleId="Heading7">
    <w:name w:val="heading 7"/>
    <w:basedOn w:val="Normal"/>
    <w:next w:val="Normal"/>
    <w:link w:val="Heading7Char"/>
    <w:uiPriority w:val="9"/>
    <w:qFormat/>
    <w:pPr>
      <w:keepNext/>
      <w:spacing w:before="0" w:after="0"/>
      <w:outlineLvl w:val="6"/>
    </w:pPr>
    <w:rPr>
      <w:b/>
      <w:bCs/>
      <w:sz w:val="18"/>
      <w:szCs w:val="20"/>
      <w:lang w:val="en-US" w:eastAsia="zh-CN"/>
    </w:rPr>
  </w:style>
  <w:style w:type="paragraph" w:styleId="Heading8">
    <w:name w:val="heading 8"/>
    <w:basedOn w:val="Normal"/>
    <w:next w:val="Normal"/>
    <w:link w:val="Heading8Char"/>
    <w:uiPriority w:val="9"/>
    <w:qFormat/>
    <w:pPr>
      <w:tabs>
        <w:tab w:val="num" w:pos="2700"/>
      </w:tabs>
      <w:spacing w:before="240" w:after="60"/>
      <w:ind w:left="2700" w:hanging="1440"/>
      <w:jc w:val="left"/>
      <w:outlineLvl w:val="7"/>
    </w:pPr>
    <w:rPr>
      <w:rFonts w:ascii="Palatino Linotype" w:hAnsi="Palatino Linotype"/>
      <w:i/>
      <w:iCs/>
      <w:sz w:val="22"/>
      <w:szCs w:val="20"/>
      <w:lang w:eastAsia="de-DE"/>
    </w:rPr>
  </w:style>
  <w:style w:type="paragraph" w:styleId="Heading9">
    <w:name w:val="heading 9"/>
    <w:basedOn w:val="Normal"/>
    <w:next w:val="Normal"/>
    <w:link w:val="Heading9Char"/>
    <w:uiPriority w:val="9"/>
    <w:qFormat/>
    <w:pPr>
      <w:tabs>
        <w:tab w:val="num" w:pos="2844"/>
      </w:tabs>
      <w:spacing w:before="240" w:after="60"/>
      <w:ind w:left="2844" w:hanging="1584"/>
      <w:jc w:val="left"/>
      <w:outlineLvl w:val="8"/>
    </w:pPr>
    <w:rPr>
      <w:rFonts w:ascii="Arial" w:hAnsi="Arial" w:cs="Arial"/>
      <w:sz w:val="22"/>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compagnant">
    <w:name w:val="Accompagnant"/>
    <w:basedOn w:val="Normal"/>
    <w:next w:val="Normal"/>
    <w:pPr>
      <w:spacing w:before="0" w:after="240"/>
      <w:jc w:val="center"/>
    </w:pPr>
    <w:rPr>
      <w:b/>
      <w:i/>
    </w:rPr>
  </w:style>
  <w:style w:type="paragraph" w:customStyle="1" w:styleId="AccompagnantPagedecouverture">
    <w:name w:val="Accompagnant (Page de couverture)"/>
    <w:basedOn w:val="Accompagnant"/>
    <w:next w:val="Normal"/>
  </w:style>
  <w:style w:type="character" w:customStyle="1" w:styleId="Added">
    <w:name w:val="Added"/>
    <w:rPr>
      <w:b/>
      <w:u w:val="single"/>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Annexetitre">
    <w:name w:val="Annexe titre"/>
    <w:basedOn w:val="Normal"/>
    <w:next w:val="Normal"/>
    <w:pPr>
      <w:jc w:val="center"/>
    </w:pPr>
    <w:rPr>
      <w:b/>
      <w:u w:val="single"/>
    </w:rPr>
  </w:style>
  <w:style w:type="paragraph" w:customStyle="1" w:styleId="Annexetitreexpos">
    <w:name w:val="Annexe titre (exposé)"/>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Normal"/>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Bullet0">
    <w:name w:val="Bullet 0"/>
    <w:basedOn w:val="Normal"/>
    <w:pPr>
      <w:numPr>
        <w:numId w:val="1"/>
      </w:numPr>
    </w:pPr>
  </w:style>
  <w:style w:type="paragraph" w:customStyle="1" w:styleId="Bullet1">
    <w:name w:val="Bullet 1"/>
    <w:basedOn w:val="Normal"/>
    <w:pPr>
      <w:numPr>
        <w:numId w:val="2"/>
      </w:numPr>
    </w:pPr>
  </w:style>
  <w:style w:type="paragraph" w:customStyle="1" w:styleId="Bullet2">
    <w:name w:val="Bullet 2"/>
    <w:basedOn w:val="Normal"/>
    <w:pPr>
      <w:numPr>
        <w:numId w:val="3"/>
      </w:numPr>
    </w:pPr>
  </w:style>
  <w:style w:type="paragraph" w:customStyle="1" w:styleId="Bullet3">
    <w:name w:val="Bullet 3"/>
    <w:basedOn w:val="Normal"/>
    <w:pPr>
      <w:numPr>
        <w:numId w:val="4"/>
      </w:numPr>
    </w:pPr>
  </w:style>
  <w:style w:type="paragraph" w:customStyle="1" w:styleId="Bullet4">
    <w:name w:val="Bullet 4"/>
    <w:basedOn w:val="Normal"/>
    <w:pPr>
      <w:numPr>
        <w:numId w:val="5"/>
      </w:numPr>
    </w:pPr>
  </w:style>
  <w:style w:type="paragraph" w:customStyle="1" w:styleId="ChapterTitle">
    <w:name w:val="ChapterTitle"/>
    <w:basedOn w:val="Normal"/>
    <w:next w:val="Normal"/>
    <w:pPr>
      <w:keepNext/>
      <w:spacing w:after="360"/>
      <w:jc w:val="center"/>
    </w:pPr>
    <w:rPr>
      <w:b/>
      <w:sz w:val="32"/>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Normal"/>
    <w:pPr>
      <w:spacing w:before="240" w:after="240"/>
      <w:ind w:left="5103"/>
    </w:pPr>
    <w:rPr>
      <w:u w:val="single"/>
    </w:rPr>
  </w:style>
  <w:style w:type="paragraph" w:customStyle="1" w:styleId="Considrant">
    <w:name w:val="Considérant"/>
    <w:basedOn w:val="Normal"/>
    <w:pPr>
      <w:numPr>
        <w:numId w:val="6"/>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Normal"/>
    <w:pPr>
      <w:spacing w:before="360" w:after="0"/>
      <w:jc w:val="center"/>
    </w:pPr>
    <w:rPr>
      <w:b/>
    </w:rPr>
  </w:style>
  <w:style w:type="paragraph" w:customStyle="1" w:styleId="DatedadoptionPagedecouverture">
    <w:name w:val="Date d'adoption (Page de couverture)"/>
    <w:basedOn w:val="Datedadoption"/>
    <w:next w:val="Normal"/>
  </w:style>
  <w:style w:type="character" w:customStyle="1" w:styleId="Deleted">
    <w:name w:val="Deleted"/>
    <w:rPr>
      <w:strike/>
      <w:shd w:val="clear" w:color="auto" w:fill="auto"/>
    </w:rPr>
  </w:style>
  <w:style w:type="paragraph" w:customStyle="1" w:styleId="Emission">
    <w:name w:val="Emission"/>
    <w:basedOn w:val="Normal"/>
    <w:next w:val="Normal"/>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Normal"/>
    <w:pPr>
      <w:keepNext/>
      <w:spacing w:after="0"/>
    </w:pPr>
  </w:style>
  <w:style w:type="paragraph" w:customStyle="1" w:styleId="Fichefinanciretitre">
    <w:name w:val="Fiche financière titre"/>
    <w:basedOn w:val="Normal"/>
    <w:next w:val="Normal"/>
    <w:pPr>
      <w:jc w:val="center"/>
    </w:pPr>
    <w:rPr>
      <w:b/>
      <w:u w:val="single"/>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character" w:styleId="FootnoteReference">
    <w:name w:val="footnote reference"/>
    <w:aliases w:val="number,Footnote text,Footnote reference number,Footnote symbol,note TESI,-E Fußnotenzeichen,SUPERS,stylish,ftref,Footnote Reference Superscript,Odwołanie przypisu,Times 10 Point,Exposant 3 Point,Voetnootverwijzing"/>
    <w:link w:val="SUPERSCharCharCharCharCharCharCharChar"/>
    <w:uiPriority w:val="99"/>
    <w:qFormat/>
    <w:rPr>
      <w:shd w:val="clear" w:color="auto" w:fill="auto"/>
      <w:vertAlign w:val="superscript"/>
    </w:rPr>
  </w:style>
  <w:style w:type="paragraph" w:styleId="FootnoteText">
    <w:name w:val="footnote text"/>
    <w:aliases w:val="-E Fußnotentext,Fußnotentext Ursprung,-E Fußnotentext1,-E Fußnotentext2,-E Fußnotentext3,Fußnotentextf,RSK-FT,RSK-FT1,RSK-FT2,Schriftart: 9 pt,Schriftart: 10 pt,Schriftart: 8 pt,WB-Fußnotentext,fn,Footnotes,Footnote ak,Char,Fußnote"/>
    <w:basedOn w:val="Normal"/>
    <w:link w:val="FootnoteTextChar"/>
    <w:uiPriority w:val="99"/>
    <w:qFormat/>
    <w:pPr>
      <w:spacing w:before="0" w:after="0"/>
      <w:ind w:left="720" w:hanging="720"/>
    </w:pPr>
    <w:rPr>
      <w:sz w:val="20"/>
      <w:szCs w:val="20"/>
    </w:rPr>
  </w:style>
  <w:style w:type="paragraph" w:customStyle="1" w:styleId="Formuledadoption">
    <w:name w:val="Formule d'adoption"/>
    <w:basedOn w:val="Normal"/>
    <w:next w:val="Normal"/>
    <w:pPr>
      <w:keepNext/>
    </w:p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Normal"/>
    <w:pPr>
      <w:keepNext/>
      <w:tabs>
        <w:tab w:val="left" w:pos="4252"/>
      </w:tabs>
      <w:spacing w:before="720" w:after="0"/>
    </w:pPr>
    <w:rPr>
      <w:i/>
    </w:rPr>
  </w:style>
  <w:style w:type="paragraph" w:customStyle="1" w:styleId="Languesfaisantfoi">
    <w:name w:val="Langues faisant foi"/>
    <w:basedOn w:val="Normal"/>
    <w:next w:val="Normal"/>
    <w:pPr>
      <w:spacing w:before="360" w:after="0"/>
      <w:jc w:val="center"/>
    </w:pPr>
  </w:style>
  <w:style w:type="paragraph" w:customStyle="1" w:styleId="IntrtEEE">
    <w:name w:val="Intérêt EEE"/>
    <w:basedOn w:val="Languesfaisantfoi"/>
    <w:next w:val="Normal"/>
    <w:pPr>
      <w:spacing w:after="240"/>
    </w:pPr>
  </w:style>
  <w:style w:type="paragraph" w:customStyle="1" w:styleId="IntrtEEEPagedecouverture">
    <w:name w:val="Intérêt EEE (Page de couverture)"/>
    <w:basedOn w:val="IntrtEEE"/>
    <w:next w:val="Normal"/>
  </w:style>
  <w:style w:type="paragraph" w:customStyle="1" w:styleId="Langue">
    <w:name w:val="Langue"/>
    <w:basedOn w:val="Normal"/>
    <w:next w:val="Normal"/>
    <w:pPr>
      <w:framePr w:wrap="around" w:vAnchor="page" w:hAnchor="text" w:xAlign="center" w:y="14741"/>
      <w:spacing w:before="0" w:after="600"/>
      <w:jc w:val="center"/>
    </w:pPr>
    <w:rPr>
      <w:b/>
      <w:caps/>
    </w:rPr>
  </w:style>
  <w:style w:type="paragraph" w:customStyle="1" w:styleId="LanguesfaisantfoiPagedecouverture">
    <w:name w:val="Langues faisant foi (Page de couverture)"/>
    <w:basedOn w:val="Normal"/>
    <w:next w:val="Normal"/>
    <w:pPr>
      <w:spacing w:before="360" w:after="0"/>
      <w:jc w:val="center"/>
    </w:pPr>
  </w:style>
  <w:style w:type="paragraph" w:customStyle="1" w:styleId="ManualConsidrant">
    <w:name w:val="Manual Considérant"/>
    <w:basedOn w:val="Normal"/>
    <w:pPr>
      <w:ind w:left="709" w:hanging="709"/>
    </w:pPr>
  </w:style>
  <w:style w:type="paragraph" w:customStyle="1" w:styleId="ManualHeading1">
    <w:name w:val="Manual Heading 1"/>
    <w:basedOn w:val="Normal"/>
    <w:next w:val="Normal"/>
    <w:pPr>
      <w:keepNext/>
      <w:tabs>
        <w:tab w:val="left" w:pos="850"/>
      </w:tabs>
      <w:spacing w:before="360"/>
      <w:ind w:left="850" w:hanging="850"/>
      <w:outlineLvl w:val="0"/>
    </w:pPr>
    <w:rPr>
      <w:b/>
      <w:smallCaps/>
    </w:rPr>
  </w:style>
  <w:style w:type="paragraph" w:customStyle="1" w:styleId="ManualHeading2">
    <w:name w:val="Manual Heading 2"/>
    <w:basedOn w:val="Normal"/>
    <w:next w:val="Normal"/>
    <w:pPr>
      <w:keepNext/>
      <w:tabs>
        <w:tab w:val="left" w:pos="850"/>
      </w:tabs>
      <w:ind w:left="850" w:hanging="850"/>
      <w:outlineLvl w:val="1"/>
    </w:pPr>
    <w:rPr>
      <w:b/>
    </w:rPr>
  </w:style>
  <w:style w:type="paragraph" w:customStyle="1" w:styleId="ManualHeading3">
    <w:name w:val="Manual Heading 3"/>
    <w:basedOn w:val="Normal"/>
    <w:next w:val="Normal"/>
    <w:pPr>
      <w:keepNext/>
      <w:tabs>
        <w:tab w:val="left" w:pos="850"/>
      </w:tabs>
      <w:ind w:left="850" w:hanging="850"/>
      <w:outlineLvl w:val="2"/>
    </w:pPr>
    <w:rPr>
      <w:i/>
    </w:rPr>
  </w:style>
  <w:style w:type="paragraph" w:customStyle="1" w:styleId="ManualHeading4">
    <w:name w:val="Manual Heading 4"/>
    <w:basedOn w:val="Normal"/>
    <w:next w:val="Normal"/>
    <w:pPr>
      <w:keepNext/>
      <w:tabs>
        <w:tab w:val="left" w:pos="850"/>
      </w:tabs>
      <w:ind w:left="850" w:hanging="850"/>
      <w:outlineLvl w:val="3"/>
    </w:pPr>
  </w:style>
  <w:style w:type="paragraph" w:customStyle="1" w:styleId="ManualNumPar1">
    <w:name w:val="Manual NumPar 1"/>
    <w:basedOn w:val="Normal"/>
    <w:next w:val="Normal"/>
    <w:pPr>
      <w:ind w:left="850" w:hanging="850"/>
    </w:pPr>
  </w:style>
  <w:style w:type="paragraph" w:customStyle="1" w:styleId="ManualNumPar2">
    <w:name w:val="Manual NumPar 2"/>
    <w:basedOn w:val="Normal"/>
    <w:next w:val="Normal"/>
    <w:pPr>
      <w:ind w:left="850" w:hanging="850"/>
    </w:pPr>
  </w:style>
  <w:style w:type="paragraph" w:customStyle="1" w:styleId="ManualNumPar3">
    <w:name w:val="Manual NumPar 3"/>
    <w:basedOn w:val="Normal"/>
    <w:next w:val="Normal"/>
    <w:pPr>
      <w:ind w:left="850" w:hanging="850"/>
    </w:pPr>
  </w:style>
  <w:style w:type="paragraph" w:customStyle="1" w:styleId="ManualNumPar4">
    <w:name w:val="Manual NumPar 4"/>
    <w:basedOn w:val="Normal"/>
    <w:next w:val="Normal"/>
    <w:pPr>
      <w:ind w:left="850" w:hanging="850"/>
    </w:pPr>
  </w:style>
  <w:style w:type="character" w:customStyle="1" w:styleId="Marker">
    <w:name w:val="Marker"/>
    <w:rPr>
      <w:color w:val="0000FF"/>
      <w:shd w:val="clear" w:color="auto" w:fill="auto"/>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umPar1">
    <w:name w:val="NumPar 1"/>
    <w:basedOn w:val="Normal"/>
    <w:next w:val="Normal"/>
    <w:pPr>
      <w:numPr>
        <w:numId w:val="7"/>
      </w:numPr>
    </w:pPr>
  </w:style>
  <w:style w:type="paragraph" w:customStyle="1" w:styleId="NumPar2">
    <w:name w:val="NumPar 2"/>
    <w:basedOn w:val="Normal"/>
    <w:next w:val="Normal"/>
    <w:pPr>
      <w:numPr>
        <w:ilvl w:val="1"/>
        <w:numId w:val="7"/>
      </w:numPr>
    </w:pPr>
  </w:style>
  <w:style w:type="paragraph" w:customStyle="1" w:styleId="NumPar3">
    <w:name w:val="NumPar 3"/>
    <w:basedOn w:val="Normal"/>
    <w:next w:val="Normal"/>
    <w:pPr>
      <w:numPr>
        <w:ilvl w:val="2"/>
        <w:numId w:val="7"/>
      </w:numPr>
    </w:pPr>
  </w:style>
  <w:style w:type="paragraph" w:customStyle="1" w:styleId="NumPar4">
    <w:name w:val="NumPar 4"/>
    <w:basedOn w:val="Normal"/>
    <w:next w:val="Normal"/>
    <w:pPr>
      <w:numPr>
        <w:ilvl w:val="3"/>
        <w:numId w:val="7"/>
      </w:numPr>
    </w:pPr>
  </w:style>
  <w:style w:type="paragraph" w:customStyle="1" w:styleId="Objetacteprincipal">
    <w:name w:val="Objet acte principal"/>
    <w:basedOn w:val="Normal"/>
    <w:next w:val="Normal"/>
    <w:pPr>
      <w:spacing w:before="0" w:after="360"/>
      <w:jc w:val="center"/>
    </w:pPr>
    <w:rPr>
      <w:b/>
    </w:rPr>
  </w:style>
  <w:style w:type="paragraph" w:customStyle="1" w:styleId="ObjetacteprincipalPagedecouverture">
    <w:name w:val="Objet acte principal (Page de couverture)"/>
    <w:basedOn w:val="Objetacteprincipal"/>
    <w:next w:val="Normal"/>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style>
  <w:style w:type="paragraph" w:customStyle="1" w:styleId="PartTitle">
    <w:name w:val="PartTitle"/>
    <w:basedOn w:val="Normal"/>
    <w:next w:val="ChapterTitle"/>
    <w:pPr>
      <w:keepNext/>
      <w:pageBreakBefore/>
      <w:spacing w:after="360"/>
      <w:jc w:val="center"/>
    </w:pPr>
    <w:rPr>
      <w:b/>
      <w:sz w:val="36"/>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Point0">
    <w:name w:val="Point 0"/>
    <w:basedOn w:val="Normal"/>
    <w:pPr>
      <w:ind w:left="850" w:hanging="850"/>
    </w:pPr>
  </w:style>
  <w:style w:type="paragraph" w:customStyle="1" w:styleId="Point0letter">
    <w:name w:val="Point 0 (letter)"/>
    <w:basedOn w:val="Normal"/>
    <w:pPr>
      <w:numPr>
        <w:ilvl w:val="1"/>
        <w:numId w:val="8"/>
      </w:numPr>
    </w:pPr>
  </w:style>
  <w:style w:type="paragraph" w:customStyle="1" w:styleId="Point0number">
    <w:name w:val="Point 0 (number)"/>
    <w:basedOn w:val="Normal"/>
    <w:pPr>
      <w:numPr>
        <w:numId w:val="8"/>
      </w:numPr>
    </w:pPr>
  </w:style>
  <w:style w:type="paragraph" w:customStyle="1" w:styleId="Point1">
    <w:name w:val="Point 1"/>
    <w:basedOn w:val="Normal"/>
    <w:pPr>
      <w:ind w:left="1417" w:hanging="567"/>
    </w:pPr>
  </w:style>
  <w:style w:type="paragraph" w:customStyle="1" w:styleId="Point1letter">
    <w:name w:val="Point 1 (letter)"/>
    <w:basedOn w:val="Normal"/>
    <w:pPr>
      <w:numPr>
        <w:ilvl w:val="3"/>
        <w:numId w:val="8"/>
      </w:numPr>
    </w:pPr>
  </w:style>
  <w:style w:type="paragraph" w:customStyle="1" w:styleId="Point1number">
    <w:name w:val="Point 1 (number)"/>
    <w:basedOn w:val="Normal"/>
    <w:pPr>
      <w:numPr>
        <w:ilvl w:val="2"/>
        <w:numId w:val="8"/>
      </w:numPr>
    </w:pPr>
  </w:style>
  <w:style w:type="paragraph" w:customStyle="1" w:styleId="Point2">
    <w:name w:val="Point 2"/>
    <w:basedOn w:val="Normal"/>
    <w:pPr>
      <w:ind w:left="1984" w:hanging="567"/>
    </w:pPr>
  </w:style>
  <w:style w:type="paragraph" w:customStyle="1" w:styleId="Point2letter">
    <w:name w:val="Point 2 (letter)"/>
    <w:basedOn w:val="Normal"/>
    <w:pPr>
      <w:numPr>
        <w:ilvl w:val="5"/>
        <w:numId w:val="8"/>
      </w:numPr>
    </w:pPr>
  </w:style>
  <w:style w:type="paragraph" w:customStyle="1" w:styleId="Point2number">
    <w:name w:val="Point 2 (number)"/>
    <w:basedOn w:val="Normal"/>
    <w:pPr>
      <w:numPr>
        <w:ilvl w:val="4"/>
        <w:numId w:val="8"/>
      </w:numPr>
    </w:pPr>
  </w:style>
  <w:style w:type="paragraph" w:customStyle="1" w:styleId="Point3">
    <w:name w:val="Point 3"/>
    <w:basedOn w:val="Normal"/>
    <w:pPr>
      <w:ind w:left="2551" w:hanging="567"/>
    </w:pPr>
  </w:style>
  <w:style w:type="paragraph" w:customStyle="1" w:styleId="Point3letter">
    <w:name w:val="Point 3 (letter)"/>
    <w:basedOn w:val="Normal"/>
    <w:pPr>
      <w:numPr>
        <w:ilvl w:val="7"/>
        <w:numId w:val="8"/>
      </w:numPr>
    </w:pPr>
  </w:style>
  <w:style w:type="paragraph" w:customStyle="1" w:styleId="Point3number">
    <w:name w:val="Point 3 (number)"/>
    <w:basedOn w:val="Normal"/>
    <w:pPr>
      <w:numPr>
        <w:ilvl w:val="6"/>
        <w:numId w:val="8"/>
      </w:numPr>
    </w:pPr>
  </w:style>
  <w:style w:type="paragraph" w:customStyle="1" w:styleId="Point4">
    <w:name w:val="Point 4"/>
    <w:basedOn w:val="Normal"/>
    <w:pPr>
      <w:ind w:left="3118" w:hanging="567"/>
    </w:pPr>
  </w:style>
  <w:style w:type="paragraph" w:customStyle="1" w:styleId="Point4letter">
    <w:name w:val="Point 4 (letter)"/>
    <w:basedOn w:val="Normal"/>
    <w:pPr>
      <w:numPr>
        <w:ilvl w:val="8"/>
        <w:numId w:val="8"/>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QuotedNumPar">
    <w:name w:val="Quoted NumPar"/>
    <w:basedOn w:val="Normal"/>
    <w:pPr>
      <w:ind w:left="1417" w:hanging="567"/>
    </w:pPr>
  </w:style>
  <w:style w:type="paragraph" w:customStyle="1" w:styleId="QuotedText">
    <w:name w:val="Quoted Text"/>
    <w:basedOn w:val="Normal"/>
    <w:pPr>
      <w:ind w:left="1417"/>
    </w:pPr>
  </w:style>
  <w:style w:type="paragraph" w:customStyle="1" w:styleId="Rfrencecroise">
    <w:name w:val="Référence croisée"/>
    <w:basedOn w:val="Normal"/>
    <w:pPr>
      <w:spacing w:before="0" w:after="0"/>
      <w:jc w:val="center"/>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Normal"/>
    <w:pPr>
      <w:spacing w:before="0" w:after="0"/>
      <w:ind w:left="5103"/>
      <w:jc w:val="left"/>
    </w:pPr>
  </w:style>
  <w:style w:type="paragraph" w:customStyle="1" w:styleId="RfrenceinterinstitutionnellePagedecouverture">
    <w:name w:val="Référence interinstitutionnelle (Page de couverture)"/>
    <w:basedOn w:val="Rfrenceinterinstitutionnelle"/>
    <w:next w:val="Confidentialit"/>
  </w:style>
  <w:style w:type="paragraph" w:customStyle="1" w:styleId="Rfrenceinterne">
    <w:name w:val="Référence interne"/>
    <w:basedOn w:val="Normal"/>
    <w:next w:val="Rfrenceinterinstitutionnelle"/>
    <w:pPr>
      <w:spacing w:before="0" w:after="0"/>
      <w:ind w:left="5103"/>
      <w:jc w:val="left"/>
    </w:pPr>
  </w:style>
  <w:style w:type="paragraph" w:customStyle="1" w:styleId="SectionTitle">
    <w:name w:val="SectionTitle"/>
    <w:basedOn w:val="Normal"/>
    <w:next w:val="Heading1"/>
    <w:pPr>
      <w:keepNext/>
      <w:spacing w:after="360"/>
      <w:jc w:val="center"/>
    </w:pPr>
    <w:rPr>
      <w:b/>
      <w:smallCaps/>
      <w:sz w:val="28"/>
    </w:rPr>
  </w:style>
  <w:style w:type="paragraph" w:customStyle="1" w:styleId="Sous-titreobjet">
    <w:name w:val="Sous-titre objet"/>
    <w:basedOn w:val="Normal"/>
    <w:pPr>
      <w:spacing w:before="0" w:after="0"/>
      <w:jc w:val="center"/>
    </w:pPr>
    <w:rPr>
      <w:b/>
    </w:rPr>
  </w:style>
  <w:style w:type="paragraph" w:customStyle="1" w:styleId="Sous-titreobjetPagedecouverture">
    <w:name w:val="Sous-titre objet (Page de couverture)"/>
    <w:basedOn w:val="Sous-titreobjet"/>
  </w:style>
  <w:style w:type="paragraph" w:customStyle="1" w:styleId="Statut">
    <w:name w:val="Statut"/>
    <w:basedOn w:val="Normal"/>
    <w:next w:val="Normal"/>
    <w:pPr>
      <w:spacing w:before="360" w:after="0"/>
      <w:jc w:val="center"/>
    </w:pPr>
  </w:style>
  <w:style w:type="paragraph" w:customStyle="1" w:styleId="StatutPagedecouverture">
    <w:name w:val="Statut (Page de couverture)"/>
    <w:basedOn w:val="Statut"/>
    <w:next w:val="Normal"/>
  </w:style>
  <w:style w:type="paragraph" w:customStyle="1" w:styleId="Supertitre">
    <w:name w:val="Supertitre"/>
    <w:basedOn w:val="Normal"/>
    <w:next w:val="Normal"/>
    <w:pPr>
      <w:spacing w:before="0" w:after="600"/>
      <w:jc w:val="center"/>
    </w:pPr>
    <w:rPr>
      <w:b/>
    </w:rPr>
  </w:style>
  <w:style w:type="paragraph" w:customStyle="1" w:styleId="TableTitle">
    <w:name w:val="Table Title"/>
    <w:basedOn w:val="Normal"/>
    <w:next w:val="Normal"/>
    <w:pPr>
      <w:jc w:val="center"/>
    </w:pPr>
    <w:rPr>
      <w:b/>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Tiret0">
    <w:name w:val="Tiret 0"/>
    <w:basedOn w:val="Point0"/>
    <w:pPr>
      <w:numPr>
        <w:numId w:val="9"/>
      </w:numPr>
    </w:pPr>
  </w:style>
  <w:style w:type="paragraph" w:customStyle="1" w:styleId="Tiret1">
    <w:name w:val="Tiret 1"/>
    <w:basedOn w:val="Point1"/>
    <w:pPr>
      <w:numPr>
        <w:numId w:val="10"/>
      </w:numPr>
    </w:pPr>
  </w:style>
  <w:style w:type="paragraph" w:customStyle="1" w:styleId="Tiret2">
    <w:name w:val="Tiret 2"/>
    <w:basedOn w:val="Point2"/>
    <w:pPr>
      <w:numPr>
        <w:numId w:val="11"/>
      </w:numPr>
    </w:pPr>
  </w:style>
  <w:style w:type="paragraph" w:customStyle="1" w:styleId="Tiret3">
    <w:name w:val="Tiret 3"/>
    <w:basedOn w:val="Point3"/>
    <w:pPr>
      <w:numPr>
        <w:numId w:val="12"/>
      </w:numPr>
    </w:pPr>
  </w:style>
  <w:style w:type="paragraph" w:customStyle="1" w:styleId="Tiret4">
    <w:name w:val="Tiret 4"/>
    <w:basedOn w:val="Point4"/>
    <w:pPr>
      <w:numPr>
        <w:numId w:val="13"/>
      </w:numP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360" w:after="360"/>
      <w:jc w:val="center"/>
    </w:pPr>
    <w:rPr>
      <w:b/>
    </w:rPr>
  </w:style>
  <w:style w:type="paragraph" w:customStyle="1" w:styleId="TitreobjetPagedecouverture">
    <w:name w:val="Titre objet (Page de couverture)"/>
    <w:basedOn w:val="Titreobjet"/>
    <w:next w:val="Sous-titreobjetPagedecouverture"/>
  </w:style>
  <w:style w:type="paragraph" w:styleId="TOC1">
    <w:name w:val="toc 1"/>
    <w:basedOn w:val="Normal"/>
    <w:next w:val="Normal"/>
    <w:uiPriority w:val="39"/>
    <w:qFormat/>
    <w:pPr>
      <w:tabs>
        <w:tab w:val="right" w:leader="dot" w:pos="9071"/>
      </w:tabs>
      <w:spacing w:before="60"/>
      <w:ind w:left="850" w:hanging="850"/>
      <w:jc w:val="left"/>
    </w:pPr>
  </w:style>
  <w:style w:type="paragraph" w:styleId="TOC2">
    <w:name w:val="toc 2"/>
    <w:basedOn w:val="Normal"/>
    <w:next w:val="Normal"/>
    <w:uiPriority w:val="39"/>
    <w:qFormat/>
    <w:pPr>
      <w:tabs>
        <w:tab w:val="right" w:leader="dot" w:pos="9071"/>
      </w:tabs>
      <w:spacing w:before="60"/>
      <w:ind w:left="850" w:hanging="850"/>
      <w:jc w:val="left"/>
    </w:pPr>
  </w:style>
  <w:style w:type="paragraph" w:styleId="TOC3">
    <w:name w:val="toc 3"/>
    <w:basedOn w:val="Normal"/>
    <w:next w:val="Normal"/>
    <w:uiPriority w:val="39"/>
    <w:qFormat/>
    <w:pPr>
      <w:tabs>
        <w:tab w:val="right" w:leader="dot" w:pos="9071"/>
      </w:tabs>
      <w:spacing w:before="60"/>
      <w:ind w:left="850" w:hanging="850"/>
      <w:jc w:val="left"/>
    </w:pPr>
  </w:style>
  <w:style w:type="paragraph" w:styleId="TOC4">
    <w:name w:val="toc 4"/>
    <w:basedOn w:val="Normal"/>
    <w:next w:val="Normal"/>
    <w:uiPriority w:val="39"/>
    <w:semiHidden/>
    <w:pPr>
      <w:tabs>
        <w:tab w:val="right" w:leader="dot" w:pos="9071"/>
      </w:tabs>
      <w:spacing w:before="60"/>
      <w:ind w:left="850" w:hanging="850"/>
      <w:jc w:val="left"/>
    </w:pPr>
  </w:style>
  <w:style w:type="paragraph" w:styleId="TOC5">
    <w:name w:val="toc 5"/>
    <w:basedOn w:val="Normal"/>
    <w:next w:val="Normal"/>
    <w:uiPriority w:val="39"/>
    <w:semiHidden/>
    <w:pPr>
      <w:tabs>
        <w:tab w:val="right" w:leader="dot" w:pos="9071"/>
      </w:tabs>
      <w:spacing w:before="300"/>
      <w:jc w:val="left"/>
    </w:pPr>
  </w:style>
  <w:style w:type="paragraph" w:styleId="TOC6">
    <w:name w:val="toc 6"/>
    <w:basedOn w:val="Normal"/>
    <w:next w:val="Normal"/>
    <w:uiPriority w:val="39"/>
    <w:semiHidden/>
    <w:pPr>
      <w:tabs>
        <w:tab w:val="right" w:leader="dot" w:pos="9071"/>
      </w:tabs>
      <w:spacing w:before="240"/>
      <w:jc w:val="left"/>
    </w:pPr>
  </w:style>
  <w:style w:type="paragraph" w:styleId="TOC7">
    <w:name w:val="toc 7"/>
    <w:basedOn w:val="Normal"/>
    <w:next w:val="Normal"/>
    <w:uiPriority w:val="39"/>
    <w:semiHidden/>
    <w:pPr>
      <w:tabs>
        <w:tab w:val="right" w:leader="dot" w:pos="9071"/>
      </w:tabs>
      <w:spacing w:before="180"/>
      <w:jc w:val="left"/>
    </w:pPr>
  </w:style>
  <w:style w:type="paragraph" w:styleId="TOC8">
    <w:name w:val="toc 8"/>
    <w:basedOn w:val="Normal"/>
    <w:next w:val="Normal"/>
    <w:uiPriority w:val="39"/>
    <w:semiHidden/>
    <w:pPr>
      <w:tabs>
        <w:tab w:val="right" w:leader="dot" w:pos="9071"/>
      </w:tabs>
      <w:jc w:val="left"/>
    </w:pPr>
  </w:style>
  <w:style w:type="paragraph" w:styleId="TOC9">
    <w:name w:val="toc 9"/>
    <w:basedOn w:val="Normal"/>
    <w:next w:val="Normal"/>
    <w:uiPriority w:val="39"/>
    <w:semiHidden/>
    <w:pPr>
      <w:tabs>
        <w:tab w:val="right" w:leader="dot" w:pos="9071"/>
      </w:tabs>
    </w:pPr>
  </w:style>
  <w:style w:type="paragraph" w:styleId="TOCHeading">
    <w:name w:val="TOC Heading"/>
    <w:basedOn w:val="Normal"/>
    <w:next w:val="Normal"/>
    <w:uiPriority w:val="39"/>
    <w:qFormat/>
    <w:pPr>
      <w:spacing w:after="240"/>
      <w:jc w:val="center"/>
    </w:pPr>
    <w:rPr>
      <w:b/>
      <w:sz w:val="28"/>
    </w:rPr>
  </w:style>
  <w:style w:type="paragraph" w:customStyle="1" w:styleId="Typeacteprincipal">
    <w:name w:val="Type acte principal"/>
    <w:basedOn w:val="Normal"/>
    <w:next w:val="Objetacteprincipal"/>
    <w:pPr>
      <w:spacing w:before="0" w:after="240"/>
      <w:jc w:val="center"/>
    </w:pPr>
    <w:rPr>
      <w:b/>
    </w:rPr>
  </w:style>
  <w:style w:type="paragraph" w:customStyle="1" w:styleId="TypeacteprincipalPagedecouverture">
    <w:name w:val="Type acte principal (Page de couverture)"/>
    <w:basedOn w:val="Typeacteprincipal"/>
    <w:next w:val="ObjetacteprincipalPagedecouverture"/>
  </w:style>
  <w:style w:type="paragraph" w:customStyle="1" w:styleId="Typedudocument">
    <w:name w:val="Type du document"/>
    <w:basedOn w:val="Normal"/>
    <w:next w:val="Titreobjet"/>
    <w:pPr>
      <w:spacing w:before="360" w:after="0"/>
      <w:jc w:val="center"/>
    </w:pPr>
    <w:rPr>
      <w:b/>
    </w:rPr>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character" w:customStyle="1" w:styleId="Heading5Char">
    <w:name w:val="Heading 5 Char"/>
    <w:link w:val="Heading5"/>
    <w:uiPriority w:val="9"/>
    <w:rPr>
      <w:b/>
      <w:bCs/>
      <w:i/>
      <w:iCs/>
      <w:sz w:val="26"/>
      <w:szCs w:val="26"/>
    </w:rPr>
  </w:style>
  <w:style w:type="character" w:customStyle="1" w:styleId="Heading6Char">
    <w:name w:val="Heading 6 Char"/>
    <w:link w:val="Heading6"/>
    <w:uiPriority w:val="9"/>
    <w:rPr>
      <w:b/>
      <w:bCs/>
      <w:sz w:val="22"/>
    </w:rPr>
  </w:style>
  <w:style w:type="character" w:customStyle="1" w:styleId="Heading7Char">
    <w:name w:val="Heading 7 Char"/>
    <w:link w:val="Heading7"/>
    <w:uiPriority w:val="9"/>
    <w:rPr>
      <w:b/>
      <w:bCs/>
      <w:sz w:val="18"/>
      <w:shd w:val="clear" w:color="auto" w:fill="auto"/>
      <w:lang w:val="en-US" w:eastAsia="zh-CN"/>
    </w:rPr>
  </w:style>
  <w:style w:type="character" w:customStyle="1" w:styleId="Heading8Char">
    <w:name w:val="Heading 8 Char"/>
    <w:link w:val="Heading8"/>
    <w:uiPriority w:val="9"/>
    <w:rPr>
      <w:rFonts w:ascii="Palatino Linotype" w:hAnsi="Palatino Linotype"/>
      <w:i/>
      <w:iCs/>
      <w:sz w:val="22"/>
      <w:shd w:val="clear" w:color="auto" w:fill="auto"/>
      <w:lang w:eastAsia="de-DE"/>
    </w:rPr>
  </w:style>
  <w:style w:type="character" w:customStyle="1" w:styleId="Heading9Char">
    <w:name w:val="Heading 9 Char"/>
    <w:link w:val="Heading9"/>
    <w:uiPriority w:val="9"/>
    <w:rPr>
      <w:rFonts w:ascii="Arial" w:hAnsi="Arial" w:cs="Arial"/>
      <w:sz w:val="22"/>
      <w:shd w:val="clear" w:color="auto" w:fill="auto"/>
      <w:lang w:eastAsia="de-DE"/>
    </w:rPr>
  </w:style>
  <w:style w:type="paragraph" w:styleId="ListBullet">
    <w:name w:val="List Bullet"/>
    <w:basedOn w:val="Normal"/>
    <w:uiPriority w:val="99"/>
    <w:pPr>
      <w:numPr>
        <w:numId w:val="14"/>
      </w:numPr>
    </w:pPr>
    <w:rPr>
      <w:szCs w:val="20"/>
      <w:lang w:eastAsia="en-GB"/>
    </w:rPr>
  </w:style>
  <w:style w:type="paragraph" w:styleId="ListBullet2">
    <w:name w:val="List Bullet 2"/>
    <w:basedOn w:val="Normal"/>
    <w:uiPriority w:val="99"/>
    <w:pPr>
      <w:numPr>
        <w:numId w:val="15"/>
      </w:numPr>
    </w:pPr>
    <w:rPr>
      <w:szCs w:val="20"/>
      <w:lang w:eastAsia="en-GB"/>
    </w:rPr>
  </w:style>
  <w:style w:type="paragraph" w:styleId="ListBullet3">
    <w:name w:val="List Bullet 3"/>
    <w:basedOn w:val="Normal"/>
    <w:uiPriority w:val="99"/>
    <w:pPr>
      <w:numPr>
        <w:numId w:val="16"/>
      </w:numPr>
    </w:pPr>
    <w:rPr>
      <w:szCs w:val="20"/>
      <w:lang w:eastAsia="en-GB"/>
    </w:rPr>
  </w:style>
  <w:style w:type="paragraph" w:styleId="ListBullet4">
    <w:name w:val="List Bullet 4"/>
    <w:basedOn w:val="Normal"/>
    <w:uiPriority w:val="99"/>
    <w:pPr>
      <w:numPr>
        <w:numId w:val="17"/>
      </w:numPr>
    </w:pPr>
    <w:rPr>
      <w:szCs w:val="20"/>
      <w:lang w:eastAsia="en-GB"/>
    </w:rPr>
  </w:style>
  <w:style w:type="paragraph" w:styleId="ListNumber">
    <w:name w:val="List Number"/>
    <w:basedOn w:val="Normal"/>
    <w:uiPriority w:val="99"/>
    <w:pPr>
      <w:numPr>
        <w:numId w:val="29"/>
      </w:numPr>
    </w:pPr>
    <w:rPr>
      <w:szCs w:val="20"/>
      <w:lang w:eastAsia="de-DE"/>
    </w:rPr>
  </w:style>
  <w:style w:type="paragraph" w:styleId="ListNumber2">
    <w:name w:val="List Number 2"/>
    <w:basedOn w:val="Normal"/>
    <w:uiPriority w:val="99"/>
    <w:pPr>
      <w:numPr>
        <w:numId w:val="28"/>
      </w:numPr>
    </w:pPr>
    <w:rPr>
      <w:szCs w:val="20"/>
      <w:lang w:eastAsia="de-DE"/>
    </w:rPr>
  </w:style>
  <w:style w:type="paragraph" w:styleId="ListNumber3">
    <w:name w:val="List Number 3"/>
    <w:basedOn w:val="Normal"/>
    <w:uiPriority w:val="99"/>
    <w:pPr>
      <w:numPr>
        <w:numId w:val="27"/>
      </w:numPr>
    </w:pPr>
    <w:rPr>
      <w:szCs w:val="20"/>
      <w:lang w:eastAsia="de-DE"/>
    </w:rPr>
  </w:style>
  <w:style w:type="paragraph" w:styleId="ListNumber4">
    <w:name w:val="List Number 4"/>
    <w:basedOn w:val="Normal"/>
    <w:uiPriority w:val="99"/>
    <w:pPr>
      <w:numPr>
        <w:numId w:val="26"/>
      </w:numPr>
    </w:pPr>
    <w:rPr>
      <w:szCs w:val="20"/>
      <w:lang w:eastAsia="de-DE"/>
    </w:rPr>
  </w:style>
  <w:style w:type="paragraph" w:customStyle="1" w:styleId="ListBullet1">
    <w:name w:val="List Bullet 1"/>
    <w:basedOn w:val="Normal"/>
    <w:pPr>
      <w:numPr>
        <w:numId w:val="18"/>
      </w:numPr>
    </w:pPr>
    <w:rPr>
      <w:szCs w:val="20"/>
      <w:lang w:eastAsia="de-DE"/>
    </w:rPr>
  </w:style>
  <w:style w:type="paragraph" w:customStyle="1" w:styleId="ListDash">
    <w:name w:val="List Dash"/>
    <w:basedOn w:val="Normal"/>
    <w:pPr>
      <w:numPr>
        <w:numId w:val="19"/>
      </w:numPr>
    </w:pPr>
    <w:rPr>
      <w:szCs w:val="20"/>
      <w:lang w:eastAsia="de-DE"/>
    </w:rPr>
  </w:style>
  <w:style w:type="paragraph" w:customStyle="1" w:styleId="ListDash1">
    <w:name w:val="List Dash 1"/>
    <w:basedOn w:val="Normal"/>
    <w:pPr>
      <w:numPr>
        <w:numId w:val="20"/>
      </w:numPr>
    </w:pPr>
    <w:rPr>
      <w:szCs w:val="20"/>
      <w:lang w:eastAsia="de-DE"/>
    </w:rPr>
  </w:style>
  <w:style w:type="paragraph" w:customStyle="1" w:styleId="ListDash2">
    <w:name w:val="List Dash 2"/>
    <w:basedOn w:val="Normal"/>
    <w:pPr>
      <w:numPr>
        <w:numId w:val="21"/>
      </w:numPr>
    </w:pPr>
    <w:rPr>
      <w:szCs w:val="20"/>
      <w:lang w:eastAsia="de-DE"/>
    </w:rPr>
  </w:style>
  <w:style w:type="paragraph" w:customStyle="1" w:styleId="ListDash3">
    <w:name w:val="List Dash 3"/>
    <w:basedOn w:val="Normal"/>
    <w:pPr>
      <w:numPr>
        <w:numId w:val="22"/>
      </w:numPr>
    </w:pPr>
    <w:rPr>
      <w:szCs w:val="20"/>
      <w:lang w:eastAsia="de-DE"/>
    </w:rPr>
  </w:style>
  <w:style w:type="paragraph" w:customStyle="1" w:styleId="ListDash4">
    <w:name w:val="List Dash 4"/>
    <w:basedOn w:val="Normal"/>
    <w:pPr>
      <w:numPr>
        <w:numId w:val="23"/>
      </w:numPr>
    </w:pPr>
    <w:rPr>
      <w:szCs w:val="20"/>
      <w:lang w:eastAsia="de-DE"/>
    </w:rPr>
  </w:style>
  <w:style w:type="paragraph" w:customStyle="1" w:styleId="ListNumber1">
    <w:name w:val="List Number 1"/>
    <w:basedOn w:val="Text1"/>
    <w:pPr>
      <w:numPr>
        <w:numId w:val="24"/>
      </w:numPr>
    </w:pPr>
    <w:rPr>
      <w:szCs w:val="20"/>
      <w:lang w:eastAsia="de-DE"/>
    </w:rPr>
  </w:style>
  <w:style w:type="paragraph" w:customStyle="1" w:styleId="ListNumberLevel2">
    <w:name w:val="List Number (Level 2)"/>
    <w:basedOn w:val="Normal"/>
    <w:pPr>
      <w:numPr>
        <w:ilvl w:val="1"/>
        <w:numId w:val="29"/>
      </w:numPr>
    </w:pPr>
    <w:rPr>
      <w:szCs w:val="20"/>
      <w:lang w:eastAsia="de-DE"/>
    </w:rPr>
  </w:style>
  <w:style w:type="paragraph" w:customStyle="1" w:styleId="ListNumber1Level2">
    <w:name w:val="List Number 1 (Level 2)"/>
    <w:basedOn w:val="Text1"/>
    <w:pPr>
      <w:numPr>
        <w:ilvl w:val="1"/>
        <w:numId w:val="24"/>
      </w:numPr>
    </w:pPr>
    <w:rPr>
      <w:szCs w:val="20"/>
      <w:lang w:eastAsia="de-DE"/>
    </w:rPr>
  </w:style>
  <w:style w:type="paragraph" w:customStyle="1" w:styleId="ListNumber2Level2">
    <w:name w:val="List Number 2 (Level 2)"/>
    <w:basedOn w:val="Text2"/>
    <w:pPr>
      <w:numPr>
        <w:ilvl w:val="1"/>
        <w:numId w:val="28"/>
      </w:numPr>
    </w:pPr>
    <w:rPr>
      <w:szCs w:val="20"/>
      <w:lang w:eastAsia="de-DE"/>
    </w:rPr>
  </w:style>
  <w:style w:type="paragraph" w:customStyle="1" w:styleId="ListNumber3Level2">
    <w:name w:val="List Number 3 (Level 2)"/>
    <w:basedOn w:val="Text3"/>
    <w:pPr>
      <w:numPr>
        <w:ilvl w:val="1"/>
        <w:numId w:val="27"/>
      </w:numPr>
    </w:pPr>
    <w:rPr>
      <w:szCs w:val="20"/>
      <w:lang w:eastAsia="de-DE"/>
    </w:rPr>
  </w:style>
  <w:style w:type="paragraph" w:customStyle="1" w:styleId="ListNumber4Level2">
    <w:name w:val="List Number 4 (Level 2)"/>
    <w:basedOn w:val="Text4"/>
    <w:pPr>
      <w:numPr>
        <w:ilvl w:val="1"/>
        <w:numId w:val="26"/>
      </w:numPr>
    </w:pPr>
    <w:rPr>
      <w:szCs w:val="20"/>
      <w:lang w:eastAsia="de-DE"/>
    </w:rPr>
  </w:style>
  <w:style w:type="paragraph" w:customStyle="1" w:styleId="ListNumberLevel3">
    <w:name w:val="List Number (Level 3)"/>
    <w:basedOn w:val="Normal"/>
    <w:pPr>
      <w:numPr>
        <w:ilvl w:val="2"/>
        <w:numId w:val="29"/>
      </w:numPr>
    </w:pPr>
    <w:rPr>
      <w:szCs w:val="20"/>
      <w:lang w:eastAsia="de-DE"/>
    </w:rPr>
  </w:style>
  <w:style w:type="paragraph" w:customStyle="1" w:styleId="ListNumber1Level3">
    <w:name w:val="List Number 1 (Level 3)"/>
    <w:basedOn w:val="Text1"/>
    <w:pPr>
      <w:numPr>
        <w:ilvl w:val="2"/>
        <w:numId w:val="24"/>
      </w:numPr>
    </w:pPr>
    <w:rPr>
      <w:szCs w:val="20"/>
      <w:lang w:eastAsia="de-DE"/>
    </w:rPr>
  </w:style>
  <w:style w:type="paragraph" w:customStyle="1" w:styleId="ListNumber2Level3">
    <w:name w:val="List Number 2 (Level 3)"/>
    <w:basedOn w:val="Text2"/>
    <w:pPr>
      <w:numPr>
        <w:ilvl w:val="2"/>
        <w:numId w:val="28"/>
      </w:numPr>
    </w:pPr>
    <w:rPr>
      <w:szCs w:val="20"/>
      <w:lang w:eastAsia="de-DE"/>
    </w:rPr>
  </w:style>
  <w:style w:type="paragraph" w:customStyle="1" w:styleId="ListNumber3Level3">
    <w:name w:val="List Number 3 (Level 3)"/>
    <w:basedOn w:val="Text3"/>
    <w:pPr>
      <w:numPr>
        <w:ilvl w:val="2"/>
        <w:numId w:val="27"/>
      </w:numPr>
    </w:pPr>
    <w:rPr>
      <w:szCs w:val="20"/>
      <w:lang w:eastAsia="de-DE"/>
    </w:rPr>
  </w:style>
  <w:style w:type="paragraph" w:customStyle="1" w:styleId="ListNumber4Level3">
    <w:name w:val="List Number 4 (Level 3)"/>
    <w:basedOn w:val="Text4"/>
    <w:pPr>
      <w:numPr>
        <w:ilvl w:val="2"/>
        <w:numId w:val="26"/>
      </w:numPr>
    </w:pPr>
    <w:rPr>
      <w:szCs w:val="20"/>
      <w:lang w:eastAsia="de-DE"/>
    </w:rPr>
  </w:style>
  <w:style w:type="paragraph" w:customStyle="1" w:styleId="ListNumberLevel4">
    <w:name w:val="List Number (Level 4)"/>
    <w:basedOn w:val="Normal"/>
    <w:pPr>
      <w:numPr>
        <w:ilvl w:val="3"/>
        <w:numId w:val="29"/>
      </w:numPr>
    </w:pPr>
    <w:rPr>
      <w:szCs w:val="20"/>
      <w:lang w:eastAsia="de-DE"/>
    </w:rPr>
  </w:style>
  <w:style w:type="paragraph" w:customStyle="1" w:styleId="ListNumber1Level4">
    <w:name w:val="List Number 1 (Level 4)"/>
    <w:basedOn w:val="Text1"/>
    <w:pPr>
      <w:numPr>
        <w:ilvl w:val="3"/>
        <w:numId w:val="24"/>
      </w:numPr>
    </w:pPr>
    <w:rPr>
      <w:szCs w:val="20"/>
      <w:lang w:eastAsia="de-DE"/>
    </w:rPr>
  </w:style>
  <w:style w:type="paragraph" w:customStyle="1" w:styleId="ListNumber2Level4">
    <w:name w:val="List Number 2 (Level 4)"/>
    <w:basedOn w:val="Text2"/>
    <w:pPr>
      <w:numPr>
        <w:ilvl w:val="3"/>
        <w:numId w:val="28"/>
      </w:numPr>
    </w:pPr>
    <w:rPr>
      <w:szCs w:val="20"/>
      <w:lang w:eastAsia="de-DE"/>
    </w:rPr>
  </w:style>
  <w:style w:type="paragraph" w:customStyle="1" w:styleId="ListNumber3Level4">
    <w:name w:val="List Number 3 (Level 4)"/>
    <w:basedOn w:val="Text3"/>
    <w:pPr>
      <w:numPr>
        <w:ilvl w:val="3"/>
        <w:numId w:val="27"/>
      </w:numPr>
    </w:pPr>
    <w:rPr>
      <w:szCs w:val="20"/>
      <w:lang w:eastAsia="de-DE"/>
    </w:rPr>
  </w:style>
  <w:style w:type="paragraph" w:customStyle="1" w:styleId="ListNumber4Level4">
    <w:name w:val="List Number 4 (Level 4)"/>
    <w:basedOn w:val="Text4"/>
    <w:pPr>
      <w:numPr>
        <w:ilvl w:val="3"/>
        <w:numId w:val="26"/>
      </w:numPr>
    </w:pPr>
    <w:rPr>
      <w:szCs w:val="20"/>
      <w:lang w:eastAsia="de-DE"/>
    </w:rPr>
  </w:style>
  <w:style w:type="paragraph" w:customStyle="1" w:styleId="Annexetitreacte">
    <w:name w:val="Annexe titre (acte)"/>
    <w:basedOn w:val="Normal"/>
    <w:next w:val="Normal"/>
    <w:pPr>
      <w:jc w:val="center"/>
    </w:pPr>
    <w:rPr>
      <w:b/>
      <w:szCs w:val="20"/>
      <w:u w:val="single"/>
      <w:lang w:eastAsia="de-DE"/>
    </w:rPr>
  </w:style>
  <w:style w:type="paragraph" w:customStyle="1" w:styleId="Annexetitreexposglobal">
    <w:name w:val="Annexe titre (exposé global)"/>
    <w:basedOn w:val="Normal"/>
    <w:next w:val="Normal"/>
    <w:pPr>
      <w:jc w:val="center"/>
    </w:pPr>
    <w:rPr>
      <w:b/>
      <w:szCs w:val="20"/>
      <w:u w:val="single"/>
      <w:lang w:eastAsia="de-DE"/>
    </w:rPr>
  </w:style>
  <w:style w:type="paragraph" w:customStyle="1" w:styleId="Annexetitrefichefinacte">
    <w:name w:val="Annexe titre (fiche fin. acte)"/>
    <w:basedOn w:val="Normal"/>
    <w:next w:val="Normal"/>
    <w:pPr>
      <w:jc w:val="center"/>
    </w:pPr>
    <w:rPr>
      <w:b/>
      <w:szCs w:val="20"/>
      <w:u w:val="single"/>
      <w:lang w:eastAsia="de-DE"/>
    </w:rPr>
  </w:style>
  <w:style w:type="paragraph" w:customStyle="1" w:styleId="Annexetitrefichefinglobale">
    <w:name w:val="Annexe titre (fiche fin. globale)"/>
    <w:basedOn w:val="Normal"/>
    <w:next w:val="Normal"/>
    <w:pPr>
      <w:jc w:val="center"/>
    </w:pPr>
    <w:rPr>
      <w:b/>
      <w:szCs w:val="20"/>
      <w:u w:val="single"/>
      <w:lang w:eastAsia="de-DE"/>
    </w:rPr>
  </w:style>
  <w:style w:type="paragraph" w:customStyle="1" w:styleId="Annexetitreglobale">
    <w:name w:val="Annexe titre (globale)"/>
    <w:basedOn w:val="Normal"/>
    <w:next w:val="Normal"/>
    <w:pPr>
      <w:jc w:val="center"/>
    </w:pPr>
    <w:rPr>
      <w:b/>
      <w:szCs w:val="20"/>
      <w:u w:val="single"/>
      <w:lang w:eastAsia="de-DE"/>
    </w:rPr>
  </w:style>
  <w:style w:type="paragraph" w:customStyle="1" w:styleId="Rfrenceinstitutionelle">
    <w:name w:val="Référence institutionelle"/>
    <w:basedOn w:val="Normal"/>
    <w:next w:val="Statut"/>
    <w:pPr>
      <w:spacing w:before="0" w:after="240"/>
      <w:ind w:left="5103"/>
      <w:jc w:val="left"/>
    </w:pPr>
    <w:rPr>
      <w:szCs w:val="20"/>
      <w:lang w:eastAsia="de-DE"/>
    </w:rPr>
  </w:style>
  <w:style w:type="paragraph" w:customStyle="1" w:styleId="Exposdesmotifstitreglobal">
    <w:name w:val="Exposé des motifs titre (global)"/>
    <w:basedOn w:val="Normal"/>
    <w:next w:val="Normal"/>
    <w:pPr>
      <w:jc w:val="center"/>
    </w:pPr>
    <w:rPr>
      <w:b/>
      <w:szCs w:val="20"/>
      <w:u w:val="single"/>
      <w:lang w:eastAsia="de-DE"/>
    </w:rPr>
  </w:style>
  <w:style w:type="paragraph" w:customStyle="1" w:styleId="Langueoriginale">
    <w:name w:val="Langue originale"/>
    <w:basedOn w:val="Normal"/>
    <w:next w:val="Phrasefinale"/>
    <w:pPr>
      <w:spacing w:before="360"/>
      <w:jc w:val="center"/>
    </w:pPr>
    <w:rPr>
      <w:caps/>
      <w:szCs w:val="20"/>
      <w:lang w:eastAsia="de-DE"/>
    </w:rPr>
  </w:style>
  <w:style w:type="paragraph" w:customStyle="1" w:styleId="Phrasefinale">
    <w:name w:val="Phrase finale"/>
    <w:basedOn w:val="Normal"/>
    <w:next w:val="Normal"/>
    <w:pPr>
      <w:spacing w:before="360" w:after="0"/>
      <w:jc w:val="center"/>
    </w:pPr>
    <w:rPr>
      <w:szCs w:val="20"/>
      <w:lang w:eastAsia="de-DE"/>
    </w:rPr>
  </w:style>
  <w:style w:type="paragraph" w:customStyle="1" w:styleId="Prliminairetitre">
    <w:name w:val="Préliminaire titre"/>
    <w:basedOn w:val="Normal"/>
    <w:next w:val="Normal"/>
    <w:pPr>
      <w:spacing w:before="360" w:after="360"/>
      <w:jc w:val="center"/>
    </w:pPr>
    <w:rPr>
      <w:b/>
      <w:szCs w:val="20"/>
      <w:lang w:eastAsia="de-DE"/>
    </w:rPr>
  </w:style>
  <w:style w:type="paragraph" w:customStyle="1" w:styleId="Prliminairetype">
    <w:name w:val="Préliminaire type"/>
    <w:basedOn w:val="Normal"/>
    <w:next w:val="Normal"/>
    <w:pPr>
      <w:spacing w:before="360" w:after="0"/>
      <w:jc w:val="center"/>
    </w:pPr>
    <w:rPr>
      <w:b/>
      <w:szCs w:val="20"/>
      <w:lang w:eastAsia="de-DE"/>
    </w:rPr>
  </w:style>
  <w:style w:type="paragraph" w:customStyle="1" w:styleId="Rfrenceinterinstitutionelle">
    <w:name w:val="Référence interinstitutionelle"/>
    <w:basedOn w:val="Normal"/>
    <w:next w:val="Statut"/>
    <w:pPr>
      <w:spacing w:before="0" w:after="0"/>
      <w:ind w:left="5103"/>
      <w:jc w:val="left"/>
    </w:pPr>
    <w:rPr>
      <w:szCs w:val="20"/>
      <w:lang w:eastAsia="de-DE"/>
    </w:rPr>
  </w:style>
  <w:style w:type="paragraph" w:customStyle="1" w:styleId="Rfrenceinterinstitutionelleprliminaire">
    <w:name w:val="Référence interinstitutionelle (préliminaire)"/>
    <w:basedOn w:val="Normal"/>
    <w:next w:val="Normal"/>
    <w:pPr>
      <w:spacing w:before="0" w:after="0"/>
      <w:ind w:left="5103"/>
      <w:jc w:val="left"/>
    </w:pPr>
    <w:rPr>
      <w:szCs w:val="20"/>
      <w:lang w:eastAsia="de-DE"/>
    </w:rPr>
  </w:style>
  <w:style w:type="paragraph" w:customStyle="1" w:styleId="Sous-titreobjetprliminaire">
    <w:name w:val="Sous-titre objet (préliminaire)"/>
    <w:basedOn w:val="Normal"/>
    <w:pPr>
      <w:spacing w:before="0" w:after="0"/>
      <w:jc w:val="center"/>
    </w:pPr>
    <w:rPr>
      <w:b/>
      <w:szCs w:val="20"/>
      <w:lang w:eastAsia="de-DE"/>
    </w:rPr>
  </w:style>
  <w:style w:type="paragraph" w:customStyle="1" w:styleId="Statutprliminaire">
    <w:name w:val="Statut (préliminaire)"/>
    <w:basedOn w:val="Normal"/>
    <w:next w:val="Normal"/>
    <w:pPr>
      <w:spacing w:before="360" w:after="0"/>
      <w:jc w:val="center"/>
    </w:pPr>
    <w:rPr>
      <w:szCs w:val="20"/>
      <w:lang w:eastAsia="de-DE"/>
    </w:rPr>
  </w:style>
  <w:style w:type="paragraph" w:customStyle="1" w:styleId="Titreobjetprliminaire">
    <w:name w:val="Titre objet (préliminaire)"/>
    <w:basedOn w:val="Normal"/>
    <w:next w:val="Normal"/>
    <w:pPr>
      <w:spacing w:before="360" w:after="360"/>
      <w:jc w:val="center"/>
    </w:pPr>
    <w:rPr>
      <w:b/>
      <w:szCs w:val="20"/>
      <w:lang w:eastAsia="de-DE"/>
    </w:rPr>
  </w:style>
  <w:style w:type="paragraph" w:customStyle="1" w:styleId="Typedudocumentprliminaire">
    <w:name w:val="Type du document (préliminaire)"/>
    <w:basedOn w:val="Normal"/>
    <w:next w:val="Normal"/>
    <w:pPr>
      <w:spacing w:before="360" w:after="0"/>
      <w:jc w:val="center"/>
    </w:pPr>
    <w:rPr>
      <w:b/>
      <w:szCs w:val="20"/>
      <w:lang w:eastAsia="de-DE"/>
    </w:rPr>
  </w:style>
  <w:style w:type="paragraph" w:customStyle="1" w:styleId="Fichefinancirestandardtitre">
    <w:name w:val="Fiche financière (standard) titre"/>
    <w:basedOn w:val="Normal"/>
    <w:next w:val="Normal"/>
    <w:pPr>
      <w:jc w:val="center"/>
    </w:pPr>
    <w:rPr>
      <w:b/>
      <w:szCs w:val="20"/>
      <w:u w:val="single"/>
      <w:lang w:eastAsia="de-DE"/>
    </w:rPr>
  </w:style>
  <w:style w:type="paragraph" w:customStyle="1" w:styleId="Fichefinancirestandardtitreacte">
    <w:name w:val="Fiche financière (standard) titre (acte)"/>
    <w:basedOn w:val="Normal"/>
    <w:next w:val="Normal"/>
    <w:pPr>
      <w:jc w:val="center"/>
    </w:pPr>
    <w:rPr>
      <w:b/>
      <w:szCs w:val="20"/>
      <w:u w:val="single"/>
      <w:lang w:eastAsia="de-DE"/>
    </w:rPr>
  </w:style>
  <w:style w:type="paragraph" w:customStyle="1" w:styleId="Fichefinanciretravailtitre">
    <w:name w:val="Fiche financière (travail) titre"/>
    <w:basedOn w:val="Normal"/>
    <w:next w:val="Normal"/>
    <w:pPr>
      <w:jc w:val="center"/>
    </w:pPr>
    <w:rPr>
      <w:b/>
      <w:szCs w:val="20"/>
      <w:u w:val="single"/>
      <w:lang w:eastAsia="de-DE"/>
    </w:rPr>
  </w:style>
  <w:style w:type="paragraph" w:customStyle="1" w:styleId="Fichefinanciretravailtitreacte">
    <w:name w:val="Fiche financière (travail) titre (acte)"/>
    <w:basedOn w:val="Normal"/>
    <w:next w:val="Normal"/>
    <w:pPr>
      <w:jc w:val="center"/>
    </w:pPr>
    <w:rPr>
      <w:b/>
      <w:szCs w:val="20"/>
      <w:u w:val="single"/>
      <w:lang w:eastAsia="de-DE"/>
    </w:rPr>
  </w:style>
  <w:style w:type="paragraph" w:customStyle="1" w:styleId="Fichefinancireattributiontitre">
    <w:name w:val="Fiche financière (attribution) titre"/>
    <w:basedOn w:val="Normal"/>
    <w:next w:val="Normal"/>
    <w:pPr>
      <w:jc w:val="center"/>
    </w:pPr>
    <w:rPr>
      <w:b/>
      <w:szCs w:val="20"/>
      <w:u w:val="single"/>
      <w:lang w:eastAsia="de-DE"/>
    </w:rPr>
  </w:style>
  <w:style w:type="paragraph" w:customStyle="1" w:styleId="Fichefinancireattributiontitreacte">
    <w:name w:val="Fiche financière (attribution) titre (acte)"/>
    <w:basedOn w:val="Normal"/>
    <w:next w:val="Normal"/>
    <w:pPr>
      <w:jc w:val="center"/>
    </w:pPr>
    <w:rPr>
      <w:b/>
      <w:szCs w:val="20"/>
      <w:u w:val="single"/>
      <w:lang w:eastAsia="de-DE"/>
    </w:rPr>
  </w:style>
  <w:style w:type="character" w:styleId="Hyperlink">
    <w:name w:val="Hyperlink"/>
    <w:uiPriority w:val="99"/>
    <w:rPr>
      <w:noProof/>
      <w:color w:val="0000FF"/>
      <w:u w:val="single"/>
    </w:rPr>
  </w:style>
  <w:style w:type="character" w:styleId="EndnoteReference">
    <w:name w:val="endnote reference"/>
    <w:uiPriority w:val="99"/>
    <w:rPr>
      <w:rFonts w:cs="Times New Roman"/>
      <w:shd w:val="clear" w:color="auto" w:fill="auto"/>
      <w:vertAlign w:val="superscript"/>
    </w:rPr>
  </w:style>
  <w:style w:type="paragraph" w:styleId="BodyText">
    <w:name w:val="Body Text"/>
    <w:basedOn w:val="Normal"/>
    <w:link w:val="BodyTextChar"/>
    <w:uiPriority w:val="99"/>
    <w:pPr>
      <w:tabs>
        <w:tab w:val="left" w:pos="3960"/>
      </w:tabs>
      <w:spacing w:before="0" w:after="240"/>
      <w:jc w:val="left"/>
    </w:pPr>
    <w:rPr>
      <w:rFonts w:ascii="Palatino Linotype" w:hAnsi="Palatino Linotype" w:cs="Arial"/>
      <w:sz w:val="22"/>
      <w:szCs w:val="20"/>
      <w:lang w:eastAsia="de-DE"/>
    </w:rPr>
  </w:style>
  <w:style w:type="character" w:customStyle="1" w:styleId="BodyTextChar">
    <w:name w:val="Body Text Char"/>
    <w:link w:val="BodyText"/>
    <w:uiPriority w:val="99"/>
    <w:rPr>
      <w:rFonts w:ascii="Palatino Linotype" w:hAnsi="Palatino Linotype" w:cs="Arial"/>
      <w:sz w:val="22"/>
      <w:shd w:val="clear" w:color="auto" w:fill="auto"/>
      <w:lang w:eastAsia="de-DE"/>
    </w:rPr>
  </w:style>
  <w:style w:type="character" w:styleId="Strong">
    <w:name w:val="Strong"/>
    <w:uiPriority w:val="22"/>
    <w:qFormat/>
    <w:rPr>
      <w:rFonts w:cs="Times New Roman"/>
      <w:b/>
      <w:bCs/>
      <w:shd w:val="clear" w:color="auto" w:fill="auto"/>
    </w:rPr>
  </w:style>
  <w:style w:type="paragraph" w:customStyle="1" w:styleId="5Normal">
    <w:name w:val="5 Normal"/>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76" w:lineRule="auto"/>
      <w:jc w:val="both"/>
    </w:pPr>
    <w:rPr>
      <w:rFonts w:ascii="Arial" w:hAnsi="Arial"/>
      <w:spacing w:val="-2"/>
      <w:sz w:val="22"/>
      <w:szCs w:val="22"/>
    </w:rPr>
  </w:style>
  <w:style w:type="paragraph" w:styleId="NormalWeb">
    <w:name w:val="Normal (Web)"/>
    <w:aliases w:val="webb"/>
    <w:basedOn w:val="Normal"/>
    <w:uiPriority w:val="99"/>
    <w:pPr>
      <w:spacing w:before="150" w:after="150"/>
      <w:ind w:left="675" w:right="525"/>
      <w:jc w:val="left"/>
    </w:pPr>
    <w:rPr>
      <w:sz w:val="19"/>
      <w:szCs w:val="19"/>
      <w:lang w:eastAsia="en-GB"/>
    </w:rPr>
  </w:style>
  <w:style w:type="paragraph" w:customStyle="1" w:styleId="Tyret1">
    <w:name w:val="Tyret 1"/>
    <w:basedOn w:val="ListDash"/>
    <w:pPr>
      <w:numPr>
        <w:numId w:val="25"/>
      </w:numPr>
      <w:tabs>
        <w:tab w:val="num" w:pos="1134"/>
      </w:tabs>
      <w:ind w:left="1134"/>
    </w:pPr>
  </w:style>
  <w:style w:type="character" w:styleId="FollowedHyperlink">
    <w:name w:val="FollowedHyperlink"/>
    <w:uiPriority w:val="99"/>
    <w:rPr>
      <w:rFonts w:cs="Times New Roman"/>
      <w:color w:val="800080"/>
      <w:u w:val="single"/>
      <w:shd w:val="clear" w:color="auto" w:fill="auto"/>
    </w:rPr>
  </w:style>
  <w:style w:type="paragraph" w:customStyle="1" w:styleId="4Chapeau">
    <w:name w:val="4 Chapeau"/>
    <w:basedOn w:val="Normal"/>
    <w:next w:val="Normal"/>
    <w:autoRedefin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600" w:after="240"/>
    </w:pPr>
    <w:rPr>
      <w:szCs w:val="20"/>
      <w:lang w:eastAsia="en-GB"/>
    </w:rPr>
  </w:style>
  <w:style w:type="paragraph" w:customStyle="1" w:styleId="Default">
    <w:name w:val="Default"/>
    <w:pPr>
      <w:autoSpaceDE w:val="0"/>
      <w:autoSpaceDN w:val="0"/>
      <w:adjustRightInd w:val="0"/>
      <w:spacing w:after="200" w:line="276" w:lineRule="auto"/>
    </w:pPr>
    <w:rPr>
      <w:rFonts w:ascii="EUAlbertina" w:hAnsi="EUAlbertina" w:cs="EUAlbertina"/>
      <w:color w:val="000000"/>
      <w:sz w:val="24"/>
      <w:szCs w:val="24"/>
    </w:rPr>
  </w:style>
  <w:style w:type="table" w:styleId="TableGrid">
    <w:name w:val="Table Grid"/>
    <w:basedOn w:val="TableNormal"/>
    <w:uiPriority w:val="59"/>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Default"/>
    <w:next w:val="Default"/>
    <w:uiPriority w:val="99"/>
    <w:rPr>
      <w:rFonts w:cs="Times New Roman"/>
      <w:color w:val="auto"/>
    </w:rPr>
  </w:style>
  <w:style w:type="paragraph" w:customStyle="1" w:styleId="CM1">
    <w:name w:val="CM1"/>
    <w:basedOn w:val="Default"/>
    <w:next w:val="Default"/>
    <w:uiPriority w:val="99"/>
    <w:rPr>
      <w:rFonts w:cs="Times New Roman"/>
      <w:color w:val="auto"/>
    </w:rPr>
  </w:style>
  <w:style w:type="paragraph" w:customStyle="1" w:styleId="CM3">
    <w:name w:val="CM3"/>
    <w:basedOn w:val="Default"/>
    <w:next w:val="Default"/>
    <w:uiPriority w:val="99"/>
    <w:rPr>
      <w:rFonts w:cs="Times New Roman"/>
      <w:color w:val="auto"/>
    </w:rPr>
  </w:style>
  <w:style w:type="character" w:styleId="CommentReference">
    <w:name w:val="annotation reference"/>
    <w:uiPriority w:val="99"/>
    <w:rPr>
      <w:sz w:val="16"/>
      <w:szCs w:val="16"/>
      <w:shd w:val="clear" w:color="auto" w:fill="auto"/>
    </w:rPr>
  </w:style>
  <w:style w:type="paragraph" w:styleId="CommentText">
    <w:name w:val="annotation text"/>
    <w:basedOn w:val="Normal"/>
    <w:link w:val="CommentTextChar1"/>
    <w:uiPriority w:val="99"/>
    <w:rPr>
      <w:sz w:val="20"/>
      <w:szCs w:val="20"/>
      <w:lang w:eastAsia="en-GB"/>
    </w:rPr>
  </w:style>
  <w:style w:type="character" w:customStyle="1" w:styleId="CommentTextChar">
    <w:name w:val="Comment Text Char"/>
    <w:uiPriority w:val="99"/>
    <w:rPr>
      <w:shd w:val="clear" w:color="auto" w:fill="auto"/>
      <w:lang w:eastAsia="en-US"/>
    </w:rPr>
  </w:style>
  <w:style w:type="paragraph" w:styleId="CommentSubject">
    <w:name w:val="annotation subject"/>
    <w:basedOn w:val="Normal"/>
    <w:next w:val="CommentText"/>
    <w:link w:val="CommentSubjectChar"/>
    <w:uiPriority w:val="99"/>
    <w:rPr>
      <w:b/>
      <w:bCs/>
      <w:szCs w:val="20"/>
      <w:lang w:eastAsia="en-GB"/>
    </w:rPr>
  </w:style>
  <w:style w:type="character" w:customStyle="1" w:styleId="CommentSubjectChar">
    <w:name w:val="Comment Subject Char"/>
    <w:link w:val="CommentSubject"/>
    <w:uiPriority w:val="99"/>
    <w:rPr>
      <w:b/>
      <w:bCs/>
      <w:sz w:val="24"/>
      <w:shd w:val="clear" w:color="auto" w:fill="auto"/>
      <w:lang w:eastAsia="en-US"/>
    </w:rPr>
  </w:style>
  <w:style w:type="paragraph" w:styleId="BalloonText">
    <w:name w:val="Balloon Text"/>
    <w:basedOn w:val="Normal"/>
    <w:link w:val="BalloonTextChar"/>
    <w:uiPriority w:val="99"/>
    <w:rPr>
      <w:rFonts w:ascii="Tahoma" w:hAnsi="Tahoma" w:cs="Tahoma"/>
      <w:sz w:val="16"/>
      <w:szCs w:val="16"/>
      <w:lang w:eastAsia="en-GB"/>
    </w:rPr>
  </w:style>
  <w:style w:type="character" w:customStyle="1" w:styleId="BalloonTextChar">
    <w:name w:val="Balloon Text Char"/>
    <w:link w:val="BalloonText"/>
    <w:uiPriority w:val="99"/>
    <w:rPr>
      <w:rFonts w:ascii="Tahoma" w:hAnsi="Tahoma" w:cs="Tahoma"/>
      <w:sz w:val="16"/>
      <w:szCs w:val="16"/>
      <w:shd w:val="clear" w:color="auto" w:fill="auto"/>
    </w:rPr>
  </w:style>
  <w:style w:type="paragraph" w:styleId="Caption">
    <w:name w:val="caption"/>
    <w:aliases w:val="Beschriftung_tab,tab_überschrift Char,Tab_Überschrift,tab_überschrift"/>
    <w:basedOn w:val="Normal"/>
    <w:next w:val="Normal"/>
    <w:uiPriority w:val="35"/>
    <w:qFormat/>
    <w:rPr>
      <w:b/>
      <w:bCs/>
      <w:sz w:val="20"/>
      <w:szCs w:val="20"/>
      <w:lang w:eastAsia="en-GB"/>
    </w:rPr>
  </w:style>
  <w:style w:type="paragraph" w:styleId="TableofFigures">
    <w:name w:val="table of figures"/>
    <w:basedOn w:val="Normal"/>
    <w:next w:val="Normal"/>
    <w:uiPriority w:val="99"/>
    <w:rPr>
      <w:szCs w:val="20"/>
      <w:lang w:eastAsia="en-GB"/>
    </w:rPr>
  </w:style>
  <w:style w:type="paragraph" w:customStyle="1" w:styleId="Pa14">
    <w:name w:val="Pa14"/>
    <w:basedOn w:val="Default"/>
    <w:next w:val="Default"/>
    <w:pPr>
      <w:spacing w:line="201" w:lineRule="atLeast"/>
    </w:pPr>
    <w:rPr>
      <w:rFonts w:ascii="Palatino Linotype" w:hAnsi="Palatino Linotype" w:cs="Times New Roman"/>
      <w:color w:val="auto"/>
    </w:rPr>
  </w:style>
  <w:style w:type="character" w:customStyle="1" w:styleId="A10">
    <w:name w:val="A10"/>
    <w:rPr>
      <w:rFonts w:cs="Palatino Linotype"/>
      <w:color w:val="000000"/>
      <w:sz w:val="11"/>
      <w:szCs w:val="11"/>
    </w:rPr>
  </w:style>
  <w:style w:type="paragraph" w:styleId="Revision">
    <w:name w:val="Revision"/>
    <w:hidden/>
    <w:uiPriority w:val="99"/>
    <w:semiHidden/>
    <w:pPr>
      <w:spacing w:after="200" w:line="276" w:lineRule="auto"/>
    </w:pPr>
    <w:rPr>
      <w:sz w:val="24"/>
      <w:szCs w:val="24"/>
      <w:lang w:eastAsia="en-US"/>
    </w:rPr>
  </w:style>
  <w:style w:type="paragraph" w:styleId="ListParagraph">
    <w:name w:val="List Paragraph"/>
    <w:aliases w:val="Heading 2_sj"/>
    <w:basedOn w:val="Normal"/>
    <w:link w:val="ListParagraphChar"/>
    <w:uiPriority w:val="34"/>
    <w:qFormat/>
    <w:pPr>
      <w:spacing w:before="0" w:after="0"/>
      <w:ind w:left="720"/>
      <w:jc w:val="left"/>
    </w:pPr>
    <w:rPr>
      <w:rFonts w:ascii="Calibri" w:eastAsia="Calibri" w:hAnsi="Calibri" w:cs="Calibri"/>
      <w:sz w:val="22"/>
      <w:szCs w:val="20"/>
      <w:lang w:eastAsia="en-GB"/>
    </w:rPr>
  </w:style>
  <w:style w:type="paragraph" w:customStyle="1" w:styleId="astandard3520normal">
    <w:name w:val="a_standard__35__20_normal"/>
    <w:basedOn w:val="Normal"/>
    <w:pPr>
      <w:spacing w:before="0"/>
      <w:ind w:right="57"/>
    </w:pPr>
    <w:rPr>
      <w:szCs w:val="20"/>
      <w:lang w:eastAsia="en-GB"/>
    </w:rPr>
  </w:style>
  <w:style w:type="paragraph" w:customStyle="1" w:styleId="astandardsous-titre201">
    <w:name w:val="a_standard_sous-titre_20_1"/>
    <w:basedOn w:val="Normal"/>
    <w:pPr>
      <w:spacing w:before="240" w:after="80"/>
      <w:ind w:right="57"/>
      <w:jc w:val="left"/>
    </w:pPr>
    <w:rPr>
      <w:b/>
      <w:bCs/>
      <w:szCs w:val="20"/>
      <w:lang w:eastAsia="en-GB"/>
    </w:rPr>
  </w:style>
  <w:style w:type="paragraph" w:customStyle="1" w:styleId="a3520normalp9">
    <w:name w:val="a__35__20_normal_p9"/>
    <w:basedOn w:val="Normal"/>
    <w:pPr>
      <w:spacing w:before="0"/>
      <w:ind w:right="57"/>
    </w:pPr>
    <w:rPr>
      <w:szCs w:val="20"/>
      <w:lang w:eastAsia="en-GB"/>
    </w:rPr>
  </w:style>
  <w:style w:type="character" w:customStyle="1" w:styleId="at12">
    <w:name w:val="a__t12"/>
    <w:rPr>
      <w:i/>
      <w:iCs/>
    </w:rPr>
  </w:style>
  <w:style w:type="character" w:customStyle="1" w:styleId="at61">
    <w:name w:val="a__t61"/>
    <w:rPr>
      <w:b/>
      <w:bCs/>
    </w:rPr>
  </w:style>
  <w:style w:type="character" w:customStyle="1" w:styleId="at8">
    <w:name w:val="a__t8"/>
  </w:style>
  <w:style w:type="character" w:customStyle="1" w:styleId="afootnote20symbol1">
    <w:name w:val="a__footnote_20_symbol1"/>
    <w:rPr>
      <w:b/>
      <w:bCs/>
    </w:rPr>
  </w:style>
  <w:style w:type="character" w:customStyle="1" w:styleId="CommentTextChar1">
    <w:name w:val="Comment Text Char1"/>
    <w:link w:val="CommentText"/>
    <w:uiPriority w:val="99"/>
  </w:style>
  <w:style w:type="paragraph" w:styleId="EndnoteText">
    <w:name w:val="endnote text"/>
    <w:basedOn w:val="Normal"/>
    <w:link w:val="EndnoteTextChar"/>
    <w:uiPriority w:val="99"/>
    <w:rPr>
      <w:sz w:val="20"/>
      <w:szCs w:val="20"/>
      <w:lang w:eastAsia="en-GB"/>
    </w:rPr>
  </w:style>
  <w:style w:type="character" w:customStyle="1" w:styleId="EndnoteTextChar">
    <w:name w:val="Endnote Text Char"/>
    <w:link w:val="EndnoteText"/>
    <w:uiPriority w:val="99"/>
    <w:rPr>
      <w:shd w:val="clear" w:color="auto" w:fill="auto"/>
    </w:rPr>
  </w:style>
  <w:style w:type="character" w:customStyle="1" w:styleId="FootnoteTextChar3">
    <w:name w:val="Footnote Text Char3"/>
    <w:aliases w:val="Footnote Char2,-E Fußnotentext Char2,Fußnotentext Ursprung Char2,Fußnote Char2,footnote text Char2,(Diplomarbeit) Char,(Diplomarbeit)1 Char,(Diplomarbeit)2 Char,(Diplomarbeit)3 Char,(Diplomarbeit)4 Char,(Diplomarbeit)5 Char"/>
    <w:locked/>
    <w:rPr>
      <w:rFonts w:ascii="Verdana" w:eastAsia="Times New Roman" w:hAnsi="Verdana"/>
      <w:sz w:val="16"/>
      <w:lang w:eastAsia="en-US"/>
    </w:rPr>
  </w:style>
  <w:style w:type="character" w:customStyle="1" w:styleId="Text1Char">
    <w:name w:val="Text 1 Char"/>
    <w:rPr>
      <w:sz w:val="24"/>
      <w:szCs w:val="24"/>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link w:val="FooterCoverPage"/>
    <w:rPr>
      <w:sz w:val="24"/>
      <w:szCs w:val="24"/>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link w:val="HeaderCoverPage"/>
    <w:rPr>
      <w:sz w:val="24"/>
      <w:szCs w:val="24"/>
      <w:lang w:eastAsia="en-US"/>
    </w:rPr>
  </w:style>
  <w:style w:type="numbering" w:customStyle="1" w:styleId="NoList1">
    <w:name w:val="No List1"/>
    <w:next w:val="NoList"/>
    <w:uiPriority w:val="99"/>
    <w:semiHidden/>
    <w:unhideWhenUsed/>
  </w:style>
  <w:style w:type="paragraph" w:customStyle="1" w:styleId="FoonoteText">
    <w:name w:val="Foonote Text"/>
    <w:basedOn w:val="Normal"/>
    <w:autoRedefine/>
    <w:pPr>
      <w:tabs>
        <w:tab w:val="left" w:pos="425"/>
      </w:tabs>
      <w:autoSpaceDE w:val="0"/>
      <w:autoSpaceDN w:val="0"/>
      <w:adjustRightInd w:val="0"/>
      <w:spacing w:before="40" w:after="40"/>
      <w:ind w:left="425" w:hanging="425"/>
    </w:pPr>
    <w:rPr>
      <w:sz w:val="16"/>
      <w:szCs w:val="16"/>
      <w:lang w:eastAsia="en-GB"/>
    </w:rPr>
  </w:style>
  <w:style w:type="character" w:styleId="PageNumber">
    <w:name w:val="page number"/>
    <w:uiPriority w:val="99"/>
    <w:rPr>
      <w:shd w:val="clear" w:color="auto" w:fill="auto"/>
    </w:rPr>
  </w:style>
  <w:style w:type="paragraph" w:customStyle="1" w:styleId="Source">
    <w:name w:val="Source"/>
    <w:basedOn w:val="Normal"/>
    <w:next w:val="Normal"/>
    <w:pPr>
      <w:keepLines/>
      <w:tabs>
        <w:tab w:val="left" w:pos="1134"/>
      </w:tabs>
      <w:spacing w:before="60" w:after="240"/>
      <w:ind w:left="1134" w:hanging="1134"/>
      <w:jc w:val="left"/>
    </w:pPr>
    <w:rPr>
      <w:rFonts w:ascii="Arial" w:hAnsi="Arial"/>
      <w:sz w:val="18"/>
      <w:szCs w:val="20"/>
      <w:lang w:eastAsia="en-GB"/>
    </w:rPr>
  </w:style>
  <w:style w:type="paragraph" w:customStyle="1" w:styleId="Annex">
    <w:name w:val="Annex"/>
    <w:basedOn w:val="Heading1"/>
    <w:next w:val="Normal"/>
    <w:pPr>
      <w:pageBreakBefore/>
      <w:numPr>
        <w:numId w:val="0"/>
      </w:numPr>
      <w:tabs>
        <w:tab w:val="num" w:pos="283"/>
        <w:tab w:val="num" w:pos="709"/>
        <w:tab w:val="num" w:pos="926"/>
        <w:tab w:val="num" w:pos="1134"/>
        <w:tab w:val="num" w:pos="1984"/>
        <w:tab w:val="num" w:pos="2517"/>
      </w:tabs>
      <w:spacing w:before="0" w:after="480"/>
      <w:ind w:left="717" w:hanging="283"/>
      <w:jc w:val="left"/>
    </w:pPr>
    <w:rPr>
      <w:rFonts w:ascii="Verdana" w:hAnsi="Verdana" w:cs="Arial"/>
      <w:smallCaps w:val="0"/>
      <w:kern w:val="32"/>
      <w:sz w:val="44"/>
      <w:szCs w:val="28"/>
      <w:lang w:eastAsia="en-GB"/>
    </w:rPr>
  </w:style>
  <w:style w:type="paragraph" w:customStyle="1" w:styleId="BoxTitle">
    <w:name w:val="Box Title"/>
    <w:basedOn w:val="Heading2"/>
    <w:next w:val="Normal"/>
    <w:pPr>
      <w:numPr>
        <w:numId w:val="30"/>
      </w:numPr>
      <w:pBdr>
        <w:top w:val="single" w:sz="4" w:space="1" w:color="auto"/>
        <w:left w:val="single" w:sz="4" w:space="4" w:color="auto"/>
        <w:bottom w:val="single" w:sz="4" w:space="1" w:color="auto"/>
        <w:right w:val="single" w:sz="4" w:space="4" w:color="auto"/>
      </w:pBdr>
      <w:shd w:val="clear" w:color="auto" w:fill="CCCCCC"/>
      <w:tabs>
        <w:tab w:val="clear" w:pos="2520"/>
        <w:tab w:val="num" w:pos="643"/>
        <w:tab w:val="num" w:pos="709"/>
        <w:tab w:val="num" w:pos="1134"/>
      </w:tabs>
      <w:spacing w:before="240" w:after="240"/>
      <w:ind w:left="1151" w:hanging="794"/>
      <w:jc w:val="left"/>
    </w:pPr>
    <w:rPr>
      <w:rFonts w:ascii="Arial" w:hAnsi="Arial" w:cs="Arial"/>
      <w:iCs w:val="0"/>
      <w:sz w:val="22"/>
      <w:szCs w:val="26"/>
      <w:lang w:eastAsia="en-GB"/>
    </w:rPr>
  </w:style>
  <w:style w:type="paragraph" w:customStyle="1" w:styleId="FigureTitle">
    <w:name w:val="Figure Title"/>
    <w:basedOn w:val="Heading2"/>
    <w:next w:val="Normal"/>
    <w:pPr>
      <w:tabs>
        <w:tab w:val="num" w:pos="850"/>
        <w:tab w:val="num" w:pos="1134"/>
        <w:tab w:val="num" w:pos="1560"/>
        <w:tab w:val="num" w:pos="1984"/>
      </w:tabs>
      <w:spacing w:before="240" w:after="240"/>
      <w:ind w:left="1151" w:hanging="794"/>
      <w:jc w:val="left"/>
    </w:pPr>
    <w:rPr>
      <w:rFonts w:ascii="Arial" w:hAnsi="Arial" w:cs="Arial"/>
      <w:iCs w:val="0"/>
      <w:sz w:val="22"/>
      <w:szCs w:val="26"/>
      <w:lang w:eastAsia="en-GB"/>
    </w:rPr>
  </w:style>
  <w:style w:type="paragraph" w:customStyle="1" w:styleId="MapTitle">
    <w:name w:val="Map Title"/>
    <w:basedOn w:val="Heading2"/>
    <w:next w:val="Normal"/>
    <w:pPr>
      <w:tabs>
        <w:tab w:val="num" w:pos="283"/>
        <w:tab w:val="num" w:pos="1417"/>
        <w:tab w:val="num" w:pos="2268"/>
        <w:tab w:val="num" w:pos="3118"/>
      </w:tabs>
      <w:spacing w:before="240" w:after="240"/>
      <w:ind w:left="1151" w:hanging="794"/>
      <w:jc w:val="left"/>
    </w:pPr>
    <w:rPr>
      <w:rFonts w:ascii="Arial" w:hAnsi="Arial" w:cs="Arial"/>
      <w:iCs w:val="0"/>
      <w:sz w:val="22"/>
      <w:szCs w:val="26"/>
      <w:lang w:eastAsia="en-GB"/>
    </w:rPr>
  </w:style>
  <w:style w:type="paragraph" w:customStyle="1" w:styleId="Smiley-Negative">
    <w:name w:val="Smiley - Negative"/>
    <w:basedOn w:val="Normal"/>
    <w:pPr>
      <w:tabs>
        <w:tab w:val="num" w:pos="1134"/>
        <w:tab w:val="num" w:pos="1560"/>
        <w:tab w:val="num" w:pos="1984"/>
      </w:tabs>
      <w:spacing w:before="0" w:after="0"/>
      <w:ind w:left="360" w:hanging="567"/>
      <w:jc w:val="left"/>
    </w:pPr>
    <w:rPr>
      <w:sz w:val="22"/>
      <w:szCs w:val="20"/>
      <w:lang w:eastAsia="en-GB"/>
    </w:rPr>
  </w:style>
  <w:style w:type="paragraph" w:customStyle="1" w:styleId="Smiley-Neutral">
    <w:name w:val="Smiley - Neutral"/>
    <w:basedOn w:val="Normal"/>
    <w:pPr>
      <w:tabs>
        <w:tab w:val="num" w:pos="709"/>
        <w:tab w:val="num" w:pos="1134"/>
        <w:tab w:val="num" w:pos="2551"/>
      </w:tabs>
      <w:spacing w:before="0" w:after="0"/>
      <w:ind w:left="360" w:hanging="567"/>
      <w:jc w:val="left"/>
    </w:pPr>
    <w:rPr>
      <w:sz w:val="22"/>
      <w:szCs w:val="20"/>
      <w:lang w:eastAsia="en-GB"/>
    </w:rPr>
  </w:style>
  <w:style w:type="paragraph" w:customStyle="1" w:styleId="Smiley-Positive">
    <w:name w:val="Smiley - Positive"/>
    <w:basedOn w:val="Normal"/>
    <w:pPr>
      <w:tabs>
        <w:tab w:val="num" w:pos="283"/>
        <w:tab w:val="num" w:pos="1134"/>
        <w:tab w:val="num" w:pos="1209"/>
        <w:tab w:val="num" w:pos="3118"/>
      </w:tabs>
      <w:spacing w:before="0" w:after="0"/>
      <w:ind w:left="3118" w:hanging="283"/>
      <w:jc w:val="left"/>
    </w:pPr>
    <w:rPr>
      <w:sz w:val="22"/>
      <w:szCs w:val="20"/>
      <w:lang w:eastAsia="en-GB"/>
    </w:rPr>
  </w:style>
  <w:style w:type="paragraph" w:customStyle="1" w:styleId="TableText">
    <w:name w:val="Table Text"/>
    <w:basedOn w:val="Normal"/>
    <w:next w:val="Normal"/>
    <w:pPr>
      <w:overflowPunct w:val="0"/>
      <w:autoSpaceDE w:val="0"/>
      <w:autoSpaceDN w:val="0"/>
      <w:adjustRightInd w:val="0"/>
      <w:spacing w:before="0" w:after="0"/>
      <w:ind w:left="357"/>
      <w:jc w:val="left"/>
      <w:textAlignment w:val="baseline"/>
    </w:pPr>
    <w:rPr>
      <w:rFonts w:ascii="Arial" w:hAnsi="Arial"/>
      <w:sz w:val="18"/>
      <w:szCs w:val="20"/>
      <w:lang w:eastAsia="en-GB"/>
    </w:rPr>
  </w:style>
  <w:style w:type="paragraph" w:customStyle="1" w:styleId="Cover-title3">
    <w:name w:val="Cover - title 3"/>
    <w:basedOn w:val="Normal"/>
    <w:next w:val="Normal"/>
    <w:pPr>
      <w:overflowPunct w:val="0"/>
      <w:autoSpaceDE w:val="0"/>
      <w:autoSpaceDN w:val="0"/>
      <w:adjustRightInd w:val="0"/>
      <w:spacing w:before="60" w:after="80"/>
      <w:jc w:val="right"/>
      <w:textAlignment w:val="baseline"/>
    </w:pPr>
    <w:rPr>
      <w:rFonts w:ascii="Avenir 55" w:hAnsi="Avenir 55"/>
      <w:b/>
      <w:sz w:val="22"/>
      <w:szCs w:val="20"/>
      <w:lang w:eastAsia="en-GB"/>
    </w:rPr>
  </w:style>
  <w:style w:type="paragraph" w:customStyle="1" w:styleId="KeyMessage0">
    <w:name w:val="KeyMessage"/>
    <w:basedOn w:val="Normal"/>
    <w:next w:val="Normal"/>
    <w:pPr>
      <w:keepLines/>
      <w:shd w:val="clear" w:color="auto" w:fill="F3F3F3"/>
      <w:tabs>
        <w:tab w:val="left" w:pos="540"/>
      </w:tabs>
      <w:spacing w:before="80" w:after="80"/>
      <w:ind w:left="540" w:hanging="540"/>
      <w:jc w:val="left"/>
    </w:pPr>
    <w:rPr>
      <w:rFonts w:ascii="Verdana" w:hAnsi="Verdana"/>
      <w:noProof/>
      <w:sz w:val="20"/>
      <w:szCs w:val="20"/>
      <w:lang w:eastAsia="en-GB"/>
    </w:rPr>
  </w:style>
  <w:style w:type="paragraph" w:customStyle="1" w:styleId="punkte">
    <w:name w:val="punkte"/>
    <w:basedOn w:val="Normal"/>
    <w:pPr>
      <w:tabs>
        <w:tab w:val="num" w:pos="850"/>
        <w:tab w:val="num" w:pos="1134"/>
        <w:tab w:val="num" w:pos="2517"/>
      </w:tabs>
      <w:spacing w:before="0" w:after="0"/>
      <w:ind w:left="360" w:hanging="850"/>
      <w:jc w:val="left"/>
    </w:pPr>
    <w:rPr>
      <w:szCs w:val="20"/>
      <w:lang w:eastAsia="en-GB"/>
    </w:rPr>
  </w:style>
  <w:style w:type="paragraph" w:customStyle="1" w:styleId="FormatvorlageBeschriftungPalatinoLinotype">
    <w:name w:val="Formatvorlage Beschriftung + Palatino Linotype"/>
    <w:basedOn w:val="Caption"/>
    <w:autoRedefine/>
    <w:pPr>
      <w:keepNext/>
      <w:keepLines/>
      <w:pBdr>
        <w:top w:val="single" w:sz="4" w:space="1" w:color="auto"/>
        <w:bottom w:val="single" w:sz="4" w:space="1" w:color="auto"/>
      </w:pBdr>
      <w:shd w:val="clear" w:color="auto" w:fill="E6E6E6"/>
      <w:tabs>
        <w:tab w:val="left" w:pos="1418"/>
      </w:tabs>
      <w:spacing w:before="240" w:after="80"/>
      <w:ind w:left="1440" w:hanging="1440"/>
      <w:jc w:val="left"/>
    </w:pPr>
    <w:rPr>
      <w:rFonts w:ascii="Verdana" w:hAnsi="Verdana"/>
    </w:rPr>
  </w:style>
  <w:style w:type="paragraph" w:customStyle="1" w:styleId="font5">
    <w:name w:val="font5"/>
    <w:basedOn w:val="Normal"/>
    <w:pPr>
      <w:spacing w:before="100" w:beforeAutospacing="1" w:after="100" w:afterAutospacing="1"/>
      <w:jc w:val="left"/>
    </w:pPr>
    <w:rPr>
      <w:sz w:val="16"/>
      <w:szCs w:val="16"/>
      <w:lang w:val="en-US" w:eastAsia="en-GB"/>
    </w:rPr>
  </w:style>
  <w:style w:type="paragraph" w:customStyle="1" w:styleId="xl45">
    <w:name w:val="xl45"/>
    <w:basedOn w:val="Normal"/>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left"/>
    </w:pPr>
    <w:rPr>
      <w:b/>
      <w:bCs/>
      <w:sz w:val="16"/>
      <w:szCs w:val="16"/>
      <w:lang w:val="en-US" w:eastAsia="en-GB"/>
    </w:rPr>
  </w:style>
  <w:style w:type="paragraph" w:customStyle="1" w:styleId="xl46">
    <w:name w:val="xl4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n-US" w:eastAsia="en-GB"/>
    </w:rPr>
  </w:style>
  <w:style w:type="paragraph" w:customStyle="1" w:styleId="xl47">
    <w:name w:val="xl4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0"/>
      <w:lang w:val="en-US" w:eastAsia="en-GB"/>
    </w:rPr>
  </w:style>
  <w:style w:type="paragraph" w:customStyle="1" w:styleId="xl48">
    <w:name w:val="xl4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0"/>
      <w:lang w:val="en-US" w:eastAsia="en-GB"/>
    </w:rPr>
  </w:style>
  <w:style w:type="paragraph" w:customStyle="1" w:styleId="xl49">
    <w:name w:val="xl49"/>
    <w:basedOn w:val="Normal"/>
    <w:pPr>
      <w:pBdr>
        <w:top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16"/>
      <w:szCs w:val="16"/>
      <w:lang w:val="en-US" w:eastAsia="en-GB"/>
    </w:rPr>
  </w:style>
  <w:style w:type="paragraph" w:customStyle="1" w:styleId="xl50">
    <w:name w:val="xl50"/>
    <w:basedOn w:val="Normal"/>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16"/>
      <w:szCs w:val="16"/>
      <w:lang w:val="en-US" w:eastAsia="en-GB"/>
    </w:rPr>
  </w:style>
  <w:style w:type="paragraph" w:customStyle="1" w:styleId="xl51">
    <w:name w:val="xl51"/>
    <w:basedOn w:val="Normal"/>
    <w:pPr>
      <w:pBdr>
        <w:top w:val="single" w:sz="4" w:space="0" w:color="auto"/>
        <w:left w:val="single" w:sz="4" w:space="0" w:color="auto"/>
        <w:bottom w:val="single" w:sz="4" w:space="0" w:color="auto"/>
        <w:right w:val="single" w:sz="8" w:space="0" w:color="auto"/>
      </w:pBdr>
      <w:shd w:val="clear" w:color="auto" w:fill="FFCC00"/>
      <w:spacing w:before="100" w:beforeAutospacing="1" w:after="100" w:afterAutospacing="1"/>
      <w:jc w:val="center"/>
      <w:textAlignment w:val="center"/>
    </w:pPr>
    <w:rPr>
      <w:b/>
      <w:bCs/>
      <w:sz w:val="16"/>
      <w:szCs w:val="16"/>
      <w:lang w:val="en-US" w:eastAsia="en-GB"/>
    </w:rPr>
  </w:style>
  <w:style w:type="paragraph" w:customStyle="1" w:styleId="xl52">
    <w:name w:val="xl52"/>
    <w:basedOn w:val="Normal"/>
    <w:pPr>
      <w:pBdr>
        <w:left w:val="single" w:sz="8" w:space="0" w:color="auto"/>
        <w:bottom w:val="single" w:sz="4" w:space="0" w:color="auto"/>
      </w:pBdr>
      <w:shd w:val="clear" w:color="auto" w:fill="C0C0C0"/>
      <w:spacing w:before="100" w:beforeAutospacing="1" w:after="100" w:afterAutospacing="1"/>
      <w:jc w:val="left"/>
      <w:textAlignment w:val="center"/>
    </w:pPr>
    <w:rPr>
      <w:b/>
      <w:bCs/>
      <w:sz w:val="16"/>
      <w:szCs w:val="16"/>
      <w:lang w:val="en-US" w:eastAsia="en-GB"/>
    </w:rPr>
  </w:style>
  <w:style w:type="paragraph" w:customStyle="1" w:styleId="xl53">
    <w:name w:val="xl53"/>
    <w:basedOn w:val="Normal"/>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16"/>
      <w:szCs w:val="16"/>
      <w:lang w:val="en-US" w:eastAsia="en-GB"/>
    </w:rPr>
  </w:style>
  <w:style w:type="paragraph" w:customStyle="1" w:styleId="xl54">
    <w:name w:val="xl54"/>
    <w:basedOn w:val="Normal"/>
    <w:pPr>
      <w:pBdr>
        <w:left w:val="single" w:sz="8" w:space="0" w:color="auto"/>
        <w:bottom w:val="single" w:sz="8" w:space="0" w:color="auto"/>
      </w:pBdr>
      <w:shd w:val="clear" w:color="auto" w:fill="C0C0C0"/>
      <w:spacing w:before="100" w:beforeAutospacing="1" w:after="100" w:afterAutospacing="1"/>
      <w:jc w:val="left"/>
      <w:textAlignment w:val="center"/>
    </w:pPr>
    <w:rPr>
      <w:b/>
      <w:bCs/>
      <w:sz w:val="16"/>
      <w:szCs w:val="16"/>
      <w:lang w:val="en-US" w:eastAsia="en-GB"/>
    </w:rPr>
  </w:style>
  <w:style w:type="paragraph" w:customStyle="1" w:styleId="xl55">
    <w:name w:val="xl55"/>
    <w:basedOn w:val="Normal"/>
    <w:pPr>
      <w:pBdr>
        <w:top w:val="single" w:sz="4" w:space="0" w:color="auto"/>
        <w:left w:val="single" w:sz="4" w:space="0" w:color="auto"/>
        <w:bottom w:val="single" w:sz="8" w:space="0" w:color="auto"/>
        <w:right w:val="single" w:sz="4" w:space="0" w:color="auto"/>
      </w:pBdr>
      <w:shd w:val="clear" w:color="auto" w:fill="FFCC00"/>
      <w:spacing w:before="100" w:beforeAutospacing="1" w:after="100" w:afterAutospacing="1"/>
      <w:jc w:val="center"/>
      <w:textAlignment w:val="center"/>
    </w:pPr>
    <w:rPr>
      <w:b/>
      <w:bCs/>
      <w:sz w:val="16"/>
      <w:szCs w:val="16"/>
      <w:lang w:val="en-US" w:eastAsia="en-GB"/>
    </w:rPr>
  </w:style>
  <w:style w:type="paragraph" w:customStyle="1" w:styleId="xl56">
    <w:name w:val="xl56"/>
    <w:basedOn w:val="Normal"/>
    <w:pPr>
      <w:pBdr>
        <w:top w:val="single" w:sz="4" w:space="0" w:color="auto"/>
        <w:left w:val="single" w:sz="4" w:space="0" w:color="auto"/>
        <w:bottom w:val="single" w:sz="8" w:space="0" w:color="auto"/>
        <w:right w:val="single" w:sz="8" w:space="0" w:color="auto"/>
      </w:pBdr>
      <w:shd w:val="clear" w:color="auto" w:fill="FFCC00"/>
      <w:spacing w:before="100" w:beforeAutospacing="1" w:after="100" w:afterAutospacing="1"/>
      <w:jc w:val="center"/>
      <w:textAlignment w:val="center"/>
    </w:pPr>
    <w:rPr>
      <w:b/>
      <w:bCs/>
      <w:sz w:val="16"/>
      <w:szCs w:val="16"/>
      <w:lang w:val="en-US" w:eastAsia="en-GB"/>
    </w:rPr>
  </w:style>
  <w:style w:type="paragraph" w:customStyle="1" w:styleId="xl57">
    <w:name w:val="xl57"/>
    <w:basedOn w:val="Normal"/>
    <w:pPr>
      <w:pBdr>
        <w:top w:val="single" w:sz="8" w:space="0" w:color="auto"/>
        <w:left w:val="single" w:sz="8" w:space="0" w:color="auto"/>
      </w:pBdr>
      <w:shd w:val="clear" w:color="auto" w:fill="C0C0C0"/>
      <w:spacing w:before="100" w:beforeAutospacing="1" w:after="100" w:afterAutospacing="1"/>
      <w:jc w:val="center"/>
      <w:textAlignment w:val="center"/>
    </w:pPr>
    <w:rPr>
      <w:sz w:val="16"/>
      <w:szCs w:val="16"/>
      <w:lang w:val="en-US" w:eastAsia="en-GB"/>
    </w:rPr>
  </w:style>
  <w:style w:type="paragraph" w:customStyle="1" w:styleId="xl58">
    <w:name w:val="xl58"/>
    <w:basedOn w:val="Normal"/>
    <w:pPr>
      <w:pBdr>
        <w:top w:val="single" w:sz="8" w:space="0" w:color="auto"/>
      </w:pBdr>
      <w:shd w:val="clear" w:color="auto" w:fill="FFCC99"/>
      <w:spacing w:before="100" w:beforeAutospacing="1" w:after="100" w:afterAutospacing="1"/>
      <w:jc w:val="center"/>
      <w:textAlignment w:val="center"/>
    </w:pPr>
    <w:rPr>
      <w:sz w:val="16"/>
      <w:szCs w:val="16"/>
      <w:lang w:val="en-US" w:eastAsia="en-GB"/>
    </w:rPr>
  </w:style>
  <w:style w:type="paragraph" w:customStyle="1" w:styleId="xl59">
    <w:name w:val="xl59"/>
    <w:basedOn w:val="Normal"/>
    <w:pPr>
      <w:pBdr>
        <w:top w:val="single" w:sz="8" w:space="0" w:color="auto"/>
        <w:right w:val="single" w:sz="8" w:space="0" w:color="auto"/>
      </w:pBdr>
      <w:shd w:val="clear" w:color="auto" w:fill="FFCC99"/>
      <w:spacing w:before="100" w:beforeAutospacing="1" w:after="100" w:afterAutospacing="1"/>
      <w:jc w:val="center"/>
      <w:textAlignment w:val="center"/>
    </w:pPr>
    <w:rPr>
      <w:sz w:val="16"/>
      <w:szCs w:val="16"/>
      <w:lang w:val="en-US" w:eastAsia="en-GB"/>
    </w:rPr>
  </w:style>
  <w:style w:type="paragraph" w:customStyle="1" w:styleId="xl60">
    <w:name w:val="xl60"/>
    <w:basedOn w:val="Normal"/>
    <w:pPr>
      <w:pBdr>
        <w:left w:val="single" w:sz="8" w:space="0" w:color="auto"/>
        <w:bottom w:val="single" w:sz="4" w:space="0" w:color="auto"/>
      </w:pBdr>
      <w:shd w:val="clear" w:color="auto" w:fill="C0C0C0"/>
      <w:spacing w:before="100" w:beforeAutospacing="1" w:after="100" w:afterAutospacing="1"/>
      <w:jc w:val="center"/>
      <w:textAlignment w:val="center"/>
    </w:pPr>
    <w:rPr>
      <w:sz w:val="16"/>
      <w:szCs w:val="16"/>
      <w:lang w:val="en-US" w:eastAsia="en-GB"/>
    </w:rPr>
  </w:style>
  <w:style w:type="paragraph" w:customStyle="1" w:styleId="xl61">
    <w:name w:val="xl61"/>
    <w:basedOn w:val="Normal"/>
    <w:pPr>
      <w:pBdr>
        <w:bottom w:val="single" w:sz="4" w:space="0" w:color="auto"/>
      </w:pBdr>
      <w:shd w:val="clear" w:color="auto" w:fill="FFCC99"/>
      <w:spacing w:before="100" w:beforeAutospacing="1" w:after="100" w:afterAutospacing="1"/>
      <w:jc w:val="center"/>
      <w:textAlignment w:val="center"/>
    </w:pPr>
    <w:rPr>
      <w:sz w:val="16"/>
      <w:szCs w:val="16"/>
      <w:lang w:val="en-US" w:eastAsia="en-GB"/>
    </w:rPr>
  </w:style>
  <w:style w:type="paragraph" w:customStyle="1" w:styleId="xl62">
    <w:name w:val="xl62"/>
    <w:basedOn w:val="Normal"/>
    <w:pPr>
      <w:pBdr>
        <w:bottom w:val="single" w:sz="4" w:space="0" w:color="auto"/>
        <w:right w:val="single" w:sz="8" w:space="0" w:color="auto"/>
      </w:pBdr>
      <w:shd w:val="clear" w:color="auto" w:fill="FFCC99"/>
      <w:spacing w:before="100" w:beforeAutospacing="1" w:after="100" w:afterAutospacing="1"/>
      <w:jc w:val="center"/>
      <w:textAlignment w:val="center"/>
    </w:pPr>
    <w:rPr>
      <w:sz w:val="16"/>
      <w:szCs w:val="16"/>
      <w:lang w:val="en-US" w:eastAsia="en-GB"/>
    </w:rPr>
  </w:style>
  <w:style w:type="paragraph" w:customStyle="1" w:styleId="xl63">
    <w:name w:val="xl6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sz w:val="16"/>
      <w:szCs w:val="16"/>
      <w:lang w:val="en-US" w:eastAsia="en-GB"/>
    </w:rPr>
  </w:style>
  <w:style w:type="paragraph" w:customStyle="1" w:styleId="font6">
    <w:name w:val="font6"/>
    <w:basedOn w:val="Normal"/>
    <w:pPr>
      <w:spacing w:before="100" w:beforeAutospacing="1" w:after="100" w:afterAutospacing="1"/>
      <w:jc w:val="left"/>
    </w:pPr>
    <w:rPr>
      <w:rFonts w:eastAsia="Arial Unicode MS"/>
      <w:b/>
      <w:bCs/>
      <w:sz w:val="16"/>
      <w:szCs w:val="16"/>
      <w:lang w:val="en-US" w:eastAsia="en-GB"/>
    </w:rPr>
  </w:style>
  <w:style w:type="paragraph" w:customStyle="1" w:styleId="xl44">
    <w:name w:val="xl44"/>
    <w:basedOn w:val="Normal"/>
    <w:pPr>
      <w:pBdr>
        <w:top w:val="single" w:sz="8" w:space="0" w:color="auto"/>
        <w:left w:val="single" w:sz="8" w:space="0" w:color="auto"/>
        <w:bottom w:val="single" w:sz="8" w:space="0" w:color="auto"/>
        <w:right w:val="single" w:sz="8" w:space="0" w:color="auto"/>
      </w:pBdr>
      <w:shd w:val="clear" w:color="auto" w:fill="CCCCFF"/>
      <w:spacing w:before="100" w:beforeAutospacing="1" w:after="100" w:afterAutospacing="1"/>
      <w:jc w:val="center"/>
      <w:textAlignment w:val="top"/>
    </w:pPr>
    <w:rPr>
      <w:rFonts w:eastAsia="Arial Unicode MS"/>
      <w:sz w:val="16"/>
      <w:szCs w:val="16"/>
      <w:lang w:val="en-US" w:eastAsia="en-GB"/>
    </w:rPr>
  </w:style>
  <w:style w:type="paragraph" w:customStyle="1" w:styleId="xl64">
    <w:name w:val="xl64"/>
    <w:basedOn w:val="Normal"/>
    <w:pPr>
      <w:pBdr>
        <w:top w:val="single" w:sz="8" w:space="0" w:color="auto"/>
        <w:left w:val="single" w:sz="8" w:space="0" w:color="auto"/>
        <w:right w:val="single" w:sz="8" w:space="0" w:color="auto"/>
      </w:pBdr>
      <w:shd w:val="clear" w:color="auto" w:fill="CCCCFF"/>
      <w:spacing w:before="100" w:beforeAutospacing="1" w:after="100" w:afterAutospacing="1"/>
      <w:jc w:val="left"/>
      <w:textAlignment w:val="top"/>
    </w:pPr>
    <w:rPr>
      <w:rFonts w:eastAsia="Arial Unicode MS"/>
      <w:sz w:val="16"/>
      <w:szCs w:val="16"/>
      <w:lang w:val="en-US" w:eastAsia="en-GB"/>
    </w:rPr>
  </w:style>
  <w:style w:type="paragraph" w:customStyle="1" w:styleId="xl65">
    <w:name w:val="xl65"/>
    <w:basedOn w:val="Normal"/>
    <w:pPr>
      <w:pBdr>
        <w:left w:val="single" w:sz="8" w:space="0" w:color="auto"/>
        <w:bottom w:val="single" w:sz="8" w:space="0" w:color="auto"/>
        <w:right w:val="single" w:sz="8" w:space="0" w:color="auto"/>
      </w:pBdr>
      <w:shd w:val="clear" w:color="auto" w:fill="CCCCFF"/>
      <w:spacing w:before="100" w:beforeAutospacing="1" w:after="100" w:afterAutospacing="1"/>
      <w:jc w:val="left"/>
      <w:textAlignment w:val="top"/>
    </w:pPr>
    <w:rPr>
      <w:rFonts w:eastAsia="Arial Unicode MS"/>
      <w:sz w:val="16"/>
      <w:szCs w:val="16"/>
      <w:lang w:val="en-US" w:eastAsia="en-GB"/>
    </w:rPr>
  </w:style>
  <w:style w:type="paragraph" w:customStyle="1" w:styleId="xl66">
    <w:name w:val="xl66"/>
    <w:basedOn w:val="Normal"/>
    <w:pPr>
      <w:pBdr>
        <w:left w:val="single" w:sz="8" w:space="0" w:color="auto"/>
        <w:right w:val="single" w:sz="8" w:space="0" w:color="auto"/>
      </w:pBdr>
      <w:shd w:val="clear" w:color="auto" w:fill="CCCCFF"/>
      <w:spacing w:before="100" w:beforeAutospacing="1" w:after="100" w:afterAutospacing="1"/>
      <w:jc w:val="center"/>
      <w:textAlignment w:val="top"/>
    </w:pPr>
    <w:rPr>
      <w:rFonts w:eastAsia="Arial Unicode MS"/>
      <w:sz w:val="16"/>
      <w:szCs w:val="16"/>
      <w:lang w:val="en-US" w:eastAsia="en-GB"/>
    </w:rPr>
  </w:style>
  <w:style w:type="paragraph" w:customStyle="1" w:styleId="xl67">
    <w:name w:val="xl67"/>
    <w:basedOn w:val="Normal"/>
    <w:pPr>
      <w:pBdr>
        <w:bottom w:val="single" w:sz="4" w:space="0" w:color="auto"/>
        <w:right w:val="single" w:sz="4" w:space="0" w:color="auto"/>
      </w:pBdr>
      <w:spacing w:before="100" w:beforeAutospacing="1" w:after="100" w:afterAutospacing="1"/>
      <w:jc w:val="center"/>
    </w:pPr>
    <w:rPr>
      <w:rFonts w:eastAsia="Arial Unicode MS"/>
      <w:sz w:val="16"/>
      <w:szCs w:val="16"/>
      <w:lang w:val="en-US" w:eastAsia="en-GB"/>
    </w:rPr>
  </w:style>
  <w:style w:type="paragraph" w:customStyle="1" w:styleId="xl68">
    <w:name w:val="xl68"/>
    <w:basedOn w:val="Normal"/>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eastAsia="Arial Unicode MS"/>
      <w:sz w:val="16"/>
      <w:szCs w:val="16"/>
      <w:lang w:val="en-US" w:eastAsia="en-GB"/>
    </w:rPr>
  </w:style>
  <w:style w:type="paragraph" w:customStyle="1" w:styleId="xl69">
    <w:name w:val="xl69"/>
    <w:basedOn w:val="Normal"/>
    <w:pPr>
      <w:pBdr>
        <w:top w:val="single" w:sz="8" w:space="0" w:color="auto"/>
        <w:bottom w:val="single" w:sz="4" w:space="0" w:color="auto"/>
        <w:right w:val="single" w:sz="4" w:space="0" w:color="auto"/>
      </w:pBdr>
      <w:spacing w:before="100" w:beforeAutospacing="1" w:after="100" w:afterAutospacing="1"/>
      <w:jc w:val="center"/>
    </w:pPr>
    <w:rPr>
      <w:rFonts w:eastAsia="Arial Unicode MS"/>
      <w:sz w:val="16"/>
      <w:szCs w:val="16"/>
      <w:lang w:val="en-US" w:eastAsia="en-GB"/>
    </w:rPr>
  </w:style>
  <w:style w:type="paragraph" w:customStyle="1" w:styleId="xl70">
    <w:name w:val="xl70"/>
    <w:basedOn w:val="Normal"/>
    <w:pPr>
      <w:pBdr>
        <w:top w:val="single" w:sz="8" w:space="0" w:color="auto"/>
        <w:bottom w:val="single" w:sz="4" w:space="0" w:color="auto"/>
        <w:right w:val="single" w:sz="8" w:space="0" w:color="auto"/>
      </w:pBdr>
      <w:spacing w:before="100" w:beforeAutospacing="1" w:after="100" w:afterAutospacing="1"/>
      <w:jc w:val="center"/>
    </w:pPr>
    <w:rPr>
      <w:rFonts w:eastAsia="Arial Unicode MS"/>
      <w:sz w:val="16"/>
      <w:szCs w:val="16"/>
      <w:lang w:val="en-US" w:eastAsia="en-GB"/>
    </w:rPr>
  </w:style>
  <w:style w:type="paragraph" w:customStyle="1" w:styleId="xl71">
    <w:name w:val="xl71"/>
    <w:basedOn w:val="Normal"/>
    <w:pPr>
      <w:pBdr>
        <w:bottom w:val="single" w:sz="4" w:space="0" w:color="auto"/>
        <w:right w:val="single" w:sz="8" w:space="0" w:color="auto"/>
      </w:pBdr>
      <w:spacing w:before="100" w:beforeAutospacing="1" w:after="100" w:afterAutospacing="1"/>
      <w:jc w:val="center"/>
    </w:pPr>
    <w:rPr>
      <w:rFonts w:eastAsia="Arial Unicode MS"/>
      <w:sz w:val="16"/>
      <w:szCs w:val="16"/>
      <w:lang w:val="en-US" w:eastAsia="en-GB"/>
    </w:rPr>
  </w:style>
  <w:style w:type="paragraph" w:customStyle="1" w:styleId="xl72">
    <w:name w:val="xl72"/>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eastAsia="Arial Unicode MS"/>
      <w:sz w:val="16"/>
      <w:szCs w:val="16"/>
      <w:lang w:val="en-US" w:eastAsia="en-GB"/>
    </w:rPr>
  </w:style>
  <w:style w:type="paragraph" w:customStyle="1" w:styleId="xl73">
    <w:name w:val="xl73"/>
    <w:basedOn w:val="Normal"/>
    <w:pPr>
      <w:pBdr>
        <w:bottom w:val="single" w:sz="8" w:space="0" w:color="auto"/>
        <w:right w:val="single" w:sz="4" w:space="0" w:color="auto"/>
      </w:pBdr>
      <w:spacing w:before="100" w:beforeAutospacing="1" w:after="100" w:afterAutospacing="1"/>
      <w:jc w:val="center"/>
    </w:pPr>
    <w:rPr>
      <w:rFonts w:eastAsia="Arial Unicode MS"/>
      <w:sz w:val="16"/>
      <w:szCs w:val="16"/>
      <w:lang w:val="en-US" w:eastAsia="en-GB"/>
    </w:rPr>
  </w:style>
  <w:style w:type="paragraph" w:customStyle="1" w:styleId="xl74">
    <w:name w:val="xl74"/>
    <w:basedOn w:val="Normal"/>
    <w:pPr>
      <w:pBdr>
        <w:bottom w:val="single" w:sz="8" w:space="0" w:color="auto"/>
        <w:right w:val="single" w:sz="8" w:space="0" w:color="auto"/>
      </w:pBdr>
      <w:spacing w:before="100" w:beforeAutospacing="1" w:after="100" w:afterAutospacing="1"/>
      <w:jc w:val="center"/>
    </w:pPr>
    <w:rPr>
      <w:rFonts w:eastAsia="Arial Unicode MS"/>
      <w:sz w:val="16"/>
      <w:szCs w:val="16"/>
      <w:lang w:val="en-US" w:eastAsia="en-GB"/>
    </w:rPr>
  </w:style>
  <w:style w:type="paragraph" w:customStyle="1" w:styleId="xl75">
    <w:name w:val="xl75"/>
    <w:basedOn w:val="Normal"/>
    <w:pPr>
      <w:pBdr>
        <w:bottom w:val="single" w:sz="4" w:space="0" w:color="auto"/>
        <w:right w:val="single" w:sz="4" w:space="0" w:color="auto"/>
      </w:pBdr>
      <w:spacing w:before="100" w:beforeAutospacing="1" w:after="100" w:afterAutospacing="1"/>
      <w:jc w:val="center"/>
    </w:pPr>
    <w:rPr>
      <w:rFonts w:eastAsia="Arial Unicode MS"/>
      <w:b/>
      <w:bCs/>
      <w:sz w:val="16"/>
      <w:szCs w:val="16"/>
      <w:lang w:val="en-US" w:eastAsia="en-GB"/>
    </w:rPr>
  </w:style>
  <w:style w:type="paragraph" w:customStyle="1" w:styleId="xl76">
    <w:name w:val="xl76"/>
    <w:basedOn w:val="Normal"/>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b/>
      <w:bCs/>
      <w:sz w:val="16"/>
      <w:szCs w:val="16"/>
      <w:lang w:val="en-US" w:eastAsia="en-GB"/>
    </w:rPr>
  </w:style>
  <w:style w:type="paragraph" w:customStyle="1" w:styleId="xl77">
    <w:name w:val="xl77"/>
    <w:basedOn w:val="Normal"/>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b/>
      <w:bCs/>
      <w:sz w:val="16"/>
      <w:szCs w:val="16"/>
      <w:lang w:val="en-US" w:eastAsia="en-GB"/>
    </w:rPr>
  </w:style>
  <w:style w:type="paragraph" w:customStyle="1" w:styleId="xl78">
    <w:name w:val="xl78"/>
    <w:basedOn w:val="Normal"/>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b/>
      <w:bCs/>
      <w:sz w:val="16"/>
      <w:szCs w:val="16"/>
      <w:lang w:val="en-US" w:eastAsia="en-GB"/>
    </w:rPr>
  </w:style>
  <w:style w:type="paragraph" w:customStyle="1" w:styleId="xl79">
    <w:name w:val="xl79"/>
    <w:basedOn w:val="Normal"/>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b/>
      <w:bCs/>
      <w:sz w:val="16"/>
      <w:szCs w:val="16"/>
      <w:lang w:val="en-US" w:eastAsia="en-GB"/>
    </w:rPr>
  </w:style>
  <w:style w:type="paragraph" w:customStyle="1" w:styleId="EntInstit">
    <w:name w:val="EntInstit"/>
    <w:pPr>
      <w:spacing w:after="200" w:line="276" w:lineRule="auto"/>
      <w:jc w:val="right"/>
    </w:pPr>
    <w:rPr>
      <w:b/>
      <w:sz w:val="24"/>
      <w:szCs w:val="22"/>
      <w:lang w:eastAsia="fr-BE"/>
    </w:rPr>
  </w:style>
  <w:style w:type="paragraph" w:customStyle="1" w:styleId="NormalConseil">
    <w:name w:val="NormalConseil"/>
    <w:basedOn w:val="Normal"/>
    <w:pPr>
      <w:spacing w:before="0" w:after="0"/>
      <w:jc w:val="left"/>
    </w:pPr>
    <w:rPr>
      <w:szCs w:val="20"/>
      <w:lang w:eastAsia="fr-BE"/>
    </w:rPr>
  </w:style>
  <w:style w:type="paragraph" w:customStyle="1" w:styleId="EntRefer">
    <w:name w:val="EntRefer"/>
    <w:pPr>
      <w:spacing w:after="200" w:line="276" w:lineRule="auto"/>
    </w:pPr>
    <w:rPr>
      <w:b/>
      <w:sz w:val="24"/>
      <w:szCs w:val="22"/>
      <w:lang w:eastAsia="fr-BE"/>
    </w:rPr>
  </w:style>
  <w:style w:type="paragraph" w:customStyle="1" w:styleId="EntEmet">
    <w:name w:val="EntEmet"/>
    <w:pPr>
      <w:tabs>
        <w:tab w:val="left" w:pos="284"/>
        <w:tab w:val="left" w:pos="567"/>
        <w:tab w:val="left" w:pos="851"/>
        <w:tab w:val="left" w:pos="1134"/>
        <w:tab w:val="left" w:pos="1418"/>
      </w:tabs>
      <w:spacing w:before="40" w:after="200" w:line="276" w:lineRule="auto"/>
    </w:pPr>
    <w:rPr>
      <w:sz w:val="24"/>
      <w:szCs w:val="22"/>
      <w:lang w:eastAsia="fr-BE"/>
    </w:rPr>
  </w:style>
  <w:style w:type="paragraph" w:customStyle="1" w:styleId="EntLogo">
    <w:name w:val="EntLogo"/>
    <w:next w:val="EntInstit"/>
    <w:pPr>
      <w:spacing w:after="200" w:line="360" w:lineRule="auto"/>
    </w:pPr>
    <w:rPr>
      <w:b/>
      <w:sz w:val="24"/>
      <w:szCs w:val="22"/>
      <w:lang w:eastAsia="fr-BE"/>
    </w:rPr>
  </w:style>
  <w:style w:type="paragraph" w:customStyle="1" w:styleId="FooterConseil">
    <w:name w:val="FooterConseil"/>
    <w:pPr>
      <w:tabs>
        <w:tab w:val="center" w:pos="4820"/>
        <w:tab w:val="center" w:pos="7371"/>
        <w:tab w:val="right" w:pos="9639"/>
      </w:tabs>
      <w:spacing w:after="200" w:line="276" w:lineRule="auto"/>
    </w:pPr>
    <w:rPr>
      <w:sz w:val="24"/>
      <w:szCs w:val="22"/>
      <w:lang w:eastAsia="fr-BE"/>
    </w:rPr>
  </w:style>
  <w:style w:type="paragraph" w:customStyle="1" w:styleId="FigureCaption">
    <w:name w:val="Figure Caption"/>
    <w:basedOn w:val="Normal"/>
    <w:pPr>
      <w:spacing w:before="0" w:after="0"/>
      <w:jc w:val="left"/>
    </w:pPr>
    <w:rPr>
      <w:rFonts w:ascii="Arial" w:hAnsi="Arial"/>
      <w:sz w:val="22"/>
      <w:szCs w:val="20"/>
      <w:lang w:val="da-DK" w:eastAsia="en-GB"/>
    </w:rPr>
  </w:style>
  <w:style w:type="paragraph" w:customStyle="1" w:styleId="Question">
    <w:name w:val="Question"/>
    <w:basedOn w:val="Normal"/>
    <w:pPr>
      <w:pBdr>
        <w:top w:val="single" w:sz="4" w:space="1" w:color="auto"/>
        <w:left w:val="single" w:sz="4" w:space="4" w:color="auto"/>
        <w:bottom w:val="single" w:sz="4" w:space="1" w:color="auto"/>
        <w:right w:val="single" w:sz="4" w:space="4" w:color="auto"/>
      </w:pBdr>
      <w:spacing w:before="60" w:after="80"/>
      <w:jc w:val="left"/>
    </w:pPr>
    <w:rPr>
      <w:rFonts w:ascii="Arial Black" w:hAnsi="Arial Black"/>
      <w:sz w:val="22"/>
      <w:szCs w:val="20"/>
      <w:lang w:eastAsia="de-DE"/>
    </w:rPr>
  </w:style>
  <w:style w:type="paragraph" w:customStyle="1" w:styleId="Keymessage">
    <w:name w:val="Key message"/>
    <w:basedOn w:val="Normal"/>
    <w:pPr>
      <w:numPr>
        <w:numId w:val="32"/>
      </w:numPr>
      <w:pBdr>
        <w:top w:val="single" w:sz="4" w:space="1" w:color="auto"/>
        <w:left w:val="single" w:sz="4" w:space="4" w:color="auto"/>
        <w:bottom w:val="single" w:sz="4" w:space="1" w:color="auto"/>
        <w:right w:val="single" w:sz="4" w:space="4" w:color="auto"/>
      </w:pBdr>
      <w:shd w:val="clear" w:color="auto" w:fill="F3F3F3"/>
      <w:spacing w:before="60" w:after="60"/>
      <w:ind w:left="357" w:hanging="357"/>
      <w:jc w:val="left"/>
    </w:pPr>
    <w:rPr>
      <w:rFonts w:ascii="Palatino Linotype" w:hAnsi="Palatino Linotype"/>
      <w:sz w:val="22"/>
      <w:szCs w:val="20"/>
      <w:lang w:eastAsia="de-DE"/>
    </w:rPr>
  </w:style>
  <w:style w:type="paragraph" w:customStyle="1" w:styleId="graph">
    <w:name w:val="graph"/>
    <w:basedOn w:val="Normal"/>
    <w:pPr>
      <w:spacing w:before="0" w:after="0"/>
      <w:ind w:left="6158" w:hanging="6158"/>
      <w:jc w:val="left"/>
    </w:pPr>
    <w:rPr>
      <w:rFonts w:ascii="Palatino Linotype" w:hAnsi="Palatino Linotype"/>
      <w:sz w:val="22"/>
      <w:szCs w:val="20"/>
      <w:lang w:eastAsia="de-DE"/>
    </w:rPr>
  </w:style>
  <w:style w:type="paragraph" w:customStyle="1" w:styleId="FormatvorlageSource8ptFett">
    <w:name w:val="Formatvorlage Source + 8 pt Fett"/>
    <w:basedOn w:val="Normal"/>
    <w:pPr>
      <w:keepNext/>
      <w:keepLines/>
      <w:spacing w:before="60" w:after="0"/>
      <w:ind w:left="1134" w:hanging="1134"/>
      <w:jc w:val="left"/>
    </w:pPr>
    <w:rPr>
      <w:rFonts w:ascii="Arial" w:hAnsi="Arial"/>
      <w:b/>
      <w:bCs/>
      <w:sz w:val="16"/>
      <w:szCs w:val="16"/>
      <w:lang w:eastAsia="en-GB"/>
    </w:rPr>
  </w:style>
  <w:style w:type="paragraph" w:customStyle="1" w:styleId="source0">
    <w:name w:val="source"/>
    <w:basedOn w:val="Normal"/>
    <w:pPr>
      <w:keepLines/>
      <w:spacing w:before="0" w:after="0"/>
      <w:jc w:val="left"/>
    </w:pPr>
    <w:rPr>
      <w:rFonts w:ascii="Arial" w:hAnsi="Arial"/>
      <w:sz w:val="16"/>
      <w:szCs w:val="16"/>
      <w:lang w:eastAsia="de-DE"/>
    </w:rPr>
  </w:style>
  <w:style w:type="paragraph" w:styleId="BodyText3">
    <w:name w:val="Body Text 3"/>
    <w:basedOn w:val="Normal"/>
    <w:link w:val="BodyText3Char"/>
    <w:uiPriority w:val="99"/>
    <w:pPr>
      <w:widowControl w:val="0"/>
      <w:adjustRightInd w:val="0"/>
      <w:jc w:val="left"/>
      <w:textAlignment w:val="baseline"/>
    </w:pPr>
    <w:rPr>
      <w:rFonts w:ascii="NewBskvll BT" w:hAnsi="NewBskvll BT"/>
      <w:sz w:val="22"/>
      <w:szCs w:val="20"/>
      <w:lang w:eastAsia="en-GB"/>
    </w:rPr>
  </w:style>
  <w:style w:type="character" w:customStyle="1" w:styleId="BodyText3Char">
    <w:name w:val="Body Text 3 Char"/>
    <w:link w:val="BodyText3"/>
    <w:uiPriority w:val="99"/>
    <w:rPr>
      <w:rFonts w:ascii="NewBskvll BT" w:hAnsi="NewBskvll BT"/>
      <w:sz w:val="22"/>
      <w:shd w:val="clear" w:color="auto" w:fill="auto"/>
    </w:rPr>
  </w:style>
  <w:style w:type="paragraph" w:customStyle="1" w:styleId="StandardEC-NIR">
    <w:name w:val="Standard_EC-NIR"/>
    <w:basedOn w:val="Normal"/>
    <w:pPr>
      <w:widowControl w:val="0"/>
      <w:adjustRightInd w:val="0"/>
      <w:textAlignment w:val="baseline"/>
    </w:pPr>
    <w:rPr>
      <w:sz w:val="20"/>
      <w:szCs w:val="20"/>
      <w:lang w:val="de-DE" w:eastAsia="en-GB"/>
    </w:rPr>
  </w:style>
  <w:style w:type="character" w:customStyle="1" w:styleId="Table-ContentsCTChar">
    <w:name w:val="Table - Contents (CT) Char"/>
    <w:link w:val="Table-ContentsCT"/>
    <w:locked/>
    <w:rPr>
      <w:rFonts w:ascii="Arial" w:hAnsi="Arial"/>
      <w:sz w:val="16"/>
      <w:lang w:val="x-none" w:eastAsia="en-US"/>
    </w:rPr>
  </w:style>
  <w:style w:type="paragraph" w:customStyle="1" w:styleId="Table-ContentsCT">
    <w:name w:val="Table - Contents (CT)"/>
    <w:link w:val="Table-ContentsCTChar"/>
    <w:qFormat/>
    <w:pPr>
      <w:spacing w:before="80" w:after="80" w:line="276" w:lineRule="auto"/>
    </w:pPr>
    <w:rPr>
      <w:rFonts w:ascii="Arial" w:hAnsi="Arial"/>
      <w:sz w:val="16"/>
      <w:lang w:eastAsia="en-US"/>
    </w:rPr>
  </w:style>
  <w:style w:type="paragraph" w:customStyle="1" w:styleId="Maualheading">
    <w:name w:val="Maual heading"/>
    <w:basedOn w:val="Objetacteprincipal"/>
    <w:pPr>
      <w:jc w:val="both"/>
    </w:pPr>
    <w:rPr>
      <w:noProof/>
      <w:szCs w:val="20"/>
      <w:lang w:eastAsia="en-GB"/>
    </w:rPr>
  </w:style>
  <w:style w:type="character" w:customStyle="1" w:styleId="ListParagraphChar">
    <w:name w:val="List Paragraph Char"/>
    <w:aliases w:val="Heading 2_sj Char"/>
    <w:link w:val="ListParagraph"/>
    <w:uiPriority w:val="34"/>
    <w:locked/>
    <w:rPr>
      <w:rFonts w:ascii="Calibri" w:eastAsia="Calibri" w:hAnsi="Calibri" w:cs="Calibri"/>
      <w:sz w:val="22"/>
    </w:rPr>
  </w:style>
  <w:style w:type="paragraph" w:customStyle="1" w:styleId="font7">
    <w:name w:val="font7"/>
    <w:basedOn w:val="Normal"/>
    <w:pPr>
      <w:spacing w:before="100" w:beforeAutospacing="1" w:after="100" w:afterAutospacing="1"/>
      <w:jc w:val="left"/>
    </w:pPr>
    <w:rPr>
      <w:rFonts w:ascii="Calibri" w:hAnsi="Calibri" w:cs="Calibri"/>
      <w:b/>
      <w:bCs/>
      <w:sz w:val="22"/>
      <w:szCs w:val="20"/>
      <w:lang w:eastAsia="en-GB"/>
    </w:rPr>
  </w:style>
  <w:style w:type="paragraph" w:customStyle="1" w:styleId="font8">
    <w:name w:val="font8"/>
    <w:basedOn w:val="Normal"/>
    <w:pPr>
      <w:spacing w:before="100" w:beforeAutospacing="1" w:after="100" w:afterAutospacing="1"/>
      <w:jc w:val="left"/>
    </w:pPr>
    <w:rPr>
      <w:rFonts w:ascii="Calibri" w:hAnsi="Calibri" w:cs="Calibri"/>
      <w:sz w:val="22"/>
      <w:szCs w:val="20"/>
      <w:lang w:eastAsia="en-GB"/>
    </w:rPr>
  </w:style>
  <w:style w:type="paragraph" w:customStyle="1" w:styleId="font9">
    <w:name w:val="font9"/>
    <w:basedOn w:val="Normal"/>
    <w:pPr>
      <w:spacing w:before="100" w:beforeAutospacing="1" w:after="100" w:afterAutospacing="1"/>
      <w:jc w:val="left"/>
    </w:pPr>
    <w:rPr>
      <w:rFonts w:ascii="Calibri" w:hAnsi="Calibri" w:cs="Calibri"/>
      <w:color w:val="000000"/>
      <w:sz w:val="22"/>
      <w:szCs w:val="20"/>
      <w:lang w:eastAsia="en-GB"/>
    </w:rPr>
  </w:style>
  <w:style w:type="paragraph" w:customStyle="1" w:styleId="font10">
    <w:name w:val="font10"/>
    <w:basedOn w:val="Normal"/>
    <w:pPr>
      <w:spacing w:before="100" w:beforeAutospacing="1" w:after="100" w:afterAutospacing="1"/>
      <w:jc w:val="left"/>
    </w:pPr>
    <w:rPr>
      <w:rFonts w:ascii="Calibri" w:hAnsi="Calibri" w:cs="Calibri"/>
      <w:sz w:val="22"/>
      <w:szCs w:val="20"/>
      <w:lang w:eastAsia="en-GB"/>
    </w:rPr>
  </w:style>
  <w:style w:type="paragraph" w:customStyle="1" w:styleId="font11">
    <w:name w:val="font11"/>
    <w:basedOn w:val="Normal"/>
    <w:pPr>
      <w:spacing w:before="100" w:beforeAutospacing="1" w:after="100" w:afterAutospacing="1"/>
      <w:jc w:val="left"/>
    </w:pPr>
    <w:rPr>
      <w:rFonts w:ascii="Calibri" w:hAnsi="Calibri" w:cs="Calibri"/>
      <w:i/>
      <w:iCs/>
      <w:sz w:val="22"/>
      <w:szCs w:val="20"/>
      <w:lang w:eastAsia="en-GB"/>
    </w:rPr>
  </w:style>
  <w:style w:type="paragraph" w:customStyle="1" w:styleId="font12">
    <w:name w:val="font12"/>
    <w:basedOn w:val="Normal"/>
    <w:pPr>
      <w:spacing w:before="100" w:beforeAutospacing="1" w:after="100" w:afterAutospacing="1"/>
      <w:jc w:val="left"/>
    </w:pPr>
    <w:rPr>
      <w:rFonts w:ascii="Calibri" w:hAnsi="Calibri" w:cs="Calibri"/>
      <w:i/>
      <w:iCs/>
      <w:sz w:val="22"/>
      <w:szCs w:val="20"/>
      <w:lang w:eastAsia="en-GB"/>
    </w:rPr>
  </w:style>
  <w:style w:type="paragraph" w:customStyle="1" w:styleId="xl196">
    <w:name w:val="xl19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color w:val="000000"/>
      <w:sz w:val="22"/>
      <w:szCs w:val="20"/>
      <w:lang w:eastAsia="en-GB"/>
    </w:rPr>
  </w:style>
  <w:style w:type="paragraph" w:customStyle="1" w:styleId="xl197">
    <w:name w:val="xl197"/>
    <w:basedOn w:val="Normal"/>
    <w:pPr>
      <w:spacing w:before="100" w:beforeAutospacing="1" w:after="100" w:afterAutospacing="1"/>
      <w:jc w:val="left"/>
    </w:pPr>
    <w:rPr>
      <w:rFonts w:ascii="Calibri" w:hAnsi="Calibri" w:cs="Calibri"/>
      <w:sz w:val="22"/>
      <w:szCs w:val="20"/>
      <w:lang w:eastAsia="en-GB"/>
    </w:rPr>
  </w:style>
  <w:style w:type="paragraph" w:customStyle="1" w:styleId="xl198">
    <w:name w:val="xl198"/>
    <w:basedOn w:val="Normal"/>
    <w:pPr>
      <w:spacing w:before="100" w:beforeAutospacing="1" w:after="100" w:afterAutospacing="1"/>
      <w:jc w:val="left"/>
    </w:pPr>
    <w:rPr>
      <w:rFonts w:ascii="Calibri" w:hAnsi="Calibri" w:cs="Calibri"/>
      <w:sz w:val="22"/>
      <w:szCs w:val="20"/>
      <w:lang w:eastAsia="en-GB"/>
    </w:rPr>
  </w:style>
  <w:style w:type="paragraph" w:customStyle="1" w:styleId="xl199">
    <w:name w:val="xl199"/>
    <w:basedOn w:val="Normal"/>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cs="Calibri"/>
      <w:b/>
      <w:bCs/>
      <w:sz w:val="22"/>
      <w:szCs w:val="20"/>
      <w:lang w:eastAsia="en-GB"/>
    </w:rPr>
  </w:style>
  <w:style w:type="paragraph" w:customStyle="1" w:styleId="xl200">
    <w:name w:val="xl200"/>
    <w:basedOn w:val="Normal"/>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ascii="Calibri" w:hAnsi="Calibri" w:cs="Calibri"/>
      <w:color w:val="000000"/>
      <w:sz w:val="22"/>
      <w:szCs w:val="20"/>
      <w:lang w:eastAsia="en-GB"/>
    </w:rPr>
  </w:style>
  <w:style w:type="paragraph" w:customStyle="1" w:styleId="xl201">
    <w:name w:val="xl201"/>
    <w:basedOn w:val="Normal"/>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cs="Calibri"/>
      <w:color w:val="000000"/>
      <w:sz w:val="22"/>
      <w:szCs w:val="20"/>
      <w:lang w:eastAsia="en-GB"/>
    </w:rPr>
  </w:style>
  <w:style w:type="paragraph" w:customStyle="1" w:styleId="xl202">
    <w:name w:val="xl202"/>
    <w:basedOn w:val="Normal"/>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ascii="Calibri" w:hAnsi="Calibri" w:cs="Calibri"/>
      <w:sz w:val="22"/>
      <w:szCs w:val="20"/>
      <w:lang w:eastAsia="en-GB"/>
    </w:rPr>
  </w:style>
  <w:style w:type="paragraph" w:customStyle="1" w:styleId="xl203">
    <w:name w:val="xl203"/>
    <w:basedOn w:val="Normal"/>
    <w:pPr>
      <w:pBdr>
        <w:top w:val="single" w:sz="4" w:space="0" w:color="auto"/>
        <w:left w:val="single" w:sz="4" w:space="0" w:color="auto"/>
        <w:bottom w:val="single" w:sz="4" w:space="0" w:color="auto"/>
      </w:pBdr>
      <w:shd w:val="clear" w:color="000000" w:fill="CCFFCC"/>
      <w:spacing w:before="100" w:beforeAutospacing="1" w:after="100" w:afterAutospacing="1"/>
      <w:jc w:val="left"/>
      <w:textAlignment w:val="center"/>
    </w:pPr>
    <w:rPr>
      <w:rFonts w:ascii="Calibri" w:hAnsi="Calibri" w:cs="Calibri"/>
      <w:sz w:val="22"/>
      <w:szCs w:val="20"/>
      <w:lang w:eastAsia="en-GB"/>
    </w:rPr>
  </w:style>
  <w:style w:type="paragraph" w:customStyle="1" w:styleId="xl204">
    <w:name w:val="xl204"/>
    <w:basedOn w:val="Normal"/>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cs="Calibri"/>
      <w:sz w:val="22"/>
      <w:szCs w:val="20"/>
      <w:lang w:eastAsia="en-GB"/>
    </w:rPr>
  </w:style>
  <w:style w:type="paragraph" w:customStyle="1" w:styleId="xl205">
    <w:name w:val="xl205"/>
    <w:basedOn w:val="Normal"/>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ascii="Calibri" w:hAnsi="Calibri" w:cs="Calibri"/>
      <w:sz w:val="22"/>
      <w:szCs w:val="20"/>
      <w:lang w:eastAsia="en-GB"/>
    </w:rPr>
  </w:style>
  <w:style w:type="paragraph" w:customStyle="1" w:styleId="xl206">
    <w:name w:val="xl20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color w:val="000000"/>
      <w:sz w:val="22"/>
      <w:szCs w:val="20"/>
      <w:lang w:eastAsia="en-GB"/>
    </w:rPr>
  </w:style>
  <w:style w:type="paragraph" w:customStyle="1" w:styleId="xl207">
    <w:name w:val="xl20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color w:val="000000"/>
      <w:sz w:val="22"/>
      <w:szCs w:val="20"/>
      <w:lang w:eastAsia="en-GB"/>
    </w:rPr>
  </w:style>
  <w:style w:type="paragraph" w:customStyle="1" w:styleId="xl208">
    <w:name w:val="xl20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0"/>
      <w:lang w:eastAsia="en-GB"/>
    </w:rPr>
  </w:style>
  <w:style w:type="paragraph" w:customStyle="1" w:styleId="xl209">
    <w:name w:val="xl20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0"/>
      <w:lang w:eastAsia="en-GB"/>
    </w:rPr>
  </w:style>
  <w:style w:type="paragraph" w:customStyle="1" w:styleId="xl210">
    <w:name w:val="xl21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color w:val="000000"/>
      <w:sz w:val="22"/>
      <w:szCs w:val="20"/>
      <w:lang w:eastAsia="en-GB"/>
    </w:rPr>
  </w:style>
  <w:style w:type="paragraph" w:customStyle="1" w:styleId="xl211">
    <w:name w:val="xl21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0"/>
      <w:lang w:eastAsia="en-GB"/>
    </w:rPr>
  </w:style>
  <w:style w:type="paragraph" w:customStyle="1" w:styleId="xl212">
    <w:name w:val="xl212"/>
    <w:basedOn w:val="Normal"/>
    <w:pPr>
      <w:spacing w:before="100" w:beforeAutospacing="1" w:after="100" w:afterAutospacing="1"/>
      <w:jc w:val="left"/>
    </w:pPr>
    <w:rPr>
      <w:rFonts w:ascii="Calibri" w:hAnsi="Calibri" w:cs="Calibri"/>
      <w:b/>
      <w:bCs/>
      <w:sz w:val="22"/>
      <w:szCs w:val="20"/>
      <w:lang w:eastAsia="en-GB"/>
    </w:rPr>
  </w:style>
  <w:style w:type="paragraph" w:customStyle="1" w:styleId="xl213">
    <w:name w:val="xl21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b/>
      <w:bCs/>
      <w:color w:val="000000"/>
      <w:sz w:val="22"/>
      <w:szCs w:val="20"/>
      <w:lang w:eastAsia="en-GB"/>
    </w:rPr>
  </w:style>
  <w:style w:type="paragraph" w:customStyle="1" w:styleId="xl214">
    <w:name w:val="xl21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b/>
      <w:bCs/>
      <w:color w:val="000000"/>
      <w:sz w:val="22"/>
      <w:szCs w:val="20"/>
      <w:lang w:eastAsia="en-GB"/>
    </w:rPr>
  </w:style>
  <w:style w:type="paragraph" w:customStyle="1" w:styleId="xl215">
    <w:name w:val="xl21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b/>
      <w:bCs/>
      <w:color w:val="000000"/>
      <w:sz w:val="22"/>
      <w:szCs w:val="20"/>
      <w:lang w:eastAsia="en-GB"/>
    </w:rPr>
  </w:style>
  <w:style w:type="paragraph" w:customStyle="1" w:styleId="xl216">
    <w:name w:val="xl21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b/>
      <w:bCs/>
      <w:sz w:val="22"/>
      <w:szCs w:val="20"/>
      <w:lang w:eastAsia="en-GB"/>
    </w:rPr>
  </w:style>
  <w:style w:type="paragraph" w:customStyle="1" w:styleId="xl217">
    <w:name w:val="xl21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b/>
      <w:bCs/>
      <w:sz w:val="22"/>
      <w:szCs w:val="20"/>
      <w:lang w:eastAsia="en-GB"/>
    </w:rPr>
  </w:style>
  <w:style w:type="paragraph" w:customStyle="1" w:styleId="xl218">
    <w:name w:val="xl218"/>
    <w:basedOn w:val="Normal"/>
    <w:pPr>
      <w:spacing w:before="100" w:beforeAutospacing="1" w:after="100" w:afterAutospacing="1"/>
      <w:jc w:val="left"/>
    </w:pPr>
    <w:rPr>
      <w:rFonts w:ascii="Calibri" w:hAnsi="Calibri" w:cs="Calibri"/>
      <w:color w:val="FF00FF"/>
      <w:sz w:val="22"/>
      <w:szCs w:val="20"/>
      <w:lang w:eastAsia="en-GB"/>
    </w:rPr>
  </w:style>
  <w:style w:type="paragraph" w:customStyle="1" w:styleId="xl219">
    <w:name w:val="xl219"/>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color w:val="000000"/>
      <w:sz w:val="22"/>
      <w:szCs w:val="20"/>
      <w:lang w:eastAsia="en-GB"/>
    </w:rPr>
  </w:style>
  <w:style w:type="paragraph" w:customStyle="1" w:styleId="xl220">
    <w:name w:val="xl220"/>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color w:val="000000"/>
      <w:sz w:val="22"/>
      <w:szCs w:val="20"/>
      <w:lang w:eastAsia="en-GB"/>
    </w:rPr>
  </w:style>
  <w:style w:type="paragraph" w:customStyle="1" w:styleId="xl221">
    <w:name w:val="xl221"/>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color w:val="000000"/>
      <w:sz w:val="22"/>
      <w:szCs w:val="20"/>
      <w:lang w:eastAsia="en-GB"/>
    </w:rPr>
  </w:style>
  <w:style w:type="paragraph" w:customStyle="1" w:styleId="xl222">
    <w:name w:val="xl222"/>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sz w:val="22"/>
      <w:szCs w:val="20"/>
      <w:lang w:eastAsia="en-GB"/>
    </w:rPr>
  </w:style>
  <w:style w:type="paragraph" w:customStyle="1" w:styleId="xl223">
    <w:name w:val="xl223"/>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sz w:val="22"/>
      <w:szCs w:val="20"/>
      <w:lang w:eastAsia="en-GB"/>
    </w:rPr>
  </w:style>
  <w:style w:type="paragraph" w:customStyle="1" w:styleId="xl224">
    <w:name w:val="xl224"/>
    <w:basedOn w:val="Normal"/>
    <w:pPr>
      <w:shd w:val="clear" w:color="000000" w:fill="DDD9C4"/>
      <w:spacing w:before="100" w:beforeAutospacing="1" w:after="100" w:afterAutospacing="1"/>
      <w:jc w:val="left"/>
    </w:pPr>
    <w:rPr>
      <w:rFonts w:ascii="Calibri" w:hAnsi="Calibri" w:cs="Calibri"/>
      <w:sz w:val="22"/>
      <w:szCs w:val="20"/>
      <w:lang w:eastAsia="en-GB"/>
    </w:rPr>
  </w:style>
  <w:style w:type="paragraph" w:customStyle="1" w:styleId="xl225">
    <w:name w:val="xl225"/>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pPr>
    <w:rPr>
      <w:rFonts w:ascii="Calibri" w:hAnsi="Calibri" w:cs="Calibri"/>
      <w:sz w:val="22"/>
      <w:szCs w:val="20"/>
      <w:lang w:eastAsia="en-GB"/>
    </w:rPr>
  </w:style>
  <w:style w:type="paragraph" w:customStyle="1" w:styleId="xl226">
    <w:name w:val="xl226"/>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color w:val="000000"/>
      <w:sz w:val="22"/>
      <w:szCs w:val="20"/>
      <w:lang w:eastAsia="en-GB"/>
    </w:rPr>
  </w:style>
  <w:style w:type="paragraph" w:customStyle="1" w:styleId="xl227">
    <w:name w:val="xl227"/>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b/>
      <w:bCs/>
      <w:sz w:val="22"/>
      <w:szCs w:val="20"/>
      <w:lang w:eastAsia="en-GB"/>
    </w:rPr>
  </w:style>
  <w:style w:type="paragraph" w:customStyle="1" w:styleId="xl228">
    <w:name w:val="xl228"/>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b/>
      <w:bCs/>
      <w:sz w:val="22"/>
      <w:szCs w:val="20"/>
      <w:lang w:eastAsia="en-GB"/>
    </w:rPr>
  </w:style>
  <w:style w:type="paragraph" w:customStyle="1" w:styleId="xl229">
    <w:name w:val="xl229"/>
    <w:basedOn w:val="Normal"/>
    <w:pPr>
      <w:shd w:val="clear" w:color="000000" w:fill="DDD9C4"/>
      <w:spacing w:before="100" w:beforeAutospacing="1" w:after="100" w:afterAutospacing="1"/>
      <w:jc w:val="left"/>
    </w:pPr>
    <w:rPr>
      <w:rFonts w:ascii="Calibri" w:hAnsi="Calibri" w:cs="Calibri"/>
      <w:b/>
      <w:bCs/>
      <w:sz w:val="22"/>
      <w:szCs w:val="20"/>
      <w:lang w:eastAsia="en-GB"/>
    </w:rPr>
  </w:style>
  <w:style w:type="paragraph" w:customStyle="1" w:styleId="xl230">
    <w:name w:val="xl230"/>
    <w:basedOn w:val="Normal"/>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ascii="Calibri" w:hAnsi="Calibri" w:cs="Calibri"/>
      <w:i/>
      <w:iCs/>
      <w:sz w:val="22"/>
      <w:szCs w:val="20"/>
      <w:lang w:eastAsia="en-GB"/>
    </w:rPr>
  </w:style>
  <w:style w:type="paragraph" w:customStyle="1" w:styleId="xl231">
    <w:name w:val="xl231"/>
    <w:basedOn w:val="Normal"/>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cs="Calibri"/>
      <w:i/>
      <w:iCs/>
      <w:sz w:val="22"/>
      <w:szCs w:val="20"/>
      <w:lang w:eastAsia="en-GB"/>
    </w:rPr>
  </w:style>
  <w:style w:type="paragraph" w:customStyle="1" w:styleId="xl232">
    <w:name w:val="xl232"/>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b/>
      <w:bCs/>
      <w:i/>
      <w:iCs/>
      <w:sz w:val="22"/>
      <w:szCs w:val="20"/>
      <w:lang w:eastAsia="en-GB"/>
    </w:rPr>
  </w:style>
  <w:style w:type="paragraph" w:customStyle="1" w:styleId="xl233">
    <w:name w:val="xl233"/>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i/>
      <w:iCs/>
      <w:sz w:val="22"/>
      <w:szCs w:val="20"/>
      <w:lang w:eastAsia="en-GB"/>
    </w:rPr>
  </w:style>
  <w:style w:type="paragraph" w:customStyle="1" w:styleId="xl234">
    <w:name w:val="xl2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i/>
      <w:iCs/>
      <w:sz w:val="22"/>
      <w:szCs w:val="20"/>
      <w:lang w:eastAsia="en-GB"/>
    </w:rPr>
  </w:style>
  <w:style w:type="paragraph" w:customStyle="1" w:styleId="xl235">
    <w:name w:val="xl2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i/>
      <w:iCs/>
      <w:sz w:val="22"/>
      <w:szCs w:val="20"/>
      <w:lang w:eastAsia="en-GB"/>
    </w:rPr>
  </w:style>
  <w:style w:type="paragraph" w:customStyle="1" w:styleId="xl236">
    <w:name w:val="xl2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b/>
      <w:bCs/>
      <w:i/>
      <w:iCs/>
      <w:sz w:val="22"/>
      <w:szCs w:val="20"/>
      <w:lang w:eastAsia="en-GB"/>
    </w:rPr>
  </w:style>
  <w:style w:type="paragraph" w:customStyle="1" w:styleId="xl237">
    <w:name w:val="xl237"/>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b/>
      <w:bCs/>
      <w:color w:val="000000"/>
      <w:sz w:val="22"/>
      <w:szCs w:val="20"/>
      <w:lang w:eastAsia="en-GB"/>
    </w:rPr>
  </w:style>
  <w:style w:type="paragraph" w:customStyle="1" w:styleId="xl238">
    <w:name w:val="xl238"/>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b/>
      <w:bCs/>
      <w:color w:val="000000"/>
      <w:sz w:val="22"/>
      <w:szCs w:val="20"/>
      <w:lang w:eastAsia="en-GB"/>
    </w:rPr>
  </w:style>
  <w:style w:type="paragraph" w:customStyle="1" w:styleId="xl239">
    <w:name w:val="xl239"/>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b/>
      <w:bCs/>
      <w:color w:val="000000"/>
      <w:sz w:val="22"/>
      <w:szCs w:val="20"/>
      <w:lang w:eastAsia="en-GB"/>
    </w:rPr>
  </w:style>
  <w:style w:type="paragraph" w:customStyle="1" w:styleId="xl240">
    <w:name w:val="xl240"/>
    <w:basedOn w:val="Normal"/>
    <w:pPr>
      <w:spacing w:before="100" w:beforeAutospacing="1" w:after="100" w:afterAutospacing="1"/>
      <w:jc w:val="right"/>
    </w:pPr>
    <w:rPr>
      <w:rFonts w:ascii="Calibri" w:hAnsi="Calibri" w:cs="Calibri"/>
      <w:sz w:val="22"/>
      <w:szCs w:val="20"/>
      <w:lang w:eastAsia="en-GB"/>
    </w:rPr>
  </w:style>
  <w:style w:type="paragraph" w:customStyle="1" w:styleId="xl241">
    <w:name w:val="xl241"/>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sz w:val="22"/>
      <w:szCs w:val="20"/>
      <w:lang w:eastAsia="en-GB"/>
    </w:rPr>
  </w:style>
  <w:style w:type="paragraph" w:customStyle="1" w:styleId="xl242">
    <w:name w:val="xl24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0"/>
      <w:lang w:eastAsia="en-GB"/>
    </w:rPr>
  </w:style>
  <w:style w:type="paragraph" w:customStyle="1" w:styleId="xl243">
    <w:name w:val="xl243"/>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b/>
      <w:bCs/>
      <w:sz w:val="22"/>
      <w:szCs w:val="20"/>
      <w:lang w:eastAsia="en-GB"/>
    </w:rPr>
  </w:style>
  <w:style w:type="paragraph" w:customStyle="1" w:styleId="xl244">
    <w:name w:val="xl244"/>
    <w:basedOn w:val="Normal"/>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Calibri" w:hAnsi="Calibri" w:cs="Calibri"/>
      <w:b/>
      <w:bCs/>
      <w:sz w:val="22"/>
      <w:szCs w:val="20"/>
      <w:lang w:eastAsia="en-GB"/>
    </w:rPr>
  </w:style>
  <w:style w:type="paragraph" w:customStyle="1" w:styleId="xl245">
    <w:name w:val="xl245"/>
    <w:basedOn w:val="Normal"/>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cs="Calibri"/>
      <w:b/>
      <w:bCs/>
      <w:sz w:val="22"/>
      <w:szCs w:val="20"/>
      <w:lang w:eastAsia="en-GB"/>
    </w:rPr>
  </w:style>
  <w:style w:type="paragraph" w:customStyle="1" w:styleId="xl246">
    <w:name w:val="xl246"/>
    <w:basedOn w:val="Normal"/>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cs="Calibri"/>
      <w:b/>
      <w:bCs/>
      <w:color w:val="000000"/>
      <w:sz w:val="22"/>
      <w:szCs w:val="20"/>
      <w:lang w:eastAsia="en-GB"/>
    </w:rPr>
  </w:style>
  <w:style w:type="paragraph" w:customStyle="1" w:styleId="xl247">
    <w:name w:val="xl247"/>
    <w:basedOn w:val="Normal"/>
    <w:pPr>
      <w:pBdr>
        <w:left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cs="Calibri"/>
      <w:b/>
      <w:bCs/>
      <w:color w:val="000000"/>
      <w:sz w:val="22"/>
      <w:szCs w:val="20"/>
      <w:lang w:eastAsia="en-GB"/>
    </w:rPr>
  </w:style>
  <w:style w:type="paragraph" w:customStyle="1" w:styleId="xl248">
    <w:name w:val="xl248"/>
    <w:basedOn w:val="Normal"/>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cs="Calibri"/>
      <w:b/>
      <w:bCs/>
      <w:color w:val="000000"/>
      <w:sz w:val="22"/>
      <w:szCs w:val="20"/>
      <w:lang w:eastAsia="en-GB"/>
    </w:rPr>
  </w:style>
  <w:style w:type="paragraph" w:customStyle="1" w:styleId="xl249">
    <w:name w:val="xl249"/>
    <w:basedOn w:val="Normal"/>
    <w:pPr>
      <w:pBdr>
        <w:top w:val="single" w:sz="4" w:space="0" w:color="auto"/>
        <w:left w:val="single" w:sz="4" w:space="0" w:color="auto"/>
      </w:pBdr>
      <w:shd w:val="clear" w:color="000000" w:fill="CCFFCC"/>
      <w:spacing w:before="100" w:beforeAutospacing="1" w:after="100" w:afterAutospacing="1"/>
      <w:jc w:val="center"/>
      <w:textAlignment w:val="center"/>
    </w:pPr>
    <w:rPr>
      <w:rFonts w:ascii="Calibri" w:hAnsi="Calibri" w:cs="Calibri"/>
      <w:b/>
      <w:bCs/>
      <w:color w:val="000000"/>
      <w:sz w:val="22"/>
      <w:szCs w:val="20"/>
      <w:lang w:eastAsia="en-GB"/>
    </w:rPr>
  </w:style>
  <w:style w:type="paragraph" w:customStyle="1" w:styleId="xl250">
    <w:name w:val="xl250"/>
    <w:basedOn w:val="Normal"/>
    <w:pPr>
      <w:pBdr>
        <w:top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cs="Calibri"/>
      <w:b/>
      <w:bCs/>
      <w:color w:val="000000"/>
      <w:sz w:val="22"/>
      <w:szCs w:val="20"/>
      <w:lang w:eastAsia="en-GB"/>
    </w:rPr>
  </w:style>
  <w:style w:type="paragraph" w:customStyle="1" w:styleId="xl251">
    <w:name w:val="xl251"/>
    <w:basedOn w:val="Normal"/>
    <w:pPr>
      <w:pBdr>
        <w:left w:val="single" w:sz="4" w:space="0" w:color="auto"/>
        <w:bottom w:val="single" w:sz="4" w:space="0" w:color="auto"/>
      </w:pBdr>
      <w:shd w:val="clear" w:color="000000" w:fill="CCFFCC"/>
      <w:spacing w:before="100" w:beforeAutospacing="1" w:after="100" w:afterAutospacing="1"/>
      <w:jc w:val="center"/>
      <w:textAlignment w:val="center"/>
    </w:pPr>
    <w:rPr>
      <w:rFonts w:ascii="Calibri" w:hAnsi="Calibri" w:cs="Calibri"/>
      <w:b/>
      <w:bCs/>
      <w:color w:val="000000"/>
      <w:sz w:val="22"/>
      <w:szCs w:val="20"/>
      <w:lang w:eastAsia="en-GB"/>
    </w:rPr>
  </w:style>
  <w:style w:type="paragraph" w:customStyle="1" w:styleId="xl252">
    <w:name w:val="xl252"/>
    <w:basedOn w:val="Normal"/>
    <w:pPr>
      <w:pBdr>
        <w:bottom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cs="Calibri"/>
      <w:b/>
      <w:bCs/>
      <w:color w:val="000000"/>
      <w:sz w:val="22"/>
      <w:szCs w:val="20"/>
      <w:lang w:eastAsia="en-GB"/>
    </w:rPr>
  </w:style>
  <w:style w:type="paragraph" w:customStyle="1" w:styleId="xl253">
    <w:name w:val="xl253"/>
    <w:basedOn w:val="Normal"/>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cs="Calibri"/>
      <w:b/>
      <w:bCs/>
      <w:i/>
      <w:iCs/>
      <w:sz w:val="22"/>
      <w:szCs w:val="20"/>
      <w:lang w:eastAsia="en-GB"/>
    </w:rPr>
  </w:style>
  <w:style w:type="character" w:customStyle="1" w:styleId="link-size">
    <w:name w:val="link-size"/>
  </w:style>
  <w:style w:type="paragraph" w:styleId="PlainText">
    <w:name w:val="Plain Text"/>
    <w:basedOn w:val="Normal"/>
    <w:link w:val="PlainTextChar"/>
    <w:uiPriority w:val="99"/>
    <w:unhideWhenUsed/>
    <w:pPr>
      <w:spacing w:before="0" w:after="0"/>
      <w:jc w:val="left"/>
    </w:pPr>
    <w:rPr>
      <w:rFonts w:ascii="Calibri" w:eastAsia="Calibri" w:hAnsi="Calibri" w:cs="Consolas"/>
      <w:sz w:val="22"/>
      <w:szCs w:val="21"/>
    </w:rPr>
  </w:style>
  <w:style w:type="character" w:customStyle="1" w:styleId="PlainTextChar">
    <w:name w:val="Plain Text Char"/>
    <w:link w:val="PlainText"/>
    <w:uiPriority w:val="99"/>
    <w:rPr>
      <w:rFonts w:ascii="Calibri" w:eastAsia="Calibri" w:hAnsi="Calibri" w:cs="Consolas"/>
      <w:sz w:val="22"/>
      <w:szCs w:val="21"/>
      <w:shd w:val="clear" w:color="auto" w:fill="auto"/>
      <w:lang w:eastAsia="en-US"/>
    </w:rPr>
  </w:style>
  <w:style w:type="character" w:customStyle="1" w:styleId="HeaderChar">
    <w:name w:val="Header Char"/>
    <w:basedOn w:val="DefaultParagraphFont"/>
    <w:link w:val="Header"/>
    <w:uiPriority w:val="99"/>
    <w:rPr>
      <w:rFonts w:eastAsiaTheme="minorHAnsi"/>
      <w:sz w:val="24"/>
      <w:szCs w:val="22"/>
      <w:lang w:eastAsia="en-US"/>
    </w:rPr>
  </w:style>
  <w:style w:type="character" w:customStyle="1" w:styleId="FooterChar">
    <w:name w:val="Footer Char"/>
    <w:basedOn w:val="DefaultParagraphFont"/>
    <w:link w:val="Footer"/>
    <w:uiPriority w:val="99"/>
    <w:rPr>
      <w:rFonts w:eastAsiaTheme="minorHAnsi"/>
      <w:sz w:val="24"/>
      <w:szCs w:val="22"/>
      <w:lang w:eastAsia="en-US"/>
    </w:rPr>
  </w:style>
  <w:style w:type="character" w:customStyle="1" w:styleId="FootnoteTextChar">
    <w:name w:val="Footnote Text Char"/>
    <w:aliases w:val="-E Fußnotentext Char,Fußnotentext Ursprung Char,-E Fußnotentext1 Char,-E Fußnotentext2 Char,-E Fußnotentext3 Char,Fußnotentextf Char,RSK-FT Char,RSK-FT1 Char,RSK-FT2 Char,Schriftart: 9 pt Char,Schriftart: 10 pt Char,fn Char,Char Char"/>
    <w:link w:val="FootnoteText"/>
    <w:uiPriority w:val="99"/>
    <w:rPr>
      <w:lang w:eastAsia="en-US"/>
    </w:rPr>
  </w:style>
  <w:style w:type="character" w:customStyle="1" w:styleId="Heading1Char">
    <w:name w:val="Heading 1 Char"/>
    <w:link w:val="Heading1"/>
    <w:uiPriority w:val="9"/>
    <w:rPr>
      <w:b/>
      <w:bCs/>
      <w:smallCaps/>
      <w:sz w:val="24"/>
      <w:szCs w:val="32"/>
      <w:lang w:eastAsia="en-US"/>
    </w:rPr>
  </w:style>
  <w:style w:type="character" w:customStyle="1" w:styleId="Heading2Char">
    <w:name w:val="Heading 2 Char"/>
    <w:link w:val="Heading2"/>
    <w:uiPriority w:val="9"/>
    <w:rPr>
      <w:b/>
      <w:bCs/>
      <w:i/>
      <w:iCs/>
      <w:sz w:val="24"/>
      <w:szCs w:val="28"/>
      <w:lang w:eastAsia="en-US"/>
    </w:rPr>
  </w:style>
  <w:style w:type="character" w:customStyle="1" w:styleId="Heading3Char">
    <w:name w:val="Heading 3 Char"/>
    <w:link w:val="Heading3"/>
    <w:uiPriority w:val="9"/>
    <w:rPr>
      <w:bCs/>
      <w:i/>
      <w:sz w:val="24"/>
      <w:szCs w:val="26"/>
      <w:lang w:eastAsia="en-US"/>
    </w:rPr>
  </w:style>
  <w:style w:type="character" w:customStyle="1" w:styleId="Heading4Char">
    <w:name w:val="Heading 4 Char"/>
    <w:link w:val="Heading4"/>
    <w:uiPriority w:val="9"/>
    <w:rPr>
      <w:bCs/>
      <w:sz w:val="24"/>
      <w:szCs w:val="28"/>
      <w:lang w:eastAsia="en-US"/>
    </w:rPr>
  </w:style>
  <w:style w:type="character" w:customStyle="1" w:styleId="FootnoteTextChar1">
    <w:name w:val="Footnote Text Char1"/>
    <w:aliases w:val="-E Fußnotentext Char1,Fußnotentext Ursprung Char1,-E Fußnotentext1 Char1,-E Fußnotentext2 Char1,-E Fußnotentext3 Char1"/>
    <w:uiPriority w:val="99"/>
    <w:locked/>
    <w:rPr>
      <w:rFonts w:cs="Times New Roman"/>
      <w:sz w:val="24"/>
      <w:lang w:val="en-GB" w:eastAsia="fr-BE" w:bidi="ar-SA"/>
    </w:rPr>
  </w:style>
  <w:style w:type="character" w:styleId="Emphasis">
    <w:name w:val="Emphasis"/>
    <w:uiPriority w:val="20"/>
    <w:qFormat/>
    <w:rPr>
      <w:b/>
      <w:bCs/>
      <w:i w:val="0"/>
      <w:iCs w:val="0"/>
      <w:shd w:val="clear" w:color="auto" w:fill="auto"/>
    </w:rPr>
  </w:style>
  <w:style w:type="character" w:customStyle="1" w:styleId="st1">
    <w:name w:val="st1"/>
  </w:style>
  <w:style w:type="character" w:customStyle="1" w:styleId="st">
    <w:name w:val="st"/>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before="0" w:after="160" w:line="240" w:lineRule="exact"/>
      <w:jc w:val="left"/>
    </w:pPr>
    <w:rPr>
      <w:sz w:val="20"/>
      <w:szCs w:val="20"/>
      <w:vertAlign w:val="superscript"/>
      <w:lang w:eastAsia="en-GB"/>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Pr>
      <w:rFonts w:asciiTheme="majorHAnsi" w:eastAsiaTheme="majorEastAsia" w:hAnsiTheme="majorHAnsi" w:cstheme="majorBidi"/>
      <w:i/>
      <w:iCs/>
      <w:color w:val="4F81BD" w:themeColor="accent1"/>
      <w:spacing w:val="15"/>
      <w:sz w:val="24"/>
      <w:szCs w:val="24"/>
      <w:lang w:eastAsia="en-US"/>
    </w:rPr>
  </w:style>
  <w:style w:type="paragraph" w:customStyle="1" w:styleId="briefinglist1">
    <w:name w:val="briefinglist1"/>
    <w:basedOn w:val="Normal"/>
    <w:pPr>
      <w:spacing w:before="0" w:after="0"/>
      <w:jc w:val="left"/>
    </w:pPr>
    <w:rPr>
      <w:rFonts w:eastAsiaTheme="minorHAnsi"/>
      <w:lang w:eastAsia="en-GB"/>
    </w:rPr>
  </w:style>
  <w:style w:type="paragraph" w:customStyle="1" w:styleId="briefingtext">
    <w:name w:val="briefingtext"/>
    <w:basedOn w:val="Normal"/>
    <w:pPr>
      <w:spacing w:before="0" w:after="0"/>
      <w:jc w:val="left"/>
    </w:pPr>
    <w:rPr>
      <w:rFonts w:eastAsiaTheme="minorHAnsi"/>
      <w:lang w:eastAsia="en-GB"/>
    </w:r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qFormat="1"/>
    <w:lsdException w:name="annotation reference" w:uiPriority="99"/>
    <w:lsdException w:name="page number" w:uiPriority="99"/>
    <w:lsdException w:name="endnote reference" w:uiPriority="99"/>
    <w:lsdException w:name="endnote text" w:uiPriority="99"/>
    <w:lsdException w:name="macro" w:semiHidden="0" w:unhideWhenUsed="0"/>
    <w:lsdException w:name="List Bullet" w:semiHidden="0" w:uiPriority="99" w:unhideWhenUsed="0"/>
    <w:lsdException w:name="List Number" w:semiHidden="0" w:uiPriority="99" w:unhideWhenUsed="0"/>
    <w:lsdException w:name="List Bullet 2" w:uiPriority="99"/>
    <w:lsdException w:name="List Bullet 3" w:uiPriority="99"/>
    <w:lsdException w:name="List Bullet 4" w:uiPriority="99"/>
    <w:lsdException w:name="List Number 2" w:uiPriority="99"/>
    <w:lsdException w:name="List Number 3" w:uiPriority="99"/>
    <w:lsdException w:name="List Number 4" w:uiPriority="99"/>
    <w:lsdException w:name="Title" w:semiHidden="0" w:unhideWhenUsed="0" w:qFormat="1"/>
    <w:lsdException w:name="Default Paragraph Font" w:uiPriority="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before="120" w:after="120"/>
      <w:jc w:val="both"/>
    </w:pPr>
    <w:rPr>
      <w:sz w:val="24"/>
      <w:szCs w:val="24"/>
      <w:lang w:eastAsia="en-US"/>
    </w:rPr>
  </w:style>
  <w:style w:type="paragraph" w:styleId="Heading1">
    <w:name w:val="heading 1"/>
    <w:basedOn w:val="Normal"/>
    <w:next w:val="Normal"/>
    <w:link w:val="Heading1Char"/>
    <w:uiPriority w:val="9"/>
    <w:qFormat/>
    <w:pPr>
      <w:keepNext/>
      <w:numPr>
        <w:numId w:val="34"/>
      </w:numPr>
      <w:spacing w:before="360"/>
      <w:outlineLvl w:val="0"/>
    </w:pPr>
    <w:rPr>
      <w:b/>
      <w:bCs/>
      <w:smallCaps/>
      <w:szCs w:val="32"/>
    </w:rPr>
  </w:style>
  <w:style w:type="paragraph" w:styleId="Heading2">
    <w:name w:val="heading 2"/>
    <w:basedOn w:val="Normal"/>
    <w:next w:val="Normal"/>
    <w:link w:val="Heading2Char"/>
    <w:uiPriority w:val="9"/>
    <w:qFormat/>
    <w:pPr>
      <w:keepNext/>
      <w:outlineLvl w:val="1"/>
    </w:pPr>
    <w:rPr>
      <w:b/>
      <w:bCs/>
      <w:i/>
      <w:iCs/>
      <w:szCs w:val="28"/>
    </w:rPr>
  </w:style>
  <w:style w:type="paragraph" w:styleId="Heading3">
    <w:name w:val="heading 3"/>
    <w:basedOn w:val="Normal"/>
    <w:next w:val="Normal"/>
    <w:link w:val="Heading3Char"/>
    <w:uiPriority w:val="9"/>
    <w:qFormat/>
    <w:pPr>
      <w:keepNext/>
      <w:numPr>
        <w:ilvl w:val="2"/>
        <w:numId w:val="34"/>
      </w:numPr>
      <w:outlineLvl w:val="2"/>
    </w:pPr>
    <w:rPr>
      <w:bCs/>
      <w:i/>
      <w:szCs w:val="26"/>
    </w:rPr>
  </w:style>
  <w:style w:type="paragraph" w:styleId="Heading4">
    <w:name w:val="heading 4"/>
    <w:basedOn w:val="Normal"/>
    <w:next w:val="Normal"/>
    <w:link w:val="Heading4Char"/>
    <w:uiPriority w:val="9"/>
    <w:qFormat/>
    <w:pPr>
      <w:keepNext/>
      <w:numPr>
        <w:ilvl w:val="3"/>
        <w:numId w:val="34"/>
      </w:numPr>
      <w:outlineLvl w:val="3"/>
    </w:pPr>
    <w:rPr>
      <w:bCs/>
      <w:szCs w:val="28"/>
    </w:rPr>
  </w:style>
  <w:style w:type="paragraph" w:styleId="Heading5">
    <w:name w:val="heading 5"/>
    <w:basedOn w:val="Normal"/>
    <w:next w:val="Normal"/>
    <w:link w:val="Heading5Char"/>
    <w:uiPriority w:val="9"/>
    <w:qFormat/>
    <w:pPr>
      <w:numPr>
        <w:ilvl w:val="4"/>
        <w:numId w:val="31"/>
      </w:numPr>
      <w:tabs>
        <w:tab w:val="clear" w:pos="1728"/>
        <w:tab w:val="num" w:pos="1368"/>
      </w:tabs>
      <w:spacing w:before="240" w:after="60"/>
      <w:ind w:left="1368"/>
      <w:jc w:val="left"/>
      <w:outlineLvl w:val="4"/>
    </w:pPr>
    <w:rPr>
      <w:b/>
      <w:bCs/>
      <w:i/>
      <w:iCs/>
      <w:sz w:val="26"/>
      <w:szCs w:val="26"/>
      <w:lang w:eastAsia="en-GB"/>
    </w:rPr>
  </w:style>
  <w:style w:type="paragraph" w:styleId="Heading6">
    <w:name w:val="heading 6"/>
    <w:basedOn w:val="Normal"/>
    <w:next w:val="Normal"/>
    <w:link w:val="Heading6Char"/>
    <w:uiPriority w:val="9"/>
    <w:qFormat/>
    <w:pPr>
      <w:numPr>
        <w:ilvl w:val="5"/>
        <w:numId w:val="31"/>
      </w:numPr>
      <w:tabs>
        <w:tab w:val="clear" w:pos="1872"/>
        <w:tab w:val="num" w:pos="1512"/>
      </w:tabs>
      <w:spacing w:before="240" w:after="60"/>
      <w:ind w:left="1512"/>
      <w:jc w:val="left"/>
      <w:outlineLvl w:val="5"/>
    </w:pPr>
    <w:rPr>
      <w:b/>
      <w:bCs/>
      <w:sz w:val="22"/>
      <w:szCs w:val="20"/>
      <w:lang w:eastAsia="en-GB"/>
    </w:rPr>
  </w:style>
  <w:style w:type="paragraph" w:styleId="Heading7">
    <w:name w:val="heading 7"/>
    <w:basedOn w:val="Normal"/>
    <w:next w:val="Normal"/>
    <w:link w:val="Heading7Char"/>
    <w:uiPriority w:val="9"/>
    <w:qFormat/>
    <w:pPr>
      <w:keepNext/>
      <w:spacing w:before="0" w:after="0"/>
      <w:outlineLvl w:val="6"/>
    </w:pPr>
    <w:rPr>
      <w:b/>
      <w:bCs/>
      <w:sz w:val="18"/>
      <w:szCs w:val="20"/>
      <w:lang w:val="en-US" w:eastAsia="zh-CN"/>
    </w:rPr>
  </w:style>
  <w:style w:type="paragraph" w:styleId="Heading8">
    <w:name w:val="heading 8"/>
    <w:basedOn w:val="Normal"/>
    <w:next w:val="Normal"/>
    <w:link w:val="Heading8Char"/>
    <w:uiPriority w:val="9"/>
    <w:qFormat/>
    <w:pPr>
      <w:tabs>
        <w:tab w:val="num" w:pos="2700"/>
      </w:tabs>
      <w:spacing w:before="240" w:after="60"/>
      <w:ind w:left="2700" w:hanging="1440"/>
      <w:jc w:val="left"/>
      <w:outlineLvl w:val="7"/>
    </w:pPr>
    <w:rPr>
      <w:rFonts w:ascii="Palatino Linotype" w:hAnsi="Palatino Linotype"/>
      <w:i/>
      <w:iCs/>
      <w:sz w:val="22"/>
      <w:szCs w:val="20"/>
      <w:lang w:eastAsia="de-DE"/>
    </w:rPr>
  </w:style>
  <w:style w:type="paragraph" w:styleId="Heading9">
    <w:name w:val="heading 9"/>
    <w:basedOn w:val="Normal"/>
    <w:next w:val="Normal"/>
    <w:link w:val="Heading9Char"/>
    <w:uiPriority w:val="9"/>
    <w:qFormat/>
    <w:pPr>
      <w:tabs>
        <w:tab w:val="num" w:pos="2844"/>
      </w:tabs>
      <w:spacing w:before="240" w:after="60"/>
      <w:ind w:left="2844" w:hanging="1584"/>
      <w:jc w:val="left"/>
      <w:outlineLvl w:val="8"/>
    </w:pPr>
    <w:rPr>
      <w:rFonts w:ascii="Arial" w:hAnsi="Arial" w:cs="Arial"/>
      <w:sz w:val="22"/>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compagnant">
    <w:name w:val="Accompagnant"/>
    <w:basedOn w:val="Normal"/>
    <w:next w:val="Normal"/>
    <w:pPr>
      <w:spacing w:before="0" w:after="240"/>
      <w:jc w:val="center"/>
    </w:pPr>
    <w:rPr>
      <w:b/>
      <w:i/>
    </w:rPr>
  </w:style>
  <w:style w:type="paragraph" w:customStyle="1" w:styleId="AccompagnantPagedecouverture">
    <w:name w:val="Accompagnant (Page de couverture)"/>
    <w:basedOn w:val="Accompagnant"/>
    <w:next w:val="Normal"/>
  </w:style>
  <w:style w:type="character" w:customStyle="1" w:styleId="Added">
    <w:name w:val="Added"/>
    <w:rPr>
      <w:b/>
      <w:u w:val="single"/>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Annexetitre">
    <w:name w:val="Annexe titre"/>
    <w:basedOn w:val="Normal"/>
    <w:next w:val="Normal"/>
    <w:pPr>
      <w:jc w:val="center"/>
    </w:pPr>
    <w:rPr>
      <w:b/>
      <w:u w:val="single"/>
    </w:rPr>
  </w:style>
  <w:style w:type="paragraph" w:customStyle="1" w:styleId="Annexetitreexpos">
    <w:name w:val="Annexe titre (exposé)"/>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Normal"/>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Bullet0">
    <w:name w:val="Bullet 0"/>
    <w:basedOn w:val="Normal"/>
    <w:pPr>
      <w:numPr>
        <w:numId w:val="1"/>
      </w:numPr>
    </w:pPr>
  </w:style>
  <w:style w:type="paragraph" w:customStyle="1" w:styleId="Bullet1">
    <w:name w:val="Bullet 1"/>
    <w:basedOn w:val="Normal"/>
    <w:pPr>
      <w:numPr>
        <w:numId w:val="2"/>
      </w:numPr>
    </w:pPr>
  </w:style>
  <w:style w:type="paragraph" w:customStyle="1" w:styleId="Bullet2">
    <w:name w:val="Bullet 2"/>
    <w:basedOn w:val="Normal"/>
    <w:pPr>
      <w:numPr>
        <w:numId w:val="3"/>
      </w:numPr>
    </w:pPr>
  </w:style>
  <w:style w:type="paragraph" w:customStyle="1" w:styleId="Bullet3">
    <w:name w:val="Bullet 3"/>
    <w:basedOn w:val="Normal"/>
    <w:pPr>
      <w:numPr>
        <w:numId w:val="4"/>
      </w:numPr>
    </w:pPr>
  </w:style>
  <w:style w:type="paragraph" w:customStyle="1" w:styleId="Bullet4">
    <w:name w:val="Bullet 4"/>
    <w:basedOn w:val="Normal"/>
    <w:pPr>
      <w:numPr>
        <w:numId w:val="5"/>
      </w:numPr>
    </w:pPr>
  </w:style>
  <w:style w:type="paragraph" w:customStyle="1" w:styleId="ChapterTitle">
    <w:name w:val="ChapterTitle"/>
    <w:basedOn w:val="Normal"/>
    <w:next w:val="Normal"/>
    <w:pPr>
      <w:keepNext/>
      <w:spacing w:after="360"/>
      <w:jc w:val="center"/>
    </w:pPr>
    <w:rPr>
      <w:b/>
      <w:sz w:val="32"/>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Normal"/>
    <w:pPr>
      <w:spacing w:before="240" w:after="240"/>
      <w:ind w:left="5103"/>
    </w:pPr>
    <w:rPr>
      <w:u w:val="single"/>
    </w:rPr>
  </w:style>
  <w:style w:type="paragraph" w:customStyle="1" w:styleId="Considrant">
    <w:name w:val="Considérant"/>
    <w:basedOn w:val="Normal"/>
    <w:pPr>
      <w:numPr>
        <w:numId w:val="6"/>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Normal"/>
    <w:pPr>
      <w:spacing w:before="360" w:after="0"/>
      <w:jc w:val="center"/>
    </w:pPr>
    <w:rPr>
      <w:b/>
    </w:rPr>
  </w:style>
  <w:style w:type="paragraph" w:customStyle="1" w:styleId="DatedadoptionPagedecouverture">
    <w:name w:val="Date d'adoption (Page de couverture)"/>
    <w:basedOn w:val="Datedadoption"/>
    <w:next w:val="Normal"/>
  </w:style>
  <w:style w:type="character" w:customStyle="1" w:styleId="Deleted">
    <w:name w:val="Deleted"/>
    <w:rPr>
      <w:strike/>
      <w:shd w:val="clear" w:color="auto" w:fill="auto"/>
    </w:rPr>
  </w:style>
  <w:style w:type="paragraph" w:customStyle="1" w:styleId="Emission">
    <w:name w:val="Emission"/>
    <w:basedOn w:val="Normal"/>
    <w:next w:val="Normal"/>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Normal"/>
    <w:pPr>
      <w:keepNext/>
      <w:spacing w:after="0"/>
    </w:pPr>
  </w:style>
  <w:style w:type="paragraph" w:customStyle="1" w:styleId="Fichefinanciretitre">
    <w:name w:val="Fiche financière titre"/>
    <w:basedOn w:val="Normal"/>
    <w:next w:val="Normal"/>
    <w:pPr>
      <w:jc w:val="center"/>
    </w:pPr>
    <w:rPr>
      <w:b/>
      <w:u w:val="single"/>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character" w:styleId="FootnoteReference">
    <w:name w:val="footnote reference"/>
    <w:aliases w:val="number,Footnote text,Footnote reference number,Footnote symbol,note TESI,-E Fußnotenzeichen,SUPERS,stylish,ftref,Footnote Reference Superscript,Odwołanie przypisu,Times 10 Point,Exposant 3 Point,Voetnootverwijzing"/>
    <w:link w:val="SUPERSCharCharCharCharCharCharCharChar"/>
    <w:uiPriority w:val="99"/>
    <w:qFormat/>
    <w:rPr>
      <w:shd w:val="clear" w:color="auto" w:fill="auto"/>
      <w:vertAlign w:val="superscript"/>
    </w:rPr>
  </w:style>
  <w:style w:type="paragraph" w:styleId="FootnoteText">
    <w:name w:val="footnote text"/>
    <w:aliases w:val="-E Fußnotentext,Fußnotentext Ursprung,-E Fußnotentext1,-E Fußnotentext2,-E Fußnotentext3,Fußnotentextf,RSK-FT,RSK-FT1,RSK-FT2,Schriftart: 9 pt,Schriftart: 10 pt,Schriftart: 8 pt,WB-Fußnotentext,fn,Footnotes,Footnote ak,Char,Fußnote"/>
    <w:basedOn w:val="Normal"/>
    <w:link w:val="FootnoteTextChar"/>
    <w:uiPriority w:val="99"/>
    <w:qFormat/>
    <w:pPr>
      <w:spacing w:before="0" w:after="0"/>
      <w:ind w:left="720" w:hanging="720"/>
    </w:pPr>
    <w:rPr>
      <w:sz w:val="20"/>
      <w:szCs w:val="20"/>
    </w:rPr>
  </w:style>
  <w:style w:type="paragraph" w:customStyle="1" w:styleId="Formuledadoption">
    <w:name w:val="Formule d'adoption"/>
    <w:basedOn w:val="Normal"/>
    <w:next w:val="Normal"/>
    <w:pPr>
      <w:keepNext/>
    </w:p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Normal"/>
    <w:pPr>
      <w:keepNext/>
      <w:tabs>
        <w:tab w:val="left" w:pos="4252"/>
      </w:tabs>
      <w:spacing w:before="720" w:after="0"/>
    </w:pPr>
    <w:rPr>
      <w:i/>
    </w:rPr>
  </w:style>
  <w:style w:type="paragraph" w:customStyle="1" w:styleId="Languesfaisantfoi">
    <w:name w:val="Langues faisant foi"/>
    <w:basedOn w:val="Normal"/>
    <w:next w:val="Normal"/>
    <w:pPr>
      <w:spacing w:before="360" w:after="0"/>
      <w:jc w:val="center"/>
    </w:pPr>
  </w:style>
  <w:style w:type="paragraph" w:customStyle="1" w:styleId="IntrtEEE">
    <w:name w:val="Intérêt EEE"/>
    <w:basedOn w:val="Languesfaisantfoi"/>
    <w:next w:val="Normal"/>
    <w:pPr>
      <w:spacing w:after="240"/>
    </w:pPr>
  </w:style>
  <w:style w:type="paragraph" w:customStyle="1" w:styleId="IntrtEEEPagedecouverture">
    <w:name w:val="Intérêt EEE (Page de couverture)"/>
    <w:basedOn w:val="IntrtEEE"/>
    <w:next w:val="Normal"/>
  </w:style>
  <w:style w:type="paragraph" w:customStyle="1" w:styleId="Langue">
    <w:name w:val="Langue"/>
    <w:basedOn w:val="Normal"/>
    <w:next w:val="Normal"/>
    <w:pPr>
      <w:framePr w:wrap="around" w:vAnchor="page" w:hAnchor="text" w:xAlign="center" w:y="14741"/>
      <w:spacing w:before="0" w:after="600"/>
      <w:jc w:val="center"/>
    </w:pPr>
    <w:rPr>
      <w:b/>
      <w:caps/>
    </w:rPr>
  </w:style>
  <w:style w:type="paragraph" w:customStyle="1" w:styleId="LanguesfaisantfoiPagedecouverture">
    <w:name w:val="Langues faisant foi (Page de couverture)"/>
    <w:basedOn w:val="Normal"/>
    <w:next w:val="Normal"/>
    <w:pPr>
      <w:spacing w:before="360" w:after="0"/>
      <w:jc w:val="center"/>
    </w:pPr>
  </w:style>
  <w:style w:type="paragraph" w:customStyle="1" w:styleId="ManualConsidrant">
    <w:name w:val="Manual Considérant"/>
    <w:basedOn w:val="Normal"/>
    <w:pPr>
      <w:ind w:left="709" w:hanging="709"/>
    </w:pPr>
  </w:style>
  <w:style w:type="paragraph" w:customStyle="1" w:styleId="ManualHeading1">
    <w:name w:val="Manual Heading 1"/>
    <w:basedOn w:val="Normal"/>
    <w:next w:val="Normal"/>
    <w:pPr>
      <w:keepNext/>
      <w:tabs>
        <w:tab w:val="left" w:pos="850"/>
      </w:tabs>
      <w:spacing w:before="360"/>
      <w:ind w:left="850" w:hanging="850"/>
      <w:outlineLvl w:val="0"/>
    </w:pPr>
    <w:rPr>
      <w:b/>
      <w:smallCaps/>
    </w:rPr>
  </w:style>
  <w:style w:type="paragraph" w:customStyle="1" w:styleId="ManualHeading2">
    <w:name w:val="Manual Heading 2"/>
    <w:basedOn w:val="Normal"/>
    <w:next w:val="Normal"/>
    <w:pPr>
      <w:keepNext/>
      <w:tabs>
        <w:tab w:val="left" w:pos="850"/>
      </w:tabs>
      <w:ind w:left="850" w:hanging="850"/>
      <w:outlineLvl w:val="1"/>
    </w:pPr>
    <w:rPr>
      <w:b/>
    </w:rPr>
  </w:style>
  <w:style w:type="paragraph" w:customStyle="1" w:styleId="ManualHeading3">
    <w:name w:val="Manual Heading 3"/>
    <w:basedOn w:val="Normal"/>
    <w:next w:val="Normal"/>
    <w:pPr>
      <w:keepNext/>
      <w:tabs>
        <w:tab w:val="left" w:pos="850"/>
      </w:tabs>
      <w:ind w:left="850" w:hanging="850"/>
      <w:outlineLvl w:val="2"/>
    </w:pPr>
    <w:rPr>
      <w:i/>
    </w:rPr>
  </w:style>
  <w:style w:type="paragraph" w:customStyle="1" w:styleId="ManualHeading4">
    <w:name w:val="Manual Heading 4"/>
    <w:basedOn w:val="Normal"/>
    <w:next w:val="Normal"/>
    <w:pPr>
      <w:keepNext/>
      <w:tabs>
        <w:tab w:val="left" w:pos="850"/>
      </w:tabs>
      <w:ind w:left="850" w:hanging="850"/>
      <w:outlineLvl w:val="3"/>
    </w:pPr>
  </w:style>
  <w:style w:type="paragraph" w:customStyle="1" w:styleId="ManualNumPar1">
    <w:name w:val="Manual NumPar 1"/>
    <w:basedOn w:val="Normal"/>
    <w:next w:val="Normal"/>
    <w:pPr>
      <w:ind w:left="850" w:hanging="850"/>
    </w:pPr>
  </w:style>
  <w:style w:type="paragraph" w:customStyle="1" w:styleId="ManualNumPar2">
    <w:name w:val="Manual NumPar 2"/>
    <w:basedOn w:val="Normal"/>
    <w:next w:val="Normal"/>
    <w:pPr>
      <w:ind w:left="850" w:hanging="850"/>
    </w:pPr>
  </w:style>
  <w:style w:type="paragraph" w:customStyle="1" w:styleId="ManualNumPar3">
    <w:name w:val="Manual NumPar 3"/>
    <w:basedOn w:val="Normal"/>
    <w:next w:val="Normal"/>
    <w:pPr>
      <w:ind w:left="850" w:hanging="850"/>
    </w:pPr>
  </w:style>
  <w:style w:type="paragraph" w:customStyle="1" w:styleId="ManualNumPar4">
    <w:name w:val="Manual NumPar 4"/>
    <w:basedOn w:val="Normal"/>
    <w:next w:val="Normal"/>
    <w:pPr>
      <w:ind w:left="850" w:hanging="850"/>
    </w:pPr>
  </w:style>
  <w:style w:type="character" w:customStyle="1" w:styleId="Marker">
    <w:name w:val="Marker"/>
    <w:rPr>
      <w:color w:val="0000FF"/>
      <w:shd w:val="clear" w:color="auto" w:fill="auto"/>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umPar1">
    <w:name w:val="NumPar 1"/>
    <w:basedOn w:val="Normal"/>
    <w:next w:val="Normal"/>
    <w:pPr>
      <w:numPr>
        <w:numId w:val="7"/>
      </w:numPr>
    </w:pPr>
  </w:style>
  <w:style w:type="paragraph" w:customStyle="1" w:styleId="NumPar2">
    <w:name w:val="NumPar 2"/>
    <w:basedOn w:val="Normal"/>
    <w:next w:val="Normal"/>
    <w:pPr>
      <w:numPr>
        <w:ilvl w:val="1"/>
        <w:numId w:val="7"/>
      </w:numPr>
    </w:pPr>
  </w:style>
  <w:style w:type="paragraph" w:customStyle="1" w:styleId="NumPar3">
    <w:name w:val="NumPar 3"/>
    <w:basedOn w:val="Normal"/>
    <w:next w:val="Normal"/>
    <w:pPr>
      <w:numPr>
        <w:ilvl w:val="2"/>
        <w:numId w:val="7"/>
      </w:numPr>
    </w:pPr>
  </w:style>
  <w:style w:type="paragraph" w:customStyle="1" w:styleId="NumPar4">
    <w:name w:val="NumPar 4"/>
    <w:basedOn w:val="Normal"/>
    <w:next w:val="Normal"/>
    <w:pPr>
      <w:numPr>
        <w:ilvl w:val="3"/>
        <w:numId w:val="7"/>
      </w:numPr>
    </w:pPr>
  </w:style>
  <w:style w:type="paragraph" w:customStyle="1" w:styleId="Objetacteprincipal">
    <w:name w:val="Objet acte principal"/>
    <w:basedOn w:val="Normal"/>
    <w:next w:val="Normal"/>
    <w:pPr>
      <w:spacing w:before="0" w:after="360"/>
      <w:jc w:val="center"/>
    </w:pPr>
    <w:rPr>
      <w:b/>
    </w:rPr>
  </w:style>
  <w:style w:type="paragraph" w:customStyle="1" w:styleId="ObjetacteprincipalPagedecouverture">
    <w:name w:val="Objet acte principal (Page de couverture)"/>
    <w:basedOn w:val="Objetacteprincipal"/>
    <w:next w:val="Normal"/>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style>
  <w:style w:type="paragraph" w:customStyle="1" w:styleId="PartTitle">
    <w:name w:val="PartTitle"/>
    <w:basedOn w:val="Normal"/>
    <w:next w:val="ChapterTitle"/>
    <w:pPr>
      <w:keepNext/>
      <w:pageBreakBefore/>
      <w:spacing w:after="360"/>
      <w:jc w:val="center"/>
    </w:pPr>
    <w:rPr>
      <w:b/>
      <w:sz w:val="36"/>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Point0">
    <w:name w:val="Point 0"/>
    <w:basedOn w:val="Normal"/>
    <w:pPr>
      <w:ind w:left="850" w:hanging="850"/>
    </w:pPr>
  </w:style>
  <w:style w:type="paragraph" w:customStyle="1" w:styleId="Point0letter">
    <w:name w:val="Point 0 (letter)"/>
    <w:basedOn w:val="Normal"/>
    <w:pPr>
      <w:numPr>
        <w:ilvl w:val="1"/>
        <w:numId w:val="8"/>
      </w:numPr>
    </w:pPr>
  </w:style>
  <w:style w:type="paragraph" w:customStyle="1" w:styleId="Point0number">
    <w:name w:val="Point 0 (number)"/>
    <w:basedOn w:val="Normal"/>
    <w:pPr>
      <w:numPr>
        <w:numId w:val="8"/>
      </w:numPr>
    </w:pPr>
  </w:style>
  <w:style w:type="paragraph" w:customStyle="1" w:styleId="Point1">
    <w:name w:val="Point 1"/>
    <w:basedOn w:val="Normal"/>
    <w:pPr>
      <w:ind w:left="1417" w:hanging="567"/>
    </w:pPr>
  </w:style>
  <w:style w:type="paragraph" w:customStyle="1" w:styleId="Point1letter">
    <w:name w:val="Point 1 (letter)"/>
    <w:basedOn w:val="Normal"/>
    <w:pPr>
      <w:numPr>
        <w:ilvl w:val="3"/>
        <w:numId w:val="8"/>
      </w:numPr>
    </w:pPr>
  </w:style>
  <w:style w:type="paragraph" w:customStyle="1" w:styleId="Point1number">
    <w:name w:val="Point 1 (number)"/>
    <w:basedOn w:val="Normal"/>
    <w:pPr>
      <w:numPr>
        <w:ilvl w:val="2"/>
        <w:numId w:val="8"/>
      </w:numPr>
    </w:pPr>
  </w:style>
  <w:style w:type="paragraph" w:customStyle="1" w:styleId="Point2">
    <w:name w:val="Point 2"/>
    <w:basedOn w:val="Normal"/>
    <w:pPr>
      <w:ind w:left="1984" w:hanging="567"/>
    </w:pPr>
  </w:style>
  <w:style w:type="paragraph" w:customStyle="1" w:styleId="Point2letter">
    <w:name w:val="Point 2 (letter)"/>
    <w:basedOn w:val="Normal"/>
    <w:pPr>
      <w:numPr>
        <w:ilvl w:val="5"/>
        <w:numId w:val="8"/>
      </w:numPr>
    </w:pPr>
  </w:style>
  <w:style w:type="paragraph" w:customStyle="1" w:styleId="Point2number">
    <w:name w:val="Point 2 (number)"/>
    <w:basedOn w:val="Normal"/>
    <w:pPr>
      <w:numPr>
        <w:ilvl w:val="4"/>
        <w:numId w:val="8"/>
      </w:numPr>
    </w:pPr>
  </w:style>
  <w:style w:type="paragraph" w:customStyle="1" w:styleId="Point3">
    <w:name w:val="Point 3"/>
    <w:basedOn w:val="Normal"/>
    <w:pPr>
      <w:ind w:left="2551" w:hanging="567"/>
    </w:pPr>
  </w:style>
  <w:style w:type="paragraph" w:customStyle="1" w:styleId="Point3letter">
    <w:name w:val="Point 3 (letter)"/>
    <w:basedOn w:val="Normal"/>
    <w:pPr>
      <w:numPr>
        <w:ilvl w:val="7"/>
        <w:numId w:val="8"/>
      </w:numPr>
    </w:pPr>
  </w:style>
  <w:style w:type="paragraph" w:customStyle="1" w:styleId="Point3number">
    <w:name w:val="Point 3 (number)"/>
    <w:basedOn w:val="Normal"/>
    <w:pPr>
      <w:numPr>
        <w:ilvl w:val="6"/>
        <w:numId w:val="8"/>
      </w:numPr>
    </w:pPr>
  </w:style>
  <w:style w:type="paragraph" w:customStyle="1" w:styleId="Point4">
    <w:name w:val="Point 4"/>
    <w:basedOn w:val="Normal"/>
    <w:pPr>
      <w:ind w:left="3118" w:hanging="567"/>
    </w:pPr>
  </w:style>
  <w:style w:type="paragraph" w:customStyle="1" w:styleId="Point4letter">
    <w:name w:val="Point 4 (letter)"/>
    <w:basedOn w:val="Normal"/>
    <w:pPr>
      <w:numPr>
        <w:ilvl w:val="8"/>
        <w:numId w:val="8"/>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QuotedNumPar">
    <w:name w:val="Quoted NumPar"/>
    <w:basedOn w:val="Normal"/>
    <w:pPr>
      <w:ind w:left="1417" w:hanging="567"/>
    </w:pPr>
  </w:style>
  <w:style w:type="paragraph" w:customStyle="1" w:styleId="QuotedText">
    <w:name w:val="Quoted Text"/>
    <w:basedOn w:val="Normal"/>
    <w:pPr>
      <w:ind w:left="1417"/>
    </w:pPr>
  </w:style>
  <w:style w:type="paragraph" w:customStyle="1" w:styleId="Rfrencecroise">
    <w:name w:val="Référence croisée"/>
    <w:basedOn w:val="Normal"/>
    <w:pPr>
      <w:spacing w:before="0" w:after="0"/>
      <w:jc w:val="center"/>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Normal"/>
    <w:pPr>
      <w:spacing w:before="0" w:after="0"/>
      <w:ind w:left="5103"/>
      <w:jc w:val="left"/>
    </w:pPr>
  </w:style>
  <w:style w:type="paragraph" w:customStyle="1" w:styleId="RfrenceinterinstitutionnellePagedecouverture">
    <w:name w:val="Référence interinstitutionnelle (Page de couverture)"/>
    <w:basedOn w:val="Rfrenceinterinstitutionnelle"/>
    <w:next w:val="Confidentialit"/>
  </w:style>
  <w:style w:type="paragraph" w:customStyle="1" w:styleId="Rfrenceinterne">
    <w:name w:val="Référence interne"/>
    <w:basedOn w:val="Normal"/>
    <w:next w:val="Rfrenceinterinstitutionnelle"/>
    <w:pPr>
      <w:spacing w:before="0" w:after="0"/>
      <w:ind w:left="5103"/>
      <w:jc w:val="left"/>
    </w:pPr>
  </w:style>
  <w:style w:type="paragraph" w:customStyle="1" w:styleId="SectionTitle">
    <w:name w:val="SectionTitle"/>
    <w:basedOn w:val="Normal"/>
    <w:next w:val="Heading1"/>
    <w:pPr>
      <w:keepNext/>
      <w:spacing w:after="360"/>
      <w:jc w:val="center"/>
    </w:pPr>
    <w:rPr>
      <w:b/>
      <w:smallCaps/>
      <w:sz w:val="28"/>
    </w:rPr>
  </w:style>
  <w:style w:type="paragraph" w:customStyle="1" w:styleId="Sous-titreobjet">
    <w:name w:val="Sous-titre objet"/>
    <w:basedOn w:val="Normal"/>
    <w:pPr>
      <w:spacing w:before="0" w:after="0"/>
      <w:jc w:val="center"/>
    </w:pPr>
    <w:rPr>
      <w:b/>
    </w:rPr>
  </w:style>
  <w:style w:type="paragraph" w:customStyle="1" w:styleId="Sous-titreobjetPagedecouverture">
    <w:name w:val="Sous-titre objet (Page de couverture)"/>
    <w:basedOn w:val="Sous-titreobjet"/>
  </w:style>
  <w:style w:type="paragraph" w:customStyle="1" w:styleId="Statut">
    <w:name w:val="Statut"/>
    <w:basedOn w:val="Normal"/>
    <w:next w:val="Normal"/>
    <w:pPr>
      <w:spacing w:before="360" w:after="0"/>
      <w:jc w:val="center"/>
    </w:pPr>
  </w:style>
  <w:style w:type="paragraph" w:customStyle="1" w:styleId="StatutPagedecouverture">
    <w:name w:val="Statut (Page de couverture)"/>
    <w:basedOn w:val="Statut"/>
    <w:next w:val="Normal"/>
  </w:style>
  <w:style w:type="paragraph" w:customStyle="1" w:styleId="Supertitre">
    <w:name w:val="Supertitre"/>
    <w:basedOn w:val="Normal"/>
    <w:next w:val="Normal"/>
    <w:pPr>
      <w:spacing w:before="0" w:after="600"/>
      <w:jc w:val="center"/>
    </w:pPr>
    <w:rPr>
      <w:b/>
    </w:rPr>
  </w:style>
  <w:style w:type="paragraph" w:customStyle="1" w:styleId="TableTitle">
    <w:name w:val="Table Title"/>
    <w:basedOn w:val="Normal"/>
    <w:next w:val="Normal"/>
    <w:pPr>
      <w:jc w:val="center"/>
    </w:pPr>
    <w:rPr>
      <w:b/>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Tiret0">
    <w:name w:val="Tiret 0"/>
    <w:basedOn w:val="Point0"/>
    <w:pPr>
      <w:numPr>
        <w:numId w:val="9"/>
      </w:numPr>
    </w:pPr>
  </w:style>
  <w:style w:type="paragraph" w:customStyle="1" w:styleId="Tiret1">
    <w:name w:val="Tiret 1"/>
    <w:basedOn w:val="Point1"/>
    <w:pPr>
      <w:numPr>
        <w:numId w:val="10"/>
      </w:numPr>
    </w:pPr>
  </w:style>
  <w:style w:type="paragraph" w:customStyle="1" w:styleId="Tiret2">
    <w:name w:val="Tiret 2"/>
    <w:basedOn w:val="Point2"/>
    <w:pPr>
      <w:numPr>
        <w:numId w:val="11"/>
      </w:numPr>
    </w:pPr>
  </w:style>
  <w:style w:type="paragraph" w:customStyle="1" w:styleId="Tiret3">
    <w:name w:val="Tiret 3"/>
    <w:basedOn w:val="Point3"/>
    <w:pPr>
      <w:numPr>
        <w:numId w:val="12"/>
      </w:numPr>
    </w:pPr>
  </w:style>
  <w:style w:type="paragraph" w:customStyle="1" w:styleId="Tiret4">
    <w:name w:val="Tiret 4"/>
    <w:basedOn w:val="Point4"/>
    <w:pPr>
      <w:numPr>
        <w:numId w:val="13"/>
      </w:numP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360" w:after="360"/>
      <w:jc w:val="center"/>
    </w:pPr>
    <w:rPr>
      <w:b/>
    </w:rPr>
  </w:style>
  <w:style w:type="paragraph" w:customStyle="1" w:styleId="TitreobjetPagedecouverture">
    <w:name w:val="Titre objet (Page de couverture)"/>
    <w:basedOn w:val="Titreobjet"/>
    <w:next w:val="Sous-titreobjetPagedecouverture"/>
  </w:style>
  <w:style w:type="paragraph" w:styleId="TOC1">
    <w:name w:val="toc 1"/>
    <w:basedOn w:val="Normal"/>
    <w:next w:val="Normal"/>
    <w:uiPriority w:val="39"/>
    <w:qFormat/>
    <w:pPr>
      <w:tabs>
        <w:tab w:val="right" w:leader="dot" w:pos="9071"/>
      </w:tabs>
      <w:spacing w:before="60"/>
      <w:ind w:left="850" w:hanging="850"/>
      <w:jc w:val="left"/>
    </w:pPr>
  </w:style>
  <w:style w:type="paragraph" w:styleId="TOC2">
    <w:name w:val="toc 2"/>
    <w:basedOn w:val="Normal"/>
    <w:next w:val="Normal"/>
    <w:uiPriority w:val="39"/>
    <w:qFormat/>
    <w:pPr>
      <w:tabs>
        <w:tab w:val="right" w:leader="dot" w:pos="9071"/>
      </w:tabs>
      <w:spacing w:before="60"/>
      <w:ind w:left="850" w:hanging="850"/>
      <w:jc w:val="left"/>
    </w:pPr>
  </w:style>
  <w:style w:type="paragraph" w:styleId="TOC3">
    <w:name w:val="toc 3"/>
    <w:basedOn w:val="Normal"/>
    <w:next w:val="Normal"/>
    <w:uiPriority w:val="39"/>
    <w:qFormat/>
    <w:pPr>
      <w:tabs>
        <w:tab w:val="right" w:leader="dot" w:pos="9071"/>
      </w:tabs>
      <w:spacing w:before="60"/>
      <w:ind w:left="850" w:hanging="850"/>
      <w:jc w:val="left"/>
    </w:pPr>
  </w:style>
  <w:style w:type="paragraph" w:styleId="TOC4">
    <w:name w:val="toc 4"/>
    <w:basedOn w:val="Normal"/>
    <w:next w:val="Normal"/>
    <w:uiPriority w:val="39"/>
    <w:semiHidden/>
    <w:pPr>
      <w:tabs>
        <w:tab w:val="right" w:leader="dot" w:pos="9071"/>
      </w:tabs>
      <w:spacing w:before="60"/>
      <w:ind w:left="850" w:hanging="850"/>
      <w:jc w:val="left"/>
    </w:pPr>
  </w:style>
  <w:style w:type="paragraph" w:styleId="TOC5">
    <w:name w:val="toc 5"/>
    <w:basedOn w:val="Normal"/>
    <w:next w:val="Normal"/>
    <w:uiPriority w:val="39"/>
    <w:semiHidden/>
    <w:pPr>
      <w:tabs>
        <w:tab w:val="right" w:leader="dot" w:pos="9071"/>
      </w:tabs>
      <w:spacing w:before="300"/>
      <w:jc w:val="left"/>
    </w:pPr>
  </w:style>
  <w:style w:type="paragraph" w:styleId="TOC6">
    <w:name w:val="toc 6"/>
    <w:basedOn w:val="Normal"/>
    <w:next w:val="Normal"/>
    <w:uiPriority w:val="39"/>
    <w:semiHidden/>
    <w:pPr>
      <w:tabs>
        <w:tab w:val="right" w:leader="dot" w:pos="9071"/>
      </w:tabs>
      <w:spacing w:before="240"/>
      <w:jc w:val="left"/>
    </w:pPr>
  </w:style>
  <w:style w:type="paragraph" w:styleId="TOC7">
    <w:name w:val="toc 7"/>
    <w:basedOn w:val="Normal"/>
    <w:next w:val="Normal"/>
    <w:uiPriority w:val="39"/>
    <w:semiHidden/>
    <w:pPr>
      <w:tabs>
        <w:tab w:val="right" w:leader="dot" w:pos="9071"/>
      </w:tabs>
      <w:spacing w:before="180"/>
      <w:jc w:val="left"/>
    </w:pPr>
  </w:style>
  <w:style w:type="paragraph" w:styleId="TOC8">
    <w:name w:val="toc 8"/>
    <w:basedOn w:val="Normal"/>
    <w:next w:val="Normal"/>
    <w:uiPriority w:val="39"/>
    <w:semiHidden/>
    <w:pPr>
      <w:tabs>
        <w:tab w:val="right" w:leader="dot" w:pos="9071"/>
      </w:tabs>
      <w:jc w:val="left"/>
    </w:pPr>
  </w:style>
  <w:style w:type="paragraph" w:styleId="TOC9">
    <w:name w:val="toc 9"/>
    <w:basedOn w:val="Normal"/>
    <w:next w:val="Normal"/>
    <w:uiPriority w:val="39"/>
    <w:semiHidden/>
    <w:pPr>
      <w:tabs>
        <w:tab w:val="right" w:leader="dot" w:pos="9071"/>
      </w:tabs>
    </w:pPr>
  </w:style>
  <w:style w:type="paragraph" w:styleId="TOCHeading">
    <w:name w:val="TOC Heading"/>
    <w:basedOn w:val="Normal"/>
    <w:next w:val="Normal"/>
    <w:uiPriority w:val="39"/>
    <w:qFormat/>
    <w:pPr>
      <w:spacing w:after="240"/>
      <w:jc w:val="center"/>
    </w:pPr>
    <w:rPr>
      <w:b/>
      <w:sz w:val="28"/>
    </w:rPr>
  </w:style>
  <w:style w:type="paragraph" w:customStyle="1" w:styleId="Typeacteprincipal">
    <w:name w:val="Type acte principal"/>
    <w:basedOn w:val="Normal"/>
    <w:next w:val="Objetacteprincipal"/>
    <w:pPr>
      <w:spacing w:before="0" w:after="240"/>
      <w:jc w:val="center"/>
    </w:pPr>
    <w:rPr>
      <w:b/>
    </w:rPr>
  </w:style>
  <w:style w:type="paragraph" w:customStyle="1" w:styleId="TypeacteprincipalPagedecouverture">
    <w:name w:val="Type acte principal (Page de couverture)"/>
    <w:basedOn w:val="Typeacteprincipal"/>
    <w:next w:val="ObjetacteprincipalPagedecouverture"/>
  </w:style>
  <w:style w:type="paragraph" w:customStyle="1" w:styleId="Typedudocument">
    <w:name w:val="Type du document"/>
    <w:basedOn w:val="Normal"/>
    <w:next w:val="Titreobjet"/>
    <w:pPr>
      <w:spacing w:before="360" w:after="0"/>
      <w:jc w:val="center"/>
    </w:pPr>
    <w:rPr>
      <w:b/>
    </w:rPr>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character" w:customStyle="1" w:styleId="Heading5Char">
    <w:name w:val="Heading 5 Char"/>
    <w:link w:val="Heading5"/>
    <w:uiPriority w:val="9"/>
    <w:rPr>
      <w:b/>
      <w:bCs/>
      <w:i/>
      <w:iCs/>
      <w:sz w:val="26"/>
      <w:szCs w:val="26"/>
    </w:rPr>
  </w:style>
  <w:style w:type="character" w:customStyle="1" w:styleId="Heading6Char">
    <w:name w:val="Heading 6 Char"/>
    <w:link w:val="Heading6"/>
    <w:uiPriority w:val="9"/>
    <w:rPr>
      <w:b/>
      <w:bCs/>
      <w:sz w:val="22"/>
    </w:rPr>
  </w:style>
  <w:style w:type="character" w:customStyle="1" w:styleId="Heading7Char">
    <w:name w:val="Heading 7 Char"/>
    <w:link w:val="Heading7"/>
    <w:uiPriority w:val="9"/>
    <w:rPr>
      <w:b/>
      <w:bCs/>
      <w:sz w:val="18"/>
      <w:shd w:val="clear" w:color="auto" w:fill="auto"/>
      <w:lang w:val="en-US" w:eastAsia="zh-CN"/>
    </w:rPr>
  </w:style>
  <w:style w:type="character" w:customStyle="1" w:styleId="Heading8Char">
    <w:name w:val="Heading 8 Char"/>
    <w:link w:val="Heading8"/>
    <w:uiPriority w:val="9"/>
    <w:rPr>
      <w:rFonts w:ascii="Palatino Linotype" w:hAnsi="Palatino Linotype"/>
      <w:i/>
      <w:iCs/>
      <w:sz w:val="22"/>
      <w:shd w:val="clear" w:color="auto" w:fill="auto"/>
      <w:lang w:eastAsia="de-DE"/>
    </w:rPr>
  </w:style>
  <w:style w:type="character" w:customStyle="1" w:styleId="Heading9Char">
    <w:name w:val="Heading 9 Char"/>
    <w:link w:val="Heading9"/>
    <w:uiPriority w:val="9"/>
    <w:rPr>
      <w:rFonts w:ascii="Arial" w:hAnsi="Arial" w:cs="Arial"/>
      <w:sz w:val="22"/>
      <w:shd w:val="clear" w:color="auto" w:fill="auto"/>
      <w:lang w:eastAsia="de-DE"/>
    </w:rPr>
  </w:style>
  <w:style w:type="paragraph" w:styleId="ListBullet">
    <w:name w:val="List Bullet"/>
    <w:basedOn w:val="Normal"/>
    <w:uiPriority w:val="99"/>
    <w:pPr>
      <w:numPr>
        <w:numId w:val="14"/>
      </w:numPr>
    </w:pPr>
    <w:rPr>
      <w:szCs w:val="20"/>
      <w:lang w:eastAsia="en-GB"/>
    </w:rPr>
  </w:style>
  <w:style w:type="paragraph" w:styleId="ListBullet2">
    <w:name w:val="List Bullet 2"/>
    <w:basedOn w:val="Normal"/>
    <w:uiPriority w:val="99"/>
    <w:pPr>
      <w:numPr>
        <w:numId w:val="15"/>
      </w:numPr>
    </w:pPr>
    <w:rPr>
      <w:szCs w:val="20"/>
      <w:lang w:eastAsia="en-GB"/>
    </w:rPr>
  </w:style>
  <w:style w:type="paragraph" w:styleId="ListBullet3">
    <w:name w:val="List Bullet 3"/>
    <w:basedOn w:val="Normal"/>
    <w:uiPriority w:val="99"/>
    <w:pPr>
      <w:numPr>
        <w:numId w:val="16"/>
      </w:numPr>
    </w:pPr>
    <w:rPr>
      <w:szCs w:val="20"/>
      <w:lang w:eastAsia="en-GB"/>
    </w:rPr>
  </w:style>
  <w:style w:type="paragraph" w:styleId="ListBullet4">
    <w:name w:val="List Bullet 4"/>
    <w:basedOn w:val="Normal"/>
    <w:uiPriority w:val="99"/>
    <w:pPr>
      <w:numPr>
        <w:numId w:val="17"/>
      </w:numPr>
    </w:pPr>
    <w:rPr>
      <w:szCs w:val="20"/>
      <w:lang w:eastAsia="en-GB"/>
    </w:rPr>
  </w:style>
  <w:style w:type="paragraph" w:styleId="ListNumber">
    <w:name w:val="List Number"/>
    <w:basedOn w:val="Normal"/>
    <w:uiPriority w:val="99"/>
    <w:pPr>
      <w:numPr>
        <w:numId w:val="29"/>
      </w:numPr>
    </w:pPr>
    <w:rPr>
      <w:szCs w:val="20"/>
      <w:lang w:eastAsia="de-DE"/>
    </w:rPr>
  </w:style>
  <w:style w:type="paragraph" w:styleId="ListNumber2">
    <w:name w:val="List Number 2"/>
    <w:basedOn w:val="Normal"/>
    <w:uiPriority w:val="99"/>
    <w:pPr>
      <w:numPr>
        <w:numId w:val="28"/>
      </w:numPr>
    </w:pPr>
    <w:rPr>
      <w:szCs w:val="20"/>
      <w:lang w:eastAsia="de-DE"/>
    </w:rPr>
  </w:style>
  <w:style w:type="paragraph" w:styleId="ListNumber3">
    <w:name w:val="List Number 3"/>
    <w:basedOn w:val="Normal"/>
    <w:uiPriority w:val="99"/>
    <w:pPr>
      <w:numPr>
        <w:numId w:val="27"/>
      </w:numPr>
    </w:pPr>
    <w:rPr>
      <w:szCs w:val="20"/>
      <w:lang w:eastAsia="de-DE"/>
    </w:rPr>
  </w:style>
  <w:style w:type="paragraph" w:styleId="ListNumber4">
    <w:name w:val="List Number 4"/>
    <w:basedOn w:val="Normal"/>
    <w:uiPriority w:val="99"/>
    <w:pPr>
      <w:numPr>
        <w:numId w:val="26"/>
      </w:numPr>
    </w:pPr>
    <w:rPr>
      <w:szCs w:val="20"/>
      <w:lang w:eastAsia="de-DE"/>
    </w:rPr>
  </w:style>
  <w:style w:type="paragraph" w:customStyle="1" w:styleId="ListBullet1">
    <w:name w:val="List Bullet 1"/>
    <w:basedOn w:val="Normal"/>
    <w:pPr>
      <w:numPr>
        <w:numId w:val="18"/>
      </w:numPr>
    </w:pPr>
    <w:rPr>
      <w:szCs w:val="20"/>
      <w:lang w:eastAsia="de-DE"/>
    </w:rPr>
  </w:style>
  <w:style w:type="paragraph" w:customStyle="1" w:styleId="ListDash">
    <w:name w:val="List Dash"/>
    <w:basedOn w:val="Normal"/>
    <w:pPr>
      <w:numPr>
        <w:numId w:val="19"/>
      </w:numPr>
    </w:pPr>
    <w:rPr>
      <w:szCs w:val="20"/>
      <w:lang w:eastAsia="de-DE"/>
    </w:rPr>
  </w:style>
  <w:style w:type="paragraph" w:customStyle="1" w:styleId="ListDash1">
    <w:name w:val="List Dash 1"/>
    <w:basedOn w:val="Normal"/>
    <w:pPr>
      <w:numPr>
        <w:numId w:val="20"/>
      </w:numPr>
    </w:pPr>
    <w:rPr>
      <w:szCs w:val="20"/>
      <w:lang w:eastAsia="de-DE"/>
    </w:rPr>
  </w:style>
  <w:style w:type="paragraph" w:customStyle="1" w:styleId="ListDash2">
    <w:name w:val="List Dash 2"/>
    <w:basedOn w:val="Normal"/>
    <w:pPr>
      <w:numPr>
        <w:numId w:val="21"/>
      </w:numPr>
    </w:pPr>
    <w:rPr>
      <w:szCs w:val="20"/>
      <w:lang w:eastAsia="de-DE"/>
    </w:rPr>
  </w:style>
  <w:style w:type="paragraph" w:customStyle="1" w:styleId="ListDash3">
    <w:name w:val="List Dash 3"/>
    <w:basedOn w:val="Normal"/>
    <w:pPr>
      <w:numPr>
        <w:numId w:val="22"/>
      </w:numPr>
    </w:pPr>
    <w:rPr>
      <w:szCs w:val="20"/>
      <w:lang w:eastAsia="de-DE"/>
    </w:rPr>
  </w:style>
  <w:style w:type="paragraph" w:customStyle="1" w:styleId="ListDash4">
    <w:name w:val="List Dash 4"/>
    <w:basedOn w:val="Normal"/>
    <w:pPr>
      <w:numPr>
        <w:numId w:val="23"/>
      </w:numPr>
    </w:pPr>
    <w:rPr>
      <w:szCs w:val="20"/>
      <w:lang w:eastAsia="de-DE"/>
    </w:rPr>
  </w:style>
  <w:style w:type="paragraph" w:customStyle="1" w:styleId="ListNumber1">
    <w:name w:val="List Number 1"/>
    <w:basedOn w:val="Text1"/>
    <w:pPr>
      <w:numPr>
        <w:numId w:val="24"/>
      </w:numPr>
    </w:pPr>
    <w:rPr>
      <w:szCs w:val="20"/>
      <w:lang w:eastAsia="de-DE"/>
    </w:rPr>
  </w:style>
  <w:style w:type="paragraph" w:customStyle="1" w:styleId="ListNumberLevel2">
    <w:name w:val="List Number (Level 2)"/>
    <w:basedOn w:val="Normal"/>
    <w:pPr>
      <w:numPr>
        <w:ilvl w:val="1"/>
        <w:numId w:val="29"/>
      </w:numPr>
    </w:pPr>
    <w:rPr>
      <w:szCs w:val="20"/>
      <w:lang w:eastAsia="de-DE"/>
    </w:rPr>
  </w:style>
  <w:style w:type="paragraph" w:customStyle="1" w:styleId="ListNumber1Level2">
    <w:name w:val="List Number 1 (Level 2)"/>
    <w:basedOn w:val="Text1"/>
    <w:pPr>
      <w:numPr>
        <w:ilvl w:val="1"/>
        <w:numId w:val="24"/>
      </w:numPr>
    </w:pPr>
    <w:rPr>
      <w:szCs w:val="20"/>
      <w:lang w:eastAsia="de-DE"/>
    </w:rPr>
  </w:style>
  <w:style w:type="paragraph" w:customStyle="1" w:styleId="ListNumber2Level2">
    <w:name w:val="List Number 2 (Level 2)"/>
    <w:basedOn w:val="Text2"/>
    <w:pPr>
      <w:numPr>
        <w:ilvl w:val="1"/>
        <w:numId w:val="28"/>
      </w:numPr>
    </w:pPr>
    <w:rPr>
      <w:szCs w:val="20"/>
      <w:lang w:eastAsia="de-DE"/>
    </w:rPr>
  </w:style>
  <w:style w:type="paragraph" w:customStyle="1" w:styleId="ListNumber3Level2">
    <w:name w:val="List Number 3 (Level 2)"/>
    <w:basedOn w:val="Text3"/>
    <w:pPr>
      <w:numPr>
        <w:ilvl w:val="1"/>
        <w:numId w:val="27"/>
      </w:numPr>
    </w:pPr>
    <w:rPr>
      <w:szCs w:val="20"/>
      <w:lang w:eastAsia="de-DE"/>
    </w:rPr>
  </w:style>
  <w:style w:type="paragraph" w:customStyle="1" w:styleId="ListNumber4Level2">
    <w:name w:val="List Number 4 (Level 2)"/>
    <w:basedOn w:val="Text4"/>
    <w:pPr>
      <w:numPr>
        <w:ilvl w:val="1"/>
        <w:numId w:val="26"/>
      </w:numPr>
    </w:pPr>
    <w:rPr>
      <w:szCs w:val="20"/>
      <w:lang w:eastAsia="de-DE"/>
    </w:rPr>
  </w:style>
  <w:style w:type="paragraph" w:customStyle="1" w:styleId="ListNumberLevel3">
    <w:name w:val="List Number (Level 3)"/>
    <w:basedOn w:val="Normal"/>
    <w:pPr>
      <w:numPr>
        <w:ilvl w:val="2"/>
        <w:numId w:val="29"/>
      </w:numPr>
    </w:pPr>
    <w:rPr>
      <w:szCs w:val="20"/>
      <w:lang w:eastAsia="de-DE"/>
    </w:rPr>
  </w:style>
  <w:style w:type="paragraph" w:customStyle="1" w:styleId="ListNumber1Level3">
    <w:name w:val="List Number 1 (Level 3)"/>
    <w:basedOn w:val="Text1"/>
    <w:pPr>
      <w:numPr>
        <w:ilvl w:val="2"/>
        <w:numId w:val="24"/>
      </w:numPr>
    </w:pPr>
    <w:rPr>
      <w:szCs w:val="20"/>
      <w:lang w:eastAsia="de-DE"/>
    </w:rPr>
  </w:style>
  <w:style w:type="paragraph" w:customStyle="1" w:styleId="ListNumber2Level3">
    <w:name w:val="List Number 2 (Level 3)"/>
    <w:basedOn w:val="Text2"/>
    <w:pPr>
      <w:numPr>
        <w:ilvl w:val="2"/>
        <w:numId w:val="28"/>
      </w:numPr>
    </w:pPr>
    <w:rPr>
      <w:szCs w:val="20"/>
      <w:lang w:eastAsia="de-DE"/>
    </w:rPr>
  </w:style>
  <w:style w:type="paragraph" w:customStyle="1" w:styleId="ListNumber3Level3">
    <w:name w:val="List Number 3 (Level 3)"/>
    <w:basedOn w:val="Text3"/>
    <w:pPr>
      <w:numPr>
        <w:ilvl w:val="2"/>
        <w:numId w:val="27"/>
      </w:numPr>
    </w:pPr>
    <w:rPr>
      <w:szCs w:val="20"/>
      <w:lang w:eastAsia="de-DE"/>
    </w:rPr>
  </w:style>
  <w:style w:type="paragraph" w:customStyle="1" w:styleId="ListNumber4Level3">
    <w:name w:val="List Number 4 (Level 3)"/>
    <w:basedOn w:val="Text4"/>
    <w:pPr>
      <w:numPr>
        <w:ilvl w:val="2"/>
        <w:numId w:val="26"/>
      </w:numPr>
    </w:pPr>
    <w:rPr>
      <w:szCs w:val="20"/>
      <w:lang w:eastAsia="de-DE"/>
    </w:rPr>
  </w:style>
  <w:style w:type="paragraph" w:customStyle="1" w:styleId="ListNumberLevel4">
    <w:name w:val="List Number (Level 4)"/>
    <w:basedOn w:val="Normal"/>
    <w:pPr>
      <w:numPr>
        <w:ilvl w:val="3"/>
        <w:numId w:val="29"/>
      </w:numPr>
    </w:pPr>
    <w:rPr>
      <w:szCs w:val="20"/>
      <w:lang w:eastAsia="de-DE"/>
    </w:rPr>
  </w:style>
  <w:style w:type="paragraph" w:customStyle="1" w:styleId="ListNumber1Level4">
    <w:name w:val="List Number 1 (Level 4)"/>
    <w:basedOn w:val="Text1"/>
    <w:pPr>
      <w:numPr>
        <w:ilvl w:val="3"/>
        <w:numId w:val="24"/>
      </w:numPr>
    </w:pPr>
    <w:rPr>
      <w:szCs w:val="20"/>
      <w:lang w:eastAsia="de-DE"/>
    </w:rPr>
  </w:style>
  <w:style w:type="paragraph" w:customStyle="1" w:styleId="ListNumber2Level4">
    <w:name w:val="List Number 2 (Level 4)"/>
    <w:basedOn w:val="Text2"/>
    <w:pPr>
      <w:numPr>
        <w:ilvl w:val="3"/>
        <w:numId w:val="28"/>
      </w:numPr>
    </w:pPr>
    <w:rPr>
      <w:szCs w:val="20"/>
      <w:lang w:eastAsia="de-DE"/>
    </w:rPr>
  </w:style>
  <w:style w:type="paragraph" w:customStyle="1" w:styleId="ListNumber3Level4">
    <w:name w:val="List Number 3 (Level 4)"/>
    <w:basedOn w:val="Text3"/>
    <w:pPr>
      <w:numPr>
        <w:ilvl w:val="3"/>
        <w:numId w:val="27"/>
      </w:numPr>
    </w:pPr>
    <w:rPr>
      <w:szCs w:val="20"/>
      <w:lang w:eastAsia="de-DE"/>
    </w:rPr>
  </w:style>
  <w:style w:type="paragraph" w:customStyle="1" w:styleId="ListNumber4Level4">
    <w:name w:val="List Number 4 (Level 4)"/>
    <w:basedOn w:val="Text4"/>
    <w:pPr>
      <w:numPr>
        <w:ilvl w:val="3"/>
        <w:numId w:val="26"/>
      </w:numPr>
    </w:pPr>
    <w:rPr>
      <w:szCs w:val="20"/>
      <w:lang w:eastAsia="de-DE"/>
    </w:rPr>
  </w:style>
  <w:style w:type="paragraph" w:customStyle="1" w:styleId="Annexetitreacte">
    <w:name w:val="Annexe titre (acte)"/>
    <w:basedOn w:val="Normal"/>
    <w:next w:val="Normal"/>
    <w:pPr>
      <w:jc w:val="center"/>
    </w:pPr>
    <w:rPr>
      <w:b/>
      <w:szCs w:val="20"/>
      <w:u w:val="single"/>
      <w:lang w:eastAsia="de-DE"/>
    </w:rPr>
  </w:style>
  <w:style w:type="paragraph" w:customStyle="1" w:styleId="Annexetitreexposglobal">
    <w:name w:val="Annexe titre (exposé global)"/>
    <w:basedOn w:val="Normal"/>
    <w:next w:val="Normal"/>
    <w:pPr>
      <w:jc w:val="center"/>
    </w:pPr>
    <w:rPr>
      <w:b/>
      <w:szCs w:val="20"/>
      <w:u w:val="single"/>
      <w:lang w:eastAsia="de-DE"/>
    </w:rPr>
  </w:style>
  <w:style w:type="paragraph" w:customStyle="1" w:styleId="Annexetitrefichefinacte">
    <w:name w:val="Annexe titre (fiche fin. acte)"/>
    <w:basedOn w:val="Normal"/>
    <w:next w:val="Normal"/>
    <w:pPr>
      <w:jc w:val="center"/>
    </w:pPr>
    <w:rPr>
      <w:b/>
      <w:szCs w:val="20"/>
      <w:u w:val="single"/>
      <w:lang w:eastAsia="de-DE"/>
    </w:rPr>
  </w:style>
  <w:style w:type="paragraph" w:customStyle="1" w:styleId="Annexetitrefichefinglobale">
    <w:name w:val="Annexe titre (fiche fin. globale)"/>
    <w:basedOn w:val="Normal"/>
    <w:next w:val="Normal"/>
    <w:pPr>
      <w:jc w:val="center"/>
    </w:pPr>
    <w:rPr>
      <w:b/>
      <w:szCs w:val="20"/>
      <w:u w:val="single"/>
      <w:lang w:eastAsia="de-DE"/>
    </w:rPr>
  </w:style>
  <w:style w:type="paragraph" w:customStyle="1" w:styleId="Annexetitreglobale">
    <w:name w:val="Annexe titre (globale)"/>
    <w:basedOn w:val="Normal"/>
    <w:next w:val="Normal"/>
    <w:pPr>
      <w:jc w:val="center"/>
    </w:pPr>
    <w:rPr>
      <w:b/>
      <w:szCs w:val="20"/>
      <w:u w:val="single"/>
      <w:lang w:eastAsia="de-DE"/>
    </w:rPr>
  </w:style>
  <w:style w:type="paragraph" w:customStyle="1" w:styleId="Rfrenceinstitutionelle">
    <w:name w:val="Référence institutionelle"/>
    <w:basedOn w:val="Normal"/>
    <w:next w:val="Statut"/>
    <w:pPr>
      <w:spacing w:before="0" w:after="240"/>
      <w:ind w:left="5103"/>
      <w:jc w:val="left"/>
    </w:pPr>
    <w:rPr>
      <w:szCs w:val="20"/>
      <w:lang w:eastAsia="de-DE"/>
    </w:rPr>
  </w:style>
  <w:style w:type="paragraph" w:customStyle="1" w:styleId="Exposdesmotifstitreglobal">
    <w:name w:val="Exposé des motifs titre (global)"/>
    <w:basedOn w:val="Normal"/>
    <w:next w:val="Normal"/>
    <w:pPr>
      <w:jc w:val="center"/>
    </w:pPr>
    <w:rPr>
      <w:b/>
      <w:szCs w:val="20"/>
      <w:u w:val="single"/>
      <w:lang w:eastAsia="de-DE"/>
    </w:rPr>
  </w:style>
  <w:style w:type="paragraph" w:customStyle="1" w:styleId="Langueoriginale">
    <w:name w:val="Langue originale"/>
    <w:basedOn w:val="Normal"/>
    <w:next w:val="Phrasefinale"/>
    <w:pPr>
      <w:spacing w:before="360"/>
      <w:jc w:val="center"/>
    </w:pPr>
    <w:rPr>
      <w:caps/>
      <w:szCs w:val="20"/>
      <w:lang w:eastAsia="de-DE"/>
    </w:rPr>
  </w:style>
  <w:style w:type="paragraph" w:customStyle="1" w:styleId="Phrasefinale">
    <w:name w:val="Phrase finale"/>
    <w:basedOn w:val="Normal"/>
    <w:next w:val="Normal"/>
    <w:pPr>
      <w:spacing w:before="360" w:after="0"/>
      <w:jc w:val="center"/>
    </w:pPr>
    <w:rPr>
      <w:szCs w:val="20"/>
      <w:lang w:eastAsia="de-DE"/>
    </w:rPr>
  </w:style>
  <w:style w:type="paragraph" w:customStyle="1" w:styleId="Prliminairetitre">
    <w:name w:val="Préliminaire titre"/>
    <w:basedOn w:val="Normal"/>
    <w:next w:val="Normal"/>
    <w:pPr>
      <w:spacing w:before="360" w:after="360"/>
      <w:jc w:val="center"/>
    </w:pPr>
    <w:rPr>
      <w:b/>
      <w:szCs w:val="20"/>
      <w:lang w:eastAsia="de-DE"/>
    </w:rPr>
  </w:style>
  <w:style w:type="paragraph" w:customStyle="1" w:styleId="Prliminairetype">
    <w:name w:val="Préliminaire type"/>
    <w:basedOn w:val="Normal"/>
    <w:next w:val="Normal"/>
    <w:pPr>
      <w:spacing w:before="360" w:after="0"/>
      <w:jc w:val="center"/>
    </w:pPr>
    <w:rPr>
      <w:b/>
      <w:szCs w:val="20"/>
      <w:lang w:eastAsia="de-DE"/>
    </w:rPr>
  </w:style>
  <w:style w:type="paragraph" w:customStyle="1" w:styleId="Rfrenceinterinstitutionelle">
    <w:name w:val="Référence interinstitutionelle"/>
    <w:basedOn w:val="Normal"/>
    <w:next w:val="Statut"/>
    <w:pPr>
      <w:spacing w:before="0" w:after="0"/>
      <w:ind w:left="5103"/>
      <w:jc w:val="left"/>
    </w:pPr>
    <w:rPr>
      <w:szCs w:val="20"/>
      <w:lang w:eastAsia="de-DE"/>
    </w:rPr>
  </w:style>
  <w:style w:type="paragraph" w:customStyle="1" w:styleId="Rfrenceinterinstitutionelleprliminaire">
    <w:name w:val="Référence interinstitutionelle (préliminaire)"/>
    <w:basedOn w:val="Normal"/>
    <w:next w:val="Normal"/>
    <w:pPr>
      <w:spacing w:before="0" w:after="0"/>
      <w:ind w:left="5103"/>
      <w:jc w:val="left"/>
    </w:pPr>
    <w:rPr>
      <w:szCs w:val="20"/>
      <w:lang w:eastAsia="de-DE"/>
    </w:rPr>
  </w:style>
  <w:style w:type="paragraph" w:customStyle="1" w:styleId="Sous-titreobjetprliminaire">
    <w:name w:val="Sous-titre objet (préliminaire)"/>
    <w:basedOn w:val="Normal"/>
    <w:pPr>
      <w:spacing w:before="0" w:after="0"/>
      <w:jc w:val="center"/>
    </w:pPr>
    <w:rPr>
      <w:b/>
      <w:szCs w:val="20"/>
      <w:lang w:eastAsia="de-DE"/>
    </w:rPr>
  </w:style>
  <w:style w:type="paragraph" w:customStyle="1" w:styleId="Statutprliminaire">
    <w:name w:val="Statut (préliminaire)"/>
    <w:basedOn w:val="Normal"/>
    <w:next w:val="Normal"/>
    <w:pPr>
      <w:spacing w:before="360" w:after="0"/>
      <w:jc w:val="center"/>
    </w:pPr>
    <w:rPr>
      <w:szCs w:val="20"/>
      <w:lang w:eastAsia="de-DE"/>
    </w:rPr>
  </w:style>
  <w:style w:type="paragraph" w:customStyle="1" w:styleId="Titreobjetprliminaire">
    <w:name w:val="Titre objet (préliminaire)"/>
    <w:basedOn w:val="Normal"/>
    <w:next w:val="Normal"/>
    <w:pPr>
      <w:spacing w:before="360" w:after="360"/>
      <w:jc w:val="center"/>
    </w:pPr>
    <w:rPr>
      <w:b/>
      <w:szCs w:val="20"/>
      <w:lang w:eastAsia="de-DE"/>
    </w:rPr>
  </w:style>
  <w:style w:type="paragraph" w:customStyle="1" w:styleId="Typedudocumentprliminaire">
    <w:name w:val="Type du document (préliminaire)"/>
    <w:basedOn w:val="Normal"/>
    <w:next w:val="Normal"/>
    <w:pPr>
      <w:spacing w:before="360" w:after="0"/>
      <w:jc w:val="center"/>
    </w:pPr>
    <w:rPr>
      <w:b/>
      <w:szCs w:val="20"/>
      <w:lang w:eastAsia="de-DE"/>
    </w:rPr>
  </w:style>
  <w:style w:type="paragraph" w:customStyle="1" w:styleId="Fichefinancirestandardtitre">
    <w:name w:val="Fiche financière (standard) titre"/>
    <w:basedOn w:val="Normal"/>
    <w:next w:val="Normal"/>
    <w:pPr>
      <w:jc w:val="center"/>
    </w:pPr>
    <w:rPr>
      <w:b/>
      <w:szCs w:val="20"/>
      <w:u w:val="single"/>
      <w:lang w:eastAsia="de-DE"/>
    </w:rPr>
  </w:style>
  <w:style w:type="paragraph" w:customStyle="1" w:styleId="Fichefinancirestandardtitreacte">
    <w:name w:val="Fiche financière (standard) titre (acte)"/>
    <w:basedOn w:val="Normal"/>
    <w:next w:val="Normal"/>
    <w:pPr>
      <w:jc w:val="center"/>
    </w:pPr>
    <w:rPr>
      <w:b/>
      <w:szCs w:val="20"/>
      <w:u w:val="single"/>
      <w:lang w:eastAsia="de-DE"/>
    </w:rPr>
  </w:style>
  <w:style w:type="paragraph" w:customStyle="1" w:styleId="Fichefinanciretravailtitre">
    <w:name w:val="Fiche financière (travail) titre"/>
    <w:basedOn w:val="Normal"/>
    <w:next w:val="Normal"/>
    <w:pPr>
      <w:jc w:val="center"/>
    </w:pPr>
    <w:rPr>
      <w:b/>
      <w:szCs w:val="20"/>
      <w:u w:val="single"/>
      <w:lang w:eastAsia="de-DE"/>
    </w:rPr>
  </w:style>
  <w:style w:type="paragraph" w:customStyle="1" w:styleId="Fichefinanciretravailtitreacte">
    <w:name w:val="Fiche financière (travail) titre (acte)"/>
    <w:basedOn w:val="Normal"/>
    <w:next w:val="Normal"/>
    <w:pPr>
      <w:jc w:val="center"/>
    </w:pPr>
    <w:rPr>
      <w:b/>
      <w:szCs w:val="20"/>
      <w:u w:val="single"/>
      <w:lang w:eastAsia="de-DE"/>
    </w:rPr>
  </w:style>
  <w:style w:type="paragraph" w:customStyle="1" w:styleId="Fichefinancireattributiontitre">
    <w:name w:val="Fiche financière (attribution) titre"/>
    <w:basedOn w:val="Normal"/>
    <w:next w:val="Normal"/>
    <w:pPr>
      <w:jc w:val="center"/>
    </w:pPr>
    <w:rPr>
      <w:b/>
      <w:szCs w:val="20"/>
      <w:u w:val="single"/>
      <w:lang w:eastAsia="de-DE"/>
    </w:rPr>
  </w:style>
  <w:style w:type="paragraph" w:customStyle="1" w:styleId="Fichefinancireattributiontitreacte">
    <w:name w:val="Fiche financière (attribution) titre (acte)"/>
    <w:basedOn w:val="Normal"/>
    <w:next w:val="Normal"/>
    <w:pPr>
      <w:jc w:val="center"/>
    </w:pPr>
    <w:rPr>
      <w:b/>
      <w:szCs w:val="20"/>
      <w:u w:val="single"/>
      <w:lang w:eastAsia="de-DE"/>
    </w:rPr>
  </w:style>
  <w:style w:type="character" w:styleId="Hyperlink">
    <w:name w:val="Hyperlink"/>
    <w:uiPriority w:val="99"/>
    <w:rPr>
      <w:noProof/>
      <w:color w:val="0000FF"/>
      <w:u w:val="single"/>
    </w:rPr>
  </w:style>
  <w:style w:type="character" w:styleId="EndnoteReference">
    <w:name w:val="endnote reference"/>
    <w:uiPriority w:val="99"/>
    <w:rPr>
      <w:rFonts w:cs="Times New Roman"/>
      <w:shd w:val="clear" w:color="auto" w:fill="auto"/>
      <w:vertAlign w:val="superscript"/>
    </w:rPr>
  </w:style>
  <w:style w:type="paragraph" w:styleId="BodyText">
    <w:name w:val="Body Text"/>
    <w:basedOn w:val="Normal"/>
    <w:link w:val="BodyTextChar"/>
    <w:uiPriority w:val="99"/>
    <w:pPr>
      <w:tabs>
        <w:tab w:val="left" w:pos="3960"/>
      </w:tabs>
      <w:spacing w:before="0" w:after="240"/>
      <w:jc w:val="left"/>
    </w:pPr>
    <w:rPr>
      <w:rFonts w:ascii="Palatino Linotype" w:hAnsi="Palatino Linotype" w:cs="Arial"/>
      <w:sz w:val="22"/>
      <w:szCs w:val="20"/>
      <w:lang w:eastAsia="de-DE"/>
    </w:rPr>
  </w:style>
  <w:style w:type="character" w:customStyle="1" w:styleId="BodyTextChar">
    <w:name w:val="Body Text Char"/>
    <w:link w:val="BodyText"/>
    <w:uiPriority w:val="99"/>
    <w:rPr>
      <w:rFonts w:ascii="Palatino Linotype" w:hAnsi="Palatino Linotype" w:cs="Arial"/>
      <w:sz w:val="22"/>
      <w:shd w:val="clear" w:color="auto" w:fill="auto"/>
      <w:lang w:eastAsia="de-DE"/>
    </w:rPr>
  </w:style>
  <w:style w:type="character" w:styleId="Strong">
    <w:name w:val="Strong"/>
    <w:uiPriority w:val="22"/>
    <w:qFormat/>
    <w:rPr>
      <w:rFonts w:cs="Times New Roman"/>
      <w:b/>
      <w:bCs/>
      <w:shd w:val="clear" w:color="auto" w:fill="auto"/>
    </w:rPr>
  </w:style>
  <w:style w:type="paragraph" w:customStyle="1" w:styleId="5Normal">
    <w:name w:val="5 Normal"/>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76" w:lineRule="auto"/>
      <w:jc w:val="both"/>
    </w:pPr>
    <w:rPr>
      <w:rFonts w:ascii="Arial" w:hAnsi="Arial"/>
      <w:spacing w:val="-2"/>
      <w:sz w:val="22"/>
      <w:szCs w:val="22"/>
    </w:rPr>
  </w:style>
  <w:style w:type="paragraph" w:styleId="NormalWeb">
    <w:name w:val="Normal (Web)"/>
    <w:aliases w:val="webb"/>
    <w:basedOn w:val="Normal"/>
    <w:uiPriority w:val="99"/>
    <w:pPr>
      <w:spacing w:before="150" w:after="150"/>
      <w:ind w:left="675" w:right="525"/>
      <w:jc w:val="left"/>
    </w:pPr>
    <w:rPr>
      <w:sz w:val="19"/>
      <w:szCs w:val="19"/>
      <w:lang w:eastAsia="en-GB"/>
    </w:rPr>
  </w:style>
  <w:style w:type="paragraph" w:customStyle="1" w:styleId="Tyret1">
    <w:name w:val="Tyret 1"/>
    <w:basedOn w:val="ListDash"/>
    <w:pPr>
      <w:numPr>
        <w:numId w:val="25"/>
      </w:numPr>
      <w:tabs>
        <w:tab w:val="num" w:pos="1134"/>
      </w:tabs>
      <w:ind w:left="1134"/>
    </w:pPr>
  </w:style>
  <w:style w:type="character" w:styleId="FollowedHyperlink">
    <w:name w:val="FollowedHyperlink"/>
    <w:uiPriority w:val="99"/>
    <w:rPr>
      <w:rFonts w:cs="Times New Roman"/>
      <w:color w:val="800080"/>
      <w:u w:val="single"/>
      <w:shd w:val="clear" w:color="auto" w:fill="auto"/>
    </w:rPr>
  </w:style>
  <w:style w:type="paragraph" w:customStyle="1" w:styleId="4Chapeau">
    <w:name w:val="4 Chapeau"/>
    <w:basedOn w:val="Normal"/>
    <w:next w:val="Normal"/>
    <w:autoRedefin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600" w:after="240"/>
    </w:pPr>
    <w:rPr>
      <w:szCs w:val="20"/>
      <w:lang w:eastAsia="en-GB"/>
    </w:rPr>
  </w:style>
  <w:style w:type="paragraph" w:customStyle="1" w:styleId="Default">
    <w:name w:val="Default"/>
    <w:pPr>
      <w:autoSpaceDE w:val="0"/>
      <w:autoSpaceDN w:val="0"/>
      <w:adjustRightInd w:val="0"/>
      <w:spacing w:after="200" w:line="276" w:lineRule="auto"/>
    </w:pPr>
    <w:rPr>
      <w:rFonts w:ascii="EUAlbertina" w:hAnsi="EUAlbertina" w:cs="EUAlbertina"/>
      <w:color w:val="000000"/>
      <w:sz w:val="24"/>
      <w:szCs w:val="24"/>
    </w:rPr>
  </w:style>
  <w:style w:type="table" w:styleId="TableGrid">
    <w:name w:val="Table Grid"/>
    <w:basedOn w:val="TableNormal"/>
    <w:uiPriority w:val="59"/>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Default"/>
    <w:next w:val="Default"/>
    <w:uiPriority w:val="99"/>
    <w:rPr>
      <w:rFonts w:cs="Times New Roman"/>
      <w:color w:val="auto"/>
    </w:rPr>
  </w:style>
  <w:style w:type="paragraph" w:customStyle="1" w:styleId="CM1">
    <w:name w:val="CM1"/>
    <w:basedOn w:val="Default"/>
    <w:next w:val="Default"/>
    <w:uiPriority w:val="99"/>
    <w:rPr>
      <w:rFonts w:cs="Times New Roman"/>
      <w:color w:val="auto"/>
    </w:rPr>
  </w:style>
  <w:style w:type="paragraph" w:customStyle="1" w:styleId="CM3">
    <w:name w:val="CM3"/>
    <w:basedOn w:val="Default"/>
    <w:next w:val="Default"/>
    <w:uiPriority w:val="99"/>
    <w:rPr>
      <w:rFonts w:cs="Times New Roman"/>
      <w:color w:val="auto"/>
    </w:rPr>
  </w:style>
  <w:style w:type="character" w:styleId="CommentReference">
    <w:name w:val="annotation reference"/>
    <w:uiPriority w:val="99"/>
    <w:rPr>
      <w:sz w:val="16"/>
      <w:szCs w:val="16"/>
      <w:shd w:val="clear" w:color="auto" w:fill="auto"/>
    </w:rPr>
  </w:style>
  <w:style w:type="paragraph" w:styleId="CommentText">
    <w:name w:val="annotation text"/>
    <w:basedOn w:val="Normal"/>
    <w:link w:val="CommentTextChar1"/>
    <w:uiPriority w:val="99"/>
    <w:rPr>
      <w:sz w:val="20"/>
      <w:szCs w:val="20"/>
      <w:lang w:eastAsia="en-GB"/>
    </w:rPr>
  </w:style>
  <w:style w:type="character" w:customStyle="1" w:styleId="CommentTextChar">
    <w:name w:val="Comment Text Char"/>
    <w:uiPriority w:val="99"/>
    <w:rPr>
      <w:shd w:val="clear" w:color="auto" w:fill="auto"/>
      <w:lang w:eastAsia="en-US"/>
    </w:rPr>
  </w:style>
  <w:style w:type="paragraph" w:styleId="CommentSubject">
    <w:name w:val="annotation subject"/>
    <w:basedOn w:val="Normal"/>
    <w:next w:val="CommentText"/>
    <w:link w:val="CommentSubjectChar"/>
    <w:uiPriority w:val="99"/>
    <w:rPr>
      <w:b/>
      <w:bCs/>
      <w:szCs w:val="20"/>
      <w:lang w:eastAsia="en-GB"/>
    </w:rPr>
  </w:style>
  <w:style w:type="character" w:customStyle="1" w:styleId="CommentSubjectChar">
    <w:name w:val="Comment Subject Char"/>
    <w:link w:val="CommentSubject"/>
    <w:uiPriority w:val="99"/>
    <w:rPr>
      <w:b/>
      <w:bCs/>
      <w:sz w:val="24"/>
      <w:shd w:val="clear" w:color="auto" w:fill="auto"/>
      <w:lang w:eastAsia="en-US"/>
    </w:rPr>
  </w:style>
  <w:style w:type="paragraph" w:styleId="BalloonText">
    <w:name w:val="Balloon Text"/>
    <w:basedOn w:val="Normal"/>
    <w:link w:val="BalloonTextChar"/>
    <w:uiPriority w:val="99"/>
    <w:rPr>
      <w:rFonts w:ascii="Tahoma" w:hAnsi="Tahoma" w:cs="Tahoma"/>
      <w:sz w:val="16"/>
      <w:szCs w:val="16"/>
      <w:lang w:eastAsia="en-GB"/>
    </w:rPr>
  </w:style>
  <w:style w:type="character" w:customStyle="1" w:styleId="BalloonTextChar">
    <w:name w:val="Balloon Text Char"/>
    <w:link w:val="BalloonText"/>
    <w:uiPriority w:val="99"/>
    <w:rPr>
      <w:rFonts w:ascii="Tahoma" w:hAnsi="Tahoma" w:cs="Tahoma"/>
      <w:sz w:val="16"/>
      <w:szCs w:val="16"/>
      <w:shd w:val="clear" w:color="auto" w:fill="auto"/>
    </w:rPr>
  </w:style>
  <w:style w:type="paragraph" w:styleId="Caption">
    <w:name w:val="caption"/>
    <w:aliases w:val="Beschriftung_tab,tab_überschrift Char,Tab_Überschrift,tab_überschrift"/>
    <w:basedOn w:val="Normal"/>
    <w:next w:val="Normal"/>
    <w:uiPriority w:val="35"/>
    <w:qFormat/>
    <w:rPr>
      <w:b/>
      <w:bCs/>
      <w:sz w:val="20"/>
      <w:szCs w:val="20"/>
      <w:lang w:eastAsia="en-GB"/>
    </w:rPr>
  </w:style>
  <w:style w:type="paragraph" w:styleId="TableofFigures">
    <w:name w:val="table of figures"/>
    <w:basedOn w:val="Normal"/>
    <w:next w:val="Normal"/>
    <w:uiPriority w:val="99"/>
    <w:rPr>
      <w:szCs w:val="20"/>
      <w:lang w:eastAsia="en-GB"/>
    </w:rPr>
  </w:style>
  <w:style w:type="paragraph" w:customStyle="1" w:styleId="Pa14">
    <w:name w:val="Pa14"/>
    <w:basedOn w:val="Default"/>
    <w:next w:val="Default"/>
    <w:pPr>
      <w:spacing w:line="201" w:lineRule="atLeast"/>
    </w:pPr>
    <w:rPr>
      <w:rFonts w:ascii="Palatino Linotype" w:hAnsi="Palatino Linotype" w:cs="Times New Roman"/>
      <w:color w:val="auto"/>
    </w:rPr>
  </w:style>
  <w:style w:type="character" w:customStyle="1" w:styleId="A10">
    <w:name w:val="A10"/>
    <w:rPr>
      <w:rFonts w:cs="Palatino Linotype"/>
      <w:color w:val="000000"/>
      <w:sz w:val="11"/>
      <w:szCs w:val="11"/>
    </w:rPr>
  </w:style>
  <w:style w:type="paragraph" w:styleId="Revision">
    <w:name w:val="Revision"/>
    <w:hidden/>
    <w:uiPriority w:val="99"/>
    <w:semiHidden/>
    <w:pPr>
      <w:spacing w:after="200" w:line="276" w:lineRule="auto"/>
    </w:pPr>
    <w:rPr>
      <w:sz w:val="24"/>
      <w:szCs w:val="24"/>
      <w:lang w:eastAsia="en-US"/>
    </w:rPr>
  </w:style>
  <w:style w:type="paragraph" w:styleId="ListParagraph">
    <w:name w:val="List Paragraph"/>
    <w:aliases w:val="Heading 2_sj"/>
    <w:basedOn w:val="Normal"/>
    <w:link w:val="ListParagraphChar"/>
    <w:uiPriority w:val="34"/>
    <w:qFormat/>
    <w:pPr>
      <w:spacing w:before="0" w:after="0"/>
      <w:ind w:left="720"/>
      <w:jc w:val="left"/>
    </w:pPr>
    <w:rPr>
      <w:rFonts w:ascii="Calibri" w:eastAsia="Calibri" w:hAnsi="Calibri" w:cs="Calibri"/>
      <w:sz w:val="22"/>
      <w:szCs w:val="20"/>
      <w:lang w:eastAsia="en-GB"/>
    </w:rPr>
  </w:style>
  <w:style w:type="paragraph" w:customStyle="1" w:styleId="astandard3520normal">
    <w:name w:val="a_standard__35__20_normal"/>
    <w:basedOn w:val="Normal"/>
    <w:pPr>
      <w:spacing w:before="0"/>
      <w:ind w:right="57"/>
    </w:pPr>
    <w:rPr>
      <w:szCs w:val="20"/>
      <w:lang w:eastAsia="en-GB"/>
    </w:rPr>
  </w:style>
  <w:style w:type="paragraph" w:customStyle="1" w:styleId="astandardsous-titre201">
    <w:name w:val="a_standard_sous-titre_20_1"/>
    <w:basedOn w:val="Normal"/>
    <w:pPr>
      <w:spacing w:before="240" w:after="80"/>
      <w:ind w:right="57"/>
      <w:jc w:val="left"/>
    </w:pPr>
    <w:rPr>
      <w:b/>
      <w:bCs/>
      <w:szCs w:val="20"/>
      <w:lang w:eastAsia="en-GB"/>
    </w:rPr>
  </w:style>
  <w:style w:type="paragraph" w:customStyle="1" w:styleId="a3520normalp9">
    <w:name w:val="a__35__20_normal_p9"/>
    <w:basedOn w:val="Normal"/>
    <w:pPr>
      <w:spacing w:before="0"/>
      <w:ind w:right="57"/>
    </w:pPr>
    <w:rPr>
      <w:szCs w:val="20"/>
      <w:lang w:eastAsia="en-GB"/>
    </w:rPr>
  </w:style>
  <w:style w:type="character" w:customStyle="1" w:styleId="at12">
    <w:name w:val="a__t12"/>
    <w:rPr>
      <w:i/>
      <w:iCs/>
    </w:rPr>
  </w:style>
  <w:style w:type="character" w:customStyle="1" w:styleId="at61">
    <w:name w:val="a__t61"/>
    <w:rPr>
      <w:b/>
      <w:bCs/>
    </w:rPr>
  </w:style>
  <w:style w:type="character" w:customStyle="1" w:styleId="at8">
    <w:name w:val="a__t8"/>
  </w:style>
  <w:style w:type="character" w:customStyle="1" w:styleId="afootnote20symbol1">
    <w:name w:val="a__footnote_20_symbol1"/>
    <w:rPr>
      <w:b/>
      <w:bCs/>
    </w:rPr>
  </w:style>
  <w:style w:type="character" w:customStyle="1" w:styleId="CommentTextChar1">
    <w:name w:val="Comment Text Char1"/>
    <w:link w:val="CommentText"/>
    <w:uiPriority w:val="99"/>
  </w:style>
  <w:style w:type="paragraph" w:styleId="EndnoteText">
    <w:name w:val="endnote text"/>
    <w:basedOn w:val="Normal"/>
    <w:link w:val="EndnoteTextChar"/>
    <w:uiPriority w:val="99"/>
    <w:rPr>
      <w:sz w:val="20"/>
      <w:szCs w:val="20"/>
      <w:lang w:eastAsia="en-GB"/>
    </w:rPr>
  </w:style>
  <w:style w:type="character" w:customStyle="1" w:styleId="EndnoteTextChar">
    <w:name w:val="Endnote Text Char"/>
    <w:link w:val="EndnoteText"/>
    <w:uiPriority w:val="99"/>
    <w:rPr>
      <w:shd w:val="clear" w:color="auto" w:fill="auto"/>
    </w:rPr>
  </w:style>
  <w:style w:type="character" w:customStyle="1" w:styleId="FootnoteTextChar3">
    <w:name w:val="Footnote Text Char3"/>
    <w:aliases w:val="Footnote Char2,-E Fußnotentext Char2,Fußnotentext Ursprung Char2,Fußnote Char2,footnote text Char2,(Diplomarbeit) Char,(Diplomarbeit)1 Char,(Diplomarbeit)2 Char,(Diplomarbeit)3 Char,(Diplomarbeit)4 Char,(Diplomarbeit)5 Char"/>
    <w:locked/>
    <w:rPr>
      <w:rFonts w:ascii="Verdana" w:eastAsia="Times New Roman" w:hAnsi="Verdana"/>
      <w:sz w:val="16"/>
      <w:lang w:eastAsia="en-US"/>
    </w:rPr>
  </w:style>
  <w:style w:type="character" w:customStyle="1" w:styleId="Text1Char">
    <w:name w:val="Text 1 Char"/>
    <w:rPr>
      <w:sz w:val="24"/>
      <w:szCs w:val="24"/>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link w:val="FooterCoverPage"/>
    <w:rPr>
      <w:sz w:val="24"/>
      <w:szCs w:val="24"/>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link w:val="HeaderCoverPage"/>
    <w:rPr>
      <w:sz w:val="24"/>
      <w:szCs w:val="24"/>
      <w:lang w:eastAsia="en-US"/>
    </w:rPr>
  </w:style>
  <w:style w:type="numbering" w:customStyle="1" w:styleId="NoList1">
    <w:name w:val="No List1"/>
    <w:next w:val="NoList"/>
    <w:uiPriority w:val="99"/>
    <w:semiHidden/>
    <w:unhideWhenUsed/>
  </w:style>
  <w:style w:type="paragraph" w:customStyle="1" w:styleId="FoonoteText">
    <w:name w:val="Foonote Text"/>
    <w:basedOn w:val="Normal"/>
    <w:autoRedefine/>
    <w:pPr>
      <w:tabs>
        <w:tab w:val="left" w:pos="425"/>
      </w:tabs>
      <w:autoSpaceDE w:val="0"/>
      <w:autoSpaceDN w:val="0"/>
      <w:adjustRightInd w:val="0"/>
      <w:spacing w:before="40" w:after="40"/>
      <w:ind w:left="425" w:hanging="425"/>
    </w:pPr>
    <w:rPr>
      <w:sz w:val="16"/>
      <w:szCs w:val="16"/>
      <w:lang w:eastAsia="en-GB"/>
    </w:rPr>
  </w:style>
  <w:style w:type="character" w:styleId="PageNumber">
    <w:name w:val="page number"/>
    <w:uiPriority w:val="99"/>
    <w:rPr>
      <w:shd w:val="clear" w:color="auto" w:fill="auto"/>
    </w:rPr>
  </w:style>
  <w:style w:type="paragraph" w:customStyle="1" w:styleId="Source">
    <w:name w:val="Source"/>
    <w:basedOn w:val="Normal"/>
    <w:next w:val="Normal"/>
    <w:pPr>
      <w:keepLines/>
      <w:tabs>
        <w:tab w:val="left" w:pos="1134"/>
      </w:tabs>
      <w:spacing w:before="60" w:after="240"/>
      <w:ind w:left="1134" w:hanging="1134"/>
      <w:jc w:val="left"/>
    </w:pPr>
    <w:rPr>
      <w:rFonts w:ascii="Arial" w:hAnsi="Arial"/>
      <w:sz w:val="18"/>
      <w:szCs w:val="20"/>
      <w:lang w:eastAsia="en-GB"/>
    </w:rPr>
  </w:style>
  <w:style w:type="paragraph" w:customStyle="1" w:styleId="Annex">
    <w:name w:val="Annex"/>
    <w:basedOn w:val="Heading1"/>
    <w:next w:val="Normal"/>
    <w:pPr>
      <w:pageBreakBefore/>
      <w:numPr>
        <w:numId w:val="0"/>
      </w:numPr>
      <w:tabs>
        <w:tab w:val="num" w:pos="283"/>
        <w:tab w:val="num" w:pos="709"/>
        <w:tab w:val="num" w:pos="926"/>
        <w:tab w:val="num" w:pos="1134"/>
        <w:tab w:val="num" w:pos="1984"/>
        <w:tab w:val="num" w:pos="2517"/>
      </w:tabs>
      <w:spacing w:before="0" w:after="480"/>
      <w:ind w:left="717" w:hanging="283"/>
      <w:jc w:val="left"/>
    </w:pPr>
    <w:rPr>
      <w:rFonts w:ascii="Verdana" w:hAnsi="Verdana" w:cs="Arial"/>
      <w:smallCaps w:val="0"/>
      <w:kern w:val="32"/>
      <w:sz w:val="44"/>
      <w:szCs w:val="28"/>
      <w:lang w:eastAsia="en-GB"/>
    </w:rPr>
  </w:style>
  <w:style w:type="paragraph" w:customStyle="1" w:styleId="BoxTitle">
    <w:name w:val="Box Title"/>
    <w:basedOn w:val="Heading2"/>
    <w:next w:val="Normal"/>
    <w:pPr>
      <w:numPr>
        <w:numId w:val="30"/>
      </w:numPr>
      <w:pBdr>
        <w:top w:val="single" w:sz="4" w:space="1" w:color="auto"/>
        <w:left w:val="single" w:sz="4" w:space="4" w:color="auto"/>
        <w:bottom w:val="single" w:sz="4" w:space="1" w:color="auto"/>
        <w:right w:val="single" w:sz="4" w:space="4" w:color="auto"/>
      </w:pBdr>
      <w:shd w:val="clear" w:color="auto" w:fill="CCCCCC"/>
      <w:tabs>
        <w:tab w:val="clear" w:pos="2520"/>
        <w:tab w:val="num" w:pos="643"/>
        <w:tab w:val="num" w:pos="709"/>
        <w:tab w:val="num" w:pos="1134"/>
      </w:tabs>
      <w:spacing w:before="240" w:after="240"/>
      <w:ind w:left="1151" w:hanging="794"/>
      <w:jc w:val="left"/>
    </w:pPr>
    <w:rPr>
      <w:rFonts w:ascii="Arial" w:hAnsi="Arial" w:cs="Arial"/>
      <w:iCs w:val="0"/>
      <w:sz w:val="22"/>
      <w:szCs w:val="26"/>
      <w:lang w:eastAsia="en-GB"/>
    </w:rPr>
  </w:style>
  <w:style w:type="paragraph" w:customStyle="1" w:styleId="FigureTitle">
    <w:name w:val="Figure Title"/>
    <w:basedOn w:val="Heading2"/>
    <w:next w:val="Normal"/>
    <w:pPr>
      <w:tabs>
        <w:tab w:val="num" w:pos="850"/>
        <w:tab w:val="num" w:pos="1134"/>
        <w:tab w:val="num" w:pos="1560"/>
        <w:tab w:val="num" w:pos="1984"/>
      </w:tabs>
      <w:spacing w:before="240" w:after="240"/>
      <w:ind w:left="1151" w:hanging="794"/>
      <w:jc w:val="left"/>
    </w:pPr>
    <w:rPr>
      <w:rFonts w:ascii="Arial" w:hAnsi="Arial" w:cs="Arial"/>
      <w:iCs w:val="0"/>
      <w:sz w:val="22"/>
      <w:szCs w:val="26"/>
      <w:lang w:eastAsia="en-GB"/>
    </w:rPr>
  </w:style>
  <w:style w:type="paragraph" w:customStyle="1" w:styleId="MapTitle">
    <w:name w:val="Map Title"/>
    <w:basedOn w:val="Heading2"/>
    <w:next w:val="Normal"/>
    <w:pPr>
      <w:tabs>
        <w:tab w:val="num" w:pos="283"/>
        <w:tab w:val="num" w:pos="1417"/>
        <w:tab w:val="num" w:pos="2268"/>
        <w:tab w:val="num" w:pos="3118"/>
      </w:tabs>
      <w:spacing w:before="240" w:after="240"/>
      <w:ind w:left="1151" w:hanging="794"/>
      <w:jc w:val="left"/>
    </w:pPr>
    <w:rPr>
      <w:rFonts w:ascii="Arial" w:hAnsi="Arial" w:cs="Arial"/>
      <w:iCs w:val="0"/>
      <w:sz w:val="22"/>
      <w:szCs w:val="26"/>
      <w:lang w:eastAsia="en-GB"/>
    </w:rPr>
  </w:style>
  <w:style w:type="paragraph" w:customStyle="1" w:styleId="Smiley-Negative">
    <w:name w:val="Smiley - Negative"/>
    <w:basedOn w:val="Normal"/>
    <w:pPr>
      <w:tabs>
        <w:tab w:val="num" w:pos="1134"/>
        <w:tab w:val="num" w:pos="1560"/>
        <w:tab w:val="num" w:pos="1984"/>
      </w:tabs>
      <w:spacing w:before="0" w:after="0"/>
      <w:ind w:left="360" w:hanging="567"/>
      <w:jc w:val="left"/>
    </w:pPr>
    <w:rPr>
      <w:sz w:val="22"/>
      <w:szCs w:val="20"/>
      <w:lang w:eastAsia="en-GB"/>
    </w:rPr>
  </w:style>
  <w:style w:type="paragraph" w:customStyle="1" w:styleId="Smiley-Neutral">
    <w:name w:val="Smiley - Neutral"/>
    <w:basedOn w:val="Normal"/>
    <w:pPr>
      <w:tabs>
        <w:tab w:val="num" w:pos="709"/>
        <w:tab w:val="num" w:pos="1134"/>
        <w:tab w:val="num" w:pos="2551"/>
      </w:tabs>
      <w:spacing w:before="0" w:after="0"/>
      <w:ind w:left="360" w:hanging="567"/>
      <w:jc w:val="left"/>
    </w:pPr>
    <w:rPr>
      <w:sz w:val="22"/>
      <w:szCs w:val="20"/>
      <w:lang w:eastAsia="en-GB"/>
    </w:rPr>
  </w:style>
  <w:style w:type="paragraph" w:customStyle="1" w:styleId="Smiley-Positive">
    <w:name w:val="Smiley - Positive"/>
    <w:basedOn w:val="Normal"/>
    <w:pPr>
      <w:tabs>
        <w:tab w:val="num" w:pos="283"/>
        <w:tab w:val="num" w:pos="1134"/>
        <w:tab w:val="num" w:pos="1209"/>
        <w:tab w:val="num" w:pos="3118"/>
      </w:tabs>
      <w:spacing w:before="0" w:after="0"/>
      <w:ind w:left="3118" w:hanging="283"/>
      <w:jc w:val="left"/>
    </w:pPr>
    <w:rPr>
      <w:sz w:val="22"/>
      <w:szCs w:val="20"/>
      <w:lang w:eastAsia="en-GB"/>
    </w:rPr>
  </w:style>
  <w:style w:type="paragraph" w:customStyle="1" w:styleId="TableText">
    <w:name w:val="Table Text"/>
    <w:basedOn w:val="Normal"/>
    <w:next w:val="Normal"/>
    <w:pPr>
      <w:overflowPunct w:val="0"/>
      <w:autoSpaceDE w:val="0"/>
      <w:autoSpaceDN w:val="0"/>
      <w:adjustRightInd w:val="0"/>
      <w:spacing w:before="0" w:after="0"/>
      <w:ind w:left="357"/>
      <w:jc w:val="left"/>
      <w:textAlignment w:val="baseline"/>
    </w:pPr>
    <w:rPr>
      <w:rFonts w:ascii="Arial" w:hAnsi="Arial"/>
      <w:sz w:val="18"/>
      <w:szCs w:val="20"/>
      <w:lang w:eastAsia="en-GB"/>
    </w:rPr>
  </w:style>
  <w:style w:type="paragraph" w:customStyle="1" w:styleId="Cover-title3">
    <w:name w:val="Cover - title 3"/>
    <w:basedOn w:val="Normal"/>
    <w:next w:val="Normal"/>
    <w:pPr>
      <w:overflowPunct w:val="0"/>
      <w:autoSpaceDE w:val="0"/>
      <w:autoSpaceDN w:val="0"/>
      <w:adjustRightInd w:val="0"/>
      <w:spacing w:before="60" w:after="80"/>
      <w:jc w:val="right"/>
      <w:textAlignment w:val="baseline"/>
    </w:pPr>
    <w:rPr>
      <w:rFonts w:ascii="Avenir 55" w:hAnsi="Avenir 55"/>
      <w:b/>
      <w:sz w:val="22"/>
      <w:szCs w:val="20"/>
      <w:lang w:eastAsia="en-GB"/>
    </w:rPr>
  </w:style>
  <w:style w:type="paragraph" w:customStyle="1" w:styleId="KeyMessage0">
    <w:name w:val="KeyMessage"/>
    <w:basedOn w:val="Normal"/>
    <w:next w:val="Normal"/>
    <w:pPr>
      <w:keepLines/>
      <w:shd w:val="clear" w:color="auto" w:fill="F3F3F3"/>
      <w:tabs>
        <w:tab w:val="left" w:pos="540"/>
      </w:tabs>
      <w:spacing w:before="80" w:after="80"/>
      <w:ind w:left="540" w:hanging="540"/>
      <w:jc w:val="left"/>
    </w:pPr>
    <w:rPr>
      <w:rFonts w:ascii="Verdana" w:hAnsi="Verdana"/>
      <w:noProof/>
      <w:sz w:val="20"/>
      <w:szCs w:val="20"/>
      <w:lang w:eastAsia="en-GB"/>
    </w:rPr>
  </w:style>
  <w:style w:type="paragraph" w:customStyle="1" w:styleId="punkte">
    <w:name w:val="punkte"/>
    <w:basedOn w:val="Normal"/>
    <w:pPr>
      <w:tabs>
        <w:tab w:val="num" w:pos="850"/>
        <w:tab w:val="num" w:pos="1134"/>
        <w:tab w:val="num" w:pos="2517"/>
      </w:tabs>
      <w:spacing w:before="0" w:after="0"/>
      <w:ind w:left="360" w:hanging="850"/>
      <w:jc w:val="left"/>
    </w:pPr>
    <w:rPr>
      <w:szCs w:val="20"/>
      <w:lang w:eastAsia="en-GB"/>
    </w:rPr>
  </w:style>
  <w:style w:type="paragraph" w:customStyle="1" w:styleId="FormatvorlageBeschriftungPalatinoLinotype">
    <w:name w:val="Formatvorlage Beschriftung + Palatino Linotype"/>
    <w:basedOn w:val="Caption"/>
    <w:autoRedefine/>
    <w:pPr>
      <w:keepNext/>
      <w:keepLines/>
      <w:pBdr>
        <w:top w:val="single" w:sz="4" w:space="1" w:color="auto"/>
        <w:bottom w:val="single" w:sz="4" w:space="1" w:color="auto"/>
      </w:pBdr>
      <w:shd w:val="clear" w:color="auto" w:fill="E6E6E6"/>
      <w:tabs>
        <w:tab w:val="left" w:pos="1418"/>
      </w:tabs>
      <w:spacing w:before="240" w:after="80"/>
      <w:ind w:left="1440" w:hanging="1440"/>
      <w:jc w:val="left"/>
    </w:pPr>
    <w:rPr>
      <w:rFonts w:ascii="Verdana" w:hAnsi="Verdana"/>
    </w:rPr>
  </w:style>
  <w:style w:type="paragraph" w:customStyle="1" w:styleId="font5">
    <w:name w:val="font5"/>
    <w:basedOn w:val="Normal"/>
    <w:pPr>
      <w:spacing w:before="100" w:beforeAutospacing="1" w:after="100" w:afterAutospacing="1"/>
      <w:jc w:val="left"/>
    </w:pPr>
    <w:rPr>
      <w:sz w:val="16"/>
      <w:szCs w:val="16"/>
      <w:lang w:val="en-US" w:eastAsia="en-GB"/>
    </w:rPr>
  </w:style>
  <w:style w:type="paragraph" w:customStyle="1" w:styleId="xl45">
    <w:name w:val="xl45"/>
    <w:basedOn w:val="Normal"/>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left"/>
    </w:pPr>
    <w:rPr>
      <w:b/>
      <w:bCs/>
      <w:sz w:val="16"/>
      <w:szCs w:val="16"/>
      <w:lang w:val="en-US" w:eastAsia="en-GB"/>
    </w:rPr>
  </w:style>
  <w:style w:type="paragraph" w:customStyle="1" w:styleId="xl46">
    <w:name w:val="xl4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n-US" w:eastAsia="en-GB"/>
    </w:rPr>
  </w:style>
  <w:style w:type="paragraph" w:customStyle="1" w:styleId="xl47">
    <w:name w:val="xl4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0"/>
      <w:lang w:val="en-US" w:eastAsia="en-GB"/>
    </w:rPr>
  </w:style>
  <w:style w:type="paragraph" w:customStyle="1" w:styleId="xl48">
    <w:name w:val="xl4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0"/>
      <w:lang w:val="en-US" w:eastAsia="en-GB"/>
    </w:rPr>
  </w:style>
  <w:style w:type="paragraph" w:customStyle="1" w:styleId="xl49">
    <w:name w:val="xl49"/>
    <w:basedOn w:val="Normal"/>
    <w:pPr>
      <w:pBdr>
        <w:top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16"/>
      <w:szCs w:val="16"/>
      <w:lang w:val="en-US" w:eastAsia="en-GB"/>
    </w:rPr>
  </w:style>
  <w:style w:type="paragraph" w:customStyle="1" w:styleId="xl50">
    <w:name w:val="xl50"/>
    <w:basedOn w:val="Normal"/>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16"/>
      <w:szCs w:val="16"/>
      <w:lang w:val="en-US" w:eastAsia="en-GB"/>
    </w:rPr>
  </w:style>
  <w:style w:type="paragraph" w:customStyle="1" w:styleId="xl51">
    <w:name w:val="xl51"/>
    <w:basedOn w:val="Normal"/>
    <w:pPr>
      <w:pBdr>
        <w:top w:val="single" w:sz="4" w:space="0" w:color="auto"/>
        <w:left w:val="single" w:sz="4" w:space="0" w:color="auto"/>
        <w:bottom w:val="single" w:sz="4" w:space="0" w:color="auto"/>
        <w:right w:val="single" w:sz="8" w:space="0" w:color="auto"/>
      </w:pBdr>
      <w:shd w:val="clear" w:color="auto" w:fill="FFCC00"/>
      <w:spacing w:before="100" w:beforeAutospacing="1" w:after="100" w:afterAutospacing="1"/>
      <w:jc w:val="center"/>
      <w:textAlignment w:val="center"/>
    </w:pPr>
    <w:rPr>
      <w:b/>
      <w:bCs/>
      <w:sz w:val="16"/>
      <w:szCs w:val="16"/>
      <w:lang w:val="en-US" w:eastAsia="en-GB"/>
    </w:rPr>
  </w:style>
  <w:style w:type="paragraph" w:customStyle="1" w:styleId="xl52">
    <w:name w:val="xl52"/>
    <w:basedOn w:val="Normal"/>
    <w:pPr>
      <w:pBdr>
        <w:left w:val="single" w:sz="8" w:space="0" w:color="auto"/>
        <w:bottom w:val="single" w:sz="4" w:space="0" w:color="auto"/>
      </w:pBdr>
      <w:shd w:val="clear" w:color="auto" w:fill="C0C0C0"/>
      <w:spacing w:before="100" w:beforeAutospacing="1" w:after="100" w:afterAutospacing="1"/>
      <w:jc w:val="left"/>
      <w:textAlignment w:val="center"/>
    </w:pPr>
    <w:rPr>
      <w:b/>
      <w:bCs/>
      <w:sz w:val="16"/>
      <w:szCs w:val="16"/>
      <w:lang w:val="en-US" w:eastAsia="en-GB"/>
    </w:rPr>
  </w:style>
  <w:style w:type="paragraph" w:customStyle="1" w:styleId="xl53">
    <w:name w:val="xl53"/>
    <w:basedOn w:val="Normal"/>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16"/>
      <w:szCs w:val="16"/>
      <w:lang w:val="en-US" w:eastAsia="en-GB"/>
    </w:rPr>
  </w:style>
  <w:style w:type="paragraph" w:customStyle="1" w:styleId="xl54">
    <w:name w:val="xl54"/>
    <w:basedOn w:val="Normal"/>
    <w:pPr>
      <w:pBdr>
        <w:left w:val="single" w:sz="8" w:space="0" w:color="auto"/>
        <w:bottom w:val="single" w:sz="8" w:space="0" w:color="auto"/>
      </w:pBdr>
      <w:shd w:val="clear" w:color="auto" w:fill="C0C0C0"/>
      <w:spacing w:before="100" w:beforeAutospacing="1" w:after="100" w:afterAutospacing="1"/>
      <w:jc w:val="left"/>
      <w:textAlignment w:val="center"/>
    </w:pPr>
    <w:rPr>
      <w:b/>
      <w:bCs/>
      <w:sz w:val="16"/>
      <w:szCs w:val="16"/>
      <w:lang w:val="en-US" w:eastAsia="en-GB"/>
    </w:rPr>
  </w:style>
  <w:style w:type="paragraph" w:customStyle="1" w:styleId="xl55">
    <w:name w:val="xl55"/>
    <w:basedOn w:val="Normal"/>
    <w:pPr>
      <w:pBdr>
        <w:top w:val="single" w:sz="4" w:space="0" w:color="auto"/>
        <w:left w:val="single" w:sz="4" w:space="0" w:color="auto"/>
        <w:bottom w:val="single" w:sz="8" w:space="0" w:color="auto"/>
        <w:right w:val="single" w:sz="4" w:space="0" w:color="auto"/>
      </w:pBdr>
      <w:shd w:val="clear" w:color="auto" w:fill="FFCC00"/>
      <w:spacing w:before="100" w:beforeAutospacing="1" w:after="100" w:afterAutospacing="1"/>
      <w:jc w:val="center"/>
      <w:textAlignment w:val="center"/>
    </w:pPr>
    <w:rPr>
      <w:b/>
      <w:bCs/>
      <w:sz w:val="16"/>
      <w:szCs w:val="16"/>
      <w:lang w:val="en-US" w:eastAsia="en-GB"/>
    </w:rPr>
  </w:style>
  <w:style w:type="paragraph" w:customStyle="1" w:styleId="xl56">
    <w:name w:val="xl56"/>
    <w:basedOn w:val="Normal"/>
    <w:pPr>
      <w:pBdr>
        <w:top w:val="single" w:sz="4" w:space="0" w:color="auto"/>
        <w:left w:val="single" w:sz="4" w:space="0" w:color="auto"/>
        <w:bottom w:val="single" w:sz="8" w:space="0" w:color="auto"/>
        <w:right w:val="single" w:sz="8" w:space="0" w:color="auto"/>
      </w:pBdr>
      <w:shd w:val="clear" w:color="auto" w:fill="FFCC00"/>
      <w:spacing w:before="100" w:beforeAutospacing="1" w:after="100" w:afterAutospacing="1"/>
      <w:jc w:val="center"/>
      <w:textAlignment w:val="center"/>
    </w:pPr>
    <w:rPr>
      <w:b/>
      <w:bCs/>
      <w:sz w:val="16"/>
      <w:szCs w:val="16"/>
      <w:lang w:val="en-US" w:eastAsia="en-GB"/>
    </w:rPr>
  </w:style>
  <w:style w:type="paragraph" w:customStyle="1" w:styleId="xl57">
    <w:name w:val="xl57"/>
    <w:basedOn w:val="Normal"/>
    <w:pPr>
      <w:pBdr>
        <w:top w:val="single" w:sz="8" w:space="0" w:color="auto"/>
        <w:left w:val="single" w:sz="8" w:space="0" w:color="auto"/>
      </w:pBdr>
      <w:shd w:val="clear" w:color="auto" w:fill="C0C0C0"/>
      <w:spacing w:before="100" w:beforeAutospacing="1" w:after="100" w:afterAutospacing="1"/>
      <w:jc w:val="center"/>
      <w:textAlignment w:val="center"/>
    </w:pPr>
    <w:rPr>
      <w:sz w:val="16"/>
      <w:szCs w:val="16"/>
      <w:lang w:val="en-US" w:eastAsia="en-GB"/>
    </w:rPr>
  </w:style>
  <w:style w:type="paragraph" w:customStyle="1" w:styleId="xl58">
    <w:name w:val="xl58"/>
    <w:basedOn w:val="Normal"/>
    <w:pPr>
      <w:pBdr>
        <w:top w:val="single" w:sz="8" w:space="0" w:color="auto"/>
      </w:pBdr>
      <w:shd w:val="clear" w:color="auto" w:fill="FFCC99"/>
      <w:spacing w:before="100" w:beforeAutospacing="1" w:after="100" w:afterAutospacing="1"/>
      <w:jc w:val="center"/>
      <w:textAlignment w:val="center"/>
    </w:pPr>
    <w:rPr>
      <w:sz w:val="16"/>
      <w:szCs w:val="16"/>
      <w:lang w:val="en-US" w:eastAsia="en-GB"/>
    </w:rPr>
  </w:style>
  <w:style w:type="paragraph" w:customStyle="1" w:styleId="xl59">
    <w:name w:val="xl59"/>
    <w:basedOn w:val="Normal"/>
    <w:pPr>
      <w:pBdr>
        <w:top w:val="single" w:sz="8" w:space="0" w:color="auto"/>
        <w:right w:val="single" w:sz="8" w:space="0" w:color="auto"/>
      </w:pBdr>
      <w:shd w:val="clear" w:color="auto" w:fill="FFCC99"/>
      <w:spacing w:before="100" w:beforeAutospacing="1" w:after="100" w:afterAutospacing="1"/>
      <w:jc w:val="center"/>
      <w:textAlignment w:val="center"/>
    </w:pPr>
    <w:rPr>
      <w:sz w:val="16"/>
      <w:szCs w:val="16"/>
      <w:lang w:val="en-US" w:eastAsia="en-GB"/>
    </w:rPr>
  </w:style>
  <w:style w:type="paragraph" w:customStyle="1" w:styleId="xl60">
    <w:name w:val="xl60"/>
    <w:basedOn w:val="Normal"/>
    <w:pPr>
      <w:pBdr>
        <w:left w:val="single" w:sz="8" w:space="0" w:color="auto"/>
        <w:bottom w:val="single" w:sz="4" w:space="0" w:color="auto"/>
      </w:pBdr>
      <w:shd w:val="clear" w:color="auto" w:fill="C0C0C0"/>
      <w:spacing w:before="100" w:beforeAutospacing="1" w:after="100" w:afterAutospacing="1"/>
      <w:jc w:val="center"/>
      <w:textAlignment w:val="center"/>
    </w:pPr>
    <w:rPr>
      <w:sz w:val="16"/>
      <w:szCs w:val="16"/>
      <w:lang w:val="en-US" w:eastAsia="en-GB"/>
    </w:rPr>
  </w:style>
  <w:style w:type="paragraph" w:customStyle="1" w:styleId="xl61">
    <w:name w:val="xl61"/>
    <w:basedOn w:val="Normal"/>
    <w:pPr>
      <w:pBdr>
        <w:bottom w:val="single" w:sz="4" w:space="0" w:color="auto"/>
      </w:pBdr>
      <w:shd w:val="clear" w:color="auto" w:fill="FFCC99"/>
      <w:spacing w:before="100" w:beforeAutospacing="1" w:after="100" w:afterAutospacing="1"/>
      <w:jc w:val="center"/>
      <w:textAlignment w:val="center"/>
    </w:pPr>
    <w:rPr>
      <w:sz w:val="16"/>
      <w:szCs w:val="16"/>
      <w:lang w:val="en-US" w:eastAsia="en-GB"/>
    </w:rPr>
  </w:style>
  <w:style w:type="paragraph" w:customStyle="1" w:styleId="xl62">
    <w:name w:val="xl62"/>
    <w:basedOn w:val="Normal"/>
    <w:pPr>
      <w:pBdr>
        <w:bottom w:val="single" w:sz="4" w:space="0" w:color="auto"/>
        <w:right w:val="single" w:sz="8" w:space="0" w:color="auto"/>
      </w:pBdr>
      <w:shd w:val="clear" w:color="auto" w:fill="FFCC99"/>
      <w:spacing w:before="100" w:beforeAutospacing="1" w:after="100" w:afterAutospacing="1"/>
      <w:jc w:val="center"/>
      <w:textAlignment w:val="center"/>
    </w:pPr>
    <w:rPr>
      <w:sz w:val="16"/>
      <w:szCs w:val="16"/>
      <w:lang w:val="en-US" w:eastAsia="en-GB"/>
    </w:rPr>
  </w:style>
  <w:style w:type="paragraph" w:customStyle="1" w:styleId="xl63">
    <w:name w:val="xl6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sz w:val="16"/>
      <w:szCs w:val="16"/>
      <w:lang w:val="en-US" w:eastAsia="en-GB"/>
    </w:rPr>
  </w:style>
  <w:style w:type="paragraph" w:customStyle="1" w:styleId="font6">
    <w:name w:val="font6"/>
    <w:basedOn w:val="Normal"/>
    <w:pPr>
      <w:spacing w:before="100" w:beforeAutospacing="1" w:after="100" w:afterAutospacing="1"/>
      <w:jc w:val="left"/>
    </w:pPr>
    <w:rPr>
      <w:rFonts w:eastAsia="Arial Unicode MS"/>
      <w:b/>
      <w:bCs/>
      <w:sz w:val="16"/>
      <w:szCs w:val="16"/>
      <w:lang w:val="en-US" w:eastAsia="en-GB"/>
    </w:rPr>
  </w:style>
  <w:style w:type="paragraph" w:customStyle="1" w:styleId="xl44">
    <w:name w:val="xl44"/>
    <w:basedOn w:val="Normal"/>
    <w:pPr>
      <w:pBdr>
        <w:top w:val="single" w:sz="8" w:space="0" w:color="auto"/>
        <w:left w:val="single" w:sz="8" w:space="0" w:color="auto"/>
        <w:bottom w:val="single" w:sz="8" w:space="0" w:color="auto"/>
        <w:right w:val="single" w:sz="8" w:space="0" w:color="auto"/>
      </w:pBdr>
      <w:shd w:val="clear" w:color="auto" w:fill="CCCCFF"/>
      <w:spacing w:before="100" w:beforeAutospacing="1" w:after="100" w:afterAutospacing="1"/>
      <w:jc w:val="center"/>
      <w:textAlignment w:val="top"/>
    </w:pPr>
    <w:rPr>
      <w:rFonts w:eastAsia="Arial Unicode MS"/>
      <w:sz w:val="16"/>
      <w:szCs w:val="16"/>
      <w:lang w:val="en-US" w:eastAsia="en-GB"/>
    </w:rPr>
  </w:style>
  <w:style w:type="paragraph" w:customStyle="1" w:styleId="xl64">
    <w:name w:val="xl64"/>
    <w:basedOn w:val="Normal"/>
    <w:pPr>
      <w:pBdr>
        <w:top w:val="single" w:sz="8" w:space="0" w:color="auto"/>
        <w:left w:val="single" w:sz="8" w:space="0" w:color="auto"/>
        <w:right w:val="single" w:sz="8" w:space="0" w:color="auto"/>
      </w:pBdr>
      <w:shd w:val="clear" w:color="auto" w:fill="CCCCFF"/>
      <w:spacing w:before="100" w:beforeAutospacing="1" w:after="100" w:afterAutospacing="1"/>
      <w:jc w:val="left"/>
      <w:textAlignment w:val="top"/>
    </w:pPr>
    <w:rPr>
      <w:rFonts w:eastAsia="Arial Unicode MS"/>
      <w:sz w:val="16"/>
      <w:szCs w:val="16"/>
      <w:lang w:val="en-US" w:eastAsia="en-GB"/>
    </w:rPr>
  </w:style>
  <w:style w:type="paragraph" w:customStyle="1" w:styleId="xl65">
    <w:name w:val="xl65"/>
    <w:basedOn w:val="Normal"/>
    <w:pPr>
      <w:pBdr>
        <w:left w:val="single" w:sz="8" w:space="0" w:color="auto"/>
        <w:bottom w:val="single" w:sz="8" w:space="0" w:color="auto"/>
        <w:right w:val="single" w:sz="8" w:space="0" w:color="auto"/>
      </w:pBdr>
      <w:shd w:val="clear" w:color="auto" w:fill="CCCCFF"/>
      <w:spacing w:before="100" w:beforeAutospacing="1" w:after="100" w:afterAutospacing="1"/>
      <w:jc w:val="left"/>
      <w:textAlignment w:val="top"/>
    </w:pPr>
    <w:rPr>
      <w:rFonts w:eastAsia="Arial Unicode MS"/>
      <w:sz w:val="16"/>
      <w:szCs w:val="16"/>
      <w:lang w:val="en-US" w:eastAsia="en-GB"/>
    </w:rPr>
  </w:style>
  <w:style w:type="paragraph" w:customStyle="1" w:styleId="xl66">
    <w:name w:val="xl66"/>
    <w:basedOn w:val="Normal"/>
    <w:pPr>
      <w:pBdr>
        <w:left w:val="single" w:sz="8" w:space="0" w:color="auto"/>
        <w:right w:val="single" w:sz="8" w:space="0" w:color="auto"/>
      </w:pBdr>
      <w:shd w:val="clear" w:color="auto" w:fill="CCCCFF"/>
      <w:spacing w:before="100" w:beforeAutospacing="1" w:after="100" w:afterAutospacing="1"/>
      <w:jc w:val="center"/>
      <w:textAlignment w:val="top"/>
    </w:pPr>
    <w:rPr>
      <w:rFonts w:eastAsia="Arial Unicode MS"/>
      <w:sz w:val="16"/>
      <w:szCs w:val="16"/>
      <w:lang w:val="en-US" w:eastAsia="en-GB"/>
    </w:rPr>
  </w:style>
  <w:style w:type="paragraph" w:customStyle="1" w:styleId="xl67">
    <w:name w:val="xl67"/>
    <w:basedOn w:val="Normal"/>
    <w:pPr>
      <w:pBdr>
        <w:bottom w:val="single" w:sz="4" w:space="0" w:color="auto"/>
        <w:right w:val="single" w:sz="4" w:space="0" w:color="auto"/>
      </w:pBdr>
      <w:spacing w:before="100" w:beforeAutospacing="1" w:after="100" w:afterAutospacing="1"/>
      <w:jc w:val="center"/>
    </w:pPr>
    <w:rPr>
      <w:rFonts w:eastAsia="Arial Unicode MS"/>
      <w:sz w:val="16"/>
      <w:szCs w:val="16"/>
      <w:lang w:val="en-US" w:eastAsia="en-GB"/>
    </w:rPr>
  </w:style>
  <w:style w:type="paragraph" w:customStyle="1" w:styleId="xl68">
    <w:name w:val="xl68"/>
    <w:basedOn w:val="Normal"/>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eastAsia="Arial Unicode MS"/>
      <w:sz w:val="16"/>
      <w:szCs w:val="16"/>
      <w:lang w:val="en-US" w:eastAsia="en-GB"/>
    </w:rPr>
  </w:style>
  <w:style w:type="paragraph" w:customStyle="1" w:styleId="xl69">
    <w:name w:val="xl69"/>
    <w:basedOn w:val="Normal"/>
    <w:pPr>
      <w:pBdr>
        <w:top w:val="single" w:sz="8" w:space="0" w:color="auto"/>
        <w:bottom w:val="single" w:sz="4" w:space="0" w:color="auto"/>
        <w:right w:val="single" w:sz="4" w:space="0" w:color="auto"/>
      </w:pBdr>
      <w:spacing w:before="100" w:beforeAutospacing="1" w:after="100" w:afterAutospacing="1"/>
      <w:jc w:val="center"/>
    </w:pPr>
    <w:rPr>
      <w:rFonts w:eastAsia="Arial Unicode MS"/>
      <w:sz w:val="16"/>
      <w:szCs w:val="16"/>
      <w:lang w:val="en-US" w:eastAsia="en-GB"/>
    </w:rPr>
  </w:style>
  <w:style w:type="paragraph" w:customStyle="1" w:styleId="xl70">
    <w:name w:val="xl70"/>
    <w:basedOn w:val="Normal"/>
    <w:pPr>
      <w:pBdr>
        <w:top w:val="single" w:sz="8" w:space="0" w:color="auto"/>
        <w:bottom w:val="single" w:sz="4" w:space="0" w:color="auto"/>
        <w:right w:val="single" w:sz="8" w:space="0" w:color="auto"/>
      </w:pBdr>
      <w:spacing w:before="100" w:beforeAutospacing="1" w:after="100" w:afterAutospacing="1"/>
      <w:jc w:val="center"/>
    </w:pPr>
    <w:rPr>
      <w:rFonts w:eastAsia="Arial Unicode MS"/>
      <w:sz w:val="16"/>
      <w:szCs w:val="16"/>
      <w:lang w:val="en-US" w:eastAsia="en-GB"/>
    </w:rPr>
  </w:style>
  <w:style w:type="paragraph" w:customStyle="1" w:styleId="xl71">
    <w:name w:val="xl71"/>
    <w:basedOn w:val="Normal"/>
    <w:pPr>
      <w:pBdr>
        <w:bottom w:val="single" w:sz="4" w:space="0" w:color="auto"/>
        <w:right w:val="single" w:sz="8" w:space="0" w:color="auto"/>
      </w:pBdr>
      <w:spacing w:before="100" w:beforeAutospacing="1" w:after="100" w:afterAutospacing="1"/>
      <w:jc w:val="center"/>
    </w:pPr>
    <w:rPr>
      <w:rFonts w:eastAsia="Arial Unicode MS"/>
      <w:sz w:val="16"/>
      <w:szCs w:val="16"/>
      <w:lang w:val="en-US" w:eastAsia="en-GB"/>
    </w:rPr>
  </w:style>
  <w:style w:type="paragraph" w:customStyle="1" w:styleId="xl72">
    <w:name w:val="xl72"/>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eastAsia="Arial Unicode MS"/>
      <w:sz w:val="16"/>
      <w:szCs w:val="16"/>
      <w:lang w:val="en-US" w:eastAsia="en-GB"/>
    </w:rPr>
  </w:style>
  <w:style w:type="paragraph" w:customStyle="1" w:styleId="xl73">
    <w:name w:val="xl73"/>
    <w:basedOn w:val="Normal"/>
    <w:pPr>
      <w:pBdr>
        <w:bottom w:val="single" w:sz="8" w:space="0" w:color="auto"/>
        <w:right w:val="single" w:sz="4" w:space="0" w:color="auto"/>
      </w:pBdr>
      <w:spacing w:before="100" w:beforeAutospacing="1" w:after="100" w:afterAutospacing="1"/>
      <w:jc w:val="center"/>
    </w:pPr>
    <w:rPr>
      <w:rFonts w:eastAsia="Arial Unicode MS"/>
      <w:sz w:val="16"/>
      <w:szCs w:val="16"/>
      <w:lang w:val="en-US" w:eastAsia="en-GB"/>
    </w:rPr>
  </w:style>
  <w:style w:type="paragraph" w:customStyle="1" w:styleId="xl74">
    <w:name w:val="xl74"/>
    <w:basedOn w:val="Normal"/>
    <w:pPr>
      <w:pBdr>
        <w:bottom w:val="single" w:sz="8" w:space="0" w:color="auto"/>
        <w:right w:val="single" w:sz="8" w:space="0" w:color="auto"/>
      </w:pBdr>
      <w:spacing w:before="100" w:beforeAutospacing="1" w:after="100" w:afterAutospacing="1"/>
      <w:jc w:val="center"/>
    </w:pPr>
    <w:rPr>
      <w:rFonts w:eastAsia="Arial Unicode MS"/>
      <w:sz w:val="16"/>
      <w:szCs w:val="16"/>
      <w:lang w:val="en-US" w:eastAsia="en-GB"/>
    </w:rPr>
  </w:style>
  <w:style w:type="paragraph" w:customStyle="1" w:styleId="xl75">
    <w:name w:val="xl75"/>
    <w:basedOn w:val="Normal"/>
    <w:pPr>
      <w:pBdr>
        <w:bottom w:val="single" w:sz="4" w:space="0" w:color="auto"/>
        <w:right w:val="single" w:sz="4" w:space="0" w:color="auto"/>
      </w:pBdr>
      <w:spacing w:before="100" w:beforeAutospacing="1" w:after="100" w:afterAutospacing="1"/>
      <w:jc w:val="center"/>
    </w:pPr>
    <w:rPr>
      <w:rFonts w:eastAsia="Arial Unicode MS"/>
      <w:b/>
      <w:bCs/>
      <w:sz w:val="16"/>
      <w:szCs w:val="16"/>
      <w:lang w:val="en-US" w:eastAsia="en-GB"/>
    </w:rPr>
  </w:style>
  <w:style w:type="paragraph" w:customStyle="1" w:styleId="xl76">
    <w:name w:val="xl76"/>
    <w:basedOn w:val="Normal"/>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b/>
      <w:bCs/>
      <w:sz w:val="16"/>
      <w:szCs w:val="16"/>
      <w:lang w:val="en-US" w:eastAsia="en-GB"/>
    </w:rPr>
  </w:style>
  <w:style w:type="paragraph" w:customStyle="1" w:styleId="xl77">
    <w:name w:val="xl77"/>
    <w:basedOn w:val="Normal"/>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b/>
      <w:bCs/>
      <w:sz w:val="16"/>
      <w:szCs w:val="16"/>
      <w:lang w:val="en-US" w:eastAsia="en-GB"/>
    </w:rPr>
  </w:style>
  <w:style w:type="paragraph" w:customStyle="1" w:styleId="xl78">
    <w:name w:val="xl78"/>
    <w:basedOn w:val="Normal"/>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b/>
      <w:bCs/>
      <w:sz w:val="16"/>
      <w:szCs w:val="16"/>
      <w:lang w:val="en-US" w:eastAsia="en-GB"/>
    </w:rPr>
  </w:style>
  <w:style w:type="paragraph" w:customStyle="1" w:styleId="xl79">
    <w:name w:val="xl79"/>
    <w:basedOn w:val="Normal"/>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b/>
      <w:bCs/>
      <w:sz w:val="16"/>
      <w:szCs w:val="16"/>
      <w:lang w:val="en-US" w:eastAsia="en-GB"/>
    </w:rPr>
  </w:style>
  <w:style w:type="paragraph" w:customStyle="1" w:styleId="EntInstit">
    <w:name w:val="EntInstit"/>
    <w:pPr>
      <w:spacing w:after="200" w:line="276" w:lineRule="auto"/>
      <w:jc w:val="right"/>
    </w:pPr>
    <w:rPr>
      <w:b/>
      <w:sz w:val="24"/>
      <w:szCs w:val="22"/>
      <w:lang w:eastAsia="fr-BE"/>
    </w:rPr>
  </w:style>
  <w:style w:type="paragraph" w:customStyle="1" w:styleId="NormalConseil">
    <w:name w:val="NormalConseil"/>
    <w:basedOn w:val="Normal"/>
    <w:pPr>
      <w:spacing w:before="0" w:after="0"/>
      <w:jc w:val="left"/>
    </w:pPr>
    <w:rPr>
      <w:szCs w:val="20"/>
      <w:lang w:eastAsia="fr-BE"/>
    </w:rPr>
  </w:style>
  <w:style w:type="paragraph" w:customStyle="1" w:styleId="EntRefer">
    <w:name w:val="EntRefer"/>
    <w:pPr>
      <w:spacing w:after="200" w:line="276" w:lineRule="auto"/>
    </w:pPr>
    <w:rPr>
      <w:b/>
      <w:sz w:val="24"/>
      <w:szCs w:val="22"/>
      <w:lang w:eastAsia="fr-BE"/>
    </w:rPr>
  </w:style>
  <w:style w:type="paragraph" w:customStyle="1" w:styleId="EntEmet">
    <w:name w:val="EntEmet"/>
    <w:pPr>
      <w:tabs>
        <w:tab w:val="left" w:pos="284"/>
        <w:tab w:val="left" w:pos="567"/>
        <w:tab w:val="left" w:pos="851"/>
        <w:tab w:val="left" w:pos="1134"/>
        <w:tab w:val="left" w:pos="1418"/>
      </w:tabs>
      <w:spacing w:before="40" w:after="200" w:line="276" w:lineRule="auto"/>
    </w:pPr>
    <w:rPr>
      <w:sz w:val="24"/>
      <w:szCs w:val="22"/>
      <w:lang w:eastAsia="fr-BE"/>
    </w:rPr>
  </w:style>
  <w:style w:type="paragraph" w:customStyle="1" w:styleId="EntLogo">
    <w:name w:val="EntLogo"/>
    <w:next w:val="EntInstit"/>
    <w:pPr>
      <w:spacing w:after="200" w:line="360" w:lineRule="auto"/>
    </w:pPr>
    <w:rPr>
      <w:b/>
      <w:sz w:val="24"/>
      <w:szCs w:val="22"/>
      <w:lang w:eastAsia="fr-BE"/>
    </w:rPr>
  </w:style>
  <w:style w:type="paragraph" w:customStyle="1" w:styleId="FooterConseil">
    <w:name w:val="FooterConseil"/>
    <w:pPr>
      <w:tabs>
        <w:tab w:val="center" w:pos="4820"/>
        <w:tab w:val="center" w:pos="7371"/>
        <w:tab w:val="right" w:pos="9639"/>
      </w:tabs>
      <w:spacing w:after="200" w:line="276" w:lineRule="auto"/>
    </w:pPr>
    <w:rPr>
      <w:sz w:val="24"/>
      <w:szCs w:val="22"/>
      <w:lang w:eastAsia="fr-BE"/>
    </w:rPr>
  </w:style>
  <w:style w:type="paragraph" w:customStyle="1" w:styleId="FigureCaption">
    <w:name w:val="Figure Caption"/>
    <w:basedOn w:val="Normal"/>
    <w:pPr>
      <w:spacing w:before="0" w:after="0"/>
      <w:jc w:val="left"/>
    </w:pPr>
    <w:rPr>
      <w:rFonts w:ascii="Arial" w:hAnsi="Arial"/>
      <w:sz w:val="22"/>
      <w:szCs w:val="20"/>
      <w:lang w:val="da-DK" w:eastAsia="en-GB"/>
    </w:rPr>
  </w:style>
  <w:style w:type="paragraph" w:customStyle="1" w:styleId="Question">
    <w:name w:val="Question"/>
    <w:basedOn w:val="Normal"/>
    <w:pPr>
      <w:pBdr>
        <w:top w:val="single" w:sz="4" w:space="1" w:color="auto"/>
        <w:left w:val="single" w:sz="4" w:space="4" w:color="auto"/>
        <w:bottom w:val="single" w:sz="4" w:space="1" w:color="auto"/>
        <w:right w:val="single" w:sz="4" w:space="4" w:color="auto"/>
      </w:pBdr>
      <w:spacing w:before="60" w:after="80"/>
      <w:jc w:val="left"/>
    </w:pPr>
    <w:rPr>
      <w:rFonts w:ascii="Arial Black" w:hAnsi="Arial Black"/>
      <w:sz w:val="22"/>
      <w:szCs w:val="20"/>
      <w:lang w:eastAsia="de-DE"/>
    </w:rPr>
  </w:style>
  <w:style w:type="paragraph" w:customStyle="1" w:styleId="Keymessage">
    <w:name w:val="Key message"/>
    <w:basedOn w:val="Normal"/>
    <w:pPr>
      <w:numPr>
        <w:numId w:val="32"/>
      </w:numPr>
      <w:pBdr>
        <w:top w:val="single" w:sz="4" w:space="1" w:color="auto"/>
        <w:left w:val="single" w:sz="4" w:space="4" w:color="auto"/>
        <w:bottom w:val="single" w:sz="4" w:space="1" w:color="auto"/>
        <w:right w:val="single" w:sz="4" w:space="4" w:color="auto"/>
      </w:pBdr>
      <w:shd w:val="clear" w:color="auto" w:fill="F3F3F3"/>
      <w:spacing w:before="60" w:after="60"/>
      <w:ind w:left="357" w:hanging="357"/>
      <w:jc w:val="left"/>
    </w:pPr>
    <w:rPr>
      <w:rFonts w:ascii="Palatino Linotype" w:hAnsi="Palatino Linotype"/>
      <w:sz w:val="22"/>
      <w:szCs w:val="20"/>
      <w:lang w:eastAsia="de-DE"/>
    </w:rPr>
  </w:style>
  <w:style w:type="paragraph" w:customStyle="1" w:styleId="graph">
    <w:name w:val="graph"/>
    <w:basedOn w:val="Normal"/>
    <w:pPr>
      <w:spacing w:before="0" w:after="0"/>
      <w:ind w:left="6158" w:hanging="6158"/>
      <w:jc w:val="left"/>
    </w:pPr>
    <w:rPr>
      <w:rFonts w:ascii="Palatino Linotype" w:hAnsi="Palatino Linotype"/>
      <w:sz w:val="22"/>
      <w:szCs w:val="20"/>
      <w:lang w:eastAsia="de-DE"/>
    </w:rPr>
  </w:style>
  <w:style w:type="paragraph" w:customStyle="1" w:styleId="FormatvorlageSource8ptFett">
    <w:name w:val="Formatvorlage Source + 8 pt Fett"/>
    <w:basedOn w:val="Normal"/>
    <w:pPr>
      <w:keepNext/>
      <w:keepLines/>
      <w:spacing w:before="60" w:after="0"/>
      <w:ind w:left="1134" w:hanging="1134"/>
      <w:jc w:val="left"/>
    </w:pPr>
    <w:rPr>
      <w:rFonts w:ascii="Arial" w:hAnsi="Arial"/>
      <w:b/>
      <w:bCs/>
      <w:sz w:val="16"/>
      <w:szCs w:val="16"/>
      <w:lang w:eastAsia="en-GB"/>
    </w:rPr>
  </w:style>
  <w:style w:type="paragraph" w:customStyle="1" w:styleId="source0">
    <w:name w:val="source"/>
    <w:basedOn w:val="Normal"/>
    <w:pPr>
      <w:keepLines/>
      <w:spacing w:before="0" w:after="0"/>
      <w:jc w:val="left"/>
    </w:pPr>
    <w:rPr>
      <w:rFonts w:ascii="Arial" w:hAnsi="Arial"/>
      <w:sz w:val="16"/>
      <w:szCs w:val="16"/>
      <w:lang w:eastAsia="de-DE"/>
    </w:rPr>
  </w:style>
  <w:style w:type="paragraph" w:styleId="BodyText3">
    <w:name w:val="Body Text 3"/>
    <w:basedOn w:val="Normal"/>
    <w:link w:val="BodyText3Char"/>
    <w:uiPriority w:val="99"/>
    <w:pPr>
      <w:widowControl w:val="0"/>
      <w:adjustRightInd w:val="0"/>
      <w:jc w:val="left"/>
      <w:textAlignment w:val="baseline"/>
    </w:pPr>
    <w:rPr>
      <w:rFonts w:ascii="NewBskvll BT" w:hAnsi="NewBskvll BT"/>
      <w:sz w:val="22"/>
      <w:szCs w:val="20"/>
      <w:lang w:eastAsia="en-GB"/>
    </w:rPr>
  </w:style>
  <w:style w:type="character" w:customStyle="1" w:styleId="BodyText3Char">
    <w:name w:val="Body Text 3 Char"/>
    <w:link w:val="BodyText3"/>
    <w:uiPriority w:val="99"/>
    <w:rPr>
      <w:rFonts w:ascii="NewBskvll BT" w:hAnsi="NewBskvll BT"/>
      <w:sz w:val="22"/>
      <w:shd w:val="clear" w:color="auto" w:fill="auto"/>
    </w:rPr>
  </w:style>
  <w:style w:type="paragraph" w:customStyle="1" w:styleId="StandardEC-NIR">
    <w:name w:val="Standard_EC-NIR"/>
    <w:basedOn w:val="Normal"/>
    <w:pPr>
      <w:widowControl w:val="0"/>
      <w:adjustRightInd w:val="0"/>
      <w:textAlignment w:val="baseline"/>
    </w:pPr>
    <w:rPr>
      <w:sz w:val="20"/>
      <w:szCs w:val="20"/>
      <w:lang w:val="de-DE" w:eastAsia="en-GB"/>
    </w:rPr>
  </w:style>
  <w:style w:type="character" w:customStyle="1" w:styleId="Table-ContentsCTChar">
    <w:name w:val="Table - Contents (CT) Char"/>
    <w:link w:val="Table-ContentsCT"/>
    <w:locked/>
    <w:rPr>
      <w:rFonts w:ascii="Arial" w:hAnsi="Arial"/>
      <w:sz w:val="16"/>
      <w:lang w:val="x-none" w:eastAsia="en-US"/>
    </w:rPr>
  </w:style>
  <w:style w:type="paragraph" w:customStyle="1" w:styleId="Table-ContentsCT">
    <w:name w:val="Table - Contents (CT)"/>
    <w:link w:val="Table-ContentsCTChar"/>
    <w:qFormat/>
    <w:pPr>
      <w:spacing w:before="80" w:after="80" w:line="276" w:lineRule="auto"/>
    </w:pPr>
    <w:rPr>
      <w:rFonts w:ascii="Arial" w:hAnsi="Arial"/>
      <w:sz w:val="16"/>
      <w:lang w:eastAsia="en-US"/>
    </w:rPr>
  </w:style>
  <w:style w:type="paragraph" w:customStyle="1" w:styleId="Maualheading">
    <w:name w:val="Maual heading"/>
    <w:basedOn w:val="Objetacteprincipal"/>
    <w:pPr>
      <w:jc w:val="both"/>
    </w:pPr>
    <w:rPr>
      <w:noProof/>
      <w:szCs w:val="20"/>
      <w:lang w:eastAsia="en-GB"/>
    </w:rPr>
  </w:style>
  <w:style w:type="character" w:customStyle="1" w:styleId="ListParagraphChar">
    <w:name w:val="List Paragraph Char"/>
    <w:aliases w:val="Heading 2_sj Char"/>
    <w:link w:val="ListParagraph"/>
    <w:uiPriority w:val="34"/>
    <w:locked/>
    <w:rPr>
      <w:rFonts w:ascii="Calibri" w:eastAsia="Calibri" w:hAnsi="Calibri" w:cs="Calibri"/>
      <w:sz w:val="22"/>
    </w:rPr>
  </w:style>
  <w:style w:type="paragraph" w:customStyle="1" w:styleId="font7">
    <w:name w:val="font7"/>
    <w:basedOn w:val="Normal"/>
    <w:pPr>
      <w:spacing w:before="100" w:beforeAutospacing="1" w:after="100" w:afterAutospacing="1"/>
      <w:jc w:val="left"/>
    </w:pPr>
    <w:rPr>
      <w:rFonts w:ascii="Calibri" w:hAnsi="Calibri" w:cs="Calibri"/>
      <w:b/>
      <w:bCs/>
      <w:sz w:val="22"/>
      <w:szCs w:val="20"/>
      <w:lang w:eastAsia="en-GB"/>
    </w:rPr>
  </w:style>
  <w:style w:type="paragraph" w:customStyle="1" w:styleId="font8">
    <w:name w:val="font8"/>
    <w:basedOn w:val="Normal"/>
    <w:pPr>
      <w:spacing w:before="100" w:beforeAutospacing="1" w:after="100" w:afterAutospacing="1"/>
      <w:jc w:val="left"/>
    </w:pPr>
    <w:rPr>
      <w:rFonts w:ascii="Calibri" w:hAnsi="Calibri" w:cs="Calibri"/>
      <w:sz w:val="22"/>
      <w:szCs w:val="20"/>
      <w:lang w:eastAsia="en-GB"/>
    </w:rPr>
  </w:style>
  <w:style w:type="paragraph" w:customStyle="1" w:styleId="font9">
    <w:name w:val="font9"/>
    <w:basedOn w:val="Normal"/>
    <w:pPr>
      <w:spacing w:before="100" w:beforeAutospacing="1" w:after="100" w:afterAutospacing="1"/>
      <w:jc w:val="left"/>
    </w:pPr>
    <w:rPr>
      <w:rFonts w:ascii="Calibri" w:hAnsi="Calibri" w:cs="Calibri"/>
      <w:color w:val="000000"/>
      <w:sz w:val="22"/>
      <w:szCs w:val="20"/>
      <w:lang w:eastAsia="en-GB"/>
    </w:rPr>
  </w:style>
  <w:style w:type="paragraph" w:customStyle="1" w:styleId="font10">
    <w:name w:val="font10"/>
    <w:basedOn w:val="Normal"/>
    <w:pPr>
      <w:spacing w:before="100" w:beforeAutospacing="1" w:after="100" w:afterAutospacing="1"/>
      <w:jc w:val="left"/>
    </w:pPr>
    <w:rPr>
      <w:rFonts w:ascii="Calibri" w:hAnsi="Calibri" w:cs="Calibri"/>
      <w:sz w:val="22"/>
      <w:szCs w:val="20"/>
      <w:lang w:eastAsia="en-GB"/>
    </w:rPr>
  </w:style>
  <w:style w:type="paragraph" w:customStyle="1" w:styleId="font11">
    <w:name w:val="font11"/>
    <w:basedOn w:val="Normal"/>
    <w:pPr>
      <w:spacing w:before="100" w:beforeAutospacing="1" w:after="100" w:afterAutospacing="1"/>
      <w:jc w:val="left"/>
    </w:pPr>
    <w:rPr>
      <w:rFonts w:ascii="Calibri" w:hAnsi="Calibri" w:cs="Calibri"/>
      <w:i/>
      <w:iCs/>
      <w:sz w:val="22"/>
      <w:szCs w:val="20"/>
      <w:lang w:eastAsia="en-GB"/>
    </w:rPr>
  </w:style>
  <w:style w:type="paragraph" w:customStyle="1" w:styleId="font12">
    <w:name w:val="font12"/>
    <w:basedOn w:val="Normal"/>
    <w:pPr>
      <w:spacing w:before="100" w:beforeAutospacing="1" w:after="100" w:afterAutospacing="1"/>
      <w:jc w:val="left"/>
    </w:pPr>
    <w:rPr>
      <w:rFonts w:ascii="Calibri" w:hAnsi="Calibri" w:cs="Calibri"/>
      <w:i/>
      <w:iCs/>
      <w:sz w:val="22"/>
      <w:szCs w:val="20"/>
      <w:lang w:eastAsia="en-GB"/>
    </w:rPr>
  </w:style>
  <w:style w:type="paragraph" w:customStyle="1" w:styleId="xl196">
    <w:name w:val="xl19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color w:val="000000"/>
      <w:sz w:val="22"/>
      <w:szCs w:val="20"/>
      <w:lang w:eastAsia="en-GB"/>
    </w:rPr>
  </w:style>
  <w:style w:type="paragraph" w:customStyle="1" w:styleId="xl197">
    <w:name w:val="xl197"/>
    <w:basedOn w:val="Normal"/>
    <w:pPr>
      <w:spacing w:before="100" w:beforeAutospacing="1" w:after="100" w:afterAutospacing="1"/>
      <w:jc w:val="left"/>
    </w:pPr>
    <w:rPr>
      <w:rFonts w:ascii="Calibri" w:hAnsi="Calibri" w:cs="Calibri"/>
      <w:sz w:val="22"/>
      <w:szCs w:val="20"/>
      <w:lang w:eastAsia="en-GB"/>
    </w:rPr>
  </w:style>
  <w:style w:type="paragraph" w:customStyle="1" w:styleId="xl198">
    <w:name w:val="xl198"/>
    <w:basedOn w:val="Normal"/>
    <w:pPr>
      <w:spacing w:before="100" w:beforeAutospacing="1" w:after="100" w:afterAutospacing="1"/>
      <w:jc w:val="left"/>
    </w:pPr>
    <w:rPr>
      <w:rFonts w:ascii="Calibri" w:hAnsi="Calibri" w:cs="Calibri"/>
      <w:sz w:val="22"/>
      <w:szCs w:val="20"/>
      <w:lang w:eastAsia="en-GB"/>
    </w:rPr>
  </w:style>
  <w:style w:type="paragraph" w:customStyle="1" w:styleId="xl199">
    <w:name w:val="xl199"/>
    <w:basedOn w:val="Normal"/>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cs="Calibri"/>
      <w:b/>
      <w:bCs/>
      <w:sz w:val="22"/>
      <w:szCs w:val="20"/>
      <w:lang w:eastAsia="en-GB"/>
    </w:rPr>
  </w:style>
  <w:style w:type="paragraph" w:customStyle="1" w:styleId="xl200">
    <w:name w:val="xl200"/>
    <w:basedOn w:val="Normal"/>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ascii="Calibri" w:hAnsi="Calibri" w:cs="Calibri"/>
      <w:color w:val="000000"/>
      <w:sz w:val="22"/>
      <w:szCs w:val="20"/>
      <w:lang w:eastAsia="en-GB"/>
    </w:rPr>
  </w:style>
  <w:style w:type="paragraph" w:customStyle="1" w:styleId="xl201">
    <w:name w:val="xl201"/>
    <w:basedOn w:val="Normal"/>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cs="Calibri"/>
      <w:color w:val="000000"/>
      <w:sz w:val="22"/>
      <w:szCs w:val="20"/>
      <w:lang w:eastAsia="en-GB"/>
    </w:rPr>
  </w:style>
  <w:style w:type="paragraph" w:customStyle="1" w:styleId="xl202">
    <w:name w:val="xl202"/>
    <w:basedOn w:val="Normal"/>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ascii="Calibri" w:hAnsi="Calibri" w:cs="Calibri"/>
      <w:sz w:val="22"/>
      <w:szCs w:val="20"/>
      <w:lang w:eastAsia="en-GB"/>
    </w:rPr>
  </w:style>
  <w:style w:type="paragraph" w:customStyle="1" w:styleId="xl203">
    <w:name w:val="xl203"/>
    <w:basedOn w:val="Normal"/>
    <w:pPr>
      <w:pBdr>
        <w:top w:val="single" w:sz="4" w:space="0" w:color="auto"/>
        <w:left w:val="single" w:sz="4" w:space="0" w:color="auto"/>
        <w:bottom w:val="single" w:sz="4" w:space="0" w:color="auto"/>
      </w:pBdr>
      <w:shd w:val="clear" w:color="000000" w:fill="CCFFCC"/>
      <w:spacing w:before="100" w:beforeAutospacing="1" w:after="100" w:afterAutospacing="1"/>
      <w:jc w:val="left"/>
      <w:textAlignment w:val="center"/>
    </w:pPr>
    <w:rPr>
      <w:rFonts w:ascii="Calibri" w:hAnsi="Calibri" w:cs="Calibri"/>
      <w:sz w:val="22"/>
      <w:szCs w:val="20"/>
      <w:lang w:eastAsia="en-GB"/>
    </w:rPr>
  </w:style>
  <w:style w:type="paragraph" w:customStyle="1" w:styleId="xl204">
    <w:name w:val="xl204"/>
    <w:basedOn w:val="Normal"/>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cs="Calibri"/>
      <w:sz w:val="22"/>
      <w:szCs w:val="20"/>
      <w:lang w:eastAsia="en-GB"/>
    </w:rPr>
  </w:style>
  <w:style w:type="paragraph" w:customStyle="1" w:styleId="xl205">
    <w:name w:val="xl205"/>
    <w:basedOn w:val="Normal"/>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ascii="Calibri" w:hAnsi="Calibri" w:cs="Calibri"/>
      <w:sz w:val="22"/>
      <w:szCs w:val="20"/>
      <w:lang w:eastAsia="en-GB"/>
    </w:rPr>
  </w:style>
  <w:style w:type="paragraph" w:customStyle="1" w:styleId="xl206">
    <w:name w:val="xl20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color w:val="000000"/>
      <w:sz w:val="22"/>
      <w:szCs w:val="20"/>
      <w:lang w:eastAsia="en-GB"/>
    </w:rPr>
  </w:style>
  <w:style w:type="paragraph" w:customStyle="1" w:styleId="xl207">
    <w:name w:val="xl20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color w:val="000000"/>
      <w:sz w:val="22"/>
      <w:szCs w:val="20"/>
      <w:lang w:eastAsia="en-GB"/>
    </w:rPr>
  </w:style>
  <w:style w:type="paragraph" w:customStyle="1" w:styleId="xl208">
    <w:name w:val="xl20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0"/>
      <w:lang w:eastAsia="en-GB"/>
    </w:rPr>
  </w:style>
  <w:style w:type="paragraph" w:customStyle="1" w:styleId="xl209">
    <w:name w:val="xl20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0"/>
      <w:lang w:eastAsia="en-GB"/>
    </w:rPr>
  </w:style>
  <w:style w:type="paragraph" w:customStyle="1" w:styleId="xl210">
    <w:name w:val="xl21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color w:val="000000"/>
      <w:sz w:val="22"/>
      <w:szCs w:val="20"/>
      <w:lang w:eastAsia="en-GB"/>
    </w:rPr>
  </w:style>
  <w:style w:type="paragraph" w:customStyle="1" w:styleId="xl211">
    <w:name w:val="xl21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0"/>
      <w:lang w:eastAsia="en-GB"/>
    </w:rPr>
  </w:style>
  <w:style w:type="paragraph" w:customStyle="1" w:styleId="xl212">
    <w:name w:val="xl212"/>
    <w:basedOn w:val="Normal"/>
    <w:pPr>
      <w:spacing w:before="100" w:beforeAutospacing="1" w:after="100" w:afterAutospacing="1"/>
      <w:jc w:val="left"/>
    </w:pPr>
    <w:rPr>
      <w:rFonts w:ascii="Calibri" w:hAnsi="Calibri" w:cs="Calibri"/>
      <w:b/>
      <w:bCs/>
      <w:sz w:val="22"/>
      <w:szCs w:val="20"/>
      <w:lang w:eastAsia="en-GB"/>
    </w:rPr>
  </w:style>
  <w:style w:type="paragraph" w:customStyle="1" w:styleId="xl213">
    <w:name w:val="xl21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b/>
      <w:bCs/>
      <w:color w:val="000000"/>
      <w:sz w:val="22"/>
      <w:szCs w:val="20"/>
      <w:lang w:eastAsia="en-GB"/>
    </w:rPr>
  </w:style>
  <w:style w:type="paragraph" w:customStyle="1" w:styleId="xl214">
    <w:name w:val="xl21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b/>
      <w:bCs/>
      <w:color w:val="000000"/>
      <w:sz w:val="22"/>
      <w:szCs w:val="20"/>
      <w:lang w:eastAsia="en-GB"/>
    </w:rPr>
  </w:style>
  <w:style w:type="paragraph" w:customStyle="1" w:styleId="xl215">
    <w:name w:val="xl21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b/>
      <w:bCs/>
      <w:color w:val="000000"/>
      <w:sz w:val="22"/>
      <w:szCs w:val="20"/>
      <w:lang w:eastAsia="en-GB"/>
    </w:rPr>
  </w:style>
  <w:style w:type="paragraph" w:customStyle="1" w:styleId="xl216">
    <w:name w:val="xl21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b/>
      <w:bCs/>
      <w:sz w:val="22"/>
      <w:szCs w:val="20"/>
      <w:lang w:eastAsia="en-GB"/>
    </w:rPr>
  </w:style>
  <w:style w:type="paragraph" w:customStyle="1" w:styleId="xl217">
    <w:name w:val="xl21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b/>
      <w:bCs/>
      <w:sz w:val="22"/>
      <w:szCs w:val="20"/>
      <w:lang w:eastAsia="en-GB"/>
    </w:rPr>
  </w:style>
  <w:style w:type="paragraph" w:customStyle="1" w:styleId="xl218">
    <w:name w:val="xl218"/>
    <w:basedOn w:val="Normal"/>
    <w:pPr>
      <w:spacing w:before="100" w:beforeAutospacing="1" w:after="100" w:afterAutospacing="1"/>
      <w:jc w:val="left"/>
    </w:pPr>
    <w:rPr>
      <w:rFonts w:ascii="Calibri" w:hAnsi="Calibri" w:cs="Calibri"/>
      <w:color w:val="FF00FF"/>
      <w:sz w:val="22"/>
      <w:szCs w:val="20"/>
      <w:lang w:eastAsia="en-GB"/>
    </w:rPr>
  </w:style>
  <w:style w:type="paragraph" w:customStyle="1" w:styleId="xl219">
    <w:name w:val="xl219"/>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color w:val="000000"/>
      <w:sz w:val="22"/>
      <w:szCs w:val="20"/>
      <w:lang w:eastAsia="en-GB"/>
    </w:rPr>
  </w:style>
  <w:style w:type="paragraph" w:customStyle="1" w:styleId="xl220">
    <w:name w:val="xl220"/>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color w:val="000000"/>
      <w:sz w:val="22"/>
      <w:szCs w:val="20"/>
      <w:lang w:eastAsia="en-GB"/>
    </w:rPr>
  </w:style>
  <w:style w:type="paragraph" w:customStyle="1" w:styleId="xl221">
    <w:name w:val="xl221"/>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color w:val="000000"/>
      <w:sz w:val="22"/>
      <w:szCs w:val="20"/>
      <w:lang w:eastAsia="en-GB"/>
    </w:rPr>
  </w:style>
  <w:style w:type="paragraph" w:customStyle="1" w:styleId="xl222">
    <w:name w:val="xl222"/>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sz w:val="22"/>
      <w:szCs w:val="20"/>
      <w:lang w:eastAsia="en-GB"/>
    </w:rPr>
  </w:style>
  <w:style w:type="paragraph" w:customStyle="1" w:styleId="xl223">
    <w:name w:val="xl223"/>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sz w:val="22"/>
      <w:szCs w:val="20"/>
      <w:lang w:eastAsia="en-GB"/>
    </w:rPr>
  </w:style>
  <w:style w:type="paragraph" w:customStyle="1" w:styleId="xl224">
    <w:name w:val="xl224"/>
    <w:basedOn w:val="Normal"/>
    <w:pPr>
      <w:shd w:val="clear" w:color="000000" w:fill="DDD9C4"/>
      <w:spacing w:before="100" w:beforeAutospacing="1" w:after="100" w:afterAutospacing="1"/>
      <w:jc w:val="left"/>
    </w:pPr>
    <w:rPr>
      <w:rFonts w:ascii="Calibri" w:hAnsi="Calibri" w:cs="Calibri"/>
      <w:sz w:val="22"/>
      <w:szCs w:val="20"/>
      <w:lang w:eastAsia="en-GB"/>
    </w:rPr>
  </w:style>
  <w:style w:type="paragraph" w:customStyle="1" w:styleId="xl225">
    <w:name w:val="xl225"/>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pPr>
    <w:rPr>
      <w:rFonts w:ascii="Calibri" w:hAnsi="Calibri" w:cs="Calibri"/>
      <w:sz w:val="22"/>
      <w:szCs w:val="20"/>
      <w:lang w:eastAsia="en-GB"/>
    </w:rPr>
  </w:style>
  <w:style w:type="paragraph" w:customStyle="1" w:styleId="xl226">
    <w:name w:val="xl226"/>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color w:val="000000"/>
      <w:sz w:val="22"/>
      <w:szCs w:val="20"/>
      <w:lang w:eastAsia="en-GB"/>
    </w:rPr>
  </w:style>
  <w:style w:type="paragraph" w:customStyle="1" w:styleId="xl227">
    <w:name w:val="xl227"/>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b/>
      <w:bCs/>
      <w:sz w:val="22"/>
      <w:szCs w:val="20"/>
      <w:lang w:eastAsia="en-GB"/>
    </w:rPr>
  </w:style>
  <w:style w:type="paragraph" w:customStyle="1" w:styleId="xl228">
    <w:name w:val="xl228"/>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b/>
      <w:bCs/>
      <w:sz w:val="22"/>
      <w:szCs w:val="20"/>
      <w:lang w:eastAsia="en-GB"/>
    </w:rPr>
  </w:style>
  <w:style w:type="paragraph" w:customStyle="1" w:styleId="xl229">
    <w:name w:val="xl229"/>
    <w:basedOn w:val="Normal"/>
    <w:pPr>
      <w:shd w:val="clear" w:color="000000" w:fill="DDD9C4"/>
      <w:spacing w:before="100" w:beforeAutospacing="1" w:after="100" w:afterAutospacing="1"/>
      <w:jc w:val="left"/>
    </w:pPr>
    <w:rPr>
      <w:rFonts w:ascii="Calibri" w:hAnsi="Calibri" w:cs="Calibri"/>
      <w:b/>
      <w:bCs/>
      <w:sz w:val="22"/>
      <w:szCs w:val="20"/>
      <w:lang w:eastAsia="en-GB"/>
    </w:rPr>
  </w:style>
  <w:style w:type="paragraph" w:customStyle="1" w:styleId="xl230">
    <w:name w:val="xl230"/>
    <w:basedOn w:val="Normal"/>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ascii="Calibri" w:hAnsi="Calibri" w:cs="Calibri"/>
      <w:i/>
      <w:iCs/>
      <w:sz w:val="22"/>
      <w:szCs w:val="20"/>
      <w:lang w:eastAsia="en-GB"/>
    </w:rPr>
  </w:style>
  <w:style w:type="paragraph" w:customStyle="1" w:styleId="xl231">
    <w:name w:val="xl231"/>
    <w:basedOn w:val="Normal"/>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cs="Calibri"/>
      <w:i/>
      <w:iCs/>
      <w:sz w:val="22"/>
      <w:szCs w:val="20"/>
      <w:lang w:eastAsia="en-GB"/>
    </w:rPr>
  </w:style>
  <w:style w:type="paragraph" w:customStyle="1" w:styleId="xl232">
    <w:name w:val="xl232"/>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b/>
      <w:bCs/>
      <w:i/>
      <w:iCs/>
      <w:sz w:val="22"/>
      <w:szCs w:val="20"/>
      <w:lang w:eastAsia="en-GB"/>
    </w:rPr>
  </w:style>
  <w:style w:type="paragraph" w:customStyle="1" w:styleId="xl233">
    <w:name w:val="xl233"/>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i/>
      <w:iCs/>
      <w:sz w:val="22"/>
      <w:szCs w:val="20"/>
      <w:lang w:eastAsia="en-GB"/>
    </w:rPr>
  </w:style>
  <w:style w:type="paragraph" w:customStyle="1" w:styleId="xl234">
    <w:name w:val="xl2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i/>
      <w:iCs/>
      <w:sz w:val="22"/>
      <w:szCs w:val="20"/>
      <w:lang w:eastAsia="en-GB"/>
    </w:rPr>
  </w:style>
  <w:style w:type="paragraph" w:customStyle="1" w:styleId="xl235">
    <w:name w:val="xl2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i/>
      <w:iCs/>
      <w:sz w:val="22"/>
      <w:szCs w:val="20"/>
      <w:lang w:eastAsia="en-GB"/>
    </w:rPr>
  </w:style>
  <w:style w:type="paragraph" w:customStyle="1" w:styleId="xl236">
    <w:name w:val="xl2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b/>
      <w:bCs/>
      <w:i/>
      <w:iCs/>
      <w:sz w:val="22"/>
      <w:szCs w:val="20"/>
      <w:lang w:eastAsia="en-GB"/>
    </w:rPr>
  </w:style>
  <w:style w:type="paragraph" w:customStyle="1" w:styleId="xl237">
    <w:name w:val="xl237"/>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b/>
      <w:bCs/>
      <w:color w:val="000000"/>
      <w:sz w:val="22"/>
      <w:szCs w:val="20"/>
      <w:lang w:eastAsia="en-GB"/>
    </w:rPr>
  </w:style>
  <w:style w:type="paragraph" w:customStyle="1" w:styleId="xl238">
    <w:name w:val="xl238"/>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b/>
      <w:bCs/>
      <w:color w:val="000000"/>
      <w:sz w:val="22"/>
      <w:szCs w:val="20"/>
      <w:lang w:eastAsia="en-GB"/>
    </w:rPr>
  </w:style>
  <w:style w:type="paragraph" w:customStyle="1" w:styleId="xl239">
    <w:name w:val="xl239"/>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b/>
      <w:bCs/>
      <w:color w:val="000000"/>
      <w:sz w:val="22"/>
      <w:szCs w:val="20"/>
      <w:lang w:eastAsia="en-GB"/>
    </w:rPr>
  </w:style>
  <w:style w:type="paragraph" w:customStyle="1" w:styleId="xl240">
    <w:name w:val="xl240"/>
    <w:basedOn w:val="Normal"/>
    <w:pPr>
      <w:spacing w:before="100" w:beforeAutospacing="1" w:after="100" w:afterAutospacing="1"/>
      <w:jc w:val="right"/>
    </w:pPr>
    <w:rPr>
      <w:rFonts w:ascii="Calibri" w:hAnsi="Calibri" w:cs="Calibri"/>
      <w:sz w:val="22"/>
      <w:szCs w:val="20"/>
      <w:lang w:eastAsia="en-GB"/>
    </w:rPr>
  </w:style>
  <w:style w:type="paragraph" w:customStyle="1" w:styleId="xl241">
    <w:name w:val="xl241"/>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sz w:val="22"/>
      <w:szCs w:val="20"/>
      <w:lang w:eastAsia="en-GB"/>
    </w:rPr>
  </w:style>
  <w:style w:type="paragraph" w:customStyle="1" w:styleId="xl242">
    <w:name w:val="xl24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0"/>
      <w:lang w:eastAsia="en-GB"/>
    </w:rPr>
  </w:style>
  <w:style w:type="paragraph" w:customStyle="1" w:styleId="xl243">
    <w:name w:val="xl243"/>
    <w:basedOn w:val="Normal"/>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libri" w:hAnsi="Calibri" w:cs="Calibri"/>
      <w:b/>
      <w:bCs/>
      <w:sz w:val="22"/>
      <w:szCs w:val="20"/>
      <w:lang w:eastAsia="en-GB"/>
    </w:rPr>
  </w:style>
  <w:style w:type="paragraph" w:customStyle="1" w:styleId="xl244">
    <w:name w:val="xl244"/>
    <w:basedOn w:val="Normal"/>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Calibri" w:hAnsi="Calibri" w:cs="Calibri"/>
      <w:b/>
      <w:bCs/>
      <w:sz w:val="22"/>
      <w:szCs w:val="20"/>
      <w:lang w:eastAsia="en-GB"/>
    </w:rPr>
  </w:style>
  <w:style w:type="paragraph" w:customStyle="1" w:styleId="xl245">
    <w:name w:val="xl245"/>
    <w:basedOn w:val="Normal"/>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cs="Calibri"/>
      <w:b/>
      <w:bCs/>
      <w:sz w:val="22"/>
      <w:szCs w:val="20"/>
      <w:lang w:eastAsia="en-GB"/>
    </w:rPr>
  </w:style>
  <w:style w:type="paragraph" w:customStyle="1" w:styleId="xl246">
    <w:name w:val="xl246"/>
    <w:basedOn w:val="Normal"/>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cs="Calibri"/>
      <w:b/>
      <w:bCs/>
      <w:color w:val="000000"/>
      <w:sz w:val="22"/>
      <w:szCs w:val="20"/>
      <w:lang w:eastAsia="en-GB"/>
    </w:rPr>
  </w:style>
  <w:style w:type="paragraph" w:customStyle="1" w:styleId="xl247">
    <w:name w:val="xl247"/>
    <w:basedOn w:val="Normal"/>
    <w:pPr>
      <w:pBdr>
        <w:left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cs="Calibri"/>
      <w:b/>
      <w:bCs/>
      <w:color w:val="000000"/>
      <w:sz w:val="22"/>
      <w:szCs w:val="20"/>
      <w:lang w:eastAsia="en-GB"/>
    </w:rPr>
  </w:style>
  <w:style w:type="paragraph" w:customStyle="1" w:styleId="xl248">
    <w:name w:val="xl248"/>
    <w:basedOn w:val="Normal"/>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cs="Calibri"/>
      <w:b/>
      <w:bCs/>
      <w:color w:val="000000"/>
      <w:sz w:val="22"/>
      <w:szCs w:val="20"/>
      <w:lang w:eastAsia="en-GB"/>
    </w:rPr>
  </w:style>
  <w:style w:type="paragraph" w:customStyle="1" w:styleId="xl249">
    <w:name w:val="xl249"/>
    <w:basedOn w:val="Normal"/>
    <w:pPr>
      <w:pBdr>
        <w:top w:val="single" w:sz="4" w:space="0" w:color="auto"/>
        <w:left w:val="single" w:sz="4" w:space="0" w:color="auto"/>
      </w:pBdr>
      <w:shd w:val="clear" w:color="000000" w:fill="CCFFCC"/>
      <w:spacing w:before="100" w:beforeAutospacing="1" w:after="100" w:afterAutospacing="1"/>
      <w:jc w:val="center"/>
      <w:textAlignment w:val="center"/>
    </w:pPr>
    <w:rPr>
      <w:rFonts w:ascii="Calibri" w:hAnsi="Calibri" w:cs="Calibri"/>
      <w:b/>
      <w:bCs/>
      <w:color w:val="000000"/>
      <w:sz w:val="22"/>
      <w:szCs w:val="20"/>
      <w:lang w:eastAsia="en-GB"/>
    </w:rPr>
  </w:style>
  <w:style w:type="paragraph" w:customStyle="1" w:styleId="xl250">
    <w:name w:val="xl250"/>
    <w:basedOn w:val="Normal"/>
    <w:pPr>
      <w:pBdr>
        <w:top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cs="Calibri"/>
      <w:b/>
      <w:bCs/>
      <w:color w:val="000000"/>
      <w:sz w:val="22"/>
      <w:szCs w:val="20"/>
      <w:lang w:eastAsia="en-GB"/>
    </w:rPr>
  </w:style>
  <w:style w:type="paragraph" w:customStyle="1" w:styleId="xl251">
    <w:name w:val="xl251"/>
    <w:basedOn w:val="Normal"/>
    <w:pPr>
      <w:pBdr>
        <w:left w:val="single" w:sz="4" w:space="0" w:color="auto"/>
        <w:bottom w:val="single" w:sz="4" w:space="0" w:color="auto"/>
      </w:pBdr>
      <w:shd w:val="clear" w:color="000000" w:fill="CCFFCC"/>
      <w:spacing w:before="100" w:beforeAutospacing="1" w:after="100" w:afterAutospacing="1"/>
      <w:jc w:val="center"/>
      <w:textAlignment w:val="center"/>
    </w:pPr>
    <w:rPr>
      <w:rFonts w:ascii="Calibri" w:hAnsi="Calibri" w:cs="Calibri"/>
      <w:b/>
      <w:bCs/>
      <w:color w:val="000000"/>
      <w:sz w:val="22"/>
      <w:szCs w:val="20"/>
      <w:lang w:eastAsia="en-GB"/>
    </w:rPr>
  </w:style>
  <w:style w:type="paragraph" w:customStyle="1" w:styleId="xl252">
    <w:name w:val="xl252"/>
    <w:basedOn w:val="Normal"/>
    <w:pPr>
      <w:pBdr>
        <w:bottom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cs="Calibri"/>
      <w:b/>
      <w:bCs/>
      <w:color w:val="000000"/>
      <w:sz w:val="22"/>
      <w:szCs w:val="20"/>
      <w:lang w:eastAsia="en-GB"/>
    </w:rPr>
  </w:style>
  <w:style w:type="paragraph" w:customStyle="1" w:styleId="xl253">
    <w:name w:val="xl253"/>
    <w:basedOn w:val="Normal"/>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Calibri" w:hAnsi="Calibri" w:cs="Calibri"/>
      <w:b/>
      <w:bCs/>
      <w:i/>
      <w:iCs/>
      <w:sz w:val="22"/>
      <w:szCs w:val="20"/>
      <w:lang w:eastAsia="en-GB"/>
    </w:rPr>
  </w:style>
  <w:style w:type="character" w:customStyle="1" w:styleId="link-size">
    <w:name w:val="link-size"/>
  </w:style>
  <w:style w:type="paragraph" w:styleId="PlainText">
    <w:name w:val="Plain Text"/>
    <w:basedOn w:val="Normal"/>
    <w:link w:val="PlainTextChar"/>
    <w:uiPriority w:val="99"/>
    <w:unhideWhenUsed/>
    <w:pPr>
      <w:spacing w:before="0" w:after="0"/>
      <w:jc w:val="left"/>
    </w:pPr>
    <w:rPr>
      <w:rFonts w:ascii="Calibri" w:eastAsia="Calibri" w:hAnsi="Calibri" w:cs="Consolas"/>
      <w:sz w:val="22"/>
      <w:szCs w:val="21"/>
    </w:rPr>
  </w:style>
  <w:style w:type="character" w:customStyle="1" w:styleId="PlainTextChar">
    <w:name w:val="Plain Text Char"/>
    <w:link w:val="PlainText"/>
    <w:uiPriority w:val="99"/>
    <w:rPr>
      <w:rFonts w:ascii="Calibri" w:eastAsia="Calibri" w:hAnsi="Calibri" w:cs="Consolas"/>
      <w:sz w:val="22"/>
      <w:szCs w:val="21"/>
      <w:shd w:val="clear" w:color="auto" w:fill="auto"/>
      <w:lang w:eastAsia="en-US"/>
    </w:rPr>
  </w:style>
  <w:style w:type="character" w:customStyle="1" w:styleId="HeaderChar">
    <w:name w:val="Header Char"/>
    <w:basedOn w:val="DefaultParagraphFont"/>
    <w:link w:val="Header"/>
    <w:uiPriority w:val="99"/>
    <w:rPr>
      <w:rFonts w:eastAsiaTheme="minorHAnsi"/>
      <w:sz w:val="24"/>
      <w:szCs w:val="22"/>
      <w:lang w:eastAsia="en-US"/>
    </w:rPr>
  </w:style>
  <w:style w:type="character" w:customStyle="1" w:styleId="FooterChar">
    <w:name w:val="Footer Char"/>
    <w:basedOn w:val="DefaultParagraphFont"/>
    <w:link w:val="Footer"/>
    <w:uiPriority w:val="99"/>
    <w:rPr>
      <w:rFonts w:eastAsiaTheme="minorHAnsi"/>
      <w:sz w:val="24"/>
      <w:szCs w:val="22"/>
      <w:lang w:eastAsia="en-US"/>
    </w:rPr>
  </w:style>
  <w:style w:type="character" w:customStyle="1" w:styleId="FootnoteTextChar">
    <w:name w:val="Footnote Text Char"/>
    <w:aliases w:val="-E Fußnotentext Char,Fußnotentext Ursprung Char,-E Fußnotentext1 Char,-E Fußnotentext2 Char,-E Fußnotentext3 Char,Fußnotentextf Char,RSK-FT Char,RSK-FT1 Char,RSK-FT2 Char,Schriftart: 9 pt Char,Schriftart: 10 pt Char,fn Char,Char Char"/>
    <w:link w:val="FootnoteText"/>
    <w:uiPriority w:val="99"/>
    <w:rPr>
      <w:lang w:eastAsia="en-US"/>
    </w:rPr>
  </w:style>
  <w:style w:type="character" w:customStyle="1" w:styleId="Heading1Char">
    <w:name w:val="Heading 1 Char"/>
    <w:link w:val="Heading1"/>
    <w:uiPriority w:val="9"/>
    <w:rPr>
      <w:b/>
      <w:bCs/>
      <w:smallCaps/>
      <w:sz w:val="24"/>
      <w:szCs w:val="32"/>
      <w:lang w:eastAsia="en-US"/>
    </w:rPr>
  </w:style>
  <w:style w:type="character" w:customStyle="1" w:styleId="Heading2Char">
    <w:name w:val="Heading 2 Char"/>
    <w:link w:val="Heading2"/>
    <w:uiPriority w:val="9"/>
    <w:rPr>
      <w:b/>
      <w:bCs/>
      <w:i/>
      <w:iCs/>
      <w:sz w:val="24"/>
      <w:szCs w:val="28"/>
      <w:lang w:eastAsia="en-US"/>
    </w:rPr>
  </w:style>
  <w:style w:type="character" w:customStyle="1" w:styleId="Heading3Char">
    <w:name w:val="Heading 3 Char"/>
    <w:link w:val="Heading3"/>
    <w:uiPriority w:val="9"/>
    <w:rPr>
      <w:bCs/>
      <w:i/>
      <w:sz w:val="24"/>
      <w:szCs w:val="26"/>
      <w:lang w:eastAsia="en-US"/>
    </w:rPr>
  </w:style>
  <w:style w:type="character" w:customStyle="1" w:styleId="Heading4Char">
    <w:name w:val="Heading 4 Char"/>
    <w:link w:val="Heading4"/>
    <w:uiPriority w:val="9"/>
    <w:rPr>
      <w:bCs/>
      <w:sz w:val="24"/>
      <w:szCs w:val="28"/>
      <w:lang w:eastAsia="en-US"/>
    </w:rPr>
  </w:style>
  <w:style w:type="character" w:customStyle="1" w:styleId="FootnoteTextChar1">
    <w:name w:val="Footnote Text Char1"/>
    <w:aliases w:val="-E Fußnotentext Char1,Fußnotentext Ursprung Char1,-E Fußnotentext1 Char1,-E Fußnotentext2 Char1,-E Fußnotentext3 Char1"/>
    <w:uiPriority w:val="99"/>
    <w:locked/>
    <w:rPr>
      <w:rFonts w:cs="Times New Roman"/>
      <w:sz w:val="24"/>
      <w:lang w:val="en-GB" w:eastAsia="fr-BE" w:bidi="ar-SA"/>
    </w:rPr>
  </w:style>
  <w:style w:type="character" w:styleId="Emphasis">
    <w:name w:val="Emphasis"/>
    <w:uiPriority w:val="20"/>
    <w:qFormat/>
    <w:rPr>
      <w:b/>
      <w:bCs/>
      <w:i w:val="0"/>
      <w:iCs w:val="0"/>
      <w:shd w:val="clear" w:color="auto" w:fill="auto"/>
    </w:rPr>
  </w:style>
  <w:style w:type="character" w:customStyle="1" w:styleId="st1">
    <w:name w:val="st1"/>
  </w:style>
  <w:style w:type="character" w:customStyle="1" w:styleId="st">
    <w:name w:val="st"/>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before="0" w:after="160" w:line="240" w:lineRule="exact"/>
      <w:jc w:val="left"/>
    </w:pPr>
    <w:rPr>
      <w:sz w:val="20"/>
      <w:szCs w:val="20"/>
      <w:vertAlign w:val="superscript"/>
      <w:lang w:eastAsia="en-GB"/>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Pr>
      <w:rFonts w:asciiTheme="majorHAnsi" w:eastAsiaTheme="majorEastAsia" w:hAnsiTheme="majorHAnsi" w:cstheme="majorBidi"/>
      <w:i/>
      <w:iCs/>
      <w:color w:val="4F81BD" w:themeColor="accent1"/>
      <w:spacing w:val="15"/>
      <w:sz w:val="24"/>
      <w:szCs w:val="24"/>
      <w:lang w:eastAsia="en-US"/>
    </w:rPr>
  </w:style>
  <w:style w:type="paragraph" w:customStyle="1" w:styleId="briefinglist1">
    <w:name w:val="briefinglist1"/>
    <w:basedOn w:val="Normal"/>
    <w:pPr>
      <w:spacing w:before="0" w:after="0"/>
      <w:jc w:val="left"/>
    </w:pPr>
    <w:rPr>
      <w:rFonts w:eastAsiaTheme="minorHAnsi"/>
      <w:lang w:eastAsia="en-GB"/>
    </w:rPr>
  </w:style>
  <w:style w:type="paragraph" w:customStyle="1" w:styleId="briefingtext">
    <w:name w:val="briefingtext"/>
    <w:basedOn w:val="Normal"/>
    <w:pPr>
      <w:spacing w:before="0" w:after="0"/>
      <w:jc w:val="left"/>
    </w:pPr>
    <w:rPr>
      <w:rFonts w:eastAsiaTheme="minorHAnsi"/>
      <w:lang w:eastAsia="en-GB"/>
    </w:r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50365">
      <w:bodyDiv w:val="1"/>
      <w:marLeft w:val="0"/>
      <w:marRight w:val="0"/>
      <w:marTop w:val="0"/>
      <w:marBottom w:val="0"/>
      <w:divBdr>
        <w:top w:val="none" w:sz="0" w:space="0" w:color="auto"/>
        <w:left w:val="none" w:sz="0" w:space="0" w:color="auto"/>
        <w:bottom w:val="none" w:sz="0" w:space="0" w:color="auto"/>
        <w:right w:val="none" w:sz="0" w:space="0" w:color="auto"/>
      </w:divBdr>
    </w:div>
    <w:div w:id="97413122">
      <w:bodyDiv w:val="1"/>
      <w:marLeft w:val="0"/>
      <w:marRight w:val="0"/>
      <w:marTop w:val="0"/>
      <w:marBottom w:val="0"/>
      <w:divBdr>
        <w:top w:val="none" w:sz="0" w:space="0" w:color="auto"/>
        <w:left w:val="none" w:sz="0" w:space="0" w:color="auto"/>
        <w:bottom w:val="none" w:sz="0" w:space="0" w:color="auto"/>
        <w:right w:val="none" w:sz="0" w:space="0" w:color="auto"/>
      </w:divBdr>
      <w:divsChild>
        <w:div w:id="494539948">
          <w:marLeft w:val="0"/>
          <w:marRight w:val="0"/>
          <w:marTop w:val="0"/>
          <w:marBottom w:val="0"/>
          <w:divBdr>
            <w:top w:val="none" w:sz="0" w:space="0" w:color="auto"/>
            <w:left w:val="none" w:sz="0" w:space="0" w:color="auto"/>
            <w:bottom w:val="none" w:sz="0" w:space="0" w:color="auto"/>
            <w:right w:val="none" w:sz="0" w:space="0" w:color="auto"/>
          </w:divBdr>
          <w:divsChild>
            <w:div w:id="24720355">
              <w:marLeft w:val="0"/>
              <w:marRight w:val="0"/>
              <w:marTop w:val="0"/>
              <w:marBottom w:val="150"/>
              <w:divBdr>
                <w:top w:val="none" w:sz="0" w:space="0" w:color="auto"/>
                <w:left w:val="none" w:sz="0" w:space="0" w:color="auto"/>
                <w:bottom w:val="none" w:sz="0" w:space="0" w:color="auto"/>
                <w:right w:val="none" w:sz="0" w:space="0" w:color="auto"/>
              </w:divBdr>
              <w:divsChild>
                <w:div w:id="1109010745">
                  <w:marLeft w:val="0"/>
                  <w:marRight w:val="0"/>
                  <w:marTop w:val="0"/>
                  <w:marBottom w:val="0"/>
                  <w:divBdr>
                    <w:top w:val="none" w:sz="0" w:space="0" w:color="auto"/>
                    <w:left w:val="none" w:sz="0" w:space="0" w:color="auto"/>
                    <w:bottom w:val="none" w:sz="0" w:space="0" w:color="auto"/>
                    <w:right w:val="none" w:sz="0" w:space="0" w:color="auto"/>
                  </w:divBdr>
                  <w:divsChild>
                    <w:div w:id="1075202885">
                      <w:marLeft w:val="0"/>
                      <w:marRight w:val="0"/>
                      <w:marTop w:val="0"/>
                      <w:marBottom w:val="0"/>
                      <w:divBdr>
                        <w:top w:val="none" w:sz="0" w:space="0" w:color="auto"/>
                        <w:left w:val="none" w:sz="0" w:space="0" w:color="auto"/>
                        <w:bottom w:val="none" w:sz="0" w:space="0" w:color="auto"/>
                        <w:right w:val="none" w:sz="0" w:space="0" w:color="auto"/>
                      </w:divBdr>
                      <w:divsChild>
                        <w:div w:id="107235672">
                          <w:marLeft w:val="0"/>
                          <w:marRight w:val="0"/>
                          <w:marTop w:val="0"/>
                          <w:marBottom w:val="0"/>
                          <w:divBdr>
                            <w:top w:val="none" w:sz="0" w:space="0" w:color="auto"/>
                            <w:left w:val="none" w:sz="0" w:space="0" w:color="auto"/>
                            <w:bottom w:val="none" w:sz="0" w:space="0" w:color="auto"/>
                            <w:right w:val="none" w:sz="0" w:space="0" w:color="auto"/>
                          </w:divBdr>
                          <w:divsChild>
                            <w:div w:id="497890828">
                              <w:marLeft w:val="0"/>
                              <w:marRight w:val="0"/>
                              <w:marTop w:val="0"/>
                              <w:marBottom w:val="0"/>
                              <w:divBdr>
                                <w:top w:val="none" w:sz="0" w:space="0" w:color="auto"/>
                                <w:left w:val="none" w:sz="0" w:space="0" w:color="auto"/>
                                <w:bottom w:val="none" w:sz="0" w:space="0" w:color="auto"/>
                                <w:right w:val="none" w:sz="0" w:space="0" w:color="auto"/>
                              </w:divBdr>
                              <w:divsChild>
                                <w:div w:id="1123689832">
                                  <w:marLeft w:val="0"/>
                                  <w:marRight w:val="-3600"/>
                                  <w:marTop w:val="150"/>
                                  <w:marBottom w:val="0"/>
                                  <w:divBdr>
                                    <w:top w:val="none" w:sz="0" w:space="0" w:color="auto"/>
                                    <w:left w:val="none" w:sz="0" w:space="0" w:color="auto"/>
                                    <w:bottom w:val="none" w:sz="0" w:space="0" w:color="auto"/>
                                    <w:right w:val="none" w:sz="0" w:space="0" w:color="auto"/>
                                  </w:divBdr>
                                  <w:divsChild>
                                    <w:div w:id="1694502367">
                                      <w:marLeft w:val="0"/>
                                      <w:marRight w:val="3600"/>
                                      <w:marTop w:val="0"/>
                                      <w:marBottom w:val="0"/>
                                      <w:divBdr>
                                        <w:top w:val="none" w:sz="0" w:space="0" w:color="auto"/>
                                        <w:left w:val="none" w:sz="0" w:space="0" w:color="auto"/>
                                        <w:bottom w:val="none" w:sz="0" w:space="0" w:color="auto"/>
                                        <w:right w:val="none" w:sz="0" w:space="0" w:color="auto"/>
                                      </w:divBdr>
                                      <w:divsChild>
                                        <w:div w:id="265119377">
                                          <w:marLeft w:val="0"/>
                                          <w:marRight w:val="0"/>
                                          <w:marTop w:val="0"/>
                                          <w:marBottom w:val="0"/>
                                          <w:divBdr>
                                            <w:top w:val="none" w:sz="0" w:space="0" w:color="auto"/>
                                            <w:left w:val="none" w:sz="0" w:space="0" w:color="auto"/>
                                            <w:bottom w:val="none" w:sz="0" w:space="0" w:color="auto"/>
                                            <w:right w:val="none" w:sz="0" w:space="0" w:color="auto"/>
                                          </w:divBdr>
                                          <w:divsChild>
                                            <w:div w:id="473841268">
                                              <w:marLeft w:val="0"/>
                                              <w:marRight w:val="0"/>
                                              <w:marTop w:val="0"/>
                                              <w:marBottom w:val="0"/>
                                              <w:divBdr>
                                                <w:top w:val="none" w:sz="0" w:space="0" w:color="auto"/>
                                                <w:left w:val="none" w:sz="0" w:space="0" w:color="auto"/>
                                                <w:bottom w:val="none" w:sz="0" w:space="0" w:color="auto"/>
                                                <w:right w:val="none" w:sz="0" w:space="0" w:color="auto"/>
                                              </w:divBdr>
                                              <w:divsChild>
                                                <w:div w:id="327100209">
                                                  <w:marLeft w:val="0"/>
                                                  <w:marRight w:val="0"/>
                                                  <w:marTop w:val="0"/>
                                                  <w:marBottom w:val="0"/>
                                                  <w:divBdr>
                                                    <w:top w:val="none" w:sz="0" w:space="0" w:color="auto"/>
                                                    <w:left w:val="none" w:sz="0" w:space="0" w:color="auto"/>
                                                    <w:bottom w:val="none" w:sz="0" w:space="0" w:color="auto"/>
                                                    <w:right w:val="none" w:sz="0" w:space="0" w:color="auto"/>
                                                  </w:divBdr>
                                                  <w:divsChild>
                                                    <w:div w:id="1591893453">
                                                      <w:marLeft w:val="0"/>
                                                      <w:marRight w:val="0"/>
                                                      <w:marTop w:val="0"/>
                                                      <w:marBottom w:val="0"/>
                                                      <w:divBdr>
                                                        <w:top w:val="none" w:sz="0" w:space="0" w:color="auto"/>
                                                        <w:left w:val="none" w:sz="0" w:space="0" w:color="auto"/>
                                                        <w:bottom w:val="none" w:sz="0" w:space="0" w:color="auto"/>
                                                        <w:right w:val="none" w:sz="0" w:space="0" w:color="auto"/>
                                                      </w:divBdr>
                                                      <w:divsChild>
                                                        <w:div w:id="12640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379775">
      <w:bodyDiv w:val="1"/>
      <w:marLeft w:val="0"/>
      <w:marRight w:val="0"/>
      <w:marTop w:val="0"/>
      <w:marBottom w:val="0"/>
      <w:divBdr>
        <w:top w:val="none" w:sz="0" w:space="0" w:color="auto"/>
        <w:left w:val="none" w:sz="0" w:space="0" w:color="auto"/>
        <w:bottom w:val="none" w:sz="0" w:space="0" w:color="auto"/>
        <w:right w:val="none" w:sz="0" w:space="0" w:color="auto"/>
      </w:divBdr>
    </w:div>
    <w:div w:id="164630457">
      <w:bodyDiv w:val="1"/>
      <w:marLeft w:val="0"/>
      <w:marRight w:val="0"/>
      <w:marTop w:val="0"/>
      <w:marBottom w:val="0"/>
      <w:divBdr>
        <w:top w:val="none" w:sz="0" w:space="0" w:color="auto"/>
        <w:left w:val="none" w:sz="0" w:space="0" w:color="auto"/>
        <w:bottom w:val="none" w:sz="0" w:space="0" w:color="auto"/>
        <w:right w:val="none" w:sz="0" w:space="0" w:color="auto"/>
      </w:divBdr>
    </w:div>
    <w:div w:id="258954692">
      <w:bodyDiv w:val="1"/>
      <w:marLeft w:val="0"/>
      <w:marRight w:val="0"/>
      <w:marTop w:val="0"/>
      <w:marBottom w:val="0"/>
      <w:divBdr>
        <w:top w:val="none" w:sz="0" w:space="0" w:color="auto"/>
        <w:left w:val="none" w:sz="0" w:space="0" w:color="auto"/>
        <w:bottom w:val="none" w:sz="0" w:space="0" w:color="auto"/>
        <w:right w:val="none" w:sz="0" w:space="0" w:color="auto"/>
      </w:divBdr>
    </w:div>
    <w:div w:id="300229578">
      <w:bodyDiv w:val="1"/>
      <w:marLeft w:val="0"/>
      <w:marRight w:val="0"/>
      <w:marTop w:val="0"/>
      <w:marBottom w:val="0"/>
      <w:divBdr>
        <w:top w:val="none" w:sz="0" w:space="0" w:color="auto"/>
        <w:left w:val="none" w:sz="0" w:space="0" w:color="auto"/>
        <w:bottom w:val="none" w:sz="0" w:space="0" w:color="auto"/>
        <w:right w:val="none" w:sz="0" w:space="0" w:color="auto"/>
      </w:divBdr>
    </w:div>
    <w:div w:id="340937053">
      <w:bodyDiv w:val="1"/>
      <w:marLeft w:val="0"/>
      <w:marRight w:val="0"/>
      <w:marTop w:val="0"/>
      <w:marBottom w:val="0"/>
      <w:divBdr>
        <w:top w:val="none" w:sz="0" w:space="0" w:color="auto"/>
        <w:left w:val="none" w:sz="0" w:space="0" w:color="auto"/>
        <w:bottom w:val="none" w:sz="0" w:space="0" w:color="auto"/>
        <w:right w:val="none" w:sz="0" w:space="0" w:color="auto"/>
      </w:divBdr>
    </w:div>
    <w:div w:id="403144392">
      <w:bodyDiv w:val="1"/>
      <w:marLeft w:val="0"/>
      <w:marRight w:val="0"/>
      <w:marTop w:val="0"/>
      <w:marBottom w:val="0"/>
      <w:divBdr>
        <w:top w:val="none" w:sz="0" w:space="0" w:color="auto"/>
        <w:left w:val="none" w:sz="0" w:space="0" w:color="auto"/>
        <w:bottom w:val="none" w:sz="0" w:space="0" w:color="auto"/>
        <w:right w:val="none" w:sz="0" w:space="0" w:color="auto"/>
      </w:divBdr>
    </w:div>
    <w:div w:id="412901441">
      <w:bodyDiv w:val="1"/>
      <w:marLeft w:val="0"/>
      <w:marRight w:val="0"/>
      <w:marTop w:val="0"/>
      <w:marBottom w:val="0"/>
      <w:divBdr>
        <w:top w:val="none" w:sz="0" w:space="0" w:color="auto"/>
        <w:left w:val="none" w:sz="0" w:space="0" w:color="auto"/>
        <w:bottom w:val="none" w:sz="0" w:space="0" w:color="auto"/>
        <w:right w:val="none" w:sz="0" w:space="0" w:color="auto"/>
      </w:divBdr>
    </w:div>
    <w:div w:id="463088527">
      <w:bodyDiv w:val="1"/>
      <w:marLeft w:val="0"/>
      <w:marRight w:val="0"/>
      <w:marTop w:val="0"/>
      <w:marBottom w:val="0"/>
      <w:divBdr>
        <w:top w:val="none" w:sz="0" w:space="0" w:color="auto"/>
        <w:left w:val="none" w:sz="0" w:space="0" w:color="auto"/>
        <w:bottom w:val="none" w:sz="0" w:space="0" w:color="auto"/>
        <w:right w:val="none" w:sz="0" w:space="0" w:color="auto"/>
      </w:divBdr>
    </w:div>
    <w:div w:id="494298943">
      <w:bodyDiv w:val="1"/>
      <w:marLeft w:val="0"/>
      <w:marRight w:val="0"/>
      <w:marTop w:val="0"/>
      <w:marBottom w:val="0"/>
      <w:divBdr>
        <w:top w:val="none" w:sz="0" w:space="0" w:color="auto"/>
        <w:left w:val="none" w:sz="0" w:space="0" w:color="auto"/>
        <w:bottom w:val="none" w:sz="0" w:space="0" w:color="auto"/>
        <w:right w:val="none" w:sz="0" w:space="0" w:color="auto"/>
      </w:divBdr>
    </w:div>
    <w:div w:id="497691390">
      <w:bodyDiv w:val="1"/>
      <w:marLeft w:val="0"/>
      <w:marRight w:val="0"/>
      <w:marTop w:val="0"/>
      <w:marBottom w:val="0"/>
      <w:divBdr>
        <w:top w:val="none" w:sz="0" w:space="0" w:color="auto"/>
        <w:left w:val="none" w:sz="0" w:space="0" w:color="auto"/>
        <w:bottom w:val="none" w:sz="0" w:space="0" w:color="auto"/>
        <w:right w:val="none" w:sz="0" w:space="0" w:color="auto"/>
      </w:divBdr>
    </w:div>
    <w:div w:id="535656298">
      <w:bodyDiv w:val="1"/>
      <w:marLeft w:val="0"/>
      <w:marRight w:val="0"/>
      <w:marTop w:val="0"/>
      <w:marBottom w:val="0"/>
      <w:divBdr>
        <w:top w:val="none" w:sz="0" w:space="0" w:color="auto"/>
        <w:left w:val="none" w:sz="0" w:space="0" w:color="auto"/>
        <w:bottom w:val="none" w:sz="0" w:space="0" w:color="auto"/>
        <w:right w:val="none" w:sz="0" w:space="0" w:color="auto"/>
      </w:divBdr>
    </w:div>
    <w:div w:id="559443207">
      <w:bodyDiv w:val="1"/>
      <w:marLeft w:val="0"/>
      <w:marRight w:val="0"/>
      <w:marTop w:val="0"/>
      <w:marBottom w:val="0"/>
      <w:divBdr>
        <w:top w:val="none" w:sz="0" w:space="0" w:color="auto"/>
        <w:left w:val="none" w:sz="0" w:space="0" w:color="auto"/>
        <w:bottom w:val="none" w:sz="0" w:space="0" w:color="auto"/>
        <w:right w:val="none" w:sz="0" w:space="0" w:color="auto"/>
      </w:divBdr>
    </w:div>
    <w:div w:id="604196421">
      <w:bodyDiv w:val="1"/>
      <w:marLeft w:val="0"/>
      <w:marRight w:val="0"/>
      <w:marTop w:val="0"/>
      <w:marBottom w:val="0"/>
      <w:divBdr>
        <w:top w:val="none" w:sz="0" w:space="0" w:color="auto"/>
        <w:left w:val="none" w:sz="0" w:space="0" w:color="auto"/>
        <w:bottom w:val="none" w:sz="0" w:space="0" w:color="auto"/>
        <w:right w:val="none" w:sz="0" w:space="0" w:color="auto"/>
      </w:divBdr>
    </w:div>
    <w:div w:id="612250891">
      <w:bodyDiv w:val="1"/>
      <w:marLeft w:val="0"/>
      <w:marRight w:val="0"/>
      <w:marTop w:val="0"/>
      <w:marBottom w:val="0"/>
      <w:divBdr>
        <w:top w:val="none" w:sz="0" w:space="0" w:color="auto"/>
        <w:left w:val="none" w:sz="0" w:space="0" w:color="auto"/>
        <w:bottom w:val="none" w:sz="0" w:space="0" w:color="auto"/>
        <w:right w:val="none" w:sz="0" w:space="0" w:color="auto"/>
      </w:divBdr>
    </w:div>
    <w:div w:id="640888062">
      <w:bodyDiv w:val="1"/>
      <w:marLeft w:val="0"/>
      <w:marRight w:val="0"/>
      <w:marTop w:val="0"/>
      <w:marBottom w:val="0"/>
      <w:divBdr>
        <w:top w:val="none" w:sz="0" w:space="0" w:color="auto"/>
        <w:left w:val="none" w:sz="0" w:space="0" w:color="auto"/>
        <w:bottom w:val="none" w:sz="0" w:space="0" w:color="auto"/>
        <w:right w:val="none" w:sz="0" w:space="0" w:color="auto"/>
      </w:divBdr>
    </w:div>
    <w:div w:id="653995690">
      <w:bodyDiv w:val="1"/>
      <w:marLeft w:val="0"/>
      <w:marRight w:val="0"/>
      <w:marTop w:val="0"/>
      <w:marBottom w:val="0"/>
      <w:divBdr>
        <w:top w:val="none" w:sz="0" w:space="0" w:color="auto"/>
        <w:left w:val="none" w:sz="0" w:space="0" w:color="auto"/>
        <w:bottom w:val="none" w:sz="0" w:space="0" w:color="auto"/>
        <w:right w:val="none" w:sz="0" w:space="0" w:color="auto"/>
      </w:divBdr>
    </w:div>
    <w:div w:id="667637137">
      <w:bodyDiv w:val="1"/>
      <w:marLeft w:val="0"/>
      <w:marRight w:val="0"/>
      <w:marTop w:val="0"/>
      <w:marBottom w:val="0"/>
      <w:divBdr>
        <w:top w:val="none" w:sz="0" w:space="0" w:color="auto"/>
        <w:left w:val="none" w:sz="0" w:space="0" w:color="auto"/>
        <w:bottom w:val="none" w:sz="0" w:space="0" w:color="auto"/>
        <w:right w:val="none" w:sz="0" w:space="0" w:color="auto"/>
      </w:divBdr>
    </w:div>
    <w:div w:id="674382179">
      <w:bodyDiv w:val="1"/>
      <w:marLeft w:val="0"/>
      <w:marRight w:val="0"/>
      <w:marTop w:val="0"/>
      <w:marBottom w:val="0"/>
      <w:divBdr>
        <w:top w:val="none" w:sz="0" w:space="0" w:color="auto"/>
        <w:left w:val="none" w:sz="0" w:space="0" w:color="auto"/>
        <w:bottom w:val="none" w:sz="0" w:space="0" w:color="auto"/>
        <w:right w:val="none" w:sz="0" w:space="0" w:color="auto"/>
      </w:divBdr>
    </w:div>
    <w:div w:id="690957807">
      <w:bodyDiv w:val="1"/>
      <w:marLeft w:val="0"/>
      <w:marRight w:val="0"/>
      <w:marTop w:val="0"/>
      <w:marBottom w:val="0"/>
      <w:divBdr>
        <w:top w:val="none" w:sz="0" w:space="0" w:color="auto"/>
        <w:left w:val="none" w:sz="0" w:space="0" w:color="auto"/>
        <w:bottom w:val="none" w:sz="0" w:space="0" w:color="auto"/>
        <w:right w:val="none" w:sz="0" w:space="0" w:color="auto"/>
      </w:divBdr>
    </w:div>
    <w:div w:id="691995258">
      <w:bodyDiv w:val="1"/>
      <w:marLeft w:val="0"/>
      <w:marRight w:val="0"/>
      <w:marTop w:val="0"/>
      <w:marBottom w:val="0"/>
      <w:divBdr>
        <w:top w:val="none" w:sz="0" w:space="0" w:color="auto"/>
        <w:left w:val="none" w:sz="0" w:space="0" w:color="auto"/>
        <w:bottom w:val="none" w:sz="0" w:space="0" w:color="auto"/>
        <w:right w:val="none" w:sz="0" w:space="0" w:color="auto"/>
      </w:divBdr>
    </w:div>
    <w:div w:id="725304434">
      <w:bodyDiv w:val="1"/>
      <w:marLeft w:val="0"/>
      <w:marRight w:val="0"/>
      <w:marTop w:val="0"/>
      <w:marBottom w:val="0"/>
      <w:divBdr>
        <w:top w:val="none" w:sz="0" w:space="0" w:color="auto"/>
        <w:left w:val="none" w:sz="0" w:space="0" w:color="auto"/>
        <w:bottom w:val="none" w:sz="0" w:space="0" w:color="auto"/>
        <w:right w:val="none" w:sz="0" w:space="0" w:color="auto"/>
      </w:divBdr>
    </w:div>
    <w:div w:id="791367263">
      <w:bodyDiv w:val="1"/>
      <w:marLeft w:val="0"/>
      <w:marRight w:val="0"/>
      <w:marTop w:val="0"/>
      <w:marBottom w:val="0"/>
      <w:divBdr>
        <w:top w:val="none" w:sz="0" w:space="0" w:color="auto"/>
        <w:left w:val="none" w:sz="0" w:space="0" w:color="auto"/>
        <w:bottom w:val="none" w:sz="0" w:space="0" w:color="auto"/>
        <w:right w:val="none" w:sz="0" w:space="0" w:color="auto"/>
      </w:divBdr>
    </w:div>
    <w:div w:id="800802937">
      <w:bodyDiv w:val="1"/>
      <w:marLeft w:val="0"/>
      <w:marRight w:val="0"/>
      <w:marTop w:val="0"/>
      <w:marBottom w:val="0"/>
      <w:divBdr>
        <w:top w:val="none" w:sz="0" w:space="0" w:color="auto"/>
        <w:left w:val="none" w:sz="0" w:space="0" w:color="auto"/>
        <w:bottom w:val="none" w:sz="0" w:space="0" w:color="auto"/>
        <w:right w:val="none" w:sz="0" w:space="0" w:color="auto"/>
      </w:divBdr>
    </w:div>
    <w:div w:id="837185337">
      <w:bodyDiv w:val="1"/>
      <w:marLeft w:val="0"/>
      <w:marRight w:val="0"/>
      <w:marTop w:val="100"/>
      <w:marBottom w:val="100"/>
      <w:divBdr>
        <w:top w:val="single" w:sz="6" w:space="0" w:color="000000"/>
        <w:left w:val="single" w:sz="6" w:space="0" w:color="000000"/>
        <w:bottom w:val="single" w:sz="6" w:space="0" w:color="000000"/>
        <w:right w:val="single" w:sz="6" w:space="0" w:color="000000"/>
      </w:divBdr>
      <w:divsChild>
        <w:div w:id="1634359293">
          <w:marLeft w:val="0"/>
          <w:marRight w:val="0"/>
          <w:marTop w:val="150"/>
          <w:marBottom w:val="100"/>
          <w:divBdr>
            <w:top w:val="none" w:sz="0" w:space="0" w:color="auto"/>
            <w:left w:val="none" w:sz="0" w:space="0" w:color="auto"/>
            <w:bottom w:val="none" w:sz="0" w:space="0" w:color="auto"/>
            <w:right w:val="none" w:sz="0" w:space="0" w:color="auto"/>
          </w:divBdr>
          <w:divsChild>
            <w:div w:id="688025473">
              <w:marLeft w:val="-225"/>
              <w:marRight w:val="-375"/>
              <w:marTop w:val="0"/>
              <w:marBottom w:val="0"/>
              <w:divBdr>
                <w:top w:val="none" w:sz="0" w:space="0" w:color="auto"/>
                <w:left w:val="none" w:sz="0" w:space="0" w:color="auto"/>
                <w:bottom w:val="none" w:sz="0" w:space="0" w:color="auto"/>
                <w:right w:val="none" w:sz="0" w:space="0" w:color="auto"/>
              </w:divBdr>
              <w:divsChild>
                <w:div w:id="1155341101">
                  <w:marLeft w:val="0"/>
                  <w:marRight w:val="0"/>
                  <w:marTop w:val="0"/>
                  <w:marBottom w:val="0"/>
                  <w:divBdr>
                    <w:top w:val="none" w:sz="0" w:space="0" w:color="auto"/>
                    <w:left w:val="none" w:sz="0" w:space="0" w:color="auto"/>
                    <w:bottom w:val="none" w:sz="0" w:space="0" w:color="auto"/>
                    <w:right w:val="none" w:sz="0" w:space="0" w:color="auto"/>
                  </w:divBdr>
                  <w:divsChild>
                    <w:div w:id="2095661799">
                      <w:marLeft w:val="-225"/>
                      <w:marRight w:val="-375"/>
                      <w:marTop w:val="0"/>
                      <w:marBottom w:val="0"/>
                      <w:divBdr>
                        <w:top w:val="none" w:sz="0" w:space="0" w:color="auto"/>
                        <w:left w:val="none" w:sz="0" w:space="0" w:color="auto"/>
                        <w:bottom w:val="none" w:sz="0" w:space="0" w:color="auto"/>
                        <w:right w:val="none" w:sz="0" w:space="0" w:color="auto"/>
                      </w:divBdr>
                      <w:divsChild>
                        <w:div w:id="580792977">
                          <w:marLeft w:val="0"/>
                          <w:marRight w:val="0"/>
                          <w:marTop w:val="0"/>
                          <w:marBottom w:val="0"/>
                          <w:divBdr>
                            <w:top w:val="none" w:sz="0" w:space="0" w:color="auto"/>
                            <w:left w:val="none" w:sz="0" w:space="0" w:color="auto"/>
                            <w:bottom w:val="none" w:sz="0" w:space="0" w:color="auto"/>
                            <w:right w:val="none" w:sz="0" w:space="0" w:color="auto"/>
                          </w:divBdr>
                          <w:divsChild>
                            <w:div w:id="213154739">
                              <w:marLeft w:val="0"/>
                              <w:marRight w:val="0"/>
                              <w:marTop w:val="0"/>
                              <w:marBottom w:val="0"/>
                              <w:divBdr>
                                <w:top w:val="none" w:sz="0" w:space="0" w:color="auto"/>
                                <w:left w:val="none" w:sz="0" w:space="0" w:color="auto"/>
                                <w:bottom w:val="none" w:sz="0" w:space="0" w:color="auto"/>
                                <w:right w:val="none" w:sz="0" w:space="0" w:color="auto"/>
                              </w:divBdr>
                              <w:divsChild>
                                <w:div w:id="1838304031">
                                  <w:marLeft w:val="0"/>
                                  <w:marRight w:val="0"/>
                                  <w:marTop w:val="0"/>
                                  <w:marBottom w:val="0"/>
                                  <w:divBdr>
                                    <w:top w:val="none" w:sz="0" w:space="0" w:color="auto"/>
                                    <w:left w:val="none" w:sz="0" w:space="0" w:color="auto"/>
                                    <w:bottom w:val="none" w:sz="0" w:space="0" w:color="auto"/>
                                    <w:right w:val="none" w:sz="0" w:space="0" w:color="auto"/>
                                  </w:divBdr>
                                  <w:divsChild>
                                    <w:div w:id="1453791090">
                                      <w:marLeft w:val="0"/>
                                      <w:marRight w:val="0"/>
                                      <w:marTop w:val="0"/>
                                      <w:marBottom w:val="0"/>
                                      <w:divBdr>
                                        <w:top w:val="single" w:sz="2" w:space="0" w:color="auto"/>
                                        <w:left w:val="single" w:sz="2" w:space="0" w:color="auto"/>
                                        <w:bottom w:val="single" w:sz="2" w:space="0" w:color="auto"/>
                                        <w:right w:val="single" w:sz="2" w:space="0" w:color="auto"/>
                                      </w:divBdr>
                                      <w:divsChild>
                                        <w:div w:id="128284612">
                                          <w:marLeft w:val="0"/>
                                          <w:marRight w:val="0"/>
                                          <w:marTop w:val="0"/>
                                          <w:marBottom w:val="0"/>
                                          <w:divBdr>
                                            <w:top w:val="none" w:sz="0" w:space="0" w:color="auto"/>
                                            <w:left w:val="none" w:sz="0" w:space="0" w:color="auto"/>
                                            <w:bottom w:val="none" w:sz="0" w:space="0" w:color="auto"/>
                                            <w:right w:val="none" w:sz="0" w:space="0" w:color="auto"/>
                                          </w:divBdr>
                                          <w:divsChild>
                                            <w:div w:id="1386878724">
                                              <w:marLeft w:val="0"/>
                                              <w:marRight w:val="0"/>
                                              <w:marTop w:val="0"/>
                                              <w:marBottom w:val="0"/>
                                              <w:divBdr>
                                                <w:top w:val="none" w:sz="0" w:space="0" w:color="auto"/>
                                                <w:left w:val="none" w:sz="0" w:space="0" w:color="auto"/>
                                                <w:bottom w:val="none" w:sz="0" w:space="0" w:color="auto"/>
                                                <w:right w:val="none" w:sz="0" w:space="0" w:color="auto"/>
                                              </w:divBdr>
                                              <w:divsChild>
                                                <w:div w:id="1654334572">
                                                  <w:marLeft w:val="-225"/>
                                                  <w:marRight w:val="-375"/>
                                                  <w:marTop w:val="0"/>
                                                  <w:marBottom w:val="0"/>
                                                  <w:divBdr>
                                                    <w:top w:val="none" w:sz="0" w:space="0" w:color="auto"/>
                                                    <w:left w:val="none" w:sz="0" w:space="0" w:color="auto"/>
                                                    <w:bottom w:val="none" w:sz="0" w:space="0" w:color="auto"/>
                                                    <w:right w:val="none" w:sz="0" w:space="0" w:color="auto"/>
                                                  </w:divBdr>
                                                  <w:divsChild>
                                                    <w:div w:id="2013098978">
                                                      <w:marLeft w:val="0"/>
                                                      <w:marRight w:val="0"/>
                                                      <w:marTop w:val="0"/>
                                                      <w:marBottom w:val="0"/>
                                                      <w:divBdr>
                                                        <w:top w:val="none" w:sz="0" w:space="0" w:color="auto"/>
                                                        <w:left w:val="none" w:sz="0" w:space="0" w:color="auto"/>
                                                        <w:bottom w:val="none" w:sz="0" w:space="0" w:color="auto"/>
                                                        <w:right w:val="none" w:sz="0" w:space="0" w:color="auto"/>
                                                      </w:divBdr>
                                                      <w:divsChild>
                                                        <w:div w:id="673921264">
                                                          <w:marLeft w:val="0"/>
                                                          <w:marRight w:val="0"/>
                                                          <w:marTop w:val="0"/>
                                                          <w:marBottom w:val="0"/>
                                                          <w:divBdr>
                                                            <w:top w:val="none" w:sz="0" w:space="0" w:color="auto"/>
                                                            <w:left w:val="none" w:sz="0" w:space="0" w:color="auto"/>
                                                            <w:bottom w:val="none" w:sz="0" w:space="0" w:color="auto"/>
                                                            <w:right w:val="none" w:sz="0" w:space="0" w:color="auto"/>
                                                          </w:divBdr>
                                                          <w:divsChild>
                                                            <w:div w:id="447968962">
                                                              <w:marLeft w:val="0"/>
                                                              <w:marRight w:val="0"/>
                                                              <w:marTop w:val="0"/>
                                                              <w:marBottom w:val="0"/>
                                                              <w:divBdr>
                                                                <w:top w:val="none" w:sz="0" w:space="0" w:color="auto"/>
                                                                <w:left w:val="none" w:sz="0" w:space="0" w:color="auto"/>
                                                                <w:bottom w:val="none" w:sz="0" w:space="0" w:color="auto"/>
                                                                <w:right w:val="none" w:sz="0" w:space="0" w:color="auto"/>
                                                              </w:divBdr>
                                                              <w:divsChild>
                                                                <w:div w:id="16897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87690387">
      <w:bodyDiv w:val="1"/>
      <w:marLeft w:val="0"/>
      <w:marRight w:val="0"/>
      <w:marTop w:val="0"/>
      <w:marBottom w:val="0"/>
      <w:divBdr>
        <w:top w:val="none" w:sz="0" w:space="0" w:color="auto"/>
        <w:left w:val="none" w:sz="0" w:space="0" w:color="auto"/>
        <w:bottom w:val="none" w:sz="0" w:space="0" w:color="auto"/>
        <w:right w:val="none" w:sz="0" w:space="0" w:color="auto"/>
      </w:divBdr>
    </w:div>
    <w:div w:id="902912389">
      <w:bodyDiv w:val="1"/>
      <w:marLeft w:val="0"/>
      <w:marRight w:val="0"/>
      <w:marTop w:val="0"/>
      <w:marBottom w:val="0"/>
      <w:divBdr>
        <w:top w:val="none" w:sz="0" w:space="0" w:color="auto"/>
        <w:left w:val="none" w:sz="0" w:space="0" w:color="auto"/>
        <w:bottom w:val="none" w:sz="0" w:space="0" w:color="auto"/>
        <w:right w:val="none" w:sz="0" w:space="0" w:color="auto"/>
      </w:divBdr>
    </w:div>
    <w:div w:id="942225287">
      <w:bodyDiv w:val="1"/>
      <w:marLeft w:val="0"/>
      <w:marRight w:val="0"/>
      <w:marTop w:val="0"/>
      <w:marBottom w:val="0"/>
      <w:divBdr>
        <w:top w:val="none" w:sz="0" w:space="0" w:color="auto"/>
        <w:left w:val="none" w:sz="0" w:space="0" w:color="auto"/>
        <w:bottom w:val="none" w:sz="0" w:space="0" w:color="auto"/>
        <w:right w:val="none" w:sz="0" w:space="0" w:color="auto"/>
      </w:divBdr>
    </w:div>
    <w:div w:id="958148823">
      <w:bodyDiv w:val="1"/>
      <w:marLeft w:val="0"/>
      <w:marRight w:val="0"/>
      <w:marTop w:val="0"/>
      <w:marBottom w:val="0"/>
      <w:divBdr>
        <w:top w:val="none" w:sz="0" w:space="0" w:color="auto"/>
        <w:left w:val="none" w:sz="0" w:space="0" w:color="auto"/>
        <w:bottom w:val="none" w:sz="0" w:space="0" w:color="auto"/>
        <w:right w:val="none" w:sz="0" w:space="0" w:color="auto"/>
      </w:divBdr>
    </w:div>
    <w:div w:id="958947896">
      <w:bodyDiv w:val="1"/>
      <w:marLeft w:val="0"/>
      <w:marRight w:val="0"/>
      <w:marTop w:val="0"/>
      <w:marBottom w:val="0"/>
      <w:divBdr>
        <w:top w:val="none" w:sz="0" w:space="0" w:color="auto"/>
        <w:left w:val="none" w:sz="0" w:space="0" w:color="auto"/>
        <w:bottom w:val="none" w:sz="0" w:space="0" w:color="auto"/>
        <w:right w:val="none" w:sz="0" w:space="0" w:color="auto"/>
      </w:divBdr>
    </w:div>
    <w:div w:id="1005354619">
      <w:bodyDiv w:val="1"/>
      <w:marLeft w:val="0"/>
      <w:marRight w:val="0"/>
      <w:marTop w:val="0"/>
      <w:marBottom w:val="0"/>
      <w:divBdr>
        <w:top w:val="none" w:sz="0" w:space="0" w:color="auto"/>
        <w:left w:val="none" w:sz="0" w:space="0" w:color="auto"/>
        <w:bottom w:val="none" w:sz="0" w:space="0" w:color="auto"/>
        <w:right w:val="none" w:sz="0" w:space="0" w:color="auto"/>
      </w:divBdr>
      <w:divsChild>
        <w:div w:id="2076588628">
          <w:marLeft w:val="0"/>
          <w:marRight w:val="0"/>
          <w:marTop w:val="0"/>
          <w:marBottom w:val="0"/>
          <w:divBdr>
            <w:top w:val="single" w:sz="6" w:space="0" w:color="666666"/>
            <w:left w:val="single" w:sz="6" w:space="0" w:color="666666"/>
            <w:bottom w:val="single" w:sz="6" w:space="0" w:color="666666"/>
            <w:right w:val="single" w:sz="6" w:space="0" w:color="666666"/>
          </w:divBdr>
          <w:divsChild>
            <w:div w:id="1611086592">
              <w:marLeft w:val="0"/>
              <w:marRight w:val="0"/>
              <w:marTop w:val="0"/>
              <w:marBottom w:val="0"/>
              <w:divBdr>
                <w:top w:val="none" w:sz="0" w:space="0" w:color="auto"/>
                <w:left w:val="none" w:sz="0" w:space="0" w:color="auto"/>
                <w:bottom w:val="none" w:sz="0" w:space="0" w:color="auto"/>
                <w:right w:val="none" w:sz="0" w:space="0" w:color="auto"/>
              </w:divBdr>
              <w:divsChild>
                <w:div w:id="419642738">
                  <w:marLeft w:val="0"/>
                  <w:marRight w:val="0"/>
                  <w:marTop w:val="0"/>
                  <w:marBottom w:val="0"/>
                  <w:divBdr>
                    <w:top w:val="none" w:sz="0" w:space="0" w:color="auto"/>
                    <w:left w:val="none" w:sz="0" w:space="0" w:color="auto"/>
                    <w:bottom w:val="none" w:sz="0" w:space="0" w:color="auto"/>
                    <w:right w:val="none" w:sz="0" w:space="0" w:color="auto"/>
                  </w:divBdr>
                  <w:divsChild>
                    <w:div w:id="340090817">
                      <w:marLeft w:val="0"/>
                      <w:marRight w:val="0"/>
                      <w:marTop w:val="0"/>
                      <w:marBottom w:val="0"/>
                      <w:divBdr>
                        <w:top w:val="none" w:sz="0" w:space="0" w:color="auto"/>
                        <w:left w:val="none" w:sz="0" w:space="0" w:color="auto"/>
                        <w:bottom w:val="none" w:sz="0" w:space="0" w:color="auto"/>
                        <w:right w:val="none" w:sz="0" w:space="0" w:color="auto"/>
                      </w:divBdr>
                      <w:divsChild>
                        <w:div w:id="1451823002">
                          <w:marLeft w:val="0"/>
                          <w:marRight w:val="0"/>
                          <w:marTop w:val="0"/>
                          <w:marBottom w:val="0"/>
                          <w:divBdr>
                            <w:top w:val="none" w:sz="0" w:space="0" w:color="auto"/>
                            <w:left w:val="none" w:sz="0" w:space="0" w:color="auto"/>
                            <w:bottom w:val="none" w:sz="0" w:space="0" w:color="auto"/>
                            <w:right w:val="none" w:sz="0" w:space="0" w:color="auto"/>
                          </w:divBdr>
                          <w:divsChild>
                            <w:div w:id="62459707">
                              <w:marLeft w:val="0"/>
                              <w:marRight w:val="0"/>
                              <w:marTop w:val="0"/>
                              <w:marBottom w:val="0"/>
                              <w:divBdr>
                                <w:top w:val="none" w:sz="0" w:space="0" w:color="auto"/>
                                <w:left w:val="none" w:sz="0" w:space="0" w:color="auto"/>
                                <w:bottom w:val="none" w:sz="0" w:space="0" w:color="auto"/>
                                <w:right w:val="none" w:sz="0" w:space="0" w:color="auto"/>
                              </w:divBdr>
                              <w:divsChild>
                                <w:div w:id="1808930974">
                                  <w:marLeft w:val="0"/>
                                  <w:marRight w:val="0"/>
                                  <w:marTop w:val="0"/>
                                  <w:marBottom w:val="0"/>
                                  <w:divBdr>
                                    <w:top w:val="none" w:sz="0" w:space="0" w:color="auto"/>
                                    <w:left w:val="none" w:sz="0" w:space="0" w:color="auto"/>
                                    <w:bottom w:val="none" w:sz="0" w:space="0" w:color="auto"/>
                                    <w:right w:val="none" w:sz="0" w:space="0" w:color="auto"/>
                                  </w:divBdr>
                                  <w:divsChild>
                                    <w:div w:id="2061859855">
                                      <w:marLeft w:val="0"/>
                                      <w:marRight w:val="0"/>
                                      <w:marTop w:val="0"/>
                                      <w:marBottom w:val="0"/>
                                      <w:divBdr>
                                        <w:top w:val="none" w:sz="0" w:space="0" w:color="auto"/>
                                        <w:left w:val="none" w:sz="0" w:space="0" w:color="auto"/>
                                        <w:bottom w:val="none" w:sz="0" w:space="0" w:color="auto"/>
                                        <w:right w:val="none" w:sz="0" w:space="0" w:color="auto"/>
                                      </w:divBdr>
                                      <w:divsChild>
                                        <w:div w:id="1200581112">
                                          <w:marLeft w:val="0"/>
                                          <w:marRight w:val="0"/>
                                          <w:marTop w:val="0"/>
                                          <w:marBottom w:val="0"/>
                                          <w:divBdr>
                                            <w:top w:val="none" w:sz="0" w:space="0" w:color="auto"/>
                                            <w:left w:val="none" w:sz="0" w:space="0" w:color="auto"/>
                                            <w:bottom w:val="none" w:sz="0" w:space="0" w:color="auto"/>
                                            <w:right w:val="none" w:sz="0" w:space="0" w:color="auto"/>
                                          </w:divBdr>
                                          <w:divsChild>
                                            <w:div w:id="953291856">
                                              <w:marLeft w:val="0"/>
                                              <w:marRight w:val="0"/>
                                              <w:marTop w:val="0"/>
                                              <w:marBottom w:val="0"/>
                                              <w:divBdr>
                                                <w:top w:val="none" w:sz="0" w:space="0" w:color="auto"/>
                                                <w:left w:val="none" w:sz="0" w:space="0" w:color="auto"/>
                                                <w:bottom w:val="none" w:sz="0" w:space="0" w:color="auto"/>
                                                <w:right w:val="none" w:sz="0" w:space="0" w:color="auto"/>
                                              </w:divBdr>
                                              <w:divsChild>
                                                <w:div w:id="1519465574">
                                                  <w:marLeft w:val="0"/>
                                                  <w:marRight w:val="0"/>
                                                  <w:marTop w:val="0"/>
                                                  <w:marBottom w:val="0"/>
                                                  <w:divBdr>
                                                    <w:top w:val="none" w:sz="0" w:space="0" w:color="auto"/>
                                                    <w:left w:val="none" w:sz="0" w:space="0" w:color="auto"/>
                                                    <w:bottom w:val="none" w:sz="0" w:space="0" w:color="auto"/>
                                                    <w:right w:val="none" w:sz="0" w:space="0" w:color="auto"/>
                                                  </w:divBdr>
                                                  <w:divsChild>
                                                    <w:div w:id="22827466">
                                                      <w:marLeft w:val="0"/>
                                                      <w:marRight w:val="0"/>
                                                      <w:marTop w:val="0"/>
                                                      <w:marBottom w:val="0"/>
                                                      <w:divBdr>
                                                        <w:top w:val="none" w:sz="0" w:space="0" w:color="auto"/>
                                                        <w:left w:val="none" w:sz="0" w:space="0" w:color="auto"/>
                                                        <w:bottom w:val="none" w:sz="0" w:space="0" w:color="auto"/>
                                                        <w:right w:val="none" w:sz="0" w:space="0" w:color="auto"/>
                                                      </w:divBdr>
                                                      <w:divsChild>
                                                        <w:div w:id="902641071">
                                                          <w:marLeft w:val="0"/>
                                                          <w:marRight w:val="0"/>
                                                          <w:marTop w:val="0"/>
                                                          <w:marBottom w:val="0"/>
                                                          <w:divBdr>
                                                            <w:top w:val="none" w:sz="0" w:space="0" w:color="auto"/>
                                                            <w:left w:val="none" w:sz="0" w:space="0" w:color="auto"/>
                                                            <w:bottom w:val="none" w:sz="0" w:space="0" w:color="auto"/>
                                                            <w:right w:val="none" w:sz="0" w:space="0" w:color="auto"/>
                                                          </w:divBdr>
                                                          <w:divsChild>
                                                            <w:div w:id="916935107">
                                                              <w:marLeft w:val="0"/>
                                                              <w:marRight w:val="0"/>
                                                              <w:marTop w:val="0"/>
                                                              <w:marBottom w:val="0"/>
                                                              <w:divBdr>
                                                                <w:top w:val="none" w:sz="0" w:space="0" w:color="auto"/>
                                                                <w:left w:val="none" w:sz="0" w:space="0" w:color="auto"/>
                                                                <w:bottom w:val="none" w:sz="0" w:space="0" w:color="auto"/>
                                                                <w:right w:val="none" w:sz="0" w:space="0" w:color="auto"/>
                                                              </w:divBdr>
                                                              <w:divsChild>
                                                                <w:div w:id="156730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5646807">
      <w:bodyDiv w:val="1"/>
      <w:marLeft w:val="0"/>
      <w:marRight w:val="0"/>
      <w:marTop w:val="0"/>
      <w:marBottom w:val="0"/>
      <w:divBdr>
        <w:top w:val="none" w:sz="0" w:space="0" w:color="auto"/>
        <w:left w:val="none" w:sz="0" w:space="0" w:color="auto"/>
        <w:bottom w:val="none" w:sz="0" w:space="0" w:color="auto"/>
        <w:right w:val="none" w:sz="0" w:space="0" w:color="auto"/>
      </w:divBdr>
    </w:div>
    <w:div w:id="1074818750">
      <w:bodyDiv w:val="1"/>
      <w:marLeft w:val="0"/>
      <w:marRight w:val="0"/>
      <w:marTop w:val="0"/>
      <w:marBottom w:val="0"/>
      <w:divBdr>
        <w:top w:val="none" w:sz="0" w:space="0" w:color="auto"/>
        <w:left w:val="none" w:sz="0" w:space="0" w:color="auto"/>
        <w:bottom w:val="none" w:sz="0" w:space="0" w:color="auto"/>
        <w:right w:val="none" w:sz="0" w:space="0" w:color="auto"/>
      </w:divBdr>
    </w:div>
    <w:div w:id="1119565626">
      <w:bodyDiv w:val="1"/>
      <w:marLeft w:val="0"/>
      <w:marRight w:val="0"/>
      <w:marTop w:val="0"/>
      <w:marBottom w:val="0"/>
      <w:divBdr>
        <w:top w:val="none" w:sz="0" w:space="0" w:color="auto"/>
        <w:left w:val="none" w:sz="0" w:space="0" w:color="auto"/>
        <w:bottom w:val="none" w:sz="0" w:space="0" w:color="auto"/>
        <w:right w:val="none" w:sz="0" w:space="0" w:color="auto"/>
      </w:divBdr>
    </w:div>
    <w:div w:id="1120878408">
      <w:bodyDiv w:val="1"/>
      <w:marLeft w:val="0"/>
      <w:marRight w:val="0"/>
      <w:marTop w:val="0"/>
      <w:marBottom w:val="0"/>
      <w:divBdr>
        <w:top w:val="none" w:sz="0" w:space="0" w:color="auto"/>
        <w:left w:val="none" w:sz="0" w:space="0" w:color="auto"/>
        <w:bottom w:val="none" w:sz="0" w:space="0" w:color="auto"/>
        <w:right w:val="none" w:sz="0" w:space="0" w:color="auto"/>
      </w:divBdr>
    </w:div>
    <w:div w:id="1153066172">
      <w:bodyDiv w:val="1"/>
      <w:marLeft w:val="0"/>
      <w:marRight w:val="0"/>
      <w:marTop w:val="0"/>
      <w:marBottom w:val="0"/>
      <w:divBdr>
        <w:top w:val="none" w:sz="0" w:space="0" w:color="auto"/>
        <w:left w:val="none" w:sz="0" w:space="0" w:color="auto"/>
        <w:bottom w:val="none" w:sz="0" w:space="0" w:color="auto"/>
        <w:right w:val="none" w:sz="0" w:space="0" w:color="auto"/>
      </w:divBdr>
    </w:div>
    <w:div w:id="1251814903">
      <w:bodyDiv w:val="1"/>
      <w:marLeft w:val="0"/>
      <w:marRight w:val="0"/>
      <w:marTop w:val="0"/>
      <w:marBottom w:val="0"/>
      <w:divBdr>
        <w:top w:val="none" w:sz="0" w:space="0" w:color="auto"/>
        <w:left w:val="none" w:sz="0" w:space="0" w:color="auto"/>
        <w:bottom w:val="none" w:sz="0" w:space="0" w:color="auto"/>
        <w:right w:val="none" w:sz="0" w:space="0" w:color="auto"/>
      </w:divBdr>
    </w:div>
    <w:div w:id="1261569692">
      <w:bodyDiv w:val="1"/>
      <w:marLeft w:val="0"/>
      <w:marRight w:val="0"/>
      <w:marTop w:val="0"/>
      <w:marBottom w:val="0"/>
      <w:divBdr>
        <w:top w:val="none" w:sz="0" w:space="0" w:color="auto"/>
        <w:left w:val="none" w:sz="0" w:space="0" w:color="auto"/>
        <w:bottom w:val="none" w:sz="0" w:space="0" w:color="auto"/>
        <w:right w:val="none" w:sz="0" w:space="0" w:color="auto"/>
      </w:divBdr>
    </w:div>
    <w:div w:id="1267350426">
      <w:bodyDiv w:val="1"/>
      <w:marLeft w:val="0"/>
      <w:marRight w:val="0"/>
      <w:marTop w:val="0"/>
      <w:marBottom w:val="0"/>
      <w:divBdr>
        <w:top w:val="none" w:sz="0" w:space="0" w:color="auto"/>
        <w:left w:val="none" w:sz="0" w:space="0" w:color="auto"/>
        <w:bottom w:val="none" w:sz="0" w:space="0" w:color="auto"/>
        <w:right w:val="none" w:sz="0" w:space="0" w:color="auto"/>
      </w:divBdr>
    </w:div>
    <w:div w:id="1317565669">
      <w:bodyDiv w:val="1"/>
      <w:marLeft w:val="0"/>
      <w:marRight w:val="0"/>
      <w:marTop w:val="0"/>
      <w:marBottom w:val="0"/>
      <w:divBdr>
        <w:top w:val="none" w:sz="0" w:space="0" w:color="auto"/>
        <w:left w:val="none" w:sz="0" w:space="0" w:color="auto"/>
        <w:bottom w:val="none" w:sz="0" w:space="0" w:color="auto"/>
        <w:right w:val="none" w:sz="0" w:space="0" w:color="auto"/>
      </w:divBdr>
    </w:div>
    <w:div w:id="1325820398">
      <w:bodyDiv w:val="1"/>
      <w:marLeft w:val="0"/>
      <w:marRight w:val="0"/>
      <w:marTop w:val="0"/>
      <w:marBottom w:val="0"/>
      <w:divBdr>
        <w:top w:val="none" w:sz="0" w:space="0" w:color="auto"/>
        <w:left w:val="none" w:sz="0" w:space="0" w:color="auto"/>
        <w:bottom w:val="none" w:sz="0" w:space="0" w:color="auto"/>
        <w:right w:val="none" w:sz="0" w:space="0" w:color="auto"/>
      </w:divBdr>
    </w:div>
    <w:div w:id="1337266140">
      <w:bodyDiv w:val="1"/>
      <w:marLeft w:val="0"/>
      <w:marRight w:val="0"/>
      <w:marTop w:val="0"/>
      <w:marBottom w:val="0"/>
      <w:divBdr>
        <w:top w:val="none" w:sz="0" w:space="0" w:color="auto"/>
        <w:left w:val="none" w:sz="0" w:space="0" w:color="auto"/>
        <w:bottom w:val="none" w:sz="0" w:space="0" w:color="auto"/>
        <w:right w:val="none" w:sz="0" w:space="0" w:color="auto"/>
      </w:divBdr>
    </w:div>
    <w:div w:id="1344556031">
      <w:bodyDiv w:val="1"/>
      <w:marLeft w:val="0"/>
      <w:marRight w:val="0"/>
      <w:marTop w:val="0"/>
      <w:marBottom w:val="0"/>
      <w:divBdr>
        <w:top w:val="none" w:sz="0" w:space="0" w:color="auto"/>
        <w:left w:val="none" w:sz="0" w:space="0" w:color="auto"/>
        <w:bottom w:val="none" w:sz="0" w:space="0" w:color="auto"/>
        <w:right w:val="none" w:sz="0" w:space="0" w:color="auto"/>
      </w:divBdr>
    </w:div>
    <w:div w:id="1351104555">
      <w:bodyDiv w:val="1"/>
      <w:marLeft w:val="0"/>
      <w:marRight w:val="0"/>
      <w:marTop w:val="0"/>
      <w:marBottom w:val="0"/>
      <w:divBdr>
        <w:top w:val="none" w:sz="0" w:space="0" w:color="auto"/>
        <w:left w:val="none" w:sz="0" w:space="0" w:color="auto"/>
        <w:bottom w:val="none" w:sz="0" w:space="0" w:color="auto"/>
        <w:right w:val="none" w:sz="0" w:space="0" w:color="auto"/>
      </w:divBdr>
    </w:div>
    <w:div w:id="1351180560">
      <w:bodyDiv w:val="1"/>
      <w:marLeft w:val="0"/>
      <w:marRight w:val="0"/>
      <w:marTop w:val="0"/>
      <w:marBottom w:val="0"/>
      <w:divBdr>
        <w:top w:val="none" w:sz="0" w:space="0" w:color="auto"/>
        <w:left w:val="none" w:sz="0" w:space="0" w:color="auto"/>
        <w:bottom w:val="none" w:sz="0" w:space="0" w:color="auto"/>
        <w:right w:val="none" w:sz="0" w:space="0" w:color="auto"/>
      </w:divBdr>
    </w:div>
    <w:div w:id="1424259050">
      <w:bodyDiv w:val="1"/>
      <w:marLeft w:val="0"/>
      <w:marRight w:val="0"/>
      <w:marTop w:val="0"/>
      <w:marBottom w:val="0"/>
      <w:divBdr>
        <w:top w:val="none" w:sz="0" w:space="0" w:color="auto"/>
        <w:left w:val="none" w:sz="0" w:space="0" w:color="auto"/>
        <w:bottom w:val="none" w:sz="0" w:space="0" w:color="auto"/>
        <w:right w:val="none" w:sz="0" w:space="0" w:color="auto"/>
      </w:divBdr>
    </w:div>
    <w:div w:id="1436511455">
      <w:bodyDiv w:val="1"/>
      <w:marLeft w:val="0"/>
      <w:marRight w:val="0"/>
      <w:marTop w:val="0"/>
      <w:marBottom w:val="0"/>
      <w:divBdr>
        <w:top w:val="none" w:sz="0" w:space="0" w:color="auto"/>
        <w:left w:val="none" w:sz="0" w:space="0" w:color="auto"/>
        <w:bottom w:val="none" w:sz="0" w:space="0" w:color="auto"/>
        <w:right w:val="none" w:sz="0" w:space="0" w:color="auto"/>
      </w:divBdr>
    </w:div>
    <w:div w:id="1517769747">
      <w:bodyDiv w:val="1"/>
      <w:marLeft w:val="0"/>
      <w:marRight w:val="0"/>
      <w:marTop w:val="0"/>
      <w:marBottom w:val="0"/>
      <w:divBdr>
        <w:top w:val="none" w:sz="0" w:space="0" w:color="auto"/>
        <w:left w:val="none" w:sz="0" w:space="0" w:color="auto"/>
        <w:bottom w:val="none" w:sz="0" w:space="0" w:color="auto"/>
        <w:right w:val="none" w:sz="0" w:space="0" w:color="auto"/>
      </w:divBdr>
    </w:div>
    <w:div w:id="1518154503">
      <w:bodyDiv w:val="1"/>
      <w:marLeft w:val="0"/>
      <w:marRight w:val="0"/>
      <w:marTop w:val="0"/>
      <w:marBottom w:val="0"/>
      <w:divBdr>
        <w:top w:val="none" w:sz="0" w:space="0" w:color="auto"/>
        <w:left w:val="none" w:sz="0" w:space="0" w:color="auto"/>
        <w:bottom w:val="none" w:sz="0" w:space="0" w:color="auto"/>
        <w:right w:val="none" w:sz="0" w:space="0" w:color="auto"/>
      </w:divBdr>
    </w:div>
    <w:div w:id="1551990738">
      <w:bodyDiv w:val="1"/>
      <w:marLeft w:val="0"/>
      <w:marRight w:val="0"/>
      <w:marTop w:val="0"/>
      <w:marBottom w:val="0"/>
      <w:divBdr>
        <w:top w:val="none" w:sz="0" w:space="0" w:color="auto"/>
        <w:left w:val="none" w:sz="0" w:space="0" w:color="auto"/>
        <w:bottom w:val="none" w:sz="0" w:space="0" w:color="auto"/>
        <w:right w:val="none" w:sz="0" w:space="0" w:color="auto"/>
      </w:divBdr>
    </w:div>
    <w:div w:id="1555921849">
      <w:bodyDiv w:val="1"/>
      <w:marLeft w:val="0"/>
      <w:marRight w:val="0"/>
      <w:marTop w:val="0"/>
      <w:marBottom w:val="0"/>
      <w:divBdr>
        <w:top w:val="none" w:sz="0" w:space="0" w:color="auto"/>
        <w:left w:val="none" w:sz="0" w:space="0" w:color="auto"/>
        <w:bottom w:val="none" w:sz="0" w:space="0" w:color="auto"/>
        <w:right w:val="none" w:sz="0" w:space="0" w:color="auto"/>
      </w:divBdr>
    </w:div>
    <w:div w:id="1568034690">
      <w:bodyDiv w:val="1"/>
      <w:marLeft w:val="0"/>
      <w:marRight w:val="0"/>
      <w:marTop w:val="0"/>
      <w:marBottom w:val="0"/>
      <w:divBdr>
        <w:top w:val="none" w:sz="0" w:space="0" w:color="auto"/>
        <w:left w:val="none" w:sz="0" w:space="0" w:color="auto"/>
        <w:bottom w:val="none" w:sz="0" w:space="0" w:color="auto"/>
        <w:right w:val="none" w:sz="0" w:space="0" w:color="auto"/>
      </w:divBdr>
    </w:div>
    <w:div w:id="1623608789">
      <w:bodyDiv w:val="1"/>
      <w:marLeft w:val="0"/>
      <w:marRight w:val="0"/>
      <w:marTop w:val="0"/>
      <w:marBottom w:val="0"/>
      <w:divBdr>
        <w:top w:val="none" w:sz="0" w:space="0" w:color="auto"/>
        <w:left w:val="none" w:sz="0" w:space="0" w:color="auto"/>
        <w:bottom w:val="none" w:sz="0" w:space="0" w:color="auto"/>
        <w:right w:val="none" w:sz="0" w:space="0" w:color="auto"/>
      </w:divBdr>
    </w:div>
    <w:div w:id="1691639214">
      <w:bodyDiv w:val="1"/>
      <w:marLeft w:val="0"/>
      <w:marRight w:val="0"/>
      <w:marTop w:val="0"/>
      <w:marBottom w:val="0"/>
      <w:divBdr>
        <w:top w:val="none" w:sz="0" w:space="0" w:color="auto"/>
        <w:left w:val="none" w:sz="0" w:space="0" w:color="auto"/>
        <w:bottom w:val="none" w:sz="0" w:space="0" w:color="auto"/>
        <w:right w:val="none" w:sz="0" w:space="0" w:color="auto"/>
      </w:divBdr>
    </w:div>
    <w:div w:id="1701667195">
      <w:bodyDiv w:val="1"/>
      <w:marLeft w:val="0"/>
      <w:marRight w:val="0"/>
      <w:marTop w:val="0"/>
      <w:marBottom w:val="0"/>
      <w:divBdr>
        <w:top w:val="none" w:sz="0" w:space="0" w:color="auto"/>
        <w:left w:val="none" w:sz="0" w:space="0" w:color="auto"/>
        <w:bottom w:val="none" w:sz="0" w:space="0" w:color="auto"/>
        <w:right w:val="none" w:sz="0" w:space="0" w:color="auto"/>
      </w:divBdr>
    </w:div>
    <w:div w:id="1800150934">
      <w:bodyDiv w:val="1"/>
      <w:marLeft w:val="0"/>
      <w:marRight w:val="0"/>
      <w:marTop w:val="0"/>
      <w:marBottom w:val="0"/>
      <w:divBdr>
        <w:top w:val="none" w:sz="0" w:space="0" w:color="auto"/>
        <w:left w:val="none" w:sz="0" w:space="0" w:color="auto"/>
        <w:bottom w:val="none" w:sz="0" w:space="0" w:color="auto"/>
        <w:right w:val="none" w:sz="0" w:space="0" w:color="auto"/>
      </w:divBdr>
    </w:div>
    <w:div w:id="1859539909">
      <w:bodyDiv w:val="1"/>
      <w:marLeft w:val="0"/>
      <w:marRight w:val="0"/>
      <w:marTop w:val="0"/>
      <w:marBottom w:val="0"/>
      <w:divBdr>
        <w:top w:val="none" w:sz="0" w:space="0" w:color="auto"/>
        <w:left w:val="none" w:sz="0" w:space="0" w:color="auto"/>
        <w:bottom w:val="none" w:sz="0" w:space="0" w:color="auto"/>
        <w:right w:val="none" w:sz="0" w:space="0" w:color="auto"/>
      </w:divBdr>
    </w:div>
    <w:div w:id="1876505795">
      <w:bodyDiv w:val="1"/>
      <w:marLeft w:val="0"/>
      <w:marRight w:val="0"/>
      <w:marTop w:val="0"/>
      <w:marBottom w:val="0"/>
      <w:divBdr>
        <w:top w:val="none" w:sz="0" w:space="0" w:color="auto"/>
        <w:left w:val="none" w:sz="0" w:space="0" w:color="auto"/>
        <w:bottom w:val="none" w:sz="0" w:space="0" w:color="auto"/>
        <w:right w:val="none" w:sz="0" w:space="0" w:color="auto"/>
      </w:divBdr>
    </w:div>
    <w:div w:id="1880704184">
      <w:bodyDiv w:val="1"/>
      <w:marLeft w:val="0"/>
      <w:marRight w:val="0"/>
      <w:marTop w:val="0"/>
      <w:marBottom w:val="0"/>
      <w:divBdr>
        <w:top w:val="none" w:sz="0" w:space="0" w:color="auto"/>
        <w:left w:val="none" w:sz="0" w:space="0" w:color="auto"/>
        <w:bottom w:val="none" w:sz="0" w:space="0" w:color="auto"/>
        <w:right w:val="none" w:sz="0" w:space="0" w:color="auto"/>
      </w:divBdr>
    </w:div>
    <w:div w:id="1889761236">
      <w:bodyDiv w:val="1"/>
      <w:marLeft w:val="0"/>
      <w:marRight w:val="0"/>
      <w:marTop w:val="0"/>
      <w:marBottom w:val="0"/>
      <w:divBdr>
        <w:top w:val="none" w:sz="0" w:space="0" w:color="auto"/>
        <w:left w:val="none" w:sz="0" w:space="0" w:color="auto"/>
        <w:bottom w:val="none" w:sz="0" w:space="0" w:color="auto"/>
        <w:right w:val="none" w:sz="0" w:space="0" w:color="auto"/>
      </w:divBdr>
    </w:div>
    <w:div w:id="1899171553">
      <w:bodyDiv w:val="1"/>
      <w:marLeft w:val="0"/>
      <w:marRight w:val="0"/>
      <w:marTop w:val="0"/>
      <w:marBottom w:val="0"/>
      <w:divBdr>
        <w:top w:val="none" w:sz="0" w:space="0" w:color="auto"/>
        <w:left w:val="none" w:sz="0" w:space="0" w:color="auto"/>
        <w:bottom w:val="none" w:sz="0" w:space="0" w:color="auto"/>
        <w:right w:val="none" w:sz="0" w:space="0" w:color="auto"/>
      </w:divBdr>
    </w:div>
    <w:div w:id="1940327816">
      <w:bodyDiv w:val="1"/>
      <w:marLeft w:val="0"/>
      <w:marRight w:val="0"/>
      <w:marTop w:val="0"/>
      <w:marBottom w:val="0"/>
      <w:divBdr>
        <w:top w:val="none" w:sz="0" w:space="0" w:color="auto"/>
        <w:left w:val="none" w:sz="0" w:space="0" w:color="auto"/>
        <w:bottom w:val="none" w:sz="0" w:space="0" w:color="auto"/>
        <w:right w:val="none" w:sz="0" w:space="0" w:color="auto"/>
      </w:divBdr>
    </w:div>
    <w:div w:id="1995329560">
      <w:bodyDiv w:val="1"/>
      <w:marLeft w:val="0"/>
      <w:marRight w:val="0"/>
      <w:marTop w:val="0"/>
      <w:marBottom w:val="0"/>
      <w:divBdr>
        <w:top w:val="none" w:sz="0" w:space="0" w:color="auto"/>
        <w:left w:val="none" w:sz="0" w:space="0" w:color="auto"/>
        <w:bottom w:val="none" w:sz="0" w:space="0" w:color="auto"/>
        <w:right w:val="none" w:sz="0" w:space="0" w:color="auto"/>
      </w:divBdr>
    </w:div>
    <w:div w:id="1996952027">
      <w:bodyDiv w:val="1"/>
      <w:marLeft w:val="0"/>
      <w:marRight w:val="0"/>
      <w:marTop w:val="0"/>
      <w:marBottom w:val="0"/>
      <w:divBdr>
        <w:top w:val="none" w:sz="0" w:space="0" w:color="auto"/>
        <w:left w:val="none" w:sz="0" w:space="0" w:color="auto"/>
        <w:bottom w:val="none" w:sz="0" w:space="0" w:color="auto"/>
        <w:right w:val="none" w:sz="0" w:space="0" w:color="auto"/>
      </w:divBdr>
    </w:div>
    <w:div w:id="2024554846">
      <w:bodyDiv w:val="1"/>
      <w:marLeft w:val="0"/>
      <w:marRight w:val="0"/>
      <w:marTop w:val="0"/>
      <w:marBottom w:val="0"/>
      <w:divBdr>
        <w:top w:val="none" w:sz="0" w:space="0" w:color="auto"/>
        <w:left w:val="none" w:sz="0" w:space="0" w:color="auto"/>
        <w:bottom w:val="none" w:sz="0" w:space="0" w:color="auto"/>
        <w:right w:val="none" w:sz="0" w:space="0" w:color="auto"/>
      </w:divBdr>
    </w:div>
    <w:div w:id="2029326391">
      <w:bodyDiv w:val="1"/>
      <w:marLeft w:val="0"/>
      <w:marRight w:val="0"/>
      <w:marTop w:val="0"/>
      <w:marBottom w:val="0"/>
      <w:divBdr>
        <w:top w:val="none" w:sz="0" w:space="0" w:color="auto"/>
        <w:left w:val="none" w:sz="0" w:space="0" w:color="auto"/>
        <w:bottom w:val="none" w:sz="0" w:space="0" w:color="auto"/>
        <w:right w:val="none" w:sz="0" w:space="0" w:color="auto"/>
      </w:divBdr>
    </w:div>
    <w:div w:id="2132018859">
      <w:bodyDiv w:val="1"/>
      <w:marLeft w:val="0"/>
      <w:marRight w:val="0"/>
      <w:marTop w:val="0"/>
      <w:marBottom w:val="0"/>
      <w:divBdr>
        <w:top w:val="none" w:sz="0" w:space="0" w:color="auto"/>
        <w:left w:val="none" w:sz="0" w:space="0" w:color="auto"/>
        <w:bottom w:val="none" w:sz="0" w:space="0" w:color="auto"/>
        <w:right w:val="none" w:sz="0" w:space="0" w:color="auto"/>
      </w:divBdr>
    </w:div>
    <w:div w:id="2136678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1.xml"/><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chart" Target="charts/chart9.xml"/><Relationship Id="rId42" Type="http://schemas.openxmlformats.org/officeDocument/2006/relationships/footer" Target="footer8.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chart" Target="charts/chart8.xml"/><Relationship Id="rId38" Type="http://schemas.openxmlformats.org/officeDocument/2006/relationships/image" Target="media/image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chart" Target="charts/chart4.xml"/><Relationship Id="rId41" Type="http://schemas.openxmlformats.org/officeDocument/2006/relationships/footer" Target="footer7.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chart" Target="charts/chart7.xml"/><Relationship Id="rId37" Type="http://schemas.openxmlformats.org/officeDocument/2006/relationships/image" Target="media/image4.jpeg"/><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chart" Target="charts/chart3.xml"/><Relationship Id="rId36"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hyperlink" Target="https://myintracomm-collab.ec.europa.eu/dg/CLIMA/c2/Shared%20Documents/Paris%20Progress%20Report/old/Paris%20Progress%20Report.docx" TargetMode="External"/><Relationship Id="rId31" Type="http://schemas.openxmlformats.org/officeDocument/2006/relationships/chart" Target="charts/chart6.xml"/><Relationship Id="rId44"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2.jpeg"/><Relationship Id="rId43" Type="http://schemas.openxmlformats.org/officeDocument/2006/relationships/header" Target="header9.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myintracomm-collab.ec.europa.eu/dg/CLIMA/c2/Shared%20Documents/Paris%20Progress%20Report/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myintracomm-collab.ec.europa.eu/dg/CLIMA/c2/Shared%20Documents/Paris%20Progress%20Report/Data%20and%20Graphs/progress%20report%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myintracomm-collab.ec.europa.eu/dg/CLIMA/c2/Shared%20Documents/Paris%20Progress%20Report/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myintracomm-collab.ec.europa.eu/dg/CLIMA/c2/Shared%20Documents/Paris%20Progress%20Report/Graph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https://myintracomm-collab.ec.europa.eu/dg/CLIMA/c2/Shared%20Documents/Paris%20Progress%20Report/progress%20report%20data.xlsx" TargetMode="Externa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oleObject" Target="https://myintracomm-collab.ec.europa.eu/dg/CLIMA/c2/Shared%20Documents/Paris%20Progress%20Report/Data%20and%20Graphs/AEA%20surplus%202013-201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myintracomm-collab.ec.europa.eu/dg/CLIMA/c2/Shared%20Documents/Paris%20Progress%20Report/Appendix_5%20Data%20sheet%20for%20repor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myintracomm-collab.ec.europa.eu/dg/CLIMA/c2/Shared%20Documents/Paris%20Progress%20Report/Appendix_5%20Data%20sheet%20for%20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15402140249022"/>
          <c:y val="5.5839821675371187E-2"/>
          <c:w val="0.83868549821319127"/>
          <c:h val="0.64308248354201625"/>
        </c:manualLayout>
      </c:layout>
      <c:lineChart>
        <c:grouping val="standard"/>
        <c:varyColors val="0"/>
        <c:ser>
          <c:idx val="0"/>
          <c:order val="0"/>
          <c:tx>
            <c:strRef>
              <c:f>'Figure 1'!$N$3</c:f>
              <c:strCache>
                <c:ptCount val="1"/>
                <c:pt idx="0">
                  <c:v>Historic emissions</c:v>
                </c:pt>
              </c:strCache>
            </c:strRef>
          </c:tx>
          <c:spPr>
            <a:ln w="22225"/>
          </c:spPr>
          <c:marker>
            <c:symbol val="none"/>
          </c:marker>
          <c:dPt>
            <c:idx val="0"/>
            <c:bubble3D val="0"/>
          </c:dPt>
          <c:dPt>
            <c:idx val="11"/>
            <c:bubble3D val="0"/>
          </c:dPt>
          <c:dPt>
            <c:idx val="12"/>
            <c:bubble3D val="0"/>
          </c:dPt>
          <c:dPt>
            <c:idx val="22"/>
            <c:bubble3D val="0"/>
          </c:dPt>
          <c:dPt>
            <c:idx val="24"/>
            <c:bubble3D val="0"/>
            <c:spPr>
              <a:ln w="22225">
                <a:solidFill>
                  <a:srgbClr val="416FA6"/>
                </a:solidFill>
              </a:ln>
            </c:spPr>
          </c:dPt>
          <c:cat>
            <c:numRef>
              <c:f>'Figure 1'!$U$2:$BI$2</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'Figure 1'!$U$3:$AU$3</c:f>
              <c:numCache>
                <c:formatCode>General</c:formatCode>
                <c:ptCount val="27"/>
                <c:pt idx="0">
                  <c:v>5716.3636175740503</c:v>
                </c:pt>
                <c:pt idx="1">
                  <c:v>5614.2469019864902</c:v>
                </c:pt>
                <c:pt idx="2">
                  <c:v>5442.6878080188199</c:v>
                </c:pt>
                <c:pt idx="3">
                  <c:v>5346.86175398264</c:v>
                </c:pt>
                <c:pt idx="4">
                  <c:v>5327.9731941842001</c:v>
                </c:pt>
                <c:pt idx="5">
                  <c:v>5381.3594464176203</c:v>
                </c:pt>
                <c:pt idx="6">
                  <c:v>5494.5187033928196</c:v>
                </c:pt>
                <c:pt idx="7">
                  <c:v>5398.6018835037603</c:v>
                </c:pt>
                <c:pt idx="8">
                  <c:v>5360.3463426175404</c:v>
                </c:pt>
                <c:pt idx="9">
                  <c:v>5255.7254540346503</c:v>
                </c:pt>
                <c:pt idx="10">
                  <c:v>5270.8470261730499</c:v>
                </c:pt>
                <c:pt idx="11">
                  <c:v>5324.6589759496001</c:v>
                </c:pt>
                <c:pt idx="12">
                  <c:v>5278.8882651350796</c:v>
                </c:pt>
                <c:pt idx="13">
                  <c:v>5366.9136882337398</c:v>
                </c:pt>
                <c:pt idx="14">
                  <c:v>5375.3950905204701</c:v>
                </c:pt>
                <c:pt idx="15">
                  <c:v>5345.2141709107</c:v>
                </c:pt>
                <c:pt idx="16">
                  <c:v>5338.3274003750003</c:v>
                </c:pt>
                <c:pt idx="17">
                  <c:v>5293.7641731349004</c:v>
                </c:pt>
                <c:pt idx="18">
                  <c:v>5179.4813657422501</c:v>
                </c:pt>
                <c:pt idx="19">
                  <c:v>4803.5854971907802</c:v>
                </c:pt>
                <c:pt idx="20">
                  <c:v>4909.51754753983</c:v>
                </c:pt>
                <c:pt idx="21">
                  <c:v>4758.6645973116701</c:v>
                </c:pt>
                <c:pt idx="22">
                  <c:v>4693.2397706435304</c:v>
                </c:pt>
                <c:pt idx="23">
                  <c:v>4598.8451926954203</c:v>
                </c:pt>
                <c:pt idx="24">
                  <c:v>4423.7383940724803</c:v>
                </c:pt>
                <c:pt idx="25">
                  <c:v>4451.8125644295396</c:v>
                </c:pt>
                <c:pt idx="26" formatCode="#,##0.00">
                  <c:v>4423.071353723044</c:v>
                </c:pt>
              </c:numCache>
            </c:numRef>
          </c:val>
          <c:smooth val="0"/>
        </c:ser>
        <c:ser>
          <c:idx val="6"/>
          <c:order val="1"/>
          <c:tx>
            <c:strRef>
              <c:f>'Figure 1'!$N$4</c:f>
              <c:strCache>
                <c:ptCount val="1"/>
                <c:pt idx="0">
                  <c:v>Projections with existing measures -WEM- (based on MS submissions)</c:v>
                </c:pt>
              </c:strCache>
            </c:strRef>
          </c:tx>
          <c:spPr>
            <a:ln w="22225">
              <a:solidFill>
                <a:schemeClr val="accent6">
                  <a:lumMod val="75000"/>
                </a:schemeClr>
              </a:solidFill>
              <a:prstDash val="dash"/>
            </a:ln>
          </c:spPr>
          <c:marker>
            <c:symbol val="none"/>
          </c:marker>
          <c:cat>
            <c:numRef>
              <c:f>'Figure 1'!$U$2:$BI$2</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'Figure 1'!$U$4:$BI$4</c:f>
              <c:numCache>
                <c:formatCode>General</c:formatCode>
                <c:ptCount val="41"/>
                <c:pt idx="25" formatCode="#,##0.00">
                  <c:v>4454.8153252896445</c:v>
                </c:pt>
                <c:pt idx="26" formatCode="#,##0.00">
                  <c:v>4383.6290021826526</c:v>
                </c:pt>
                <c:pt idx="27" formatCode="#,##0.00">
                  <c:v>4348.189181867936</c:v>
                </c:pt>
                <c:pt idx="28" formatCode="#,##0.00">
                  <c:v>4300.44738393434</c:v>
                </c:pt>
                <c:pt idx="29" formatCode="#,##0.00">
                  <c:v>4258.966834281322</c:v>
                </c:pt>
                <c:pt idx="30" formatCode="#,##0.00">
                  <c:v>4212.9610637353308</c:v>
                </c:pt>
                <c:pt idx="31" formatCode="#,##0.00">
                  <c:v>4193.0342007510899</c:v>
                </c:pt>
                <c:pt idx="32" formatCode="#,##0.00">
                  <c:v>4166.2062424546739</c:v>
                </c:pt>
                <c:pt idx="33" formatCode="#,##0.00">
                  <c:v>4147.9020502723097</c:v>
                </c:pt>
                <c:pt idx="34" formatCode="#,##0.00">
                  <c:v>4116.5223814775254</c:v>
                </c:pt>
                <c:pt idx="35" formatCode="#,##0.00">
                  <c:v>4089.1439485240135</c:v>
                </c:pt>
                <c:pt idx="36" formatCode="#,##0.00">
                  <c:v>4068.6510286514876</c:v>
                </c:pt>
                <c:pt idx="37" formatCode="#,##0.00">
                  <c:v>4044.4553191315063</c:v>
                </c:pt>
                <c:pt idx="38" formatCode="#,##0.00">
                  <c:v>4027.2866371738505</c:v>
                </c:pt>
                <c:pt idx="39" formatCode="#,##0.00">
                  <c:v>4010.8165114602421</c:v>
                </c:pt>
                <c:pt idx="40" formatCode="#,##0.00">
                  <c:v>3987.7368566174823</c:v>
                </c:pt>
              </c:numCache>
            </c:numRef>
          </c:val>
          <c:smooth val="0"/>
        </c:ser>
        <c:ser>
          <c:idx val="1"/>
          <c:order val="2"/>
          <c:tx>
            <c:strRef>
              <c:f>'Figure 1'!$N$5</c:f>
              <c:strCache>
                <c:ptCount val="1"/>
                <c:pt idx="0">
                  <c:v>EU 2020 target: 20% reduction compared to 1990</c:v>
                </c:pt>
              </c:strCache>
            </c:strRef>
          </c:tx>
          <c:marker>
            <c:symbol val="triangle"/>
            <c:size val="12"/>
          </c:marker>
          <c:cat>
            <c:numRef>
              <c:f>'Figure 1'!$U$2:$BI$2</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'Figure 1'!$U$5:$BI$5</c:f>
              <c:numCache>
                <c:formatCode>General</c:formatCode>
                <c:ptCount val="41"/>
                <c:pt idx="30" formatCode="0">
                  <c:v>4573.0908940592408</c:v>
                </c:pt>
              </c:numCache>
            </c:numRef>
          </c:val>
          <c:smooth val="0"/>
        </c:ser>
        <c:ser>
          <c:idx val="2"/>
          <c:order val="3"/>
          <c:tx>
            <c:strRef>
              <c:f>'Figure 1'!$N$6</c:f>
              <c:strCache>
                <c:ptCount val="1"/>
                <c:pt idx="0">
                  <c:v>EU 2030 target: at least 40% reduction compared to 1990</c:v>
                </c:pt>
              </c:strCache>
            </c:strRef>
          </c:tx>
          <c:dPt>
            <c:idx val="40"/>
            <c:marker>
              <c:symbol val="triangle"/>
              <c:size val="12"/>
            </c:marker>
            <c:bubble3D val="0"/>
          </c:dPt>
          <c:dPt>
            <c:idx val="41"/>
            <c:marker>
              <c:symbol val="triangle"/>
              <c:size val="12"/>
              <c:spPr>
                <a:solidFill>
                  <a:schemeClr val="accent6">
                    <a:lumMod val="75000"/>
                  </a:schemeClr>
                </a:solidFill>
              </c:spPr>
            </c:marker>
            <c:bubble3D val="0"/>
          </c:dPt>
          <c:cat>
            <c:numRef>
              <c:f>'Figure 1'!$U$2:$BI$2</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'Figure 1'!$U$6:$BI$6</c:f>
              <c:numCache>
                <c:formatCode>General</c:formatCode>
                <c:ptCount val="41"/>
                <c:pt idx="40" formatCode="#,##0.0">
                  <c:v>3429.8181705444299</c:v>
                </c:pt>
              </c:numCache>
            </c:numRef>
          </c:val>
          <c:smooth val="0"/>
        </c:ser>
        <c:ser>
          <c:idx val="3"/>
          <c:order val="4"/>
          <c:tx>
            <c:strRef>
              <c:f>'Figure 1'!$N$7</c:f>
              <c:strCache>
                <c:ptCount val="1"/>
                <c:pt idx="0">
                  <c:v>Proposed greenhouse gas emissions trajectory</c:v>
                </c:pt>
              </c:strCache>
            </c:strRef>
          </c:tx>
          <c:spPr>
            <a:ln w="38100">
              <a:solidFill>
                <a:schemeClr val="accent3">
                  <a:lumMod val="50000"/>
                </a:schemeClr>
              </a:solidFill>
              <a:prstDash val="dash"/>
            </a:ln>
          </c:spPr>
          <c:marker>
            <c:symbol val="none"/>
          </c:marker>
          <c:dPt>
            <c:idx val="0"/>
            <c:bubble3D val="0"/>
            <c:spPr>
              <a:ln w="22225">
                <a:solidFill>
                  <a:schemeClr val="accent3">
                    <a:lumMod val="50000"/>
                  </a:schemeClr>
                </a:solidFill>
                <a:prstDash val="dash"/>
              </a:ln>
            </c:spPr>
          </c:dPt>
          <c:cat>
            <c:numRef>
              <c:f>'Figure 1'!$U$2:$BI$2</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'Figure 1'!$U$7:$BI$7</c:f>
              <c:numCache>
                <c:formatCode>General</c:formatCode>
                <c:ptCount val="41"/>
                <c:pt idx="30">
                  <c:v>4573.0908940592408</c:v>
                </c:pt>
                <c:pt idx="31">
                  <c:v>4458.7636217077597</c:v>
                </c:pt>
                <c:pt idx="32">
                  <c:v>4344.4363493562787</c:v>
                </c:pt>
                <c:pt idx="33">
                  <c:v>4230.1090770047977</c:v>
                </c:pt>
                <c:pt idx="34">
                  <c:v>4115.7818046533166</c:v>
                </c:pt>
                <c:pt idx="35">
                  <c:v>4001.4545323018356</c:v>
                </c:pt>
                <c:pt idx="36">
                  <c:v>3887.1272599503545</c:v>
                </c:pt>
                <c:pt idx="37">
                  <c:v>3772.7999875988735</c:v>
                </c:pt>
                <c:pt idx="38">
                  <c:v>3658.472715247392</c:v>
                </c:pt>
                <c:pt idx="39">
                  <c:v>3544.1454428959109</c:v>
                </c:pt>
                <c:pt idx="40">
                  <c:v>3429.8181705444299</c:v>
                </c:pt>
              </c:numCache>
            </c:numRef>
          </c:val>
          <c:smooth val="0"/>
        </c:ser>
        <c:dLbls>
          <c:showLegendKey val="0"/>
          <c:showVal val="0"/>
          <c:showCatName val="0"/>
          <c:showSerName val="0"/>
          <c:showPercent val="0"/>
          <c:showBubbleSize val="0"/>
        </c:dLbls>
        <c:marker val="1"/>
        <c:smooth val="0"/>
        <c:axId val="156870528"/>
        <c:axId val="156872064"/>
      </c:lineChart>
      <c:catAx>
        <c:axId val="156870528"/>
        <c:scaling>
          <c:orientation val="minMax"/>
        </c:scaling>
        <c:delete val="0"/>
        <c:axPos val="b"/>
        <c:numFmt formatCode="General" sourceLinked="1"/>
        <c:majorTickMark val="out"/>
        <c:minorTickMark val="none"/>
        <c:tickLblPos val="nextTo"/>
        <c:txPr>
          <a:bodyPr rot="0" vert="horz"/>
          <a:lstStyle/>
          <a:p>
            <a:pPr>
              <a:defRPr sz="1100">
                <a:latin typeface="Times New Roman" panose="02020603050405020304" pitchFamily="18" charset="0"/>
                <a:cs typeface="Times New Roman" panose="02020603050405020304" pitchFamily="18" charset="0"/>
              </a:defRPr>
            </a:pPr>
            <a:endParaRPr lang="en-US"/>
          </a:p>
        </c:txPr>
        <c:crossAx val="156872064"/>
        <c:crosses val="autoZero"/>
        <c:auto val="1"/>
        <c:lblAlgn val="ctr"/>
        <c:lblOffset val="100"/>
        <c:tickLblSkip val="5"/>
        <c:tickMarkSkip val="1"/>
        <c:noMultiLvlLbl val="0"/>
      </c:catAx>
      <c:valAx>
        <c:axId val="156872064"/>
        <c:scaling>
          <c:orientation val="minMax"/>
          <c:max val="6000"/>
          <c:min val="3000"/>
        </c:scaling>
        <c:delete val="0"/>
        <c:axPos val="l"/>
        <c:majorGridlines>
          <c:spPr>
            <a:ln>
              <a:solidFill>
                <a:schemeClr val="bg1">
                  <a:lumMod val="85000"/>
                </a:schemeClr>
              </a:solidFill>
            </a:ln>
          </c:spPr>
        </c:majorGridlines>
        <c:title>
          <c:tx>
            <c:rich>
              <a:bodyPr rot="-5400000" vert="horz"/>
              <a:lstStyle/>
              <a:p>
                <a:pPr>
                  <a:defRPr sz="1100"/>
                </a:pPr>
                <a:r>
                  <a:rPr lang="en-US" sz="1100">
                    <a:latin typeface="Times New Roman" panose="02020603050405020304" pitchFamily="18" charset="0"/>
                    <a:cs typeface="Times New Roman" panose="02020603050405020304" pitchFamily="18" charset="0"/>
                  </a:rPr>
                  <a:t>Mt CO</a:t>
                </a:r>
                <a:r>
                  <a:rPr lang="en-US" sz="1100" baseline="-25000">
                    <a:latin typeface="Times New Roman" panose="02020603050405020304" pitchFamily="18" charset="0"/>
                    <a:cs typeface="Times New Roman" panose="02020603050405020304" pitchFamily="18" charset="0"/>
                  </a:rPr>
                  <a:t>2</a:t>
                </a:r>
                <a:r>
                  <a:rPr lang="en-US" sz="1100">
                    <a:latin typeface="Times New Roman" panose="02020603050405020304" pitchFamily="18" charset="0"/>
                    <a:cs typeface="Times New Roman" panose="02020603050405020304" pitchFamily="18" charset="0"/>
                  </a:rPr>
                  <a:t> equivalent</a:t>
                </a:r>
              </a:p>
            </c:rich>
          </c:tx>
          <c:layout>
            <c:manualLayout>
              <c:xMode val="edge"/>
              <c:yMode val="edge"/>
              <c:x val="5.9212272480275831E-3"/>
              <c:y val="0.22654605990925478"/>
            </c:manualLayout>
          </c:layout>
          <c:overlay val="0"/>
        </c:title>
        <c:numFmt formatCode="#,##0"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en-US"/>
          </a:p>
        </c:txPr>
        <c:crossAx val="156870528"/>
        <c:crosses val="autoZero"/>
        <c:crossBetween val="between"/>
      </c:valAx>
    </c:plotArea>
    <c:legend>
      <c:legendPos val="b"/>
      <c:legendEntry>
        <c:idx val="0"/>
        <c:txPr>
          <a:bodyPr/>
          <a:lstStyle/>
          <a:p>
            <a:pPr>
              <a:defRPr sz="1000">
                <a:latin typeface="Times New Roman" panose="02020603050405020304" pitchFamily="18" charset="0"/>
                <a:cs typeface="Times New Roman" panose="02020603050405020304" pitchFamily="18" charset="0"/>
              </a:defRPr>
            </a:pPr>
            <a:endParaRPr lang="en-US"/>
          </a:p>
        </c:txPr>
      </c:legendEntry>
      <c:legendEntry>
        <c:idx val="1"/>
        <c:txPr>
          <a:bodyPr/>
          <a:lstStyle/>
          <a:p>
            <a:pPr>
              <a:defRPr sz="1000">
                <a:latin typeface="Times New Roman" panose="02020603050405020304" pitchFamily="18" charset="0"/>
                <a:cs typeface="Times New Roman" panose="02020603050405020304" pitchFamily="18" charset="0"/>
              </a:defRPr>
            </a:pPr>
            <a:endParaRPr lang="en-US"/>
          </a:p>
        </c:txPr>
      </c:legendEntry>
      <c:legendEntry>
        <c:idx val="2"/>
        <c:delete val="1"/>
      </c:legendEntry>
      <c:legendEntry>
        <c:idx val="3"/>
        <c:delete val="1"/>
      </c:legendEntry>
      <c:layout>
        <c:manualLayout>
          <c:xMode val="edge"/>
          <c:yMode val="edge"/>
          <c:x val="0"/>
          <c:y val="0.77247464490046958"/>
          <c:w val="0.94005934718100892"/>
          <c:h val="0.22571187123028322"/>
        </c:manualLayout>
      </c:layout>
      <c:overlay val="0"/>
      <c:txPr>
        <a:bodyPr/>
        <a:lstStyle/>
        <a:p>
          <a:pPr>
            <a:defRPr sz="10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txPr>
    <a:bodyPr/>
    <a:lstStyle/>
    <a:p>
      <a:pPr>
        <a:defRPr sz="1400">
          <a:latin typeface="Palatino Linotype" panose="02040502050505030304" pitchFamily="18" charset="0"/>
          <a:cs typeface="Times New Roman" panose="02020603050405020304"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711666666667"/>
          <c:y val="0.104925"/>
          <c:w val="0.82892833333333404"/>
          <c:h val="0.78563722222222199"/>
        </c:manualLayout>
      </c:layout>
      <c:lineChart>
        <c:grouping val="standard"/>
        <c:varyColors val="0"/>
        <c:ser>
          <c:idx val="0"/>
          <c:order val="0"/>
          <c:tx>
            <c:strRef>
              <c:f>GDP!$A$7</c:f>
              <c:strCache>
                <c:ptCount val="1"/>
                <c:pt idx="0">
                  <c:v>GDP</c:v>
                </c:pt>
              </c:strCache>
            </c:strRef>
          </c:tx>
          <c:spPr>
            <a:ln w="22225"/>
          </c:spPr>
          <c:marker>
            <c:symbol val="none"/>
          </c:marker>
          <c:cat>
            <c:numRef>
              <c:f>GDP!$C$7:$AC$7</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GDP!$C$11:$AC$11</c:f>
              <c:numCache>
                <c:formatCode>#,##0.0</c:formatCode>
                <c:ptCount val="27"/>
                <c:pt idx="0">
                  <c:v>100</c:v>
                </c:pt>
                <c:pt idx="1">
                  <c:v>101.02413811002748</c:v>
                </c:pt>
                <c:pt idx="2">
                  <c:v>101.91202461108482</c:v>
                </c:pt>
                <c:pt idx="3">
                  <c:v>101.73438420072102</c:v>
                </c:pt>
                <c:pt idx="4">
                  <c:v>104.63190271824887</c:v>
                </c:pt>
                <c:pt idx="5">
                  <c:v>107.43327818637816</c:v>
                </c:pt>
                <c:pt idx="6">
                  <c:v>109.59623068860395</c:v>
                </c:pt>
                <c:pt idx="7">
                  <c:v>112.63364994653988</c:v>
                </c:pt>
                <c:pt idx="8">
                  <c:v>116.02173408662378</c:v>
                </c:pt>
                <c:pt idx="9">
                  <c:v>119.50680298380777</c:v>
                </c:pt>
                <c:pt idx="10">
                  <c:v>124.15774171401215</c:v>
                </c:pt>
                <c:pt idx="11">
                  <c:v>126.93399008325174</c:v>
                </c:pt>
                <c:pt idx="12">
                  <c:v>128.64831273143454</c:v>
                </c:pt>
                <c:pt idx="13">
                  <c:v>130.33869901234328</c:v>
                </c:pt>
                <c:pt idx="14">
                  <c:v>133.67619234748486</c:v>
                </c:pt>
                <c:pt idx="15">
                  <c:v>136.47484975296754</c:v>
                </c:pt>
                <c:pt idx="16">
                  <c:v>141.09429432059747</c:v>
                </c:pt>
                <c:pt idx="17">
                  <c:v>145.49223041713037</c:v>
                </c:pt>
                <c:pt idx="18">
                  <c:v>146.2226376489146</c:v>
                </c:pt>
                <c:pt idx="19">
                  <c:v>139.8028618800756</c:v>
                </c:pt>
                <c:pt idx="20">
                  <c:v>142.71177603950383</c:v>
                </c:pt>
                <c:pt idx="21">
                  <c:v>145.22543437014309</c:v>
                </c:pt>
                <c:pt idx="22">
                  <c:v>144.53322790330395</c:v>
                </c:pt>
                <c:pt idx="23">
                  <c:v>144.82277421965034</c:v>
                </c:pt>
                <c:pt idx="24">
                  <c:v>146.77448328078938</c:v>
                </c:pt>
                <c:pt idx="25">
                  <c:v>149.64100605027645</c:v>
                </c:pt>
                <c:pt idx="26">
                  <c:v>152.30856978834231</c:v>
                </c:pt>
              </c:numCache>
            </c:numRef>
          </c:val>
          <c:smooth val="0"/>
        </c:ser>
        <c:ser>
          <c:idx val="1"/>
          <c:order val="1"/>
          <c:tx>
            <c:strRef>
              <c:f>GDP!$A$14</c:f>
              <c:strCache>
                <c:ptCount val="1"/>
                <c:pt idx="0">
                  <c:v>GHG emissions</c:v>
                </c:pt>
              </c:strCache>
            </c:strRef>
          </c:tx>
          <c:spPr>
            <a:ln w="22225"/>
          </c:spPr>
          <c:marker>
            <c:symbol val="none"/>
          </c:marker>
          <c:cat>
            <c:numRef>
              <c:f>GDP!$C$7:$AC$7</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GDP!$C$16:$AC$16</c:f>
              <c:numCache>
                <c:formatCode>#,##0</c:formatCode>
                <c:ptCount val="27"/>
                <c:pt idx="0">
                  <c:v>100</c:v>
                </c:pt>
                <c:pt idx="1">
                  <c:v>98.213607068773257</c:v>
                </c:pt>
                <c:pt idx="2">
                  <c:v>95.21241425731111</c:v>
                </c:pt>
                <c:pt idx="3">
                  <c:v>93.536067886664256</c:v>
                </c:pt>
                <c:pt idx="4">
                  <c:v>93.20563824533825</c:v>
                </c:pt>
                <c:pt idx="5">
                  <c:v>94.139558055290379</c:v>
                </c:pt>
                <c:pt idx="6">
                  <c:v>96.119125216261551</c:v>
                </c:pt>
                <c:pt idx="7">
                  <c:v>94.441191020575005</c:v>
                </c:pt>
                <c:pt idx="8">
                  <c:v>93.771962408724463</c:v>
                </c:pt>
                <c:pt idx="9">
                  <c:v>91.941762379789111</c:v>
                </c:pt>
                <c:pt idx="10">
                  <c:v>92.206293699873626</c:v>
                </c:pt>
                <c:pt idx="11">
                  <c:v>93.147660508855381</c:v>
                </c:pt>
                <c:pt idx="12">
                  <c:v>92.346964229251924</c:v>
                </c:pt>
                <c:pt idx="13">
                  <c:v>93.886849180377851</c:v>
                </c:pt>
                <c:pt idx="14">
                  <c:v>94.035219767942564</c:v>
                </c:pt>
                <c:pt idx="15">
                  <c:v>93.507245663618903</c:v>
                </c:pt>
                <c:pt idx="16">
                  <c:v>93.386770987821038</c:v>
                </c:pt>
                <c:pt idx="17">
                  <c:v>92.607197989646167</c:v>
                </c:pt>
                <c:pt idx="18">
                  <c:v>90.607975843572291</c:v>
                </c:pt>
                <c:pt idx="19">
                  <c:v>84.032189317399627</c:v>
                </c:pt>
                <c:pt idx="20">
                  <c:v>85.885326336594474</c:v>
                </c:pt>
                <c:pt idx="21">
                  <c:v>83.246359323292751</c:v>
                </c:pt>
                <c:pt idx="22">
                  <c:v>82.101841041303103</c:v>
                </c:pt>
                <c:pt idx="23">
                  <c:v>80.450536396197791</c:v>
                </c:pt>
                <c:pt idx="24">
                  <c:v>77.387281321160202</c:v>
                </c:pt>
                <c:pt idx="25">
                  <c:v>77.878400715153077</c:v>
                </c:pt>
                <c:pt idx="26">
                  <c:v>77.375612358265926</c:v>
                </c:pt>
              </c:numCache>
            </c:numRef>
          </c:val>
          <c:smooth val="0"/>
        </c:ser>
        <c:ser>
          <c:idx val="2"/>
          <c:order val="2"/>
          <c:tx>
            <c:strRef>
              <c:f>GDP!$A$18</c:f>
              <c:strCache>
                <c:ptCount val="1"/>
                <c:pt idx="0">
                  <c:v>GHG intensity</c:v>
                </c:pt>
              </c:strCache>
            </c:strRef>
          </c:tx>
          <c:spPr>
            <a:ln w="22225">
              <a:solidFill>
                <a:srgbClr val="00B050"/>
              </a:solidFill>
            </a:ln>
          </c:spPr>
          <c:marker>
            <c:symbol val="none"/>
          </c:marker>
          <c:cat>
            <c:numRef>
              <c:f>GDP!$C$7:$AC$7</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GDP!$C$21:$AC$21</c:f>
              <c:numCache>
                <c:formatCode>0.0</c:formatCode>
                <c:ptCount val="27"/>
                <c:pt idx="0">
                  <c:v>100</c:v>
                </c:pt>
                <c:pt idx="1">
                  <c:v>97.217960881593271</c:v>
                </c:pt>
                <c:pt idx="2">
                  <c:v>93.426084527963525</c:v>
                </c:pt>
                <c:pt idx="3">
                  <c:v>91.941449905587902</c:v>
                </c:pt>
                <c:pt idx="4">
                  <c:v>89.079559698269961</c:v>
                </c:pt>
                <c:pt idx="5">
                  <c:v>87.62606861160333</c:v>
                </c:pt>
                <c:pt idx="6">
                  <c:v>87.702948004995775</c:v>
                </c:pt>
                <c:pt idx="7">
                  <c:v>83.848113832234247</c:v>
                </c:pt>
                <c:pt idx="8">
                  <c:v>80.822755449175361</c:v>
                </c:pt>
                <c:pt idx="9">
                  <c:v>76.934333514257347</c:v>
                </c:pt>
                <c:pt idx="10">
                  <c:v>74.265440420351553</c:v>
                </c:pt>
                <c:pt idx="11">
                  <c:v>73.382756224525011</c:v>
                </c:pt>
                <c:pt idx="12">
                  <c:v>71.782491560565518</c:v>
                </c:pt>
                <c:pt idx="13">
                  <c:v>72.032980144666482</c:v>
                </c:pt>
                <c:pt idx="14">
                  <c:v>70.345525344933918</c:v>
                </c:pt>
                <c:pt idx="15">
                  <c:v>68.51610082947586</c:v>
                </c:pt>
                <c:pt idx="16">
                  <c:v>66.187489322300735</c:v>
                </c:pt>
                <c:pt idx="17">
                  <c:v>63.65095766566963</c:v>
                </c:pt>
                <c:pt idx="18">
                  <c:v>61.965764877751049</c:v>
                </c:pt>
                <c:pt idx="19">
                  <c:v>60.107631694609623</c:v>
                </c:pt>
                <c:pt idx="20">
                  <c:v>60.180966644841341</c:v>
                </c:pt>
                <c:pt idx="21">
                  <c:v>57.322162391416057</c:v>
                </c:pt>
                <c:pt idx="22">
                  <c:v>56.80482075459571</c:v>
                </c:pt>
                <c:pt idx="23">
                  <c:v>55.551025610226056</c:v>
                </c:pt>
                <c:pt idx="24">
                  <c:v>52.725296380783817</c:v>
                </c:pt>
                <c:pt idx="25">
                  <c:v>52.043489128232309</c:v>
                </c:pt>
                <c:pt idx="26">
                  <c:v>50.80187704854167</c:v>
                </c:pt>
              </c:numCache>
            </c:numRef>
          </c:val>
          <c:smooth val="0"/>
        </c:ser>
        <c:dLbls>
          <c:showLegendKey val="0"/>
          <c:showVal val="0"/>
          <c:showCatName val="0"/>
          <c:showSerName val="0"/>
          <c:showPercent val="0"/>
          <c:showBubbleSize val="0"/>
        </c:dLbls>
        <c:marker val="1"/>
        <c:smooth val="0"/>
        <c:axId val="162667520"/>
        <c:axId val="162669312"/>
      </c:lineChart>
      <c:catAx>
        <c:axId val="162667520"/>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62669312"/>
        <c:crosses val="autoZero"/>
        <c:auto val="1"/>
        <c:lblAlgn val="ctr"/>
        <c:lblOffset val="100"/>
        <c:noMultiLvlLbl val="0"/>
      </c:catAx>
      <c:valAx>
        <c:axId val="162669312"/>
        <c:scaling>
          <c:orientation val="minMax"/>
          <c:max val="160"/>
          <c:min val="40"/>
        </c:scaling>
        <c:delete val="0"/>
        <c:axPos val="l"/>
        <c:majorGridlines/>
        <c:title>
          <c:tx>
            <c:rich>
              <a:bodyPr rot="-5400000" vert="horz"/>
              <a:lstStyle/>
              <a:p>
                <a:pPr>
                  <a:defRPr/>
                </a:pPr>
                <a:r>
                  <a:rPr lang="en-US"/>
                  <a:t>Index 1990=100</a:t>
                </a:r>
              </a:p>
            </c:rich>
          </c:tx>
          <c:layout/>
          <c:overlay val="0"/>
        </c:title>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62667520"/>
        <c:crosses val="autoZero"/>
        <c:crossBetween val="between"/>
      </c:valAx>
    </c:plotArea>
    <c:legend>
      <c:legendPos val="r"/>
      <c:layout>
        <c:manualLayout>
          <c:xMode val="edge"/>
          <c:yMode val="edge"/>
          <c:x val="0.113977056700969"/>
          <c:y val="0.658596409450528"/>
          <c:w val="0.26380242311276803"/>
          <c:h val="0.20232627390910601"/>
        </c:manualLayout>
      </c:layout>
      <c:overlay val="0"/>
      <c:spPr>
        <a:solidFill>
          <a:schemeClr val="bg1"/>
        </a:solidFill>
      </c:spPr>
      <c:txPr>
        <a:bodyPr/>
        <a:lstStyle/>
        <a:p>
          <a:pPr>
            <a:defRPr sz="105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txPr>
    <a:bodyPr/>
    <a:lstStyle/>
    <a:p>
      <a:pPr>
        <a:defRPr sz="900">
          <a:latin typeface="Palatino Linotype" panose="0204050205050503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691829962208138E-2"/>
          <c:y val="3.5384222563317677E-2"/>
          <c:w val="0.86748976637442887"/>
          <c:h val="0.76545544013272859"/>
        </c:manualLayout>
      </c:layout>
      <c:lineChart>
        <c:grouping val="standard"/>
        <c:varyColors val="0"/>
        <c:ser>
          <c:idx val="0"/>
          <c:order val="0"/>
          <c:tx>
            <c:strRef>
              <c:f>[41]GHG_per_capita_top_4!$A$40</c:f>
              <c:strCache>
                <c:ptCount val="1"/>
                <c:pt idx="0">
                  <c:v>USA </c:v>
                </c:pt>
              </c:strCache>
            </c:strRef>
          </c:tx>
          <c:spPr>
            <a:ln w="22225" cap="rnd">
              <a:solidFill>
                <a:srgbClr val="006600"/>
              </a:solidFill>
              <a:round/>
            </a:ln>
            <a:effectLst/>
          </c:spPr>
          <c:marker>
            <c:symbol val="circle"/>
            <c:size val="5"/>
            <c:spPr>
              <a:noFill/>
              <a:ln w="9525">
                <a:noFill/>
              </a:ln>
              <a:effectLst/>
            </c:spPr>
          </c:marker>
          <c:cat>
            <c:numRef>
              <c:f>[41]GHG_per_capita_top_4!$B$5:$X$5</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[41]GHG_per_capita_top_4!$B$40:$X$40</c:f>
              <c:numCache>
                <c:formatCode>General</c:formatCode>
                <c:ptCount val="23"/>
                <c:pt idx="0">
                  <c:v>23.837641587040434</c:v>
                </c:pt>
                <c:pt idx="1">
                  <c:v>23.433294043474685</c:v>
                </c:pt>
                <c:pt idx="2">
                  <c:v>23.551343890069326</c:v>
                </c:pt>
                <c:pt idx="3">
                  <c:v>23.756808315452908</c:v>
                </c:pt>
                <c:pt idx="4">
                  <c:v>23.897668447898035</c:v>
                </c:pt>
                <c:pt idx="5">
                  <c:v>23.82024666135889</c:v>
                </c:pt>
                <c:pt idx="6">
                  <c:v>24.092911241154358</c:v>
                </c:pt>
                <c:pt idx="7">
                  <c:v>24.40822623615249</c:v>
                </c:pt>
                <c:pt idx="8">
                  <c:v>24.156371899809663</c:v>
                </c:pt>
                <c:pt idx="9">
                  <c:v>23.897494378527941</c:v>
                </c:pt>
                <c:pt idx="10">
                  <c:v>24.304196595215203</c:v>
                </c:pt>
                <c:pt idx="11">
                  <c:v>23.854077733768143</c:v>
                </c:pt>
                <c:pt idx="12">
                  <c:v>23.345223609998925</c:v>
                </c:pt>
                <c:pt idx="13">
                  <c:v>23.357158811704267</c:v>
                </c:pt>
                <c:pt idx="14">
                  <c:v>23.354637159277896</c:v>
                </c:pt>
                <c:pt idx="15">
                  <c:v>23.159552914162219</c:v>
                </c:pt>
                <c:pt idx="16">
                  <c:v>22.523179672155283</c:v>
                </c:pt>
                <c:pt idx="17">
                  <c:v>22.580986289017954</c:v>
                </c:pt>
                <c:pt idx="18">
                  <c:v>21.754868247759244</c:v>
                </c:pt>
                <c:pt idx="19">
                  <c:v>20.171824549526089</c:v>
                </c:pt>
                <c:pt idx="20">
                  <c:v>20.902974092862951</c:v>
                </c:pt>
                <c:pt idx="21">
                  <c:v>20.3676814238612</c:v>
                </c:pt>
                <c:pt idx="22">
                  <c:v>19.473537082392255</c:v>
                </c:pt>
              </c:numCache>
            </c:numRef>
          </c:val>
          <c:smooth val="0"/>
        </c:ser>
        <c:ser>
          <c:idx val="2"/>
          <c:order val="1"/>
          <c:tx>
            <c:strRef>
              <c:f>[41]GHG_per_capita_top_4!$A$42</c:f>
              <c:strCache>
                <c:ptCount val="1"/>
                <c:pt idx="0">
                  <c:v>EU28</c:v>
                </c:pt>
              </c:strCache>
            </c:strRef>
          </c:tx>
          <c:spPr>
            <a:ln w="22225" cap="rnd">
              <a:solidFill>
                <a:schemeClr val="accent1">
                  <a:lumMod val="75000"/>
                </a:schemeClr>
              </a:solidFill>
              <a:round/>
            </a:ln>
            <a:effectLst/>
          </c:spPr>
          <c:marker>
            <c:symbol val="circle"/>
            <c:size val="5"/>
            <c:spPr>
              <a:noFill/>
              <a:ln w="9525">
                <a:noFill/>
              </a:ln>
              <a:effectLst/>
            </c:spPr>
          </c:marker>
          <c:cat>
            <c:numRef>
              <c:f>[41]GHG_per_capita_top_4!$B$5:$X$5</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[41]GHG_per_capita_top_4!$B$42:$X$42</c:f>
              <c:numCache>
                <c:formatCode>General</c:formatCode>
                <c:ptCount val="23"/>
                <c:pt idx="0">
                  <c:v>11.618166333884242</c:v>
                </c:pt>
                <c:pt idx="1">
                  <c:v>11.429312894416588</c:v>
                </c:pt>
                <c:pt idx="2">
                  <c:v>10.981546873338907</c:v>
                </c:pt>
                <c:pt idx="3">
                  <c:v>10.685365781680263</c:v>
                </c:pt>
                <c:pt idx="4">
                  <c:v>10.601337113981142</c:v>
                </c:pt>
                <c:pt idx="5">
                  <c:v>10.697467394136943</c:v>
                </c:pt>
                <c:pt idx="6">
                  <c:v>10.925819028090109</c:v>
                </c:pt>
                <c:pt idx="7">
                  <c:v>10.694606914703801</c:v>
                </c:pt>
                <c:pt idx="8">
                  <c:v>10.581248124639355</c:v>
                </c:pt>
                <c:pt idx="9">
                  <c:v>10.376615446367923</c:v>
                </c:pt>
                <c:pt idx="10">
                  <c:v>10.375656282749409</c:v>
                </c:pt>
                <c:pt idx="11">
                  <c:v>10.445723961771373</c:v>
                </c:pt>
                <c:pt idx="12">
                  <c:v>10.340886791642905</c:v>
                </c:pt>
                <c:pt idx="13">
                  <c:v>10.48318730619247</c:v>
                </c:pt>
                <c:pt idx="14">
                  <c:v>10.483889142683115</c:v>
                </c:pt>
                <c:pt idx="15">
                  <c:v>10.355957741263875</c:v>
                </c:pt>
                <c:pt idx="16">
                  <c:v>10.323106906521819</c:v>
                </c:pt>
                <c:pt idx="17">
                  <c:v>10.190169861362266</c:v>
                </c:pt>
                <c:pt idx="18">
                  <c:v>9.9438641583944296</c:v>
                </c:pt>
                <c:pt idx="19">
                  <c:v>9.1937951661691741</c:v>
                </c:pt>
                <c:pt idx="20">
                  <c:v>9.40460436899005</c:v>
                </c:pt>
                <c:pt idx="21">
                  <c:v>9.086046243487008</c:v>
                </c:pt>
                <c:pt idx="22">
                  <c:v>8.9936617459044381</c:v>
                </c:pt>
              </c:numCache>
            </c:numRef>
          </c:val>
          <c:smooth val="0"/>
        </c:ser>
        <c:ser>
          <c:idx val="7"/>
          <c:order val="2"/>
          <c:tx>
            <c:strRef>
              <c:f>[41]GHG_per_capita_top_4!$A$47</c:f>
              <c:strCache>
                <c:ptCount val="1"/>
                <c:pt idx="0">
                  <c:v>China </c:v>
                </c:pt>
              </c:strCache>
            </c:strRef>
          </c:tx>
          <c:spPr>
            <a:ln w="22225" cap="rnd">
              <a:solidFill>
                <a:srgbClr val="FFC000"/>
              </a:solidFill>
              <a:round/>
            </a:ln>
            <a:effectLst/>
          </c:spPr>
          <c:marker>
            <c:symbol val="circle"/>
            <c:size val="5"/>
            <c:spPr>
              <a:noFill/>
              <a:ln w="9525">
                <a:noFill/>
              </a:ln>
              <a:effectLst/>
            </c:spPr>
          </c:marker>
          <c:cat>
            <c:numRef>
              <c:f>[41]GHG_per_capita_top_4!$B$5:$X$5</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[41]GHG_per_capita_top_4!$B$47:$X$47</c:f>
              <c:numCache>
                <c:formatCode>General</c:formatCode>
                <c:ptCount val="23"/>
                <c:pt idx="0">
                  <c:v>3.4007586977420949</c:v>
                </c:pt>
                <c:pt idx="1">
                  <c:v>3.4500439296102638</c:v>
                </c:pt>
                <c:pt idx="2">
                  <c:v>3.4891833901300013</c:v>
                </c:pt>
                <c:pt idx="3">
                  <c:v>3.7092304111456551</c:v>
                </c:pt>
                <c:pt idx="4">
                  <c:v>3.8221237264302221</c:v>
                </c:pt>
                <c:pt idx="5">
                  <c:v>4.1054127573625232</c:v>
                </c:pt>
                <c:pt idx="6">
                  <c:v>4.1327297836427803</c:v>
                </c:pt>
                <c:pt idx="7">
                  <c:v>4.0771050141911065</c:v>
                </c:pt>
                <c:pt idx="8">
                  <c:v>4.1064321335818876</c:v>
                </c:pt>
                <c:pt idx="9">
                  <c:v>4.0408803288165931</c:v>
                </c:pt>
                <c:pt idx="10">
                  <c:v>4.2235013425513985</c:v>
                </c:pt>
                <c:pt idx="11">
                  <c:v>4.3089830017460207</c:v>
                </c:pt>
                <c:pt idx="12">
                  <c:v>4.5397671974150349</c:v>
                </c:pt>
                <c:pt idx="13">
                  <c:v>5.0733493871419837</c:v>
                </c:pt>
                <c:pt idx="14">
                  <c:v>5.7248126785618023</c:v>
                </c:pt>
                <c:pt idx="15">
                  <c:v>6.3491344975490192</c:v>
                </c:pt>
                <c:pt idx="16">
                  <c:v>6.8920463202803592</c:v>
                </c:pt>
                <c:pt idx="17">
                  <c:v>7.3239847533020619</c:v>
                </c:pt>
                <c:pt idx="18">
                  <c:v>7.4488765272972586</c:v>
                </c:pt>
                <c:pt idx="19">
                  <c:v>7.728686994399502</c:v>
                </c:pt>
                <c:pt idx="20">
                  <c:v>8.1279223248842261</c:v>
                </c:pt>
                <c:pt idx="21">
                  <c:v>8.7580201309923815</c:v>
                </c:pt>
                <c:pt idx="22">
                  <c:v>8.9256228834505205</c:v>
                </c:pt>
              </c:numCache>
            </c:numRef>
          </c:val>
          <c:smooth val="0"/>
        </c:ser>
        <c:dLbls>
          <c:showLegendKey val="0"/>
          <c:showVal val="0"/>
          <c:showCatName val="0"/>
          <c:showSerName val="0"/>
          <c:showPercent val="0"/>
          <c:showBubbleSize val="0"/>
        </c:dLbls>
        <c:marker val="1"/>
        <c:smooth val="0"/>
        <c:axId val="162681600"/>
        <c:axId val="162683520"/>
      </c:lineChart>
      <c:catAx>
        <c:axId val="162681600"/>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186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2683520"/>
        <c:crosses val="autoZero"/>
        <c:auto val="1"/>
        <c:lblAlgn val="ctr"/>
        <c:lblOffset val="100"/>
        <c:noMultiLvlLbl val="0"/>
      </c:catAx>
      <c:valAx>
        <c:axId val="162683520"/>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2681600"/>
        <c:crosses val="autoZero"/>
        <c:crossBetween val="midCat"/>
      </c:valAx>
      <c:spPr>
        <a:noFill/>
        <a:ln w="22225" cap="sq">
          <a:noFill/>
          <a:prstDash val="solid"/>
        </a:ln>
        <a:effectLst/>
      </c:spPr>
    </c:plotArea>
    <c:legend>
      <c:legendPos val="t"/>
      <c:layout>
        <c:manualLayout>
          <c:xMode val="edge"/>
          <c:yMode val="edge"/>
          <c:x val="0.37849469394753693"/>
          <c:y val="5.3306160180804155E-2"/>
          <c:w val="0.41101397711471843"/>
          <c:h val="0.14089479800543636"/>
        </c:manualLayout>
      </c:layout>
      <c:overlay val="0"/>
      <c:txPr>
        <a:bodyPr/>
        <a:lstStyle/>
        <a:p>
          <a:pPr>
            <a:defRPr sz="11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solidFill>
      <a:schemeClr val="bg1"/>
    </a:solidFill>
    <a:ln w="19050"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'Figure 4'!$S$2</c:f>
              <c:strCache>
                <c:ptCount val="1"/>
                <c:pt idx="0">
                  <c:v>Afforestation 
Reforestation</c:v>
                </c:pt>
              </c:strCache>
            </c:strRef>
          </c:tx>
          <c:spPr>
            <a:solidFill>
              <a:srgbClr val="FFCC00"/>
            </a:solidFill>
          </c:spPr>
          <c:invertIfNegative val="0"/>
          <c:cat>
            <c:strRef>
              <c:f>'Figure 4'!$R$3:$R$5</c:f>
              <c:strCache>
                <c:ptCount val="3"/>
                <c:pt idx="0">
                  <c:v>2013</c:v>
                </c:pt>
                <c:pt idx="1">
                  <c:v>2014</c:v>
                </c:pt>
                <c:pt idx="2">
                  <c:v>2015</c:v>
                </c:pt>
              </c:strCache>
            </c:strRef>
          </c:cat>
          <c:val>
            <c:numRef>
              <c:f>'Figure 4'!$S$3:$S$5</c:f>
              <c:numCache>
                <c:formatCode>General</c:formatCode>
                <c:ptCount val="3"/>
                <c:pt idx="0">
                  <c:v>-55405.635414107914</c:v>
                </c:pt>
                <c:pt idx="1">
                  <c:v>-57379.775020150526</c:v>
                </c:pt>
                <c:pt idx="2">
                  <c:v>-58773.518759573104</c:v>
                </c:pt>
              </c:numCache>
            </c:numRef>
          </c:val>
          <c:extLst xmlns:c16r2="http://schemas.microsoft.com/office/drawing/2015/06/chart">
            <c:ext xmlns:c16="http://schemas.microsoft.com/office/drawing/2014/chart" uri="{C3380CC4-5D6E-409C-BE32-E72D297353CC}">
              <c16:uniqueId val="{00000000-85F6-46F3-BAEA-FC673AC4F9A2}"/>
            </c:ext>
          </c:extLst>
        </c:ser>
        <c:ser>
          <c:idx val="1"/>
          <c:order val="1"/>
          <c:tx>
            <c:strRef>
              <c:f>'Figure 4'!$T$2</c:f>
              <c:strCache>
                <c:ptCount val="1"/>
                <c:pt idx="0">
                  <c:v>Cropland
Management</c:v>
                </c:pt>
              </c:strCache>
            </c:strRef>
          </c:tx>
          <c:spPr>
            <a:solidFill>
              <a:schemeClr val="accent2"/>
            </a:solidFill>
            <a:ln>
              <a:noFill/>
            </a:ln>
            <a:effectLst/>
          </c:spPr>
          <c:invertIfNegative val="0"/>
          <c:cat>
            <c:strRef>
              <c:f>'Figure 4'!$R$3:$R$5</c:f>
              <c:strCache>
                <c:ptCount val="3"/>
                <c:pt idx="0">
                  <c:v>2013</c:v>
                </c:pt>
                <c:pt idx="1">
                  <c:v>2014</c:v>
                </c:pt>
                <c:pt idx="2">
                  <c:v>2015</c:v>
                </c:pt>
              </c:strCache>
            </c:strRef>
          </c:cat>
          <c:val>
            <c:numRef>
              <c:f>'Figure 4'!$T$3:$T$5</c:f>
              <c:numCache>
                <c:formatCode>General</c:formatCode>
                <c:ptCount val="3"/>
                <c:pt idx="0">
                  <c:v>-2450.6499585083948</c:v>
                </c:pt>
                <c:pt idx="1">
                  <c:v>-4676.7007100113187</c:v>
                </c:pt>
                <c:pt idx="2">
                  <c:v>-5263.2735924784356</c:v>
                </c:pt>
              </c:numCache>
            </c:numRef>
          </c:val>
          <c:extLst xmlns:c16r2="http://schemas.microsoft.com/office/drawing/2015/06/chart">
            <c:ext xmlns:c16="http://schemas.microsoft.com/office/drawing/2014/chart" uri="{C3380CC4-5D6E-409C-BE32-E72D297353CC}">
              <c16:uniqueId val="{00000001-85F6-46F3-BAEA-FC673AC4F9A2}"/>
            </c:ext>
          </c:extLst>
        </c:ser>
        <c:ser>
          <c:idx val="2"/>
          <c:order val="2"/>
          <c:tx>
            <c:strRef>
              <c:f>'Figure 4'!$U$2</c:f>
              <c:strCache>
                <c:ptCount val="1"/>
                <c:pt idx="0">
                  <c:v>Deforestation</c:v>
                </c:pt>
              </c:strCache>
            </c:strRef>
          </c:tx>
          <c:spPr>
            <a:solidFill>
              <a:schemeClr val="accent3">
                <a:lumMod val="75000"/>
              </a:schemeClr>
            </a:solidFill>
            <a:ln>
              <a:noFill/>
            </a:ln>
            <a:effectLst/>
          </c:spPr>
          <c:invertIfNegative val="0"/>
          <c:cat>
            <c:strRef>
              <c:f>'Figure 4'!$R$3:$R$5</c:f>
              <c:strCache>
                <c:ptCount val="3"/>
                <c:pt idx="0">
                  <c:v>2013</c:v>
                </c:pt>
                <c:pt idx="1">
                  <c:v>2014</c:v>
                </c:pt>
                <c:pt idx="2">
                  <c:v>2015</c:v>
                </c:pt>
              </c:strCache>
            </c:strRef>
          </c:cat>
          <c:val>
            <c:numRef>
              <c:f>'Figure 4'!$U$3:$U$5</c:f>
              <c:numCache>
                <c:formatCode>General</c:formatCode>
                <c:ptCount val="3"/>
                <c:pt idx="0">
                  <c:v>41680.376407646159</c:v>
                </c:pt>
                <c:pt idx="1">
                  <c:v>41204.65497335745</c:v>
                </c:pt>
                <c:pt idx="2">
                  <c:v>40228.28399713619</c:v>
                </c:pt>
              </c:numCache>
            </c:numRef>
          </c:val>
          <c:extLst xmlns:c16r2="http://schemas.microsoft.com/office/drawing/2015/06/chart">
            <c:ext xmlns:c16="http://schemas.microsoft.com/office/drawing/2014/chart" uri="{C3380CC4-5D6E-409C-BE32-E72D297353CC}">
              <c16:uniqueId val="{00000002-85F6-46F3-BAEA-FC673AC4F9A2}"/>
            </c:ext>
          </c:extLst>
        </c:ser>
        <c:ser>
          <c:idx val="3"/>
          <c:order val="3"/>
          <c:tx>
            <c:strRef>
              <c:f>'Figure 4'!$V$2</c:f>
              <c:strCache>
                <c:ptCount val="1"/>
                <c:pt idx="0">
                  <c:v>Forest 
Management</c:v>
                </c:pt>
              </c:strCache>
            </c:strRef>
          </c:tx>
          <c:spPr>
            <a:solidFill>
              <a:schemeClr val="accent4"/>
            </a:solidFill>
            <a:ln>
              <a:noFill/>
            </a:ln>
            <a:effectLst/>
          </c:spPr>
          <c:invertIfNegative val="0"/>
          <c:cat>
            <c:strRef>
              <c:f>'Figure 4'!$R$3:$R$5</c:f>
              <c:strCache>
                <c:ptCount val="3"/>
                <c:pt idx="0">
                  <c:v>2013</c:v>
                </c:pt>
                <c:pt idx="1">
                  <c:v>2014</c:v>
                </c:pt>
                <c:pt idx="2">
                  <c:v>2015</c:v>
                </c:pt>
              </c:strCache>
            </c:strRef>
          </c:cat>
          <c:val>
            <c:numRef>
              <c:f>'Figure 4'!$V$3:$V$5</c:f>
              <c:numCache>
                <c:formatCode>General</c:formatCode>
                <c:ptCount val="3"/>
                <c:pt idx="0">
                  <c:v>-132789.01697855227</c:v>
                </c:pt>
                <c:pt idx="1">
                  <c:v>-132789.01697855227</c:v>
                </c:pt>
                <c:pt idx="2">
                  <c:v>-132789.01697855227</c:v>
                </c:pt>
              </c:numCache>
            </c:numRef>
          </c:val>
          <c:extLst xmlns:c16r2="http://schemas.microsoft.com/office/drawing/2015/06/chart">
            <c:ext xmlns:c16="http://schemas.microsoft.com/office/drawing/2014/chart" uri="{C3380CC4-5D6E-409C-BE32-E72D297353CC}">
              <c16:uniqueId val="{00000003-85F6-46F3-BAEA-FC673AC4F9A2}"/>
            </c:ext>
          </c:extLst>
        </c:ser>
        <c:ser>
          <c:idx val="4"/>
          <c:order val="4"/>
          <c:tx>
            <c:strRef>
              <c:f>'Figure 4'!$W$2</c:f>
              <c:strCache>
                <c:ptCount val="1"/>
                <c:pt idx="0">
                  <c:v>Grazing land
Management</c:v>
                </c:pt>
              </c:strCache>
            </c:strRef>
          </c:tx>
          <c:spPr>
            <a:solidFill>
              <a:srgbClr val="7030A0"/>
            </a:solidFill>
            <a:ln>
              <a:solidFill>
                <a:srgbClr val="7030A0"/>
              </a:solidFill>
            </a:ln>
            <a:effectLst/>
          </c:spPr>
          <c:invertIfNegative val="0"/>
          <c:cat>
            <c:strRef>
              <c:f>'Figure 4'!$R$3:$R$5</c:f>
              <c:strCache>
                <c:ptCount val="3"/>
                <c:pt idx="0">
                  <c:v>2013</c:v>
                </c:pt>
                <c:pt idx="1">
                  <c:v>2014</c:v>
                </c:pt>
                <c:pt idx="2">
                  <c:v>2015</c:v>
                </c:pt>
              </c:strCache>
            </c:strRef>
          </c:cat>
          <c:val>
            <c:numRef>
              <c:f>'Figure 4'!$W$3:$W$5</c:f>
              <c:numCache>
                <c:formatCode>General</c:formatCode>
                <c:ptCount val="3"/>
                <c:pt idx="0">
                  <c:v>-5276.6522573409275</c:v>
                </c:pt>
                <c:pt idx="1">
                  <c:v>-5493.9758397667174</c:v>
                </c:pt>
                <c:pt idx="2">
                  <c:v>-5736.3574273875238</c:v>
                </c:pt>
              </c:numCache>
            </c:numRef>
          </c:val>
          <c:extLst xmlns:c16r2="http://schemas.microsoft.com/office/drawing/2015/06/chart">
            <c:ext xmlns:c16="http://schemas.microsoft.com/office/drawing/2014/chart" uri="{C3380CC4-5D6E-409C-BE32-E72D297353CC}">
              <c16:uniqueId val="{00000004-85F6-46F3-BAEA-FC673AC4F9A2}"/>
            </c:ext>
          </c:extLst>
        </c:ser>
        <c:ser>
          <c:idx val="5"/>
          <c:order val="5"/>
          <c:tx>
            <c:strRef>
              <c:f>'Figure 4'!$X$2</c:f>
              <c:strCache>
                <c:ptCount val="1"/>
                <c:pt idx="0">
                  <c:v>Revegetalisation</c:v>
                </c:pt>
              </c:strCache>
            </c:strRef>
          </c:tx>
          <c:spPr>
            <a:solidFill>
              <a:schemeClr val="accent6"/>
            </a:solidFill>
            <a:ln>
              <a:noFill/>
            </a:ln>
            <a:effectLst/>
          </c:spPr>
          <c:invertIfNegative val="0"/>
          <c:cat>
            <c:strRef>
              <c:f>'Figure 4'!$R$3:$R$5</c:f>
              <c:strCache>
                <c:ptCount val="3"/>
                <c:pt idx="0">
                  <c:v>2013</c:v>
                </c:pt>
                <c:pt idx="1">
                  <c:v>2014</c:v>
                </c:pt>
                <c:pt idx="2">
                  <c:v>2015</c:v>
                </c:pt>
              </c:strCache>
            </c:strRef>
          </c:cat>
          <c:val>
            <c:numRef>
              <c:f>'Figure 4'!$X$3:$X$5</c:f>
              <c:numCache>
                <c:formatCode>General</c:formatCode>
                <c:ptCount val="3"/>
                <c:pt idx="0">
                  <c:v>-1211.3563035876264</c:v>
                </c:pt>
                <c:pt idx="1">
                  <c:v>-1222.0031066116021</c:v>
                </c:pt>
                <c:pt idx="2">
                  <c:v>-1222.0031066116021</c:v>
                </c:pt>
              </c:numCache>
            </c:numRef>
          </c:val>
          <c:extLst xmlns:c16r2="http://schemas.microsoft.com/office/drawing/2015/06/chart">
            <c:ext xmlns:c16="http://schemas.microsoft.com/office/drawing/2014/chart" uri="{C3380CC4-5D6E-409C-BE32-E72D297353CC}">
              <c16:uniqueId val="{00000005-85F6-46F3-BAEA-FC673AC4F9A2}"/>
            </c:ext>
          </c:extLst>
        </c:ser>
        <c:ser>
          <c:idx val="6"/>
          <c:order val="6"/>
          <c:tx>
            <c:strRef>
              <c:f>'Figure 4'!$Y$2</c:f>
              <c:strCache>
                <c:ptCount val="1"/>
                <c:pt idx="0">
                  <c:v>Wetland Drainage
and Rewitting</c:v>
                </c:pt>
              </c:strCache>
            </c:strRef>
          </c:tx>
          <c:spPr>
            <a:solidFill>
              <a:schemeClr val="accent1">
                <a:lumMod val="60000"/>
              </a:schemeClr>
            </a:solidFill>
            <a:ln>
              <a:noFill/>
            </a:ln>
            <a:effectLst/>
          </c:spPr>
          <c:invertIfNegative val="0"/>
          <c:cat>
            <c:strRef>
              <c:f>'Figure 4'!$R$3:$R$5</c:f>
              <c:strCache>
                <c:ptCount val="3"/>
                <c:pt idx="0">
                  <c:v>2013</c:v>
                </c:pt>
                <c:pt idx="1">
                  <c:v>2014</c:v>
                </c:pt>
                <c:pt idx="2">
                  <c:v>2015</c:v>
                </c:pt>
              </c:strCache>
            </c:strRef>
          </c:cat>
          <c:val>
            <c:numRef>
              <c:f>'Figure 4'!$Y$3:$Y$5</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6-85F6-46F3-BAEA-FC673AC4F9A2}"/>
            </c:ext>
          </c:extLst>
        </c:ser>
        <c:dLbls>
          <c:showLegendKey val="0"/>
          <c:showVal val="0"/>
          <c:showCatName val="0"/>
          <c:showSerName val="0"/>
          <c:showPercent val="0"/>
          <c:showBubbleSize val="0"/>
        </c:dLbls>
        <c:gapWidth val="150"/>
        <c:overlap val="100"/>
        <c:axId val="162701696"/>
        <c:axId val="162703232"/>
      </c:barChart>
      <c:catAx>
        <c:axId val="162701696"/>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2703232"/>
        <c:crosses val="autoZero"/>
        <c:auto val="1"/>
        <c:lblAlgn val="ctr"/>
        <c:lblOffset val="100"/>
        <c:noMultiLvlLbl val="0"/>
      </c:catAx>
      <c:valAx>
        <c:axId val="162703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latin typeface="Times New Roman" panose="02020603050405020304" pitchFamily="18" charset="0"/>
                    <a:cs typeface="Times New Roman" panose="02020603050405020304" pitchFamily="18" charset="0"/>
                  </a:defRPr>
                </a:pPr>
                <a:r>
                  <a:rPr lang="en-GB">
                    <a:latin typeface="Times New Roman" panose="02020603050405020304" pitchFamily="18" charset="0"/>
                    <a:cs typeface="Times New Roman" panose="02020603050405020304" pitchFamily="18" charset="0"/>
                  </a:rPr>
                  <a:t>MT</a:t>
                </a:r>
                <a:r>
                  <a:rPr lang="en-GB" baseline="0">
                    <a:latin typeface="Times New Roman" panose="02020603050405020304" pitchFamily="18" charset="0"/>
                    <a:cs typeface="Times New Roman" panose="02020603050405020304" pitchFamily="18" charset="0"/>
                  </a:rPr>
                  <a:t> CO2 eq.</a:t>
                </a:r>
                <a:endParaRPr lang="en-GB">
                  <a:latin typeface="Times New Roman" panose="02020603050405020304" pitchFamily="18" charset="0"/>
                  <a:cs typeface="Times New Roman" panose="02020603050405020304" pitchFamily="18" charset="0"/>
                </a:endParaRPr>
              </a:p>
            </c:rich>
          </c:tx>
          <c:layout/>
          <c:overlay val="0"/>
        </c:title>
        <c:numFmt formatCode="#,"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2701696"/>
        <c:crosses val="autoZero"/>
        <c:crossBetween val="between"/>
      </c:valAx>
      <c:spPr>
        <a:noFill/>
        <a:ln>
          <a:noFill/>
        </a:ln>
        <a:effectLst/>
      </c:spPr>
    </c:plotArea>
    <c:legend>
      <c:legendPos val="b"/>
      <c:layout>
        <c:manualLayout>
          <c:xMode val="edge"/>
          <c:yMode val="edge"/>
          <c:x val="8.8519121060280689E-2"/>
          <c:y val="0.74925117831345467"/>
          <c:w val="0.82296175787943859"/>
          <c:h val="0.222413520623971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'Figure 3bis'!$K$5</c:f>
              <c:strCache>
                <c:ptCount val="1"/>
                <c:pt idx="0">
                  <c:v>Gap between 2020 projections and 2020 targets under the ESD [as % of base year emissions]</c:v>
                </c:pt>
              </c:strCache>
            </c:strRef>
          </c:tx>
          <c:spPr>
            <a:solidFill>
              <a:schemeClr val="accent2"/>
            </a:solidFill>
          </c:spPr>
          <c:invertIfNegative val="0"/>
          <c:cat>
            <c:strRef>
              <c:f>'Figure 3bis'!$C$6:$C$33</c:f>
              <c:strCache>
                <c:ptCount val="28"/>
                <c:pt idx="0">
                  <c:v>Hungary</c:v>
                </c:pt>
                <c:pt idx="1">
                  <c:v>Slovakia</c:v>
                </c:pt>
                <c:pt idx="2">
                  <c:v>Croatia</c:v>
                </c:pt>
                <c:pt idx="3">
                  <c:v>Bulgaria</c:v>
                </c:pt>
                <c:pt idx="4">
                  <c:v>Greece</c:v>
                </c:pt>
                <c:pt idx="5">
                  <c:v>Portugal</c:v>
                </c:pt>
                <c:pt idx="6">
                  <c:v>Romania</c:v>
                </c:pt>
                <c:pt idx="7">
                  <c:v>Sweden</c:v>
                </c:pt>
                <c:pt idx="8">
                  <c:v>Slovenia</c:v>
                </c:pt>
                <c:pt idx="9">
                  <c:v>Lithuania</c:v>
                </c:pt>
                <c:pt idx="10">
                  <c:v>Netherlands</c:v>
                </c:pt>
                <c:pt idx="11">
                  <c:v>United Kingdom</c:v>
                </c:pt>
                <c:pt idx="12">
                  <c:v>Spain</c:v>
                </c:pt>
                <c:pt idx="13">
                  <c:v>Cyprus</c:v>
                </c:pt>
                <c:pt idx="14">
                  <c:v>Latvia</c:v>
                </c:pt>
                <c:pt idx="15">
                  <c:v>Czech Republic</c:v>
                </c:pt>
                <c:pt idx="16">
                  <c:v>Italy</c:v>
                </c:pt>
                <c:pt idx="17">
                  <c:v>Poland</c:v>
                </c:pt>
                <c:pt idx="18">
                  <c:v>France</c:v>
                </c:pt>
                <c:pt idx="19">
                  <c:v>Denmark</c:v>
                </c:pt>
                <c:pt idx="20">
                  <c:v>Estonia</c:v>
                </c:pt>
                <c:pt idx="21">
                  <c:v>Finland</c:v>
                </c:pt>
                <c:pt idx="22">
                  <c:v>Austria</c:v>
                </c:pt>
                <c:pt idx="23">
                  <c:v>Luxembourg</c:v>
                </c:pt>
                <c:pt idx="24">
                  <c:v>Germany</c:v>
                </c:pt>
                <c:pt idx="25">
                  <c:v>Belgium</c:v>
                </c:pt>
                <c:pt idx="26">
                  <c:v>Malta</c:v>
                </c:pt>
                <c:pt idx="27">
                  <c:v>Ireland</c:v>
                </c:pt>
              </c:strCache>
            </c:strRef>
          </c:cat>
          <c:val>
            <c:numRef>
              <c:f>'Figure 3bis'!$K$6:$K$33</c:f>
              <c:numCache>
                <c:formatCode>0%</c:formatCode>
                <c:ptCount val="28"/>
                <c:pt idx="0">
                  <c:v>-0.2855074532744164</c:v>
                </c:pt>
                <c:pt idx="1">
                  <c:v>-0.25240731708515068</c:v>
                </c:pt>
                <c:pt idx="2">
                  <c:v>-0.23499650159217664</c:v>
                </c:pt>
                <c:pt idx="3">
                  <c:v>-0.21707912730866255</c:v>
                </c:pt>
                <c:pt idx="4">
                  <c:v>-0.17782287137603284</c:v>
                </c:pt>
                <c:pt idx="5">
                  <c:v>-0.17617116042676345</c:v>
                </c:pt>
                <c:pt idx="6">
                  <c:v>-0.17599213292213442</c:v>
                </c:pt>
                <c:pt idx="7">
                  <c:v>-0.1477725180712007</c:v>
                </c:pt>
                <c:pt idx="8">
                  <c:v>-0.13328042052467204</c:v>
                </c:pt>
                <c:pt idx="9">
                  <c:v>-0.12590317203878165</c:v>
                </c:pt>
                <c:pt idx="10">
                  <c:v>-0.10023420527685227</c:v>
                </c:pt>
                <c:pt idx="11">
                  <c:v>-9.931457644105296E-2</c:v>
                </c:pt>
                <c:pt idx="12">
                  <c:v>-9.8824476101994158E-2</c:v>
                </c:pt>
                <c:pt idx="13">
                  <c:v>-9.4911692784823393E-2</c:v>
                </c:pt>
                <c:pt idx="14">
                  <c:v>-9.1830244199923416E-2</c:v>
                </c:pt>
                <c:pt idx="15">
                  <c:v>-8.5247468452188654E-2</c:v>
                </c:pt>
                <c:pt idx="16">
                  <c:v>-8.4726919359466385E-2</c:v>
                </c:pt>
                <c:pt idx="17">
                  <c:v>-8.3877841390411351E-2</c:v>
                </c:pt>
                <c:pt idx="18">
                  <c:v>-6.091497506626458E-2</c:v>
                </c:pt>
                <c:pt idx="19">
                  <c:v>-2.3090599076352369E-2</c:v>
                </c:pt>
                <c:pt idx="20">
                  <c:v>-2.7712768826642473E-3</c:v>
                </c:pt>
                <c:pt idx="21">
                  <c:v>7.4986198794090835E-3</c:v>
                </c:pt>
                <c:pt idx="22">
                  <c:v>2.4492627164108372E-2</c:v>
                </c:pt>
                <c:pt idx="23">
                  <c:v>2.6110608947946777E-2</c:v>
                </c:pt>
                <c:pt idx="24">
                  <c:v>3.2627646470839947E-2</c:v>
                </c:pt>
                <c:pt idx="25">
                  <c:v>3.476571286229773E-2</c:v>
                </c:pt>
                <c:pt idx="26">
                  <c:v>0.11459918077020574</c:v>
                </c:pt>
                <c:pt idx="27">
                  <c:v>0.16964564201641094</c:v>
                </c:pt>
              </c:numCache>
            </c:numRef>
          </c:val>
          <c:extLst xmlns:c16r2="http://schemas.microsoft.com/office/drawing/2015/06/chart">
            <c:ext xmlns:c16="http://schemas.microsoft.com/office/drawing/2014/chart" uri="{C3380CC4-5D6E-409C-BE32-E72D297353CC}">
              <c16:uniqueId val="{00000011-31CC-4F78-9004-71E0D3525D7C}"/>
            </c:ext>
          </c:extLst>
        </c:ser>
        <c:dLbls>
          <c:showLegendKey val="0"/>
          <c:showVal val="0"/>
          <c:showCatName val="0"/>
          <c:showSerName val="0"/>
          <c:showPercent val="0"/>
          <c:showBubbleSize val="0"/>
        </c:dLbls>
        <c:gapWidth val="50"/>
        <c:axId val="162930688"/>
        <c:axId val="162932224"/>
      </c:barChart>
      <c:catAx>
        <c:axId val="162930688"/>
        <c:scaling>
          <c:orientation val="maxMin"/>
        </c:scaling>
        <c:delete val="0"/>
        <c:axPos val="l"/>
        <c:numFmt formatCode="General" sourceLinked="1"/>
        <c:majorTickMark val="none"/>
        <c:minorTickMark val="none"/>
        <c:tickLblPos val="low"/>
        <c:txPr>
          <a:bodyPr/>
          <a:lstStyle/>
          <a:p>
            <a:pPr>
              <a:defRPr sz="1000">
                <a:latin typeface="Times New Roman" panose="02020603050405020304" pitchFamily="18" charset="0"/>
                <a:cs typeface="Times New Roman" panose="02020603050405020304" pitchFamily="18" charset="0"/>
              </a:defRPr>
            </a:pPr>
            <a:endParaRPr lang="en-US"/>
          </a:p>
        </c:txPr>
        <c:crossAx val="162932224"/>
        <c:crosses val="autoZero"/>
        <c:auto val="1"/>
        <c:lblAlgn val="ctr"/>
        <c:lblOffset val="100"/>
        <c:noMultiLvlLbl val="0"/>
      </c:catAx>
      <c:valAx>
        <c:axId val="162932224"/>
        <c:scaling>
          <c:orientation val="minMax"/>
          <c:min val="-0.30000000000000004"/>
        </c:scaling>
        <c:delete val="0"/>
        <c:axPos val="b"/>
        <c:numFmt formatCode="0%"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162930688"/>
        <c:crosses val="max"/>
        <c:crossBetween val="between"/>
      </c:valAx>
    </c:plotArea>
    <c:plotVisOnly val="1"/>
    <c:dispBlanksAs val="gap"/>
    <c:showDLblsOverMax val="0"/>
  </c:chart>
  <c:spPr>
    <a:ln>
      <a:solidFill>
        <a:schemeClr val="bg1">
          <a:lumMod val="85000"/>
        </a:schemeClr>
      </a:solidFill>
    </a:ln>
  </c:spPr>
  <c:txPr>
    <a:bodyPr/>
    <a:lstStyle/>
    <a:p>
      <a:pPr>
        <a:defRPr sz="1200">
          <a:latin typeface="Palatino Linotype" panose="02040502050505030304" pitchFamily="18" charset="0"/>
          <a:ea typeface="Verdana" panose="020B0604030504040204" pitchFamily="34" charset="0"/>
          <a:cs typeface="Times New Roman" panose="02020603050405020304" pitchFamily="18"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858541330537801E-2"/>
          <c:y val="2.9495178672716959E-2"/>
          <c:w val="0.89678957667503845"/>
          <c:h val="0.91396483267158257"/>
        </c:manualLayout>
      </c:layout>
      <c:barChart>
        <c:barDir val="bar"/>
        <c:grouping val="clustered"/>
        <c:varyColors val="0"/>
        <c:ser>
          <c:idx val="1"/>
          <c:order val="0"/>
          <c:tx>
            <c:strRef>
              <c:f>'Figure 6'!$E$5</c:f>
              <c:strCache>
                <c:ptCount val="1"/>
                <c:pt idx="0">
                  <c:v>Cumulative credit (-) or debit (+)</c:v>
                </c:pt>
              </c:strCache>
            </c:strRef>
          </c:tx>
          <c:spPr>
            <a:solidFill>
              <a:schemeClr val="accent2"/>
            </a:solidFill>
          </c:spPr>
          <c:invertIfNegative val="0"/>
          <c:dLbls>
            <c:dLbl>
              <c:idx val="6"/>
              <c:layout>
                <c:manualLayout>
                  <c:x val="-2.277466424406406E-3"/>
                  <c:y val="6.8376068376068792E-3"/>
                </c:manualLayout>
              </c:layout>
              <c:showLegendKey val="0"/>
              <c:showVal val="1"/>
              <c:showCatName val="0"/>
              <c:showSerName val="0"/>
              <c:showPercent val="0"/>
              <c:showBubbleSize val="0"/>
            </c:dLbl>
            <c:dLbl>
              <c:idx val="7"/>
              <c:layout>
                <c:manualLayout>
                  <c:x val="-8.3506137558207968E-17"/>
                  <c:y val="-6.8376068376068792E-3"/>
                </c:manualLayout>
              </c:layout>
              <c:showLegendKey val="0"/>
              <c:showVal val="1"/>
              <c:showCatName val="0"/>
              <c:showSerName val="0"/>
              <c:showPercent val="0"/>
              <c:showBubbleSize val="0"/>
            </c:dLbl>
            <c:dLbl>
              <c:idx val="8"/>
              <c:layout>
                <c:manualLayout>
                  <c:x val="-3.4161996366096092E-3"/>
                  <c:y val="2.2792022792023211E-3"/>
                </c:manualLayout>
              </c:layout>
              <c:showLegendKey val="0"/>
              <c:showVal val="1"/>
              <c:showCatName val="0"/>
              <c:showSerName val="0"/>
              <c:showPercent val="0"/>
              <c:showBubbleSize val="0"/>
            </c:dLbl>
            <c:dLbl>
              <c:idx val="9"/>
              <c:layout>
                <c:manualLayout>
                  <c:x val="-2.2774664244064897E-3"/>
                  <c:y val="6.8376068376068376E-3"/>
                </c:manualLayout>
              </c:layout>
              <c:showLegendKey val="0"/>
              <c:showVal val="1"/>
              <c:showCatName val="0"/>
              <c:showSerName val="0"/>
              <c:showPercent val="0"/>
              <c:showBubbleSize val="0"/>
            </c:dLbl>
            <c:dLbl>
              <c:idx val="10"/>
              <c:layout>
                <c:manualLayout>
                  <c:x val="2.277466424406406E-3"/>
                  <c:y val="-9.1168091168091162E-3"/>
                </c:manualLayout>
              </c:layout>
              <c:showLegendKey val="0"/>
              <c:showVal val="1"/>
              <c:showCatName val="0"/>
              <c:showSerName val="0"/>
              <c:showPercent val="0"/>
              <c:showBubbleSize val="0"/>
            </c:dLbl>
            <c:dLbl>
              <c:idx val="12"/>
              <c:layout>
                <c:manualLayout>
                  <c:x val="-3.4159306445122385E-3"/>
                  <c:y val="6.8383246965924545E-3"/>
                </c:manualLayout>
              </c:layout>
              <c:showLegendKey val="0"/>
              <c:showVal val="1"/>
              <c:showCatName val="0"/>
              <c:showSerName val="0"/>
              <c:showPercent val="0"/>
              <c:showBubbleSize val="0"/>
            </c:dLbl>
            <c:dLbl>
              <c:idx val="13"/>
              <c:layout>
                <c:manualLayout>
                  <c:x val="-3.4159306445122385E-3"/>
                  <c:y val="2.2797406734414607E-3"/>
                </c:manualLayout>
              </c:layout>
              <c:showLegendKey val="0"/>
              <c:showVal val="1"/>
              <c:showCatName val="0"/>
              <c:showSerName val="0"/>
              <c:showPercent val="0"/>
              <c:showBubbleSize val="0"/>
            </c:dLbl>
            <c:dLbl>
              <c:idx val="14"/>
              <c:layout>
                <c:manualLayout>
                  <c:x val="-9.1093277134308825E-3"/>
                  <c:y val="9.1178859052874796E-3"/>
                </c:manualLayout>
              </c:layout>
              <c:showLegendKey val="0"/>
              <c:showVal val="1"/>
              <c:showCatName val="0"/>
              <c:showSerName val="0"/>
              <c:showPercent val="0"/>
              <c:showBubbleSize val="0"/>
            </c:dLbl>
            <c:dLbl>
              <c:idx val="15"/>
              <c:layout>
                <c:manualLayout>
                  <c:x val="-3.4161996366096092E-3"/>
                  <c:y val="-6.8376068376068376E-3"/>
                </c:manualLayout>
              </c:layout>
              <c:showLegendKey val="0"/>
              <c:showVal val="1"/>
              <c:showCatName val="0"/>
              <c:showSerName val="0"/>
              <c:showPercent val="0"/>
              <c:showBubbleSize val="0"/>
            </c:dLbl>
            <c:dLbl>
              <c:idx val="16"/>
              <c:layout>
                <c:manualLayout>
                  <c:x val="-3.1447866103624365E-3"/>
                  <c:y val="-4.5580456289117709E-3"/>
                </c:manualLayout>
              </c:layout>
              <c:showLegendKey val="0"/>
              <c:showVal val="1"/>
              <c:showCatName val="0"/>
              <c:showSerName val="0"/>
              <c:showPercent val="0"/>
              <c:showBubbleSize val="0"/>
            </c:dLbl>
            <c:dLbl>
              <c:idx val="18"/>
              <c:layout>
                <c:manualLayout>
                  <c:x val="-4.5549328488127703E-3"/>
                  <c:y val="2.2792022792022791E-3"/>
                </c:manualLayout>
              </c:layout>
              <c:showLegendKey val="0"/>
              <c:showVal val="1"/>
              <c:showCatName val="0"/>
              <c:showSerName val="0"/>
              <c:showPercent val="0"/>
              <c:showBubbleSize val="0"/>
            </c:dLbl>
            <c:dLbl>
              <c:idx val="19"/>
              <c:layout>
                <c:manualLayout>
                  <c:x val="1.138733212203203E-3"/>
                  <c:y val="9.1168091168091162E-3"/>
                </c:manualLayout>
              </c:layout>
              <c:showLegendKey val="0"/>
              <c:showVal val="1"/>
              <c:showCatName val="0"/>
              <c:showSerName val="0"/>
              <c:showPercent val="0"/>
              <c:showBubbleSize val="0"/>
            </c:dLbl>
            <c:dLbl>
              <c:idx val="20"/>
              <c:layout>
                <c:manualLayout>
                  <c:x val="-2.8734632481477204E-3"/>
                  <c:y val="6.8379657670996257E-3"/>
                </c:manualLayout>
              </c:layout>
              <c:showLegendKey val="0"/>
              <c:showVal val="1"/>
              <c:showCatName val="0"/>
              <c:showSerName val="0"/>
              <c:showPercent val="0"/>
              <c:showBubbleSize val="0"/>
            </c:dLbl>
            <c:dLbl>
              <c:idx val="21"/>
              <c:layout>
                <c:manualLayout>
                  <c:x val="-6.4168961468137348E-3"/>
                  <c:y val="6.8379657670996257E-3"/>
                </c:manualLayout>
              </c:layout>
              <c:showLegendKey val="0"/>
              <c:showVal val="1"/>
              <c:showCatName val="0"/>
              <c:showSerName val="0"/>
              <c:showPercent val="0"/>
              <c:showBubbleSize val="0"/>
            </c:dLbl>
            <c:dLbl>
              <c:idx val="22"/>
              <c:layout>
                <c:manualLayout>
                  <c:x val="-5.8116700672203021E-4"/>
                  <c:y val="9.1175269757946924E-3"/>
                </c:manualLayout>
              </c:layout>
              <c:showLegendKey val="0"/>
              <c:showVal val="1"/>
              <c:showCatName val="0"/>
              <c:showSerName val="0"/>
              <c:showPercent val="0"/>
              <c:showBubbleSize val="0"/>
            </c:dLbl>
            <c:dLbl>
              <c:idx val="23"/>
              <c:layout>
                <c:manualLayout>
                  <c:x val="-6.1305988911787091E-3"/>
                  <c:y val="1.1396729254996971E-2"/>
                </c:manualLayout>
              </c:layout>
              <c:showLegendKey val="0"/>
              <c:showVal val="1"/>
              <c:showCatName val="0"/>
              <c:showSerName val="0"/>
              <c:showPercent val="0"/>
              <c:showBubbleSize val="0"/>
            </c:dLbl>
            <c:dLbl>
              <c:idx val="25"/>
              <c:layout>
                <c:manualLayout>
                  <c:x val="0"/>
                  <c:y val="-1.8233618233618232E-2"/>
                </c:manualLayout>
              </c:layout>
              <c:showLegendKey val="0"/>
              <c:showVal val="1"/>
              <c:showCatName val="0"/>
              <c:showSerName val="0"/>
              <c:showPercent val="0"/>
              <c:showBubbleSize val="0"/>
            </c:dLbl>
            <c:dLbl>
              <c:idx val="27"/>
              <c:layout>
                <c:manualLayout>
                  <c:x val="-5.5295618885580607E-2"/>
                  <c:y val="2.5727985030990528E-2"/>
                </c:manualLayout>
              </c:layout>
              <c:showLegendKey val="0"/>
              <c:showVal val="1"/>
              <c:showCatName val="0"/>
              <c:showSerName val="0"/>
              <c:showPercent val="0"/>
              <c:showBubbleSize val="0"/>
            </c:dLbl>
            <c:numFmt formatCode="General" sourceLinked="0"/>
            <c:txPr>
              <a:bodyPr/>
              <a:lstStyle/>
              <a:p>
                <a:pPr algn="ctr">
                  <a:defRPr sz="9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'Figure 6'!$C$6:$C$33</c:f>
              <c:strCache>
                <c:ptCount val="28"/>
                <c:pt idx="0">
                  <c:v>Latvia</c:v>
                </c:pt>
                <c:pt idx="1">
                  <c:v>Bulgaria</c:v>
                </c:pt>
                <c:pt idx="2">
                  <c:v>Finland</c:v>
                </c:pt>
                <c:pt idx="3">
                  <c:v>Netherlands</c:v>
                </c:pt>
                <c:pt idx="4">
                  <c:v>Cyprus</c:v>
                </c:pt>
                <c:pt idx="5">
                  <c:v>Malta</c:v>
                </c:pt>
                <c:pt idx="6">
                  <c:v>Slovenia</c:v>
                </c:pt>
                <c:pt idx="7">
                  <c:v>Belgium</c:v>
                </c:pt>
                <c:pt idx="8">
                  <c:v>Luxemburg</c:v>
                </c:pt>
                <c:pt idx="9">
                  <c:v>Estonia</c:v>
                </c:pt>
                <c:pt idx="10">
                  <c:v>Greece</c:v>
                </c:pt>
                <c:pt idx="11">
                  <c:v>Sweden</c:v>
                </c:pt>
                <c:pt idx="12">
                  <c:v>Romania</c:v>
                </c:pt>
                <c:pt idx="13">
                  <c:v>Croatia</c:v>
                </c:pt>
                <c:pt idx="14">
                  <c:v>Czech Republic</c:v>
                </c:pt>
                <c:pt idx="15">
                  <c:v>Lithuania</c:v>
                </c:pt>
                <c:pt idx="16">
                  <c:v>Hungary</c:v>
                </c:pt>
                <c:pt idx="17">
                  <c:v>Slovakia</c:v>
                </c:pt>
                <c:pt idx="18">
                  <c:v>United Kingdom</c:v>
                </c:pt>
                <c:pt idx="19">
                  <c:v>Denmark</c:v>
                </c:pt>
                <c:pt idx="20">
                  <c:v>Austria</c:v>
                </c:pt>
                <c:pt idx="21">
                  <c:v>Ireland</c:v>
                </c:pt>
                <c:pt idx="22">
                  <c:v>France</c:v>
                </c:pt>
                <c:pt idx="23">
                  <c:v>Portugal</c:v>
                </c:pt>
                <c:pt idx="24">
                  <c:v>Spain</c:v>
                </c:pt>
                <c:pt idx="25">
                  <c:v>Poland</c:v>
                </c:pt>
                <c:pt idx="26">
                  <c:v>Italy</c:v>
                </c:pt>
                <c:pt idx="27">
                  <c:v>Germany</c:v>
                </c:pt>
              </c:strCache>
            </c:strRef>
          </c:cat>
          <c:val>
            <c:numRef>
              <c:f>'Figure 6'!$E$6:$E$33</c:f>
              <c:numCache>
                <c:formatCode>_(* #,##0.00_);_(* \(#,##0.00\);_(* "-"??_);_(@_)</c:formatCode>
                <c:ptCount val="28"/>
                <c:pt idx="0">
                  <c:v>13.200000000000001</c:v>
                </c:pt>
                <c:pt idx="1">
                  <c:v>3.3000000000000003</c:v>
                </c:pt>
                <c:pt idx="2">
                  <c:v>2.0999999999999996</c:v>
                </c:pt>
                <c:pt idx="3">
                  <c:v>2.0999999999999996</c:v>
                </c:pt>
                <c:pt idx="4">
                  <c:v>0</c:v>
                </c:pt>
                <c:pt idx="5">
                  <c:v>0</c:v>
                </c:pt>
                <c:pt idx="6">
                  <c:v>-0.30000000000000004</c:v>
                </c:pt>
                <c:pt idx="7">
                  <c:v>-0.89999999999999991</c:v>
                </c:pt>
                <c:pt idx="8">
                  <c:v>-0.89999999999999991</c:v>
                </c:pt>
                <c:pt idx="9">
                  <c:v>-1.2000000000000002</c:v>
                </c:pt>
                <c:pt idx="10">
                  <c:v>-1.5</c:v>
                </c:pt>
                <c:pt idx="11">
                  <c:v>-2.7</c:v>
                </c:pt>
                <c:pt idx="12">
                  <c:v>-3</c:v>
                </c:pt>
                <c:pt idx="13">
                  <c:v>-3.9000000000000004</c:v>
                </c:pt>
                <c:pt idx="14">
                  <c:v>-4.8000000000000007</c:v>
                </c:pt>
                <c:pt idx="15">
                  <c:v>-5.4</c:v>
                </c:pt>
                <c:pt idx="16">
                  <c:v>-9</c:v>
                </c:pt>
                <c:pt idx="17">
                  <c:v>-9</c:v>
                </c:pt>
                <c:pt idx="18">
                  <c:v>-10.199999999999999</c:v>
                </c:pt>
                <c:pt idx="19">
                  <c:v>-11.7</c:v>
                </c:pt>
                <c:pt idx="20">
                  <c:v>-12.600000000000001</c:v>
                </c:pt>
                <c:pt idx="21">
                  <c:v>-13.200000000000001</c:v>
                </c:pt>
                <c:pt idx="22">
                  <c:v>-17.700000000000003</c:v>
                </c:pt>
                <c:pt idx="23">
                  <c:v>-23.700000000000003</c:v>
                </c:pt>
                <c:pt idx="24">
                  <c:v>-42</c:v>
                </c:pt>
                <c:pt idx="25">
                  <c:v>-43.8</c:v>
                </c:pt>
                <c:pt idx="26">
                  <c:v>-45.599999999999994</c:v>
                </c:pt>
                <c:pt idx="27">
                  <c:v>-114.89999999999999</c:v>
                </c:pt>
              </c:numCache>
            </c:numRef>
          </c:val>
        </c:ser>
        <c:dLbls>
          <c:showLegendKey val="0"/>
          <c:showVal val="0"/>
          <c:showCatName val="0"/>
          <c:showSerName val="0"/>
          <c:showPercent val="0"/>
          <c:showBubbleSize val="0"/>
        </c:dLbls>
        <c:gapWidth val="50"/>
        <c:axId val="162969856"/>
        <c:axId val="163319808"/>
      </c:barChart>
      <c:catAx>
        <c:axId val="162969856"/>
        <c:scaling>
          <c:orientation val="maxMin"/>
        </c:scaling>
        <c:delete val="0"/>
        <c:axPos val="l"/>
        <c:numFmt formatCode="General" sourceLinked="1"/>
        <c:majorTickMark val="none"/>
        <c:minorTickMark val="none"/>
        <c:tickLblPos val="low"/>
        <c:txPr>
          <a:bodyPr/>
          <a:lstStyle/>
          <a:p>
            <a:pPr>
              <a:defRPr sz="1000">
                <a:latin typeface="Times New Roman" panose="02020603050405020304" pitchFamily="18" charset="0"/>
                <a:cs typeface="Times New Roman" panose="02020603050405020304" pitchFamily="18" charset="0"/>
              </a:defRPr>
            </a:pPr>
            <a:endParaRPr lang="en-US"/>
          </a:p>
        </c:txPr>
        <c:crossAx val="163319808"/>
        <c:crosses val="autoZero"/>
        <c:auto val="1"/>
        <c:lblAlgn val="ctr"/>
        <c:lblOffset val="100"/>
        <c:noMultiLvlLbl val="0"/>
      </c:catAx>
      <c:valAx>
        <c:axId val="163319808"/>
        <c:scaling>
          <c:orientation val="minMax"/>
          <c:min val="-120"/>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162969856"/>
        <c:crosses val="max"/>
        <c:crossBetween val="between"/>
      </c:valAx>
    </c:plotArea>
    <c:plotVisOnly val="1"/>
    <c:dispBlanksAs val="gap"/>
    <c:showDLblsOverMax val="0"/>
  </c:chart>
  <c:spPr>
    <a:ln>
      <a:solidFill>
        <a:schemeClr val="bg1">
          <a:lumMod val="85000"/>
        </a:schemeClr>
      </a:solidFill>
    </a:ln>
  </c:spPr>
  <c:txPr>
    <a:bodyPr/>
    <a:lstStyle/>
    <a:p>
      <a:pPr>
        <a:defRPr sz="1200">
          <a:latin typeface="Palatino Linotype" panose="02040502050505030304" pitchFamily="18" charset="0"/>
          <a:ea typeface="Verdana" panose="020B0604030504040204" pitchFamily="34" charset="0"/>
          <a:cs typeface="Times New Roman" panose="02020603050405020304" pitchFamily="18" charset="0"/>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spPr>
            <a:ln w="9525">
              <a:solidFill>
                <a:schemeClr val="accent1"/>
              </a:solidFill>
            </a:ln>
          </c:spPr>
          <c:invertIfNegative val="0"/>
          <c:cat>
            <c:strRef>
              <c:f>'2013-2015 rel Z to A'!$O$5:$O$33</c:f>
              <c:strCache>
                <c:ptCount val="29"/>
                <c:pt idx="0">
                  <c:v>Cyprus</c:v>
                </c:pt>
                <c:pt idx="1">
                  <c:v>Croatia</c:v>
                </c:pt>
                <c:pt idx="2">
                  <c:v>Hungary</c:v>
                </c:pt>
                <c:pt idx="3">
                  <c:v>Greece</c:v>
                </c:pt>
                <c:pt idx="4">
                  <c:v>Portugal</c:v>
                </c:pt>
                <c:pt idx="5">
                  <c:v>Slovakia</c:v>
                </c:pt>
                <c:pt idx="6">
                  <c:v>Bulgaria</c:v>
                </c:pt>
                <c:pt idx="7">
                  <c:v>Sweden</c:v>
                </c:pt>
                <c:pt idx="8">
                  <c:v>Netherlands</c:v>
                </c:pt>
                <c:pt idx="9">
                  <c:v>Slovenia</c:v>
                </c:pt>
                <c:pt idx="10">
                  <c:v>Spain</c:v>
                </c:pt>
                <c:pt idx="11">
                  <c:v>Italy</c:v>
                </c:pt>
                <c:pt idx="12">
                  <c:v>France</c:v>
                </c:pt>
                <c:pt idx="13">
                  <c:v>Denmark</c:v>
                </c:pt>
                <c:pt idx="14">
                  <c:v>Ireland</c:v>
                </c:pt>
                <c:pt idx="15">
                  <c:v>Estonia</c:v>
                </c:pt>
                <c:pt idx="16">
                  <c:v>United Kingdom</c:v>
                </c:pt>
                <c:pt idx="17">
                  <c:v>Belgium</c:v>
                </c:pt>
                <c:pt idx="18">
                  <c:v>Poland</c:v>
                </c:pt>
                <c:pt idx="19">
                  <c:v>Romania</c:v>
                </c:pt>
                <c:pt idx="20">
                  <c:v>Austria</c:v>
                </c:pt>
                <c:pt idx="21">
                  <c:v>Czech Republic</c:v>
                </c:pt>
                <c:pt idx="22">
                  <c:v>Latvia</c:v>
                </c:pt>
                <c:pt idx="23">
                  <c:v>Germany</c:v>
                </c:pt>
                <c:pt idx="24">
                  <c:v>Luxembourg</c:v>
                </c:pt>
                <c:pt idx="25">
                  <c:v>Lithuania</c:v>
                </c:pt>
                <c:pt idx="26">
                  <c:v>Finland</c:v>
                </c:pt>
                <c:pt idx="27">
                  <c:v>Malta</c:v>
                </c:pt>
                <c:pt idx="28">
                  <c:v>EU-28</c:v>
                </c:pt>
              </c:strCache>
            </c:strRef>
          </c:cat>
          <c:val>
            <c:numRef>
              <c:f>'2013-2015 rel Z to A'!$S$5:$S$33</c:f>
              <c:numCache>
                <c:formatCode>0%</c:formatCode>
                <c:ptCount val="29"/>
                <c:pt idx="0">
                  <c:v>1.3966088447337048</c:v>
                </c:pt>
                <c:pt idx="1">
                  <c:v>0.80798121343811946</c:v>
                </c:pt>
                <c:pt idx="2">
                  <c:v>0.75481956892545843</c:v>
                </c:pt>
                <c:pt idx="3">
                  <c:v>0.70025234142529524</c:v>
                </c:pt>
                <c:pt idx="4">
                  <c:v>0.63173923975454627</c:v>
                </c:pt>
                <c:pt idx="5">
                  <c:v>0.53143122847443558</c:v>
                </c:pt>
                <c:pt idx="6">
                  <c:v>0.50215281159980485</c:v>
                </c:pt>
                <c:pt idx="7">
                  <c:v>0.45</c:v>
                </c:pt>
                <c:pt idx="8">
                  <c:v>0.42849605329605001</c:v>
                </c:pt>
                <c:pt idx="9">
                  <c:v>0.41777712881102158</c:v>
                </c:pt>
                <c:pt idx="10">
                  <c:v>0.34221453577627736</c:v>
                </c:pt>
                <c:pt idx="11">
                  <c:v>0.31894671872405</c:v>
                </c:pt>
                <c:pt idx="12">
                  <c:v>0.23934758631433112</c:v>
                </c:pt>
                <c:pt idx="13">
                  <c:v>0.22220826750469827</c:v>
                </c:pt>
                <c:pt idx="14">
                  <c:v>0.22046027492654099</c:v>
                </c:pt>
                <c:pt idx="15">
                  <c:v>0.18122525811114018</c:v>
                </c:pt>
                <c:pt idx="16">
                  <c:v>0.17411748390674556</c:v>
                </c:pt>
                <c:pt idx="17">
                  <c:v>0.16830736615308553</c:v>
                </c:pt>
                <c:pt idx="18">
                  <c:v>0.16804951497898865</c:v>
                </c:pt>
                <c:pt idx="19">
                  <c:v>0.16626784580062792</c:v>
                </c:pt>
                <c:pt idx="20">
                  <c:v>0.15216799194725045</c:v>
                </c:pt>
                <c:pt idx="21">
                  <c:v>0.15055968865074024</c:v>
                </c:pt>
                <c:pt idx="22">
                  <c:v>0.14685460054365826</c:v>
                </c:pt>
                <c:pt idx="23">
                  <c:v>0.11807360876489986</c:v>
                </c:pt>
                <c:pt idx="24">
                  <c:v>0.11726242042930726</c:v>
                </c:pt>
                <c:pt idx="25">
                  <c:v>9.5851704434452123E-2</c:v>
                </c:pt>
                <c:pt idx="26">
                  <c:v>6.6100383874925006E-2</c:v>
                </c:pt>
                <c:pt idx="27">
                  <c:v>-0.30690398209555458</c:v>
                </c:pt>
                <c:pt idx="28">
                  <c:v>0.17401100487949811</c:v>
                </c:pt>
              </c:numCache>
            </c:numRef>
          </c:val>
        </c:ser>
        <c:dLbls>
          <c:showLegendKey val="0"/>
          <c:showVal val="0"/>
          <c:showCatName val="0"/>
          <c:showSerName val="0"/>
          <c:showPercent val="0"/>
          <c:showBubbleSize val="0"/>
        </c:dLbls>
        <c:gapWidth val="123"/>
        <c:overlap val="100"/>
        <c:axId val="163364224"/>
        <c:axId val="163374208"/>
      </c:barChart>
      <c:catAx>
        <c:axId val="163364224"/>
        <c:scaling>
          <c:orientation val="minMax"/>
        </c:scaling>
        <c:delete val="0"/>
        <c:axPos val="l"/>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63374208"/>
        <c:crossesAt val="-50"/>
        <c:auto val="1"/>
        <c:lblAlgn val="ctr"/>
        <c:lblOffset val="100"/>
        <c:noMultiLvlLbl val="0"/>
      </c:catAx>
      <c:valAx>
        <c:axId val="163374208"/>
        <c:scaling>
          <c:orientation val="minMax"/>
        </c:scaling>
        <c:delete val="0"/>
        <c:axPos val="b"/>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6336422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011623815348146E-2"/>
          <c:y val="7.2501676309337723E-2"/>
          <c:w val="0.59548342862628045"/>
          <c:h val="0.66216398560968881"/>
        </c:manualLayout>
      </c:layout>
      <c:barChart>
        <c:barDir val="col"/>
        <c:grouping val="stacked"/>
        <c:varyColors val="0"/>
        <c:ser>
          <c:idx val="1"/>
          <c:order val="0"/>
          <c:tx>
            <c:strRef>
              <c:f>'Headline totals'!$L$120</c:f>
              <c:strCache>
                <c:ptCount val="1"/>
                <c:pt idx="0">
                  <c:v>Total used for domestic and EU climate and energy purposes</c:v>
                </c:pt>
              </c:strCache>
            </c:strRef>
          </c:tx>
          <c:spPr>
            <a:solidFill>
              <a:schemeClr val="accent1"/>
            </a:solidFill>
          </c:spPr>
          <c:invertIfNegative val="0"/>
          <c:cat>
            <c:numRef>
              <c:f>'Headline totals'!$K$121:$K$124</c:f>
              <c:numCache>
                <c:formatCode>General</c:formatCode>
                <c:ptCount val="4"/>
                <c:pt idx="0">
                  <c:v>2013</c:v>
                </c:pt>
                <c:pt idx="1">
                  <c:v>2014</c:v>
                </c:pt>
                <c:pt idx="2">
                  <c:v>2015</c:v>
                </c:pt>
                <c:pt idx="3">
                  <c:v>2016</c:v>
                </c:pt>
              </c:numCache>
            </c:numRef>
          </c:cat>
          <c:val>
            <c:numRef>
              <c:f>'Headline totals'!$L$121:$L$124</c:f>
              <c:numCache>
                <c:formatCode>#,##0</c:formatCode>
                <c:ptCount val="4"/>
                <c:pt idx="0">
                  <c:v>2322427.96086</c:v>
                </c:pt>
                <c:pt idx="1">
                  <c:v>2227794.2524999999</c:v>
                </c:pt>
                <c:pt idx="2">
                  <c:v>3380582.9</c:v>
                </c:pt>
                <c:pt idx="3">
                  <c:v>2600076.2999999998</c:v>
                </c:pt>
              </c:numCache>
            </c:numRef>
          </c:val>
          <c:extLst xmlns:c16r2="http://schemas.microsoft.com/office/drawing/2015/06/chart">
            <c:ext xmlns:c16="http://schemas.microsoft.com/office/drawing/2014/chart" uri="{C3380CC4-5D6E-409C-BE32-E72D297353CC}">
              <c16:uniqueId val="{00000000-6E26-418A-BB13-22CE0FC87B61}"/>
            </c:ext>
          </c:extLst>
        </c:ser>
        <c:ser>
          <c:idx val="2"/>
          <c:order val="1"/>
          <c:tx>
            <c:strRef>
              <c:f>'Headline totals'!$M$120</c:f>
              <c:strCache>
                <c:ptCount val="1"/>
                <c:pt idx="0">
                  <c:v>Total used for international climate and energy purposes</c:v>
                </c:pt>
              </c:strCache>
            </c:strRef>
          </c:tx>
          <c:spPr>
            <a:solidFill>
              <a:schemeClr val="accent3"/>
            </a:solidFill>
          </c:spPr>
          <c:invertIfNegative val="0"/>
          <c:cat>
            <c:numRef>
              <c:f>'Headline totals'!$K$121:$K$124</c:f>
              <c:numCache>
                <c:formatCode>General</c:formatCode>
                <c:ptCount val="4"/>
                <c:pt idx="0">
                  <c:v>2013</c:v>
                </c:pt>
                <c:pt idx="1">
                  <c:v>2014</c:v>
                </c:pt>
                <c:pt idx="2">
                  <c:v>2015</c:v>
                </c:pt>
                <c:pt idx="3">
                  <c:v>2016</c:v>
                </c:pt>
              </c:numCache>
            </c:numRef>
          </c:cat>
          <c:val>
            <c:numRef>
              <c:f>'Headline totals'!$M$121:$M$124</c:f>
              <c:numCache>
                <c:formatCode>#,##0</c:formatCode>
                <c:ptCount val="4"/>
                <c:pt idx="0">
                  <c:v>529333.62186000007</c:v>
                </c:pt>
                <c:pt idx="1">
                  <c:v>284413.17249999999</c:v>
                </c:pt>
                <c:pt idx="2">
                  <c:v>84139.267500000002</c:v>
                </c:pt>
                <c:pt idx="3">
                  <c:v>137567</c:v>
                </c:pt>
              </c:numCache>
            </c:numRef>
          </c:val>
          <c:extLst xmlns:c16r2="http://schemas.microsoft.com/office/drawing/2015/06/chart">
            <c:ext xmlns:c16="http://schemas.microsoft.com/office/drawing/2014/chart" uri="{C3380CC4-5D6E-409C-BE32-E72D297353CC}">
              <c16:uniqueId val="{00000001-6E26-418A-BB13-22CE0FC87B61}"/>
            </c:ext>
          </c:extLst>
        </c:ser>
        <c:ser>
          <c:idx val="3"/>
          <c:order val="2"/>
          <c:tx>
            <c:strRef>
              <c:f>'Headline totals'!$O$120</c:f>
              <c:strCache>
                <c:ptCount val="1"/>
                <c:pt idx="0">
                  <c:v>Use not reported</c:v>
                </c:pt>
              </c:strCache>
            </c:strRef>
          </c:tx>
          <c:spPr>
            <a:solidFill>
              <a:schemeClr val="bg1">
                <a:lumMod val="85000"/>
              </a:schemeClr>
            </a:solidFill>
          </c:spPr>
          <c:invertIfNegative val="0"/>
          <c:cat>
            <c:numRef>
              <c:f>'Headline totals'!$K$121:$K$124</c:f>
              <c:numCache>
                <c:formatCode>General</c:formatCode>
                <c:ptCount val="4"/>
                <c:pt idx="0">
                  <c:v>2013</c:v>
                </c:pt>
                <c:pt idx="1">
                  <c:v>2014</c:v>
                </c:pt>
                <c:pt idx="2">
                  <c:v>2015</c:v>
                </c:pt>
                <c:pt idx="3">
                  <c:v>2016</c:v>
                </c:pt>
              </c:numCache>
            </c:numRef>
          </c:cat>
          <c:val>
            <c:numRef>
              <c:f>'Headline totals'!$O$121:$O$124</c:f>
              <c:numCache>
                <c:formatCode>#,##0</c:formatCode>
                <c:ptCount val="4"/>
                <c:pt idx="0">
                  <c:v>309268.05741999997</c:v>
                </c:pt>
                <c:pt idx="1">
                  <c:v>280835.17</c:v>
                </c:pt>
                <c:pt idx="2">
                  <c:v>702699.35749999993</c:v>
                </c:pt>
                <c:pt idx="3">
                  <c:v>618200.94999999995</c:v>
                </c:pt>
              </c:numCache>
            </c:numRef>
          </c:val>
          <c:extLst xmlns:c16r2="http://schemas.microsoft.com/office/drawing/2015/06/chart">
            <c:ext xmlns:c16="http://schemas.microsoft.com/office/drawing/2014/chart" uri="{C3380CC4-5D6E-409C-BE32-E72D297353CC}">
              <c16:uniqueId val="{00000002-6E26-418A-BB13-22CE0FC87B61}"/>
            </c:ext>
          </c:extLst>
        </c:ser>
        <c:ser>
          <c:idx val="0"/>
          <c:order val="3"/>
          <c:tx>
            <c:strRef>
              <c:f>'Headline totals'!$N$120</c:f>
              <c:strCache>
                <c:ptCount val="1"/>
                <c:pt idx="0">
                  <c:v>Not used for climate and energy purposes</c:v>
                </c:pt>
              </c:strCache>
            </c:strRef>
          </c:tx>
          <c:spPr>
            <a:solidFill>
              <a:schemeClr val="accent2"/>
            </a:solidFill>
          </c:spPr>
          <c:invertIfNegative val="0"/>
          <c:cat>
            <c:numRef>
              <c:f>'Headline totals'!$K$121:$K$124</c:f>
              <c:numCache>
                <c:formatCode>General</c:formatCode>
                <c:ptCount val="4"/>
                <c:pt idx="0">
                  <c:v>2013</c:v>
                </c:pt>
                <c:pt idx="1">
                  <c:v>2014</c:v>
                </c:pt>
                <c:pt idx="2">
                  <c:v>2015</c:v>
                </c:pt>
                <c:pt idx="3">
                  <c:v>2016</c:v>
                </c:pt>
              </c:numCache>
            </c:numRef>
          </c:cat>
          <c:val>
            <c:numRef>
              <c:f>'Headline totals'!$N$121:$N$124</c:f>
              <c:numCache>
                <c:formatCode>#,##0</c:formatCode>
                <c:ptCount val="4"/>
                <c:pt idx="0">
                  <c:v>523385.44099999999</c:v>
                </c:pt>
                <c:pt idx="1">
                  <c:v>417141.53500000003</c:v>
                </c:pt>
                <c:pt idx="2">
                  <c:v>755164.995</c:v>
                </c:pt>
                <c:pt idx="3">
                  <c:v>432153.69500000001</c:v>
                </c:pt>
              </c:numCache>
            </c:numRef>
          </c:val>
          <c:extLst xmlns:c16r2="http://schemas.microsoft.com/office/drawing/2015/06/chart">
            <c:ext xmlns:c16="http://schemas.microsoft.com/office/drawing/2014/chart" uri="{C3380CC4-5D6E-409C-BE32-E72D297353CC}">
              <c16:uniqueId val="{00000003-6E26-418A-BB13-22CE0FC87B61}"/>
            </c:ext>
          </c:extLst>
        </c:ser>
        <c:dLbls>
          <c:showLegendKey val="0"/>
          <c:showVal val="0"/>
          <c:showCatName val="0"/>
          <c:showSerName val="0"/>
          <c:showPercent val="0"/>
          <c:showBubbleSize val="0"/>
        </c:dLbls>
        <c:gapWidth val="52"/>
        <c:overlap val="100"/>
        <c:axId val="163401728"/>
        <c:axId val="163403264"/>
      </c:barChart>
      <c:catAx>
        <c:axId val="163401728"/>
        <c:scaling>
          <c:orientation val="minMax"/>
        </c:scaling>
        <c:delete val="0"/>
        <c:axPos val="b"/>
        <c:numFmt formatCode="General" sourceLinked="1"/>
        <c:majorTickMark val="out"/>
        <c:minorTickMark val="none"/>
        <c:tickLblPos val="low"/>
        <c:txPr>
          <a:bodyPr/>
          <a:lstStyle/>
          <a:p>
            <a:pPr>
              <a:defRPr>
                <a:latin typeface="Times New Roman" panose="02020603050405020304" pitchFamily="18" charset="0"/>
                <a:cs typeface="Times New Roman" panose="02020603050405020304" pitchFamily="18" charset="0"/>
              </a:defRPr>
            </a:pPr>
            <a:endParaRPr lang="en-US"/>
          </a:p>
        </c:txPr>
        <c:crossAx val="163403264"/>
        <c:crosses val="autoZero"/>
        <c:auto val="1"/>
        <c:lblAlgn val="ctr"/>
        <c:lblOffset val="100"/>
        <c:noMultiLvlLbl val="0"/>
      </c:catAx>
      <c:valAx>
        <c:axId val="163403264"/>
        <c:scaling>
          <c:orientation val="minMax"/>
          <c:max val="5000000"/>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63401728"/>
        <c:crosses val="autoZero"/>
        <c:crossBetween val="between"/>
        <c:majorUnit val="1000000"/>
        <c:dispUnits>
          <c:builtInUnit val="thousands"/>
        </c:dispUnits>
      </c:valAx>
    </c:plotArea>
    <c:legend>
      <c:legendPos val="r"/>
      <c:layout>
        <c:manualLayout>
          <c:xMode val="edge"/>
          <c:yMode val="edge"/>
          <c:x val="0.70906609009939325"/>
          <c:y val="3.5590453069012137E-2"/>
          <c:w val="0.29093390990060669"/>
          <c:h val="0.93068894557194437"/>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'Domestic Use Pivot'!$K$61</c:f>
              <c:strCache>
                <c:ptCount val="1"/>
                <c:pt idx="0">
                  <c:v>amount 2013-2016</c:v>
                </c:pt>
              </c:strCache>
            </c:strRef>
          </c:tx>
          <c:explosion val="1"/>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'Domestic Use Pivot'!$L$62:$L$66</c:f>
              <c:strCache>
                <c:ptCount val="5"/>
                <c:pt idx="0">
                  <c:v>Renewable energy</c:v>
                </c:pt>
                <c:pt idx="1">
                  <c:v>Energy efficiency</c:v>
                </c:pt>
                <c:pt idx="2">
                  <c:v>Sustainable transport</c:v>
                </c:pt>
                <c:pt idx="3">
                  <c:v>R&amp;D: emission reduction and adaptation</c:v>
                </c:pt>
                <c:pt idx="4">
                  <c:v>Other domestic use</c:v>
                </c:pt>
              </c:strCache>
            </c:strRef>
          </c:cat>
          <c:val>
            <c:numRef>
              <c:f>'Domestic Use Pivot'!$K$62:$K$66</c:f>
              <c:numCache>
                <c:formatCode>0.00</c:formatCode>
                <c:ptCount val="5"/>
                <c:pt idx="0">
                  <c:v>4.163154875901653</c:v>
                </c:pt>
                <c:pt idx="1">
                  <c:v>3.1120209999999999</c:v>
                </c:pt>
                <c:pt idx="2">
                  <c:v>1.024296407</c:v>
                </c:pt>
                <c:pt idx="3">
                  <c:v>0.46753919269333333</c:v>
                </c:pt>
                <c:pt idx="4">
                  <c:v>1.1635855541647995</c:v>
                </c:pt>
              </c:numCache>
            </c:numRef>
          </c:val>
          <c:extLst xmlns:c16r2="http://schemas.microsoft.com/office/drawing/2015/06/chart">
            <c:ext xmlns:c16="http://schemas.microsoft.com/office/drawing/2014/chart" uri="{C3380CC4-5D6E-409C-BE32-E72D297353CC}">
              <c16:uniqueId val="{00000000-0A66-4239-90AC-163970A4CFFE}"/>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0.86215</cdr:x>
      <cdr:y>0.81923</cdr:y>
    </cdr:from>
    <cdr:to>
      <cdr:x>0.9851</cdr:x>
      <cdr:y>0.88258</cdr:y>
    </cdr:to>
    <cdr:sp macro="" textlink="">
      <cdr:nvSpPr>
        <cdr:cNvPr id="4" name="TextBox 3"/>
        <cdr:cNvSpPr txBox="1"/>
      </cdr:nvSpPr>
      <cdr:spPr>
        <a:xfrm xmlns:a="http://schemas.openxmlformats.org/drawingml/2006/main">
          <a:off x="11020425" y="5050492"/>
          <a:ext cx="1571625"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0.86364</cdr:x>
      <cdr:y>0.78215</cdr:y>
    </cdr:from>
    <cdr:to>
      <cdr:x>0.96721</cdr:x>
      <cdr:y>0.83932</cdr:y>
    </cdr:to>
    <cdr:sp macro="" textlink="">
      <cdr:nvSpPr>
        <cdr:cNvPr id="5" name="TextBox 4"/>
        <cdr:cNvSpPr txBox="1"/>
      </cdr:nvSpPr>
      <cdr:spPr>
        <a:xfrm xmlns:a="http://schemas.openxmlformats.org/drawingml/2006/main">
          <a:off x="11039475" y="4821892"/>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0.68162</cdr:x>
      <cdr:y>0.90717</cdr:y>
    </cdr:from>
    <cdr:to>
      <cdr:x>0.91371</cdr:x>
      <cdr:y>0.98916</cdr:y>
    </cdr:to>
    <cdr:sp macro="" textlink="">
      <cdr:nvSpPr>
        <cdr:cNvPr id="2" name="TextBox 1"/>
        <cdr:cNvSpPr txBox="1"/>
      </cdr:nvSpPr>
      <cdr:spPr>
        <a:xfrm xmlns:a="http://schemas.openxmlformats.org/drawingml/2006/main">
          <a:off x="5834550" y="3539839"/>
          <a:ext cx="1986644" cy="3199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0.87653</cdr:x>
      <cdr:y>0.49038</cdr:y>
    </cdr:from>
    <cdr:to>
      <cdr:x>1</cdr:x>
      <cdr:y>0.73681</cdr:y>
    </cdr:to>
    <cdr:grpSp>
      <cdr:nvGrpSpPr>
        <cdr:cNvPr id="18" name="Group 17"/>
        <cdr:cNvGrpSpPr/>
      </cdr:nvGrpSpPr>
      <cdr:grpSpPr>
        <a:xfrm xmlns:a="http://schemas.openxmlformats.org/drawingml/2006/main">
          <a:off x="8975120" y="1882360"/>
          <a:ext cx="1264256" cy="945940"/>
          <a:chOff x="10860231" y="2824911"/>
          <a:chExt cx="1282958" cy="1286235"/>
        </a:xfrm>
      </cdr:grpSpPr>
      <cdr:sp macro="" textlink="">
        <cdr:nvSpPr>
          <cdr:cNvPr id="8" name="TextBox 7"/>
          <cdr:cNvSpPr txBox="1"/>
        </cdr:nvSpPr>
        <cdr:spPr>
          <a:xfrm xmlns:a="http://schemas.openxmlformats.org/drawingml/2006/main">
            <a:off x="10860231" y="2824911"/>
            <a:ext cx="1282958" cy="12862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b="0">
                <a:latin typeface="Palatino Linotype" panose="02040502050505030304" pitchFamily="18" charset="0"/>
              </a:rPr>
              <a:t>-</a:t>
            </a:r>
            <a:r>
              <a:rPr lang="en-GB" sz="1100" b="1">
                <a:latin typeface="Palatino Linotype" panose="02040502050505030304" pitchFamily="18" charset="0"/>
              </a:rPr>
              <a:t>40%</a:t>
            </a:r>
            <a:endParaRPr lang="en-GB" sz="1100" baseline="0">
              <a:latin typeface="Palatino Linotype" panose="02040502050505030304" pitchFamily="18" charset="0"/>
            </a:endParaRPr>
          </a:p>
          <a:p xmlns:a="http://schemas.openxmlformats.org/drawingml/2006/main">
            <a:r>
              <a:rPr lang="en-GB" sz="1100" baseline="0">
                <a:latin typeface="Palatino Linotype" panose="02040502050505030304" pitchFamily="18" charset="0"/>
              </a:rPr>
              <a:t>compared to 1990</a:t>
            </a:r>
            <a:endParaRPr lang="en-GB" sz="1100">
              <a:latin typeface="Palatino Linotype" panose="02040502050505030304" pitchFamily="18" charset="0"/>
            </a:endParaRPr>
          </a:p>
        </cdr:txBody>
      </cdr:sp>
    </cdr:grpSp>
  </cdr:relSizeAnchor>
  <cdr:relSizeAnchor xmlns:cdr="http://schemas.openxmlformats.org/drawingml/2006/chartDrawing">
    <cdr:from>
      <cdr:x>0</cdr:x>
      <cdr:y>0.25513</cdr:y>
    </cdr:from>
    <cdr:to>
      <cdr:x>0</cdr:x>
      <cdr:y>0.25513</cdr:y>
    </cdr:to>
    <cdr:grpSp>
      <cdr:nvGrpSpPr>
        <cdr:cNvPr id="32" name="Group 31"/>
        <cdr:cNvGrpSpPr/>
      </cdr:nvGrpSpPr>
      <cdr:grpSpPr>
        <a:xfrm xmlns:a="http://schemas.openxmlformats.org/drawingml/2006/main">
          <a:off x="0" y="979336"/>
          <a:ext cx="0" cy="0"/>
          <a:chOff x="0" y="979336"/>
          <a:chExt cx="0" cy="0"/>
        </a:xfrm>
      </cdr:grpSpPr>
    </cdr:grpSp>
  </cdr:relSizeAnchor>
  <cdr:relSizeAnchor xmlns:cdr="http://schemas.openxmlformats.org/drawingml/2006/chartDrawing">
    <cdr:from>
      <cdr:x>0.62391</cdr:x>
      <cdr:y>0.14969</cdr:y>
    </cdr:from>
    <cdr:to>
      <cdr:x>0.75503</cdr:x>
      <cdr:y>0.34856</cdr:y>
    </cdr:to>
    <cdr:grpSp>
      <cdr:nvGrpSpPr>
        <cdr:cNvPr id="33" name="Group 32"/>
        <cdr:cNvGrpSpPr/>
      </cdr:nvGrpSpPr>
      <cdr:grpSpPr>
        <a:xfrm xmlns:a="http://schemas.openxmlformats.org/drawingml/2006/main">
          <a:off x="6388449" y="574596"/>
          <a:ext cx="1342587" cy="763378"/>
          <a:chOff x="-3147190" y="-620122"/>
          <a:chExt cx="2887454" cy="2441446"/>
        </a:xfrm>
      </cdr:grpSpPr>
      <cdr:sp macro="" textlink="">
        <cdr:nvSpPr>
          <cdr:cNvPr id="34" name="TextBox 2"/>
          <cdr:cNvSpPr txBox="1"/>
        </cdr:nvSpPr>
        <cdr:spPr>
          <a:xfrm xmlns:a="http://schemas.openxmlformats.org/drawingml/2006/main">
            <a:off x="-3147190" y="-620122"/>
            <a:ext cx="2887454" cy="24414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100" b="1">
                <a:latin typeface="Times New Roman" panose="02020603050405020304" pitchFamily="18" charset="0"/>
                <a:cs typeface="Times New Roman" panose="02020603050405020304" pitchFamily="18" charset="0"/>
              </a:rPr>
              <a:t>-20%</a:t>
            </a:r>
            <a:r>
              <a:rPr lang="en-GB" sz="1100">
                <a:latin typeface="Times New Roman" panose="02020603050405020304" pitchFamily="18" charset="0"/>
                <a:cs typeface="Times New Roman" panose="02020603050405020304" pitchFamily="18" charset="0"/>
              </a:rPr>
              <a:t> </a:t>
            </a:r>
            <a:r>
              <a:rPr lang="en-GB" sz="1100" baseline="0">
                <a:latin typeface="Times New Roman" panose="02020603050405020304" pitchFamily="18" charset="0"/>
                <a:cs typeface="Times New Roman" panose="02020603050405020304" pitchFamily="18" charset="0"/>
              </a:rPr>
              <a:t>compared to 1990</a:t>
            </a:r>
            <a:endParaRPr lang="en-GB" sz="1100">
              <a:latin typeface="Times New Roman" panose="02020603050405020304" pitchFamily="18" charset="0"/>
              <a:cs typeface="Times New Roman" panose="02020603050405020304" pitchFamily="18" charset="0"/>
            </a:endParaRPr>
          </a:p>
        </cdr:txBody>
      </cdr:sp>
    </cdr:grpSp>
  </cdr:relSizeAnchor>
  <cdr:relSizeAnchor xmlns:cdr="http://schemas.openxmlformats.org/drawingml/2006/chartDrawing">
    <cdr:from>
      <cdr:x>0.86215</cdr:x>
      <cdr:y>0.81923</cdr:y>
    </cdr:from>
    <cdr:to>
      <cdr:x>0.9851</cdr:x>
      <cdr:y>0.88258</cdr:y>
    </cdr:to>
    <cdr:sp macro="" textlink="">
      <cdr:nvSpPr>
        <cdr:cNvPr id="3" name="TextBox 3"/>
        <cdr:cNvSpPr txBox="1"/>
      </cdr:nvSpPr>
      <cdr:spPr>
        <a:xfrm xmlns:a="http://schemas.openxmlformats.org/drawingml/2006/main">
          <a:off x="11020425" y="5050492"/>
          <a:ext cx="1571625"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0.86364</cdr:x>
      <cdr:y>0.78215</cdr:y>
    </cdr:from>
    <cdr:to>
      <cdr:x>0.96721</cdr:x>
      <cdr:y>0.83932</cdr:y>
    </cdr:to>
    <cdr:sp macro="" textlink="">
      <cdr:nvSpPr>
        <cdr:cNvPr id="6" name="TextBox 4"/>
        <cdr:cNvSpPr txBox="1"/>
      </cdr:nvSpPr>
      <cdr:spPr>
        <a:xfrm xmlns:a="http://schemas.openxmlformats.org/drawingml/2006/main">
          <a:off x="11039475" y="4821892"/>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0.68162</cdr:x>
      <cdr:y>0.90717</cdr:y>
    </cdr:from>
    <cdr:to>
      <cdr:x>0.91371</cdr:x>
      <cdr:y>0.98916</cdr:y>
    </cdr:to>
    <cdr:sp macro="" textlink="">
      <cdr:nvSpPr>
        <cdr:cNvPr id="7" name="TextBox 1"/>
        <cdr:cNvSpPr txBox="1"/>
      </cdr:nvSpPr>
      <cdr:spPr>
        <a:xfrm xmlns:a="http://schemas.openxmlformats.org/drawingml/2006/main">
          <a:off x="5834550" y="3539839"/>
          <a:ext cx="1986644" cy="3199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cdr:x>
      <cdr:y>0</cdr:y>
    </cdr:from>
    <cdr:to>
      <cdr:x>0</cdr:x>
      <cdr:y>0</cdr:y>
    </cdr:to>
    <cdr:grpSp>
      <cdr:nvGrpSpPr>
        <cdr:cNvPr id="9" name="Group 17"/>
        <cdr:cNvGrpSpPr/>
      </cdr:nvGrpSpPr>
      <cdr:grpSpPr>
        <a:xfrm xmlns:a="http://schemas.openxmlformats.org/drawingml/2006/main">
          <a:off x="0" y="0"/>
          <a:ext cx="0" cy="0"/>
          <a:chOff x="0" y="0"/>
          <a:chExt cx="0" cy="0"/>
        </a:xfrm>
      </cdr:grpSpPr>
    </cdr:grpSp>
  </cdr:relSizeAnchor>
  <cdr:relSizeAnchor xmlns:cdr="http://schemas.openxmlformats.org/drawingml/2006/chartDrawing">
    <cdr:from>
      <cdr:x>0</cdr:x>
      <cdr:y>0.25513</cdr:y>
    </cdr:from>
    <cdr:to>
      <cdr:x>0</cdr:x>
      <cdr:y>0.25513</cdr:y>
    </cdr:to>
    <cdr:grpSp>
      <cdr:nvGrpSpPr>
        <cdr:cNvPr id="11" name="Group 31"/>
        <cdr:cNvGrpSpPr/>
      </cdr:nvGrpSpPr>
      <cdr:grpSpPr>
        <a:xfrm xmlns:a="http://schemas.openxmlformats.org/drawingml/2006/main">
          <a:off x="0" y="979336"/>
          <a:ext cx="0" cy="0"/>
          <a:chOff x="0" y="979336"/>
          <a:chExt cx="0" cy="0"/>
        </a:xfrm>
      </cdr:grpSpPr>
    </cdr:grpSp>
  </cdr:relSizeAnchor>
  <cdr:relSizeAnchor xmlns:cdr="http://schemas.openxmlformats.org/drawingml/2006/chartDrawing">
    <cdr:from>
      <cdr:x>0.76682</cdr:x>
      <cdr:y>0.2002</cdr:y>
    </cdr:from>
    <cdr:to>
      <cdr:x>0.76682</cdr:x>
      <cdr:y>0.2002</cdr:y>
    </cdr:to>
    <cdr:grpSp>
      <cdr:nvGrpSpPr>
        <cdr:cNvPr id="12" name="Group 32"/>
        <cdr:cNvGrpSpPr/>
      </cdr:nvGrpSpPr>
      <cdr:grpSpPr>
        <a:xfrm xmlns:a="http://schemas.openxmlformats.org/drawingml/2006/main">
          <a:off x="7851758" y="768483"/>
          <a:ext cx="0" cy="0"/>
          <a:chOff x="7851758" y="768483"/>
          <a:chExt cx="0" cy="0"/>
        </a:xfrm>
      </cdr:grpSpPr>
    </cdr:grpSp>
  </cdr:relSizeAnchor>
  <cdr:relSizeAnchor xmlns:cdr="http://schemas.openxmlformats.org/drawingml/2006/chartDrawing">
    <cdr:from>
      <cdr:x>0.86215</cdr:x>
      <cdr:y>0.81923</cdr:y>
    </cdr:from>
    <cdr:to>
      <cdr:x>0.9851</cdr:x>
      <cdr:y>0.88258</cdr:y>
    </cdr:to>
    <cdr:sp macro="" textlink="">
      <cdr:nvSpPr>
        <cdr:cNvPr id="15" name="TextBox 3"/>
        <cdr:cNvSpPr txBox="1"/>
      </cdr:nvSpPr>
      <cdr:spPr>
        <a:xfrm xmlns:a="http://schemas.openxmlformats.org/drawingml/2006/main">
          <a:off x="11020425" y="5050492"/>
          <a:ext cx="1571625"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0.86364</cdr:x>
      <cdr:y>0.78215</cdr:y>
    </cdr:from>
    <cdr:to>
      <cdr:x>0.96721</cdr:x>
      <cdr:y>0.83932</cdr:y>
    </cdr:to>
    <cdr:sp macro="" textlink="">
      <cdr:nvSpPr>
        <cdr:cNvPr id="16" name="TextBox 4"/>
        <cdr:cNvSpPr txBox="1"/>
      </cdr:nvSpPr>
      <cdr:spPr>
        <a:xfrm xmlns:a="http://schemas.openxmlformats.org/drawingml/2006/main">
          <a:off x="11039475" y="4821892"/>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0.68162</cdr:x>
      <cdr:y>0.90717</cdr:y>
    </cdr:from>
    <cdr:to>
      <cdr:x>0.91371</cdr:x>
      <cdr:y>0.98916</cdr:y>
    </cdr:to>
    <cdr:sp macro="" textlink="">
      <cdr:nvSpPr>
        <cdr:cNvPr id="17" name="TextBox 1"/>
        <cdr:cNvSpPr txBox="1"/>
      </cdr:nvSpPr>
      <cdr:spPr>
        <a:xfrm xmlns:a="http://schemas.openxmlformats.org/drawingml/2006/main">
          <a:off x="5834550" y="3539839"/>
          <a:ext cx="1986644" cy="3199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cdr:x>
      <cdr:y>0</cdr:y>
    </cdr:from>
    <cdr:to>
      <cdr:x>0</cdr:x>
      <cdr:y>0</cdr:y>
    </cdr:to>
    <cdr:grpSp>
      <cdr:nvGrpSpPr>
        <cdr:cNvPr id="19" name="Group 17"/>
        <cdr:cNvGrpSpPr/>
      </cdr:nvGrpSpPr>
      <cdr:grpSpPr>
        <a:xfrm xmlns:a="http://schemas.openxmlformats.org/drawingml/2006/main">
          <a:off x="0" y="0"/>
          <a:ext cx="0" cy="0"/>
          <a:chOff x="0" y="0"/>
          <a:chExt cx="0" cy="0"/>
        </a:xfrm>
      </cdr:grpSpPr>
    </cdr:grpSp>
  </cdr:relSizeAnchor>
  <cdr:relSizeAnchor xmlns:cdr="http://schemas.openxmlformats.org/drawingml/2006/chartDrawing">
    <cdr:from>
      <cdr:x>0</cdr:x>
      <cdr:y>0.25513</cdr:y>
    </cdr:from>
    <cdr:to>
      <cdr:x>0</cdr:x>
      <cdr:y>0.25513</cdr:y>
    </cdr:to>
    <cdr:grpSp>
      <cdr:nvGrpSpPr>
        <cdr:cNvPr id="21" name="Group 31"/>
        <cdr:cNvGrpSpPr/>
      </cdr:nvGrpSpPr>
      <cdr:grpSpPr>
        <a:xfrm xmlns:a="http://schemas.openxmlformats.org/drawingml/2006/main">
          <a:off x="0" y="979336"/>
          <a:ext cx="0" cy="0"/>
          <a:chOff x="0" y="979336"/>
          <a:chExt cx="0" cy="0"/>
        </a:xfrm>
      </cdr:grpSpPr>
    </cdr:grpSp>
  </cdr:relSizeAnchor>
  <cdr:relSizeAnchor xmlns:cdr="http://schemas.openxmlformats.org/drawingml/2006/chartDrawing">
    <cdr:from>
      <cdr:x>0.76682</cdr:x>
      <cdr:y>0.2002</cdr:y>
    </cdr:from>
    <cdr:to>
      <cdr:x>0.76682</cdr:x>
      <cdr:y>0.2002</cdr:y>
    </cdr:to>
    <cdr:grpSp>
      <cdr:nvGrpSpPr>
        <cdr:cNvPr id="22" name="Group 32"/>
        <cdr:cNvGrpSpPr/>
      </cdr:nvGrpSpPr>
      <cdr:grpSpPr>
        <a:xfrm xmlns:a="http://schemas.openxmlformats.org/drawingml/2006/main">
          <a:off x="7851758" y="768483"/>
          <a:ext cx="0" cy="0"/>
          <a:chOff x="7851758" y="768483"/>
          <a:chExt cx="0" cy="0"/>
        </a:xfrm>
      </cdr:grpSpPr>
    </cdr:grpSp>
  </cdr:relSizeAnchor>
  <cdr:relSizeAnchor xmlns:cdr="http://schemas.openxmlformats.org/drawingml/2006/chartDrawing">
    <cdr:from>
      <cdr:x>0.53249</cdr:x>
      <cdr:y>0.25253</cdr:y>
    </cdr:from>
    <cdr:to>
      <cdr:x>0.60299</cdr:x>
      <cdr:y>0.47341</cdr:y>
    </cdr:to>
    <cdr:sp macro="" textlink="">
      <cdr:nvSpPr>
        <cdr:cNvPr id="24" name="TextBox 1"/>
        <cdr:cNvSpPr txBox="1"/>
      </cdr:nvSpPr>
      <cdr:spPr>
        <a:xfrm xmlns:a="http://schemas.openxmlformats.org/drawingml/2006/main">
          <a:off x="4558008" y="985391"/>
          <a:ext cx="603466" cy="8618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GB" sz="1300" b="1" baseline="30000">
            <a:solidFill>
              <a:srgbClr val="416FA6"/>
            </a:solidFill>
            <a:latin typeface="Palatino Linotype" panose="02040502050505030304" pitchFamily="18" charset="0"/>
          </a:endParaRPr>
        </a:p>
      </cdr:txBody>
    </cdr:sp>
  </cdr:relSizeAnchor>
  <cdr:relSizeAnchor xmlns:cdr="http://schemas.openxmlformats.org/drawingml/2006/chartDrawing">
    <cdr:from>
      <cdr:x>0.86215</cdr:x>
      <cdr:y>0.81923</cdr:y>
    </cdr:from>
    <cdr:to>
      <cdr:x>0.9851</cdr:x>
      <cdr:y>0.88258</cdr:y>
    </cdr:to>
    <cdr:sp macro="" textlink="">
      <cdr:nvSpPr>
        <cdr:cNvPr id="25" name="TextBox 3"/>
        <cdr:cNvSpPr txBox="1"/>
      </cdr:nvSpPr>
      <cdr:spPr>
        <a:xfrm xmlns:a="http://schemas.openxmlformats.org/drawingml/2006/main">
          <a:off x="11020425" y="5050492"/>
          <a:ext cx="1571625"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0.86364</cdr:x>
      <cdr:y>0.78215</cdr:y>
    </cdr:from>
    <cdr:to>
      <cdr:x>0.96721</cdr:x>
      <cdr:y>0.83932</cdr:y>
    </cdr:to>
    <cdr:sp macro="" textlink="">
      <cdr:nvSpPr>
        <cdr:cNvPr id="26" name="TextBox 4"/>
        <cdr:cNvSpPr txBox="1"/>
      </cdr:nvSpPr>
      <cdr:spPr>
        <a:xfrm xmlns:a="http://schemas.openxmlformats.org/drawingml/2006/main">
          <a:off x="11039475" y="4821892"/>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0.68162</cdr:x>
      <cdr:y>0.90717</cdr:y>
    </cdr:from>
    <cdr:to>
      <cdr:x>0.91371</cdr:x>
      <cdr:y>0.98916</cdr:y>
    </cdr:to>
    <cdr:sp macro="" textlink="">
      <cdr:nvSpPr>
        <cdr:cNvPr id="27" name="TextBox 1"/>
        <cdr:cNvSpPr txBox="1"/>
      </cdr:nvSpPr>
      <cdr:spPr>
        <a:xfrm xmlns:a="http://schemas.openxmlformats.org/drawingml/2006/main">
          <a:off x="5834550" y="3539839"/>
          <a:ext cx="1986644" cy="3199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cdr:x>
      <cdr:y>0</cdr:y>
    </cdr:from>
    <cdr:to>
      <cdr:x>0</cdr:x>
      <cdr:y>0</cdr:y>
    </cdr:to>
    <cdr:grpSp>
      <cdr:nvGrpSpPr>
        <cdr:cNvPr id="28" name="Group 17"/>
        <cdr:cNvGrpSpPr/>
      </cdr:nvGrpSpPr>
      <cdr:grpSpPr>
        <a:xfrm xmlns:a="http://schemas.openxmlformats.org/drawingml/2006/main">
          <a:off x="0" y="0"/>
          <a:ext cx="0" cy="0"/>
          <a:chOff x="0" y="0"/>
          <a:chExt cx="0" cy="0"/>
        </a:xfrm>
      </cdr:grpSpPr>
    </cdr:grpSp>
  </cdr:relSizeAnchor>
  <cdr:relSizeAnchor xmlns:cdr="http://schemas.openxmlformats.org/drawingml/2006/chartDrawing">
    <cdr:from>
      <cdr:x>0</cdr:x>
      <cdr:y>0.25513</cdr:y>
    </cdr:from>
    <cdr:to>
      <cdr:x>0</cdr:x>
      <cdr:y>0.25513</cdr:y>
    </cdr:to>
    <cdr:grpSp>
      <cdr:nvGrpSpPr>
        <cdr:cNvPr id="30" name="Group 31"/>
        <cdr:cNvGrpSpPr/>
      </cdr:nvGrpSpPr>
      <cdr:grpSpPr>
        <a:xfrm xmlns:a="http://schemas.openxmlformats.org/drawingml/2006/main">
          <a:off x="0" y="979336"/>
          <a:ext cx="0" cy="0"/>
          <a:chOff x="0" y="979336"/>
          <a:chExt cx="0" cy="0"/>
        </a:xfrm>
      </cdr:grpSpPr>
    </cdr:grpSp>
  </cdr:relSizeAnchor>
  <cdr:relSizeAnchor xmlns:cdr="http://schemas.openxmlformats.org/drawingml/2006/chartDrawing">
    <cdr:from>
      <cdr:x>0.55159</cdr:x>
      <cdr:y>0.41876</cdr:y>
    </cdr:from>
    <cdr:to>
      <cdr:x>0.69496</cdr:x>
      <cdr:y>0.63964</cdr:y>
    </cdr:to>
    <cdr:sp macro="" textlink="">
      <cdr:nvSpPr>
        <cdr:cNvPr id="37" name="TextBox 1"/>
        <cdr:cNvSpPr txBox="1"/>
      </cdr:nvSpPr>
      <cdr:spPr>
        <a:xfrm xmlns:a="http://schemas.openxmlformats.org/drawingml/2006/main">
          <a:off x="3293842" y="1154593"/>
          <a:ext cx="856127" cy="6090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100" b="1">
              <a:solidFill>
                <a:sysClr val="windowText" lastClr="000000"/>
              </a:solidFill>
              <a:latin typeface="Times New Roman" panose="02020603050405020304" pitchFamily="18" charset="0"/>
              <a:cs typeface="Times New Roman" panose="02020603050405020304" pitchFamily="18" charset="0"/>
            </a:rPr>
            <a:t>-23% </a:t>
          </a:r>
          <a:r>
            <a:rPr lang="en-GB" sz="1100" b="1" baseline="0">
              <a:solidFill>
                <a:sysClr val="windowText" lastClr="000000"/>
              </a:solidFill>
              <a:latin typeface="Times New Roman" panose="02020603050405020304" pitchFamily="18" charset="0"/>
              <a:cs typeface="Times New Roman" panose="02020603050405020304" pitchFamily="18" charset="0"/>
            </a:rPr>
            <a:t> </a:t>
          </a:r>
        </a:p>
        <a:p xmlns:a="http://schemas.openxmlformats.org/drawingml/2006/main">
          <a:pPr algn="ctr"/>
          <a:r>
            <a:rPr lang="en-GB" sz="1100" b="1" baseline="0">
              <a:solidFill>
                <a:sysClr val="windowText" lastClr="000000"/>
              </a:solidFill>
              <a:latin typeface="Times New Roman" panose="02020603050405020304" pitchFamily="18" charset="0"/>
              <a:cs typeface="Times New Roman" panose="02020603050405020304" pitchFamily="18" charset="0"/>
            </a:rPr>
            <a:t>in 2016</a:t>
          </a:r>
          <a:endParaRPr lang="en-GB" sz="1100" b="1" baseline="3000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0.81306</cdr:x>
      <cdr:y>0.76566</cdr:y>
    </cdr:from>
    <cdr:to>
      <cdr:x>0.91988</cdr:x>
      <cdr:y>1</cdr:y>
    </cdr:to>
    <cdr:sp macro="" textlink="">
      <cdr:nvSpPr>
        <cdr:cNvPr id="38" name="TextBox 37"/>
        <cdr:cNvSpPr txBox="1"/>
      </cdr:nvSpPr>
      <cdr:spPr>
        <a:xfrm xmlns:a="http://schemas.openxmlformats.org/drawingml/2006/main">
          <a:off x="6959600" y="29876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0.67031</cdr:x>
      <cdr:y>0.21031</cdr:y>
    </cdr:from>
    <cdr:to>
      <cdr:x>0.97883</cdr:x>
      <cdr:y>0.36328</cdr:y>
    </cdr:to>
    <cdr:sp macro="" textlink="">
      <cdr:nvSpPr>
        <cdr:cNvPr id="39" name="TextBox 38"/>
        <cdr:cNvSpPr txBox="1"/>
      </cdr:nvSpPr>
      <cdr:spPr>
        <a:xfrm xmlns:a="http://schemas.openxmlformats.org/drawingml/2006/main">
          <a:off x="4002770" y="579864"/>
          <a:ext cx="1842356" cy="4217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latin typeface="Times New Roman" panose="02020603050405020304" pitchFamily="18" charset="0"/>
              <a:cs typeface="Times New Roman" panose="02020603050405020304" pitchFamily="18" charset="0"/>
            </a:rPr>
            <a:t>-20%</a:t>
          </a:r>
          <a:r>
            <a:rPr lang="en-GB" sz="1100" baseline="0">
              <a:latin typeface="Times New Roman" panose="02020603050405020304" pitchFamily="18" charset="0"/>
              <a:cs typeface="Times New Roman" panose="02020603050405020304" pitchFamily="18" charset="0"/>
            </a:rPr>
            <a:t> compared to 1990</a:t>
          </a:r>
          <a:endParaRPr lang="en-GB"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0.87906</cdr:x>
      <cdr:y>0.82314</cdr:y>
    </cdr:from>
    <cdr:to>
      <cdr:x>0.98588</cdr:x>
      <cdr:y>0.97611</cdr:y>
    </cdr:to>
    <cdr:sp macro="" textlink="">
      <cdr:nvSpPr>
        <cdr:cNvPr id="31" name="TextBox 38"/>
        <cdr:cNvSpPr txBox="1"/>
      </cdr:nvSpPr>
      <cdr:spPr>
        <a:xfrm xmlns:a="http://schemas.openxmlformats.org/drawingml/2006/main">
          <a:off x="5249324" y="2269550"/>
          <a:ext cx="637880" cy="421764"/>
        </a:xfrm>
        <a:prstGeom xmlns:a="http://schemas.openxmlformats.org/drawingml/2006/main" prst="rect">
          <a:avLst/>
        </a:prstGeom>
      </cdr:spPr>
    </cdr:sp>
  </cdr:relSizeAnchor>
  <cdr:relSizeAnchor xmlns:cdr="http://schemas.openxmlformats.org/drawingml/2006/chartDrawing">
    <cdr:from>
      <cdr:x>0.63641</cdr:x>
      <cdr:y>0.55528</cdr:y>
    </cdr:from>
    <cdr:to>
      <cdr:x>0.94493</cdr:x>
      <cdr:y>0.70825</cdr:y>
    </cdr:to>
    <cdr:sp macro="" textlink="">
      <cdr:nvSpPr>
        <cdr:cNvPr id="35" name="TextBox 38"/>
        <cdr:cNvSpPr txBox="1"/>
      </cdr:nvSpPr>
      <cdr:spPr>
        <a:xfrm xmlns:a="http://schemas.openxmlformats.org/drawingml/2006/main">
          <a:off x="3800352" y="1530996"/>
          <a:ext cx="1842356" cy="421764"/>
        </a:xfrm>
        <a:prstGeom xmlns:a="http://schemas.openxmlformats.org/drawingml/2006/main" prst="rect">
          <a:avLst/>
        </a:prstGeom>
      </cdr:spPr>
    </cdr:sp>
  </cdr:relSizeAnchor>
  <cdr:relSizeAnchor xmlns:cdr="http://schemas.openxmlformats.org/drawingml/2006/chartDrawing">
    <cdr:from>
      <cdr:x>0.72205</cdr:x>
      <cdr:y>0.6012</cdr:y>
    </cdr:from>
    <cdr:to>
      <cdr:x>1</cdr:x>
      <cdr:y>0.75417</cdr:y>
    </cdr:to>
    <cdr:sp macro="" textlink="">
      <cdr:nvSpPr>
        <cdr:cNvPr id="36" name="TextBox 38"/>
        <cdr:cNvSpPr txBox="1"/>
      </cdr:nvSpPr>
      <cdr:spPr>
        <a:xfrm xmlns:a="http://schemas.openxmlformats.org/drawingml/2006/main">
          <a:off x="4311747" y="1657606"/>
          <a:ext cx="1659793" cy="42176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GB">
              <a:latin typeface="Times New Roman" panose="02020603050405020304" pitchFamily="18" charset="0"/>
              <a:cs typeface="Times New Roman" panose="02020603050405020304" pitchFamily="18" charset="0"/>
            </a:rPr>
            <a:t>-40%compared to 1990</a:t>
          </a:r>
          <a:endParaRPr lang="en-GB"/>
        </a:p>
      </cdr:txBody>
    </cdr:sp>
  </cdr:relSizeAnchor>
</c:userShapes>
</file>

<file path=word/drawings/drawing2.xml><?xml version="1.0" encoding="utf-8"?>
<c:userShapes xmlns:c="http://schemas.openxmlformats.org/drawingml/2006/chart">
  <cdr:relSizeAnchor xmlns:cdr="http://schemas.openxmlformats.org/drawingml/2006/chartDrawing">
    <cdr:from>
      <cdr:x>0.89169</cdr:x>
      <cdr:y>0.12338</cdr:y>
    </cdr:from>
    <cdr:to>
      <cdr:x>1</cdr:x>
      <cdr:y>0.32999</cdr:y>
    </cdr:to>
    <cdr:sp macro="" textlink="">
      <cdr:nvSpPr>
        <cdr:cNvPr id="2" name="TextBox 1"/>
        <cdr:cNvSpPr txBox="1"/>
      </cdr:nvSpPr>
      <cdr:spPr>
        <a:xfrm xmlns:a="http://schemas.openxmlformats.org/drawingml/2006/main">
          <a:off x="5448273" y="546089"/>
          <a:ext cx="571537" cy="914415"/>
        </a:xfrm>
        <a:prstGeom xmlns:a="http://schemas.openxmlformats.org/drawingml/2006/main" prst="rect">
          <a:avLst/>
        </a:prstGeom>
      </cdr:spPr>
    </cdr:sp>
  </cdr:relSizeAnchor>
  <cdr:relSizeAnchor xmlns:cdr="http://schemas.openxmlformats.org/drawingml/2006/chartDrawing">
    <cdr:from>
      <cdr:x>0.74969</cdr:x>
      <cdr:y>0.04304</cdr:y>
    </cdr:from>
    <cdr:to>
      <cdr:x>0.858</cdr:x>
      <cdr:y>0.24964</cdr:y>
    </cdr:to>
    <cdr:sp macro="" textlink="">
      <cdr:nvSpPr>
        <cdr:cNvPr id="3" name="TextBox 1"/>
        <cdr:cNvSpPr txBox="1"/>
      </cdr:nvSpPr>
      <cdr:spPr>
        <a:xfrm xmlns:a="http://schemas.openxmlformats.org/drawingml/2006/main">
          <a:off x="3956013" y="190489"/>
          <a:ext cx="571537" cy="91441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GB">
              <a:latin typeface="Times New Roman" panose="02020603050405020304" pitchFamily="18" charset="0"/>
              <a:cs typeface="Times New Roman" panose="02020603050405020304" pitchFamily="18" charset="0"/>
            </a:rPr>
            <a:t>shortfall</a:t>
          </a:r>
        </a:p>
      </cdr:txBody>
    </cdr:sp>
  </cdr:relSizeAnchor>
  <cdr:relSizeAnchor xmlns:cdr="http://schemas.openxmlformats.org/drawingml/2006/chartDrawing">
    <cdr:from>
      <cdr:x>0.19494</cdr:x>
      <cdr:y>0.52367</cdr:y>
    </cdr:from>
    <cdr:to>
      <cdr:x>0.30325</cdr:x>
      <cdr:y>0.73027</cdr:y>
    </cdr:to>
    <cdr:sp macro="" textlink="">
      <cdr:nvSpPr>
        <cdr:cNvPr id="4" name="TextBox 1"/>
        <cdr:cNvSpPr txBox="1"/>
      </cdr:nvSpPr>
      <cdr:spPr>
        <a:xfrm xmlns:a="http://schemas.openxmlformats.org/drawingml/2006/main">
          <a:off x="1028663" y="2317739"/>
          <a:ext cx="571537" cy="91441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GB">
              <a:latin typeface="Times New Roman" panose="02020603050405020304" pitchFamily="18" charset="0"/>
              <a:cs typeface="Times New Roman" panose="02020603050405020304" pitchFamily="18" charset="0"/>
            </a:rPr>
            <a:t>achievement</a:t>
          </a:r>
        </a:p>
      </cdr:txBody>
    </cdr:sp>
  </cdr:relSizeAnchor>
</c:userShapes>
</file>

<file path=word/drawings/drawing3.xml><?xml version="1.0" encoding="utf-8"?>
<c:userShapes xmlns:c="http://schemas.openxmlformats.org/drawingml/2006/chart">
  <cdr:relSizeAnchor xmlns:cdr="http://schemas.openxmlformats.org/drawingml/2006/chartDrawing">
    <cdr:from>
      <cdr:x>0.88342</cdr:x>
      <cdr:y>0.15914</cdr:y>
    </cdr:from>
    <cdr:to>
      <cdr:x>0.97481</cdr:x>
      <cdr:y>0.32231</cdr:y>
    </cdr:to>
    <cdr:sp macro="" textlink="">
      <cdr:nvSpPr>
        <cdr:cNvPr id="2" name="TextBox 1"/>
        <cdr:cNvSpPr txBox="1"/>
      </cdr:nvSpPr>
      <cdr:spPr>
        <a:xfrm xmlns:a="http://schemas.openxmlformats.org/drawingml/2006/main">
          <a:off x="5275384" y="864110"/>
          <a:ext cx="545733" cy="88599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latin typeface="Times New Roman" panose="02020603050405020304" pitchFamily="18" charset="0"/>
              <a:cs typeface="Times New Roman" panose="02020603050405020304" pitchFamily="18" charset="0"/>
            </a:rPr>
            <a:t>net</a:t>
          </a:r>
          <a:r>
            <a:rPr lang="en-GB" sz="1100" baseline="0">
              <a:latin typeface="Times New Roman" panose="02020603050405020304" pitchFamily="18" charset="0"/>
              <a:cs typeface="Times New Roman" panose="02020603050405020304" pitchFamily="18" charset="0"/>
            </a:rPr>
            <a:t> </a:t>
          </a:r>
        </a:p>
        <a:p xmlns:a="http://schemas.openxmlformats.org/drawingml/2006/main">
          <a:r>
            <a:rPr lang="en-GB" sz="1100" baseline="0">
              <a:latin typeface="Times New Roman" panose="02020603050405020304" pitchFamily="18" charset="0"/>
              <a:cs typeface="Times New Roman" panose="02020603050405020304" pitchFamily="18" charset="0"/>
            </a:rPr>
            <a:t>emissions</a:t>
          </a:r>
          <a:r>
            <a:rPr lang="en-GB" sz="1100">
              <a:latin typeface="Times New Roman" panose="02020603050405020304" pitchFamily="18" charset="0"/>
              <a:cs typeface="Times New Roman" panose="02020603050405020304" pitchFamily="18" charset="0"/>
            </a:rPr>
            <a:t> </a:t>
          </a:r>
        </a:p>
        <a:p xmlns:a="http://schemas.openxmlformats.org/drawingml/2006/main">
          <a:r>
            <a:rPr lang="en-GB" sz="1100">
              <a:latin typeface="Times New Roman" panose="02020603050405020304" pitchFamily="18" charset="0"/>
              <a:cs typeface="Times New Roman" panose="02020603050405020304" pitchFamily="18" charset="0"/>
            </a:rPr>
            <a:t>(positive </a:t>
          </a:r>
        </a:p>
        <a:p xmlns:a="http://schemas.openxmlformats.org/drawingml/2006/main">
          <a:r>
            <a:rPr lang="en-GB" sz="1100">
              <a:latin typeface="Times New Roman" panose="02020603050405020304" pitchFamily="18" charset="0"/>
              <a:cs typeface="Times New Roman" panose="02020603050405020304" pitchFamily="18" charset="0"/>
            </a:rPr>
            <a:t>value)</a:t>
          </a:r>
        </a:p>
      </cdr:txBody>
    </cdr:sp>
  </cdr:relSizeAnchor>
  <cdr:relSizeAnchor xmlns:cdr="http://schemas.openxmlformats.org/drawingml/2006/chartDrawing">
    <cdr:from>
      <cdr:x>0.43726</cdr:x>
      <cdr:y>0.16202</cdr:y>
    </cdr:from>
    <cdr:to>
      <cdr:x>0.52865</cdr:x>
      <cdr:y>0.32519</cdr:y>
    </cdr:to>
    <cdr:sp macro="" textlink="">
      <cdr:nvSpPr>
        <cdr:cNvPr id="3" name="TextBox 1"/>
        <cdr:cNvSpPr txBox="1"/>
      </cdr:nvSpPr>
      <cdr:spPr>
        <a:xfrm xmlns:a="http://schemas.openxmlformats.org/drawingml/2006/main">
          <a:off x="2611120" y="879740"/>
          <a:ext cx="545733" cy="88599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GB">
              <a:latin typeface="Times New Roman" panose="02020603050405020304" pitchFamily="18" charset="0"/>
              <a:cs typeface="Times New Roman" panose="02020603050405020304" pitchFamily="18" charset="0"/>
            </a:rPr>
            <a:t>net removals</a:t>
          </a:r>
        </a:p>
        <a:p xmlns:a="http://schemas.openxmlformats.org/drawingml/2006/main">
          <a:r>
            <a:rPr lang="en-GB" baseline="0">
              <a:latin typeface="Times New Roman" panose="02020603050405020304" pitchFamily="18" charset="0"/>
              <a:cs typeface="Times New Roman" panose="02020603050405020304" pitchFamily="18" charset="0"/>
            </a:rPr>
            <a:t>(negative values)</a:t>
          </a:r>
          <a:endParaRPr lang="en-GB">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C_Collab_Status xmlns="860d912c-537d-45a8-8150-6acaed830b3a">Draft</EC_Collab_Status>
    <_Status xmlns="http://schemas.microsoft.com/sharepoint/v3/fields" xsi:nil="true"/>
    <EC_Collab_Reference xmlns="860d912c-537d-45a8-8150-6acaed830b3a" xsi:nil="true"/>
    <EC_Collab_DocumentLanguage xmlns="860d912c-537d-45a8-8150-6acaed830b3a">EN</EC_Collab_DocumentLanguage>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D6847E1B8AD23243ABCBDF4B7200F2DF" ma:contentTypeVersion="0" ma:contentTypeDescription="Create a new document in this library." ma:contentTypeScope="" ma:versionID="9a4cabf7f0ec1910422d457b83992ea6">
  <xsd:schema xmlns:xsd="http://www.w3.org/2001/XMLSchema" xmlns:xs="http://www.w3.org/2001/XMLSchema" xmlns:p="http://schemas.microsoft.com/office/2006/metadata/properties" xmlns:ns2="http://schemas.microsoft.com/sharepoint/v3/fields" xmlns:ns3="860d912c-537d-45a8-8150-6acaed830b3a" targetNamespace="http://schemas.microsoft.com/office/2006/metadata/properties" ma:root="true" ma:fieldsID="4e9f4e14874d6c160478bed546b860fb" ns2:_="" ns3:_="">
    <xsd:import namespace="http://schemas.microsoft.com/sharepoint/v3/fields"/>
    <xsd:import namespace="860d912c-537d-45a8-8150-6acaed830b3a"/>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860d912c-537d-45a8-8150-6acaed830b3a"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479AD-5B76-458B-BD45-06DC8DDC36C8}">
  <ds:schemaRefs>
    <ds:schemaRef ds:uri="http://schemas.microsoft.com/sharepoint/v3/contenttype/forms"/>
  </ds:schemaRefs>
</ds:datastoreItem>
</file>

<file path=customXml/itemProps2.xml><?xml version="1.0" encoding="utf-8"?>
<ds:datastoreItem xmlns:ds="http://schemas.openxmlformats.org/officeDocument/2006/customXml" ds:itemID="{C2B623DD-4106-4071-969C-2513278EF92E}">
  <ds:schemaRefs>
    <ds:schemaRef ds:uri="http://purl.org/dc/elements/1.1/"/>
    <ds:schemaRef ds:uri="860d912c-537d-45a8-8150-6acaed830b3a"/>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http://purl.org/dc/dcmitype/"/>
    <ds:schemaRef ds:uri="http://schemas.microsoft.com/sharepoint/v3/field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61698D1-B696-482D-A8A2-6D622DAA6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860d912c-537d-45a8-8150-6acaed830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C20354-6535-4895-8636-37A07787E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6451</Words>
  <Characters>36774</Characters>
  <Application>Microsoft Office Word</Application>
  <DocSecurity>0</DocSecurity>
  <Lines>602</Lines>
  <Paragraphs>174</Paragraphs>
  <ScaleCrop>false</ScaleCrop>
  <HeadingPairs>
    <vt:vector size="2" baseType="variant">
      <vt:variant>
        <vt:lpstr>Title</vt:lpstr>
      </vt:variant>
      <vt:variant>
        <vt:i4>1</vt:i4>
      </vt:variant>
    </vt:vector>
  </HeadingPairs>
  <TitlesOfParts>
    <vt:vector size="1" baseType="lpstr">
      <vt:lpstr>Progress Report 2017</vt:lpstr>
    </vt:vector>
  </TitlesOfParts>
  <Manager/>
  <Company/>
  <LinksUpToDate>false</LinksUpToDate>
  <CharactersWithSpaces>43051</CharactersWithSpaces>
  <SharedDoc>false</SharedDoc>
  <HLinks>
    <vt:vector size="204" baseType="variant">
      <vt:variant>
        <vt:i4>1769522</vt:i4>
      </vt:variant>
      <vt:variant>
        <vt:i4>203</vt:i4>
      </vt:variant>
      <vt:variant>
        <vt:i4>0</vt:i4>
      </vt:variant>
      <vt:variant>
        <vt:i4>5</vt:i4>
      </vt:variant>
      <vt:variant>
        <vt:lpwstr/>
      </vt:variant>
      <vt:variant>
        <vt:lpwstr>_Toc429760996</vt:lpwstr>
      </vt:variant>
      <vt:variant>
        <vt:i4>1769522</vt:i4>
      </vt:variant>
      <vt:variant>
        <vt:i4>197</vt:i4>
      </vt:variant>
      <vt:variant>
        <vt:i4>0</vt:i4>
      </vt:variant>
      <vt:variant>
        <vt:i4>5</vt:i4>
      </vt:variant>
      <vt:variant>
        <vt:lpwstr/>
      </vt:variant>
      <vt:variant>
        <vt:lpwstr>_Toc429760995</vt:lpwstr>
      </vt:variant>
      <vt:variant>
        <vt:i4>1769522</vt:i4>
      </vt:variant>
      <vt:variant>
        <vt:i4>191</vt:i4>
      </vt:variant>
      <vt:variant>
        <vt:i4>0</vt:i4>
      </vt:variant>
      <vt:variant>
        <vt:i4>5</vt:i4>
      </vt:variant>
      <vt:variant>
        <vt:lpwstr/>
      </vt:variant>
      <vt:variant>
        <vt:lpwstr>_Toc429760994</vt:lpwstr>
      </vt:variant>
      <vt:variant>
        <vt:i4>1769522</vt:i4>
      </vt:variant>
      <vt:variant>
        <vt:i4>185</vt:i4>
      </vt:variant>
      <vt:variant>
        <vt:i4>0</vt:i4>
      </vt:variant>
      <vt:variant>
        <vt:i4>5</vt:i4>
      </vt:variant>
      <vt:variant>
        <vt:lpwstr/>
      </vt:variant>
      <vt:variant>
        <vt:lpwstr>_Toc429760993</vt:lpwstr>
      </vt:variant>
      <vt:variant>
        <vt:i4>1769522</vt:i4>
      </vt:variant>
      <vt:variant>
        <vt:i4>179</vt:i4>
      </vt:variant>
      <vt:variant>
        <vt:i4>0</vt:i4>
      </vt:variant>
      <vt:variant>
        <vt:i4>5</vt:i4>
      </vt:variant>
      <vt:variant>
        <vt:lpwstr/>
      </vt:variant>
      <vt:variant>
        <vt:lpwstr>_Toc429760992</vt:lpwstr>
      </vt:variant>
      <vt:variant>
        <vt:i4>1572915</vt:i4>
      </vt:variant>
      <vt:variant>
        <vt:i4>170</vt:i4>
      </vt:variant>
      <vt:variant>
        <vt:i4>0</vt:i4>
      </vt:variant>
      <vt:variant>
        <vt:i4>5</vt:i4>
      </vt:variant>
      <vt:variant>
        <vt:lpwstr/>
      </vt:variant>
      <vt:variant>
        <vt:lpwstr>_Toc434329161</vt:lpwstr>
      </vt:variant>
      <vt:variant>
        <vt:i4>1572915</vt:i4>
      </vt:variant>
      <vt:variant>
        <vt:i4>164</vt:i4>
      </vt:variant>
      <vt:variant>
        <vt:i4>0</vt:i4>
      </vt:variant>
      <vt:variant>
        <vt:i4>5</vt:i4>
      </vt:variant>
      <vt:variant>
        <vt:lpwstr/>
      </vt:variant>
      <vt:variant>
        <vt:lpwstr>_Toc434329160</vt:lpwstr>
      </vt:variant>
      <vt:variant>
        <vt:i4>1769523</vt:i4>
      </vt:variant>
      <vt:variant>
        <vt:i4>158</vt:i4>
      </vt:variant>
      <vt:variant>
        <vt:i4>0</vt:i4>
      </vt:variant>
      <vt:variant>
        <vt:i4>5</vt:i4>
      </vt:variant>
      <vt:variant>
        <vt:lpwstr/>
      </vt:variant>
      <vt:variant>
        <vt:lpwstr>_Toc434329159</vt:lpwstr>
      </vt:variant>
      <vt:variant>
        <vt:i4>1769523</vt:i4>
      </vt:variant>
      <vt:variant>
        <vt:i4>152</vt:i4>
      </vt:variant>
      <vt:variant>
        <vt:i4>0</vt:i4>
      </vt:variant>
      <vt:variant>
        <vt:i4>5</vt:i4>
      </vt:variant>
      <vt:variant>
        <vt:lpwstr/>
      </vt:variant>
      <vt:variant>
        <vt:lpwstr>_Toc434329158</vt:lpwstr>
      </vt:variant>
      <vt:variant>
        <vt:i4>1769523</vt:i4>
      </vt:variant>
      <vt:variant>
        <vt:i4>146</vt:i4>
      </vt:variant>
      <vt:variant>
        <vt:i4>0</vt:i4>
      </vt:variant>
      <vt:variant>
        <vt:i4>5</vt:i4>
      </vt:variant>
      <vt:variant>
        <vt:lpwstr/>
      </vt:variant>
      <vt:variant>
        <vt:lpwstr>_Toc434329157</vt:lpwstr>
      </vt:variant>
      <vt:variant>
        <vt:i4>1769523</vt:i4>
      </vt:variant>
      <vt:variant>
        <vt:i4>140</vt:i4>
      </vt:variant>
      <vt:variant>
        <vt:i4>0</vt:i4>
      </vt:variant>
      <vt:variant>
        <vt:i4>5</vt:i4>
      </vt:variant>
      <vt:variant>
        <vt:lpwstr/>
      </vt:variant>
      <vt:variant>
        <vt:lpwstr>_Toc434329156</vt:lpwstr>
      </vt:variant>
      <vt:variant>
        <vt:i4>1769523</vt:i4>
      </vt:variant>
      <vt:variant>
        <vt:i4>134</vt:i4>
      </vt:variant>
      <vt:variant>
        <vt:i4>0</vt:i4>
      </vt:variant>
      <vt:variant>
        <vt:i4>5</vt:i4>
      </vt:variant>
      <vt:variant>
        <vt:lpwstr/>
      </vt:variant>
      <vt:variant>
        <vt:lpwstr>_Toc434329155</vt:lpwstr>
      </vt:variant>
      <vt:variant>
        <vt:i4>1769523</vt:i4>
      </vt:variant>
      <vt:variant>
        <vt:i4>128</vt:i4>
      </vt:variant>
      <vt:variant>
        <vt:i4>0</vt:i4>
      </vt:variant>
      <vt:variant>
        <vt:i4>5</vt:i4>
      </vt:variant>
      <vt:variant>
        <vt:lpwstr/>
      </vt:variant>
      <vt:variant>
        <vt:lpwstr>_Toc434329154</vt:lpwstr>
      </vt:variant>
      <vt:variant>
        <vt:i4>1769523</vt:i4>
      </vt:variant>
      <vt:variant>
        <vt:i4>122</vt:i4>
      </vt:variant>
      <vt:variant>
        <vt:i4>0</vt:i4>
      </vt:variant>
      <vt:variant>
        <vt:i4>5</vt:i4>
      </vt:variant>
      <vt:variant>
        <vt:lpwstr/>
      </vt:variant>
      <vt:variant>
        <vt:lpwstr>_Toc434329153</vt:lpwstr>
      </vt:variant>
      <vt:variant>
        <vt:i4>1769523</vt:i4>
      </vt:variant>
      <vt:variant>
        <vt:i4>116</vt:i4>
      </vt:variant>
      <vt:variant>
        <vt:i4>0</vt:i4>
      </vt:variant>
      <vt:variant>
        <vt:i4>5</vt:i4>
      </vt:variant>
      <vt:variant>
        <vt:lpwstr/>
      </vt:variant>
      <vt:variant>
        <vt:lpwstr>_Toc434329152</vt:lpwstr>
      </vt:variant>
      <vt:variant>
        <vt:i4>1769523</vt:i4>
      </vt:variant>
      <vt:variant>
        <vt:i4>110</vt:i4>
      </vt:variant>
      <vt:variant>
        <vt:i4>0</vt:i4>
      </vt:variant>
      <vt:variant>
        <vt:i4>5</vt:i4>
      </vt:variant>
      <vt:variant>
        <vt:lpwstr/>
      </vt:variant>
      <vt:variant>
        <vt:lpwstr>_Toc434329151</vt:lpwstr>
      </vt:variant>
      <vt:variant>
        <vt:i4>1769523</vt:i4>
      </vt:variant>
      <vt:variant>
        <vt:i4>104</vt:i4>
      </vt:variant>
      <vt:variant>
        <vt:i4>0</vt:i4>
      </vt:variant>
      <vt:variant>
        <vt:i4>5</vt:i4>
      </vt:variant>
      <vt:variant>
        <vt:lpwstr/>
      </vt:variant>
      <vt:variant>
        <vt:lpwstr>_Toc434329150</vt:lpwstr>
      </vt:variant>
      <vt:variant>
        <vt:i4>1703987</vt:i4>
      </vt:variant>
      <vt:variant>
        <vt:i4>98</vt:i4>
      </vt:variant>
      <vt:variant>
        <vt:i4>0</vt:i4>
      </vt:variant>
      <vt:variant>
        <vt:i4>5</vt:i4>
      </vt:variant>
      <vt:variant>
        <vt:lpwstr/>
      </vt:variant>
      <vt:variant>
        <vt:lpwstr>_Toc434329149</vt:lpwstr>
      </vt:variant>
      <vt:variant>
        <vt:i4>1703987</vt:i4>
      </vt:variant>
      <vt:variant>
        <vt:i4>92</vt:i4>
      </vt:variant>
      <vt:variant>
        <vt:i4>0</vt:i4>
      </vt:variant>
      <vt:variant>
        <vt:i4>5</vt:i4>
      </vt:variant>
      <vt:variant>
        <vt:lpwstr/>
      </vt:variant>
      <vt:variant>
        <vt:lpwstr>_Toc434329148</vt:lpwstr>
      </vt:variant>
      <vt:variant>
        <vt:i4>1703987</vt:i4>
      </vt:variant>
      <vt:variant>
        <vt:i4>86</vt:i4>
      </vt:variant>
      <vt:variant>
        <vt:i4>0</vt:i4>
      </vt:variant>
      <vt:variant>
        <vt:i4>5</vt:i4>
      </vt:variant>
      <vt:variant>
        <vt:lpwstr/>
      </vt:variant>
      <vt:variant>
        <vt:lpwstr>_Toc434329147</vt:lpwstr>
      </vt:variant>
      <vt:variant>
        <vt:i4>1703987</vt:i4>
      </vt:variant>
      <vt:variant>
        <vt:i4>80</vt:i4>
      </vt:variant>
      <vt:variant>
        <vt:i4>0</vt:i4>
      </vt:variant>
      <vt:variant>
        <vt:i4>5</vt:i4>
      </vt:variant>
      <vt:variant>
        <vt:lpwstr/>
      </vt:variant>
      <vt:variant>
        <vt:lpwstr>_Toc434329146</vt:lpwstr>
      </vt:variant>
      <vt:variant>
        <vt:i4>1703987</vt:i4>
      </vt:variant>
      <vt:variant>
        <vt:i4>74</vt:i4>
      </vt:variant>
      <vt:variant>
        <vt:i4>0</vt:i4>
      </vt:variant>
      <vt:variant>
        <vt:i4>5</vt:i4>
      </vt:variant>
      <vt:variant>
        <vt:lpwstr/>
      </vt:variant>
      <vt:variant>
        <vt:lpwstr>_Toc434329145</vt:lpwstr>
      </vt:variant>
      <vt:variant>
        <vt:i4>1703987</vt:i4>
      </vt:variant>
      <vt:variant>
        <vt:i4>68</vt:i4>
      </vt:variant>
      <vt:variant>
        <vt:i4>0</vt:i4>
      </vt:variant>
      <vt:variant>
        <vt:i4>5</vt:i4>
      </vt:variant>
      <vt:variant>
        <vt:lpwstr/>
      </vt:variant>
      <vt:variant>
        <vt:lpwstr>_Toc434329144</vt:lpwstr>
      </vt:variant>
      <vt:variant>
        <vt:i4>1703987</vt:i4>
      </vt:variant>
      <vt:variant>
        <vt:i4>62</vt:i4>
      </vt:variant>
      <vt:variant>
        <vt:i4>0</vt:i4>
      </vt:variant>
      <vt:variant>
        <vt:i4>5</vt:i4>
      </vt:variant>
      <vt:variant>
        <vt:lpwstr/>
      </vt:variant>
      <vt:variant>
        <vt:lpwstr>_Toc434329143</vt:lpwstr>
      </vt:variant>
      <vt:variant>
        <vt:i4>1703987</vt:i4>
      </vt:variant>
      <vt:variant>
        <vt:i4>56</vt:i4>
      </vt:variant>
      <vt:variant>
        <vt:i4>0</vt:i4>
      </vt:variant>
      <vt:variant>
        <vt:i4>5</vt:i4>
      </vt:variant>
      <vt:variant>
        <vt:lpwstr/>
      </vt:variant>
      <vt:variant>
        <vt:lpwstr>_Toc434329142</vt:lpwstr>
      </vt:variant>
      <vt:variant>
        <vt:i4>1703987</vt:i4>
      </vt:variant>
      <vt:variant>
        <vt:i4>50</vt:i4>
      </vt:variant>
      <vt:variant>
        <vt:i4>0</vt:i4>
      </vt:variant>
      <vt:variant>
        <vt:i4>5</vt:i4>
      </vt:variant>
      <vt:variant>
        <vt:lpwstr/>
      </vt:variant>
      <vt:variant>
        <vt:lpwstr>_Toc434329141</vt:lpwstr>
      </vt:variant>
      <vt:variant>
        <vt:i4>1703987</vt:i4>
      </vt:variant>
      <vt:variant>
        <vt:i4>44</vt:i4>
      </vt:variant>
      <vt:variant>
        <vt:i4>0</vt:i4>
      </vt:variant>
      <vt:variant>
        <vt:i4>5</vt:i4>
      </vt:variant>
      <vt:variant>
        <vt:lpwstr/>
      </vt:variant>
      <vt:variant>
        <vt:lpwstr>_Toc434329140</vt:lpwstr>
      </vt:variant>
      <vt:variant>
        <vt:i4>1900595</vt:i4>
      </vt:variant>
      <vt:variant>
        <vt:i4>38</vt:i4>
      </vt:variant>
      <vt:variant>
        <vt:i4>0</vt:i4>
      </vt:variant>
      <vt:variant>
        <vt:i4>5</vt:i4>
      </vt:variant>
      <vt:variant>
        <vt:lpwstr/>
      </vt:variant>
      <vt:variant>
        <vt:lpwstr>_Toc434329139</vt:lpwstr>
      </vt:variant>
      <vt:variant>
        <vt:i4>1900595</vt:i4>
      </vt:variant>
      <vt:variant>
        <vt:i4>32</vt:i4>
      </vt:variant>
      <vt:variant>
        <vt:i4>0</vt:i4>
      </vt:variant>
      <vt:variant>
        <vt:i4>5</vt:i4>
      </vt:variant>
      <vt:variant>
        <vt:lpwstr/>
      </vt:variant>
      <vt:variant>
        <vt:lpwstr>_Toc434329138</vt:lpwstr>
      </vt:variant>
      <vt:variant>
        <vt:i4>1900595</vt:i4>
      </vt:variant>
      <vt:variant>
        <vt:i4>26</vt:i4>
      </vt:variant>
      <vt:variant>
        <vt:i4>0</vt:i4>
      </vt:variant>
      <vt:variant>
        <vt:i4>5</vt:i4>
      </vt:variant>
      <vt:variant>
        <vt:lpwstr/>
      </vt:variant>
      <vt:variant>
        <vt:lpwstr>_Toc434329137</vt:lpwstr>
      </vt:variant>
      <vt:variant>
        <vt:i4>1900595</vt:i4>
      </vt:variant>
      <vt:variant>
        <vt:i4>20</vt:i4>
      </vt:variant>
      <vt:variant>
        <vt:i4>0</vt:i4>
      </vt:variant>
      <vt:variant>
        <vt:i4>5</vt:i4>
      </vt:variant>
      <vt:variant>
        <vt:lpwstr/>
      </vt:variant>
      <vt:variant>
        <vt:lpwstr>_Toc434329136</vt:lpwstr>
      </vt:variant>
      <vt:variant>
        <vt:i4>1900595</vt:i4>
      </vt:variant>
      <vt:variant>
        <vt:i4>14</vt:i4>
      </vt:variant>
      <vt:variant>
        <vt:i4>0</vt:i4>
      </vt:variant>
      <vt:variant>
        <vt:i4>5</vt:i4>
      </vt:variant>
      <vt:variant>
        <vt:lpwstr/>
      </vt:variant>
      <vt:variant>
        <vt:lpwstr>_Toc434329135</vt:lpwstr>
      </vt:variant>
      <vt:variant>
        <vt:i4>1900595</vt:i4>
      </vt:variant>
      <vt:variant>
        <vt:i4>8</vt:i4>
      </vt:variant>
      <vt:variant>
        <vt:i4>0</vt:i4>
      </vt:variant>
      <vt:variant>
        <vt:i4>5</vt:i4>
      </vt:variant>
      <vt:variant>
        <vt:lpwstr/>
      </vt:variant>
      <vt:variant>
        <vt:lpwstr>_Toc434329134</vt:lpwstr>
      </vt:variant>
      <vt:variant>
        <vt:i4>1900595</vt:i4>
      </vt:variant>
      <vt:variant>
        <vt:i4>2</vt:i4>
      </vt:variant>
      <vt:variant>
        <vt:i4>0</vt:i4>
      </vt:variant>
      <vt:variant>
        <vt:i4>5</vt:i4>
      </vt:variant>
      <vt:variant>
        <vt:lpwstr/>
      </vt:variant>
      <vt:variant>
        <vt:lpwstr>_Toc434329133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 Report 2017</dc:title>
  <dc:creator/>
  <cp:lastModifiedBy>BARTH Carmen (SG)</cp:lastModifiedBy>
  <cp:revision>17</cp:revision>
  <cp:lastPrinted>2017-10-12T12:12:00Z</cp:lastPrinted>
  <dcterms:created xsi:type="dcterms:W3CDTF">2017-10-31T12:54:00Z</dcterms:created>
  <dcterms:modified xsi:type="dcterms:W3CDTF">2017-11-03T13:54:00Z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ontentTypeId">
    <vt:lpwstr>0x010100258AA79CEB83498886A3A0868112325000D6847E1B8AD23243ABCBDF4B7200F2DF</vt:lpwstr>
  </property>
  <property fmtid="{D5CDD505-2E9C-101B-9397-08002B2CF9AE}" pid="5" name="IsMyDocuments">
    <vt:bool>true</vt:bool>
  </property>
  <property fmtid="{D5CDD505-2E9C-101B-9397-08002B2CF9AE}" pid="6" name="DocStatus">
    <vt:lpwstr>Green</vt:lpwstr>
  </property>
  <property fmtid="{D5CDD505-2E9C-101B-9397-08002B2CF9AE}" pid="7" name="Level of sensitivity">
    <vt:lpwstr>Standard treatment</vt:lpwstr>
  </property>
</Properties>
</file>