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B47C9AE9-F683-4ACC-8308-4436D8CF2B93" style="width:451pt;height:457.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numPr>
          <w:ilvl w:val="0"/>
          <w:numId w:val="0"/>
        </w:numPr>
        <w:rPr>
          <w:noProof/>
        </w:rPr>
      </w:pPr>
      <w:bookmarkStart w:id="1" w:name="_GoBack"/>
      <w:bookmarkEnd w:id="1"/>
    </w:p>
    <w:sdt>
      <w:sdtPr>
        <w:rPr>
          <w:b/>
          <w:bCs/>
          <w:noProof/>
        </w:rPr>
        <w:id w:val="-1254198903"/>
        <w:docPartObj>
          <w:docPartGallery w:val="Table of Contents"/>
          <w:docPartUnique/>
        </w:docPartObj>
      </w:sdtPr>
      <w:sdtEndPr>
        <w:rPr>
          <w:b w:val="0"/>
          <w:bCs w:val="0"/>
        </w:rPr>
      </w:sdtEndPr>
      <w:sdtContent>
        <w:p>
          <w:pPr>
            <w:rPr>
              <w:noProof/>
            </w:rPr>
          </w:pPr>
          <w:r>
            <w:rPr>
              <w:rStyle w:val="Heading2Char"/>
              <w:noProof/>
            </w:rPr>
            <w:t>Contents</w:t>
          </w:r>
          <w:r>
            <w:rPr>
              <w:noProof/>
            </w:rPr>
            <w:fldChar w:fldCharType="begin"/>
          </w:r>
          <w:r>
            <w:rPr>
              <w:noProof/>
            </w:rPr>
            <w:instrText xml:space="preserve"> TOC \o "1-3" \h \z \u </w:instrText>
          </w:r>
          <w:r>
            <w:rPr>
              <w:noProof/>
            </w:rPr>
            <w:fldChar w:fldCharType="separate"/>
          </w:r>
        </w:p>
        <w:p>
          <w:pPr>
            <w:pStyle w:val="TOC2"/>
            <w:tabs>
              <w:tab w:val="right" w:leader="dot" w:pos="9060"/>
            </w:tabs>
            <w:rPr>
              <w:rFonts w:eastAsiaTheme="minorEastAsia"/>
              <w:noProof/>
              <w:lang w:eastAsia="en-GB"/>
            </w:rPr>
          </w:pPr>
          <w:hyperlink w:anchor="_Toc496883472" w:history="1">
            <w:r>
              <w:rPr>
                <w:rStyle w:val="Hyperlink"/>
                <w:noProof/>
              </w:rPr>
              <w:t>Index of tables:</w:t>
            </w:r>
            <w:r>
              <w:rPr>
                <w:noProof/>
                <w:webHidden/>
              </w:rPr>
              <w:tab/>
            </w:r>
            <w:r>
              <w:rPr>
                <w:noProof/>
                <w:webHidden/>
              </w:rPr>
              <w:fldChar w:fldCharType="begin"/>
            </w:r>
            <w:r>
              <w:rPr>
                <w:noProof/>
                <w:webHidden/>
              </w:rPr>
              <w:instrText xml:space="preserve"> PAGEREF _Toc496883472 \h </w:instrText>
            </w:r>
            <w:r>
              <w:rPr>
                <w:noProof/>
                <w:webHidden/>
              </w:rPr>
            </w:r>
            <w:r>
              <w:rPr>
                <w:noProof/>
                <w:webHidden/>
              </w:rPr>
              <w:fldChar w:fldCharType="separate"/>
            </w:r>
            <w:r>
              <w:rPr>
                <w:noProof/>
                <w:webHidden/>
              </w:rPr>
              <w:t>1</w:t>
            </w:r>
            <w:r>
              <w:rPr>
                <w:noProof/>
                <w:webHidden/>
              </w:rPr>
              <w:fldChar w:fldCharType="end"/>
            </w:r>
          </w:hyperlink>
        </w:p>
        <w:p>
          <w:pPr>
            <w:pStyle w:val="TOC2"/>
            <w:tabs>
              <w:tab w:val="right" w:leader="dot" w:pos="9060"/>
            </w:tabs>
            <w:rPr>
              <w:rFonts w:eastAsiaTheme="minorEastAsia"/>
              <w:noProof/>
              <w:lang w:eastAsia="en-GB"/>
            </w:rPr>
          </w:pPr>
          <w:hyperlink w:anchor="_Toc496883473" w:history="1">
            <w:r>
              <w:rPr>
                <w:rStyle w:val="Hyperlink"/>
                <w:noProof/>
              </w:rPr>
              <w:t>Index of figures:</w:t>
            </w:r>
            <w:r>
              <w:rPr>
                <w:noProof/>
                <w:webHidden/>
              </w:rPr>
              <w:tab/>
            </w:r>
            <w:r>
              <w:rPr>
                <w:noProof/>
                <w:webHidden/>
              </w:rPr>
              <w:fldChar w:fldCharType="begin"/>
            </w:r>
            <w:r>
              <w:rPr>
                <w:noProof/>
                <w:webHidden/>
              </w:rPr>
              <w:instrText xml:space="preserve"> PAGEREF _Toc496883473 \h </w:instrText>
            </w:r>
            <w:r>
              <w:rPr>
                <w:noProof/>
                <w:webHidden/>
              </w:rPr>
            </w:r>
            <w:r>
              <w:rPr>
                <w:noProof/>
                <w:webHidden/>
              </w:rPr>
              <w:fldChar w:fldCharType="separate"/>
            </w:r>
            <w:r>
              <w:rPr>
                <w:noProof/>
                <w:webHidden/>
              </w:rPr>
              <w:t>1</w:t>
            </w:r>
            <w:r>
              <w:rPr>
                <w:noProof/>
                <w:webHidden/>
              </w:rPr>
              <w:fldChar w:fldCharType="end"/>
            </w:r>
          </w:hyperlink>
        </w:p>
        <w:p>
          <w:pPr>
            <w:pStyle w:val="TOC1"/>
            <w:tabs>
              <w:tab w:val="left" w:pos="440"/>
              <w:tab w:val="right" w:leader="dot" w:pos="9060"/>
            </w:tabs>
            <w:rPr>
              <w:rFonts w:eastAsiaTheme="minorEastAsia"/>
              <w:noProof/>
              <w:lang w:eastAsia="en-GB"/>
            </w:rPr>
          </w:pPr>
          <w:hyperlink w:anchor="_Toc496883474" w:history="1">
            <w:r>
              <w:rPr>
                <w:rStyle w:val="Hyperlink"/>
                <w:noProof/>
              </w:rPr>
              <w:t>1.</w:t>
            </w:r>
            <w:r>
              <w:rPr>
                <w:rFonts w:eastAsiaTheme="minorEastAsia"/>
                <w:noProof/>
                <w:lang w:eastAsia="en-GB"/>
              </w:rPr>
              <w:tab/>
            </w:r>
            <w:r>
              <w:rPr>
                <w:rStyle w:val="Hyperlink"/>
                <w:noProof/>
              </w:rPr>
              <w:t>Overview of EU climate targets</w:t>
            </w:r>
            <w:r>
              <w:rPr>
                <w:noProof/>
                <w:webHidden/>
              </w:rPr>
              <w:tab/>
            </w:r>
            <w:r>
              <w:rPr>
                <w:noProof/>
                <w:webHidden/>
              </w:rPr>
              <w:fldChar w:fldCharType="begin"/>
            </w:r>
            <w:r>
              <w:rPr>
                <w:noProof/>
                <w:webHidden/>
              </w:rPr>
              <w:instrText xml:space="preserve"> PAGEREF _Toc496883474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0"/>
            </w:tabs>
            <w:rPr>
              <w:rFonts w:eastAsiaTheme="minorEastAsia"/>
              <w:noProof/>
              <w:lang w:eastAsia="en-GB"/>
            </w:rPr>
          </w:pPr>
          <w:hyperlink w:anchor="_Toc496883475" w:history="1">
            <w:r>
              <w:rPr>
                <w:rStyle w:val="Hyperlink"/>
                <w:noProof/>
              </w:rPr>
              <w:t>2.</w:t>
            </w:r>
            <w:r>
              <w:rPr>
                <w:rFonts w:eastAsiaTheme="minorEastAsia"/>
                <w:noProof/>
                <w:lang w:eastAsia="en-GB"/>
              </w:rPr>
              <w:tab/>
            </w:r>
            <w:r>
              <w:rPr>
                <w:rStyle w:val="Hyperlink"/>
                <w:noProof/>
              </w:rPr>
              <w:t>EU-wide emissions trends and projections</w:t>
            </w:r>
            <w:r>
              <w:rPr>
                <w:noProof/>
                <w:webHidden/>
              </w:rPr>
              <w:tab/>
            </w:r>
            <w:r>
              <w:rPr>
                <w:noProof/>
                <w:webHidden/>
              </w:rPr>
              <w:fldChar w:fldCharType="begin"/>
            </w:r>
            <w:r>
              <w:rPr>
                <w:noProof/>
                <w:webHidden/>
              </w:rPr>
              <w:instrText xml:space="preserve"> PAGEREF _Toc496883475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0"/>
            </w:tabs>
            <w:rPr>
              <w:rFonts w:eastAsiaTheme="minorEastAsia"/>
              <w:noProof/>
              <w:lang w:eastAsia="en-GB"/>
            </w:rPr>
          </w:pPr>
          <w:hyperlink w:anchor="_Toc496883476" w:history="1">
            <w:r>
              <w:rPr>
                <w:rStyle w:val="Hyperlink"/>
                <w:noProof/>
              </w:rPr>
              <w:t>3.</w:t>
            </w:r>
            <w:r>
              <w:rPr>
                <w:rFonts w:eastAsiaTheme="minorEastAsia"/>
                <w:noProof/>
                <w:lang w:eastAsia="en-GB"/>
              </w:rPr>
              <w:tab/>
            </w:r>
            <w:r>
              <w:rPr>
                <w:rStyle w:val="Hyperlink"/>
                <w:noProof/>
              </w:rPr>
              <w:t>EU ETS emissions</w:t>
            </w:r>
            <w:r>
              <w:rPr>
                <w:noProof/>
                <w:webHidden/>
              </w:rPr>
              <w:tab/>
            </w:r>
            <w:r>
              <w:rPr>
                <w:noProof/>
                <w:webHidden/>
              </w:rPr>
              <w:fldChar w:fldCharType="begin"/>
            </w:r>
            <w:r>
              <w:rPr>
                <w:noProof/>
                <w:webHidden/>
              </w:rPr>
              <w:instrText xml:space="preserve"> PAGEREF _Toc496883476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440"/>
              <w:tab w:val="right" w:leader="dot" w:pos="9060"/>
            </w:tabs>
            <w:rPr>
              <w:rFonts w:eastAsiaTheme="minorEastAsia"/>
              <w:noProof/>
              <w:lang w:eastAsia="en-GB"/>
            </w:rPr>
          </w:pPr>
          <w:hyperlink w:anchor="_Toc496883477" w:history="1">
            <w:r>
              <w:rPr>
                <w:rStyle w:val="Hyperlink"/>
                <w:noProof/>
              </w:rPr>
              <w:t>4.</w:t>
            </w:r>
            <w:r>
              <w:rPr>
                <w:rFonts w:eastAsiaTheme="minorEastAsia"/>
                <w:noProof/>
                <w:lang w:eastAsia="en-GB"/>
              </w:rPr>
              <w:tab/>
            </w:r>
            <w:r>
              <w:rPr>
                <w:rStyle w:val="Hyperlink"/>
                <w:noProof/>
              </w:rPr>
              <w:t>Member States' LULUCF accounting quantities</w:t>
            </w:r>
            <w:r>
              <w:rPr>
                <w:noProof/>
                <w:webHidden/>
              </w:rPr>
              <w:tab/>
            </w:r>
            <w:r>
              <w:rPr>
                <w:noProof/>
                <w:webHidden/>
              </w:rPr>
              <w:fldChar w:fldCharType="begin"/>
            </w:r>
            <w:r>
              <w:rPr>
                <w:noProof/>
                <w:webHidden/>
              </w:rPr>
              <w:instrText xml:space="preserve"> PAGEREF _Toc496883477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9060"/>
            </w:tabs>
            <w:rPr>
              <w:rFonts w:eastAsiaTheme="minorEastAsia"/>
              <w:noProof/>
              <w:lang w:eastAsia="en-GB"/>
            </w:rPr>
          </w:pPr>
          <w:hyperlink w:anchor="_Toc496883478" w:history="1">
            <w:r>
              <w:rPr>
                <w:rStyle w:val="Hyperlink"/>
                <w:noProof/>
              </w:rPr>
              <w:t>5.</w:t>
            </w:r>
            <w:r>
              <w:rPr>
                <w:rFonts w:eastAsiaTheme="minorEastAsia"/>
                <w:noProof/>
                <w:lang w:eastAsia="en-GB"/>
              </w:rPr>
              <w:tab/>
            </w:r>
            <w:r>
              <w:rPr>
                <w:rStyle w:val="Hyperlink"/>
                <w:noProof/>
              </w:rPr>
              <w:t>Member States' progress towards Effort Sharing Decision targets</w:t>
            </w:r>
            <w:r>
              <w:rPr>
                <w:noProof/>
                <w:webHidden/>
              </w:rPr>
              <w:tab/>
            </w:r>
            <w:r>
              <w:rPr>
                <w:noProof/>
                <w:webHidden/>
              </w:rPr>
              <w:fldChar w:fldCharType="begin"/>
            </w:r>
            <w:r>
              <w:rPr>
                <w:noProof/>
                <w:webHidden/>
              </w:rPr>
              <w:instrText xml:space="preserve"> PAGEREF _Toc496883478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440"/>
              <w:tab w:val="right" w:leader="dot" w:pos="9060"/>
            </w:tabs>
            <w:rPr>
              <w:rFonts w:eastAsiaTheme="minorEastAsia"/>
              <w:noProof/>
              <w:lang w:eastAsia="en-GB"/>
            </w:rPr>
          </w:pPr>
          <w:hyperlink w:anchor="_Toc496883479" w:history="1">
            <w:r>
              <w:rPr>
                <w:rStyle w:val="Hyperlink"/>
                <w:noProof/>
              </w:rPr>
              <w:t>6.</w:t>
            </w:r>
            <w:r>
              <w:rPr>
                <w:rFonts w:eastAsiaTheme="minorEastAsia"/>
                <w:noProof/>
                <w:lang w:eastAsia="en-GB"/>
              </w:rPr>
              <w:tab/>
            </w:r>
            <w:r>
              <w:rPr>
                <w:rStyle w:val="Hyperlink"/>
                <w:noProof/>
              </w:rPr>
              <w:t>Climate finance to developing countries</w:t>
            </w:r>
            <w:r>
              <w:rPr>
                <w:noProof/>
                <w:webHidden/>
              </w:rPr>
              <w:tab/>
            </w:r>
            <w:r>
              <w:rPr>
                <w:noProof/>
                <w:webHidden/>
              </w:rPr>
              <w:fldChar w:fldCharType="begin"/>
            </w:r>
            <w:r>
              <w:rPr>
                <w:noProof/>
                <w:webHidden/>
              </w:rPr>
              <w:instrText xml:space="preserve"> PAGEREF _Toc496883479 \h </w:instrText>
            </w:r>
            <w:r>
              <w:rPr>
                <w:noProof/>
                <w:webHidden/>
              </w:rPr>
            </w:r>
            <w:r>
              <w:rPr>
                <w:noProof/>
                <w:webHidden/>
              </w:rPr>
              <w:fldChar w:fldCharType="separate"/>
            </w:r>
            <w:r>
              <w:rPr>
                <w:noProof/>
                <w:webHidden/>
              </w:rPr>
              <w:t>20</w:t>
            </w:r>
            <w:r>
              <w:rPr>
                <w:noProof/>
                <w:webHidden/>
              </w:rPr>
              <w:fldChar w:fldCharType="end"/>
            </w:r>
          </w:hyperlink>
        </w:p>
        <w:p>
          <w:pPr>
            <w:rPr>
              <w:noProof/>
            </w:rPr>
          </w:pPr>
          <w:r>
            <w:rPr>
              <w:b/>
              <w:bCs/>
              <w:noProof/>
            </w:rPr>
            <w:fldChar w:fldCharType="end"/>
          </w:r>
        </w:p>
      </w:sdtContent>
    </w:sdt>
    <w:p>
      <w:pPr>
        <w:rPr>
          <w:noProof/>
        </w:rPr>
      </w:pPr>
    </w:p>
    <w:p>
      <w:pPr>
        <w:pStyle w:val="Heading2"/>
        <w:rPr>
          <w:b w:val="0"/>
          <w:noProof/>
        </w:rPr>
      </w:pPr>
      <w:bookmarkStart w:id="2" w:name="_Toc494203751"/>
      <w:bookmarkStart w:id="3" w:name="_Toc496883472"/>
      <w:r>
        <w:rPr>
          <w:b w:val="0"/>
          <w:noProof/>
        </w:rPr>
        <w:t>Index of tables:</w:t>
      </w:r>
      <w:bookmarkEnd w:id="2"/>
      <w:bookmarkEnd w:id="3"/>
    </w:p>
    <w:p>
      <w:pPr>
        <w:pStyle w:val="TableofFigures"/>
        <w:tabs>
          <w:tab w:val="right" w:leader="dot" w:pos="9060"/>
        </w:tabs>
        <w:rPr>
          <w:rFonts w:eastAsiaTheme="minorEastAsia"/>
          <w:noProof/>
          <w:lang w:eastAsia="en-GB"/>
        </w:rPr>
      </w:pPr>
      <w:r>
        <w:rPr>
          <w:noProof/>
        </w:rPr>
        <w:fldChar w:fldCharType="begin"/>
      </w:r>
      <w:r>
        <w:rPr>
          <w:noProof/>
        </w:rPr>
        <w:instrText xml:space="preserve"> TOC \h \z \c "Table" </w:instrText>
      </w:r>
      <w:r>
        <w:rPr>
          <w:noProof/>
        </w:rPr>
        <w:fldChar w:fldCharType="separate"/>
      </w:r>
      <w:hyperlink w:anchor="_Toc494203880" w:history="1">
        <w:r>
          <w:rPr>
            <w:rStyle w:val="Hyperlink"/>
            <w:noProof/>
          </w:rPr>
          <w:t>Table 1: Overview of climate targets</w:t>
        </w:r>
        <w:r>
          <w:rPr>
            <w:noProof/>
            <w:webHidden/>
          </w:rPr>
          <w:tab/>
        </w:r>
        <w:r>
          <w:rPr>
            <w:noProof/>
            <w:webHidden/>
          </w:rPr>
          <w:fldChar w:fldCharType="begin"/>
        </w:r>
        <w:r>
          <w:rPr>
            <w:noProof/>
            <w:webHidden/>
          </w:rPr>
          <w:instrText xml:space="preserve"> PAGEREF _Toc494203880 \h </w:instrText>
        </w:r>
        <w:r>
          <w:rPr>
            <w:noProof/>
            <w:webHidden/>
          </w:rPr>
        </w:r>
        <w:r>
          <w:rPr>
            <w:noProof/>
            <w:webHidden/>
          </w:rPr>
          <w:fldChar w:fldCharType="separate"/>
        </w:r>
        <w:r>
          <w:rPr>
            <w:noProof/>
            <w:webHidden/>
          </w:rPr>
          <w:t>3</w:t>
        </w:r>
        <w:r>
          <w:rPr>
            <w:noProof/>
            <w:webHidden/>
          </w:rPr>
          <w:fldChar w:fldCharType="end"/>
        </w:r>
      </w:hyperlink>
    </w:p>
    <w:p>
      <w:pPr>
        <w:pStyle w:val="TableofFigures"/>
        <w:tabs>
          <w:tab w:val="right" w:leader="dot" w:pos="9060"/>
        </w:tabs>
        <w:rPr>
          <w:rFonts w:eastAsiaTheme="minorEastAsia"/>
          <w:noProof/>
          <w:lang w:eastAsia="en-GB"/>
        </w:rPr>
      </w:pPr>
      <w:hyperlink w:anchor="_Toc494203881" w:history="1">
        <w:r>
          <w:rPr>
            <w:rStyle w:val="Hyperlink"/>
            <w:noProof/>
          </w:rPr>
          <w:t>Table 2: Emissions covered by the Kyoto Protocol 2nd commitment period (Mt. CO</w:t>
        </w:r>
        <w:r>
          <w:rPr>
            <w:rStyle w:val="Hyperlink"/>
            <w:noProof/>
            <w:vertAlign w:val="subscript"/>
          </w:rPr>
          <w:t>2</w:t>
        </w:r>
        <w:r>
          <w:rPr>
            <w:rStyle w:val="Hyperlink"/>
            <w:noProof/>
          </w:rPr>
          <w:t>-eq.).</w:t>
        </w:r>
        <w:r>
          <w:rPr>
            <w:noProof/>
            <w:webHidden/>
          </w:rPr>
          <w:tab/>
        </w:r>
        <w:r>
          <w:rPr>
            <w:noProof/>
            <w:webHidden/>
          </w:rPr>
          <w:fldChar w:fldCharType="begin"/>
        </w:r>
        <w:r>
          <w:rPr>
            <w:noProof/>
            <w:webHidden/>
          </w:rPr>
          <w:instrText xml:space="preserve"> PAGEREF _Toc494203881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9060"/>
        </w:tabs>
        <w:rPr>
          <w:rFonts w:eastAsiaTheme="minorEastAsia"/>
          <w:noProof/>
          <w:lang w:eastAsia="en-GB"/>
        </w:rPr>
      </w:pPr>
      <w:hyperlink w:anchor="_Toc494203882" w:history="1">
        <w:r>
          <w:rPr>
            <w:rStyle w:val="Hyperlink"/>
            <w:noProof/>
          </w:rPr>
          <w:t>Table 3: Emissions covered by the Climate and Energy Package (Mt CO</w:t>
        </w:r>
        <w:r>
          <w:rPr>
            <w:rStyle w:val="Hyperlink"/>
            <w:noProof/>
            <w:vertAlign w:val="subscript"/>
          </w:rPr>
          <w:t>2</w:t>
        </w:r>
        <w:r>
          <w:rPr>
            <w:rStyle w:val="Hyperlink"/>
            <w:noProof/>
          </w:rPr>
          <w:t>-eq.).</w:t>
        </w:r>
        <w:r>
          <w:rPr>
            <w:noProof/>
            <w:webHidden/>
          </w:rPr>
          <w:tab/>
        </w:r>
        <w:r>
          <w:rPr>
            <w:noProof/>
            <w:webHidden/>
          </w:rPr>
          <w:fldChar w:fldCharType="begin"/>
        </w:r>
        <w:r>
          <w:rPr>
            <w:noProof/>
            <w:webHidden/>
          </w:rPr>
          <w:instrText xml:space="preserve"> PAGEREF _Toc494203882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9060"/>
        </w:tabs>
        <w:rPr>
          <w:rFonts w:eastAsiaTheme="minorEastAsia"/>
          <w:noProof/>
          <w:lang w:eastAsia="en-GB"/>
        </w:rPr>
      </w:pPr>
      <w:hyperlink w:anchor="_Toc494203883" w:history="1">
        <w:r>
          <w:rPr>
            <w:rStyle w:val="Hyperlink"/>
            <w:noProof/>
          </w:rPr>
          <w:t>Table 4: Verified ETS emissions (Mt CO</w:t>
        </w:r>
        <w:r>
          <w:rPr>
            <w:rStyle w:val="Hyperlink"/>
            <w:noProof/>
            <w:vertAlign w:val="subscript"/>
          </w:rPr>
          <w:t>2</w:t>
        </w:r>
        <w:r>
          <w:rPr>
            <w:rStyle w:val="Hyperlink"/>
            <w:noProof/>
          </w:rPr>
          <w:t>-equivalents).</w:t>
        </w:r>
        <w:r>
          <w:rPr>
            <w:noProof/>
            <w:webHidden/>
          </w:rPr>
          <w:tab/>
        </w:r>
        <w:r>
          <w:rPr>
            <w:noProof/>
            <w:webHidden/>
          </w:rPr>
          <w:fldChar w:fldCharType="begin"/>
        </w:r>
        <w:r>
          <w:rPr>
            <w:noProof/>
            <w:webHidden/>
          </w:rPr>
          <w:instrText xml:space="preserve"> PAGEREF _Toc494203883 \h </w:instrText>
        </w:r>
        <w:r>
          <w:rPr>
            <w:noProof/>
            <w:webHidden/>
          </w:rPr>
        </w:r>
        <w:r>
          <w:rPr>
            <w:noProof/>
            <w:webHidden/>
          </w:rPr>
          <w:fldChar w:fldCharType="separate"/>
        </w:r>
        <w:r>
          <w:rPr>
            <w:noProof/>
            <w:webHidden/>
          </w:rPr>
          <w:t>13</w:t>
        </w:r>
        <w:r>
          <w:rPr>
            <w:noProof/>
            <w:webHidden/>
          </w:rPr>
          <w:fldChar w:fldCharType="end"/>
        </w:r>
      </w:hyperlink>
    </w:p>
    <w:p>
      <w:pPr>
        <w:pStyle w:val="TableofFigures"/>
        <w:tabs>
          <w:tab w:val="right" w:leader="dot" w:pos="9060"/>
        </w:tabs>
        <w:rPr>
          <w:rFonts w:eastAsiaTheme="minorEastAsia"/>
          <w:noProof/>
          <w:lang w:eastAsia="en-GB"/>
        </w:rPr>
      </w:pPr>
      <w:hyperlink w:anchor="_Toc494203884" w:history="1">
        <w:r>
          <w:rPr>
            <w:rStyle w:val="Hyperlink"/>
            <w:noProof/>
          </w:rPr>
          <w:t>Table 5: LULUCF accounting quantities (average annual values) estimated by JRC based on Member States' GHG Inventories under KP and under 529/2013.</w:t>
        </w:r>
        <w:r>
          <w:rPr>
            <w:noProof/>
            <w:webHidden/>
          </w:rPr>
          <w:tab/>
        </w:r>
        <w:r>
          <w:rPr>
            <w:noProof/>
            <w:webHidden/>
          </w:rPr>
          <w:fldChar w:fldCharType="begin"/>
        </w:r>
        <w:r>
          <w:rPr>
            <w:noProof/>
            <w:webHidden/>
          </w:rPr>
          <w:instrText xml:space="preserve"> PAGEREF _Toc494203884 \h </w:instrText>
        </w:r>
        <w:r>
          <w:rPr>
            <w:noProof/>
            <w:webHidden/>
          </w:rPr>
        </w:r>
        <w:r>
          <w:rPr>
            <w:noProof/>
            <w:webHidden/>
          </w:rPr>
          <w:fldChar w:fldCharType="separate"/>
        </w:r>
        <w:r>
          <w:rPr>
            <w:noProof/>
            <w:webHidden/>
          </w:rPr>
          <w:t>14</w:t>
        </w:r>
        <w:r>
          <w:rPr>
            <w:noProof/>
            <w:webHidden/>
          </w:rPr>
          <w:fldChar w:fldCharType="end"/>
        </w:r>
      </w:hyperlink>
    </w:p>
    <w:p>
      <w:pPr>
        <w:pStyle w:val="TableofFigures"/>
        <w:tabs>
          <w:tab w:val="right" w:leader="dot" w:pos="9060"/>
        </w:tabs>
        <w:rPr>
          <w:rFonts w:eastAsiaTheme="minorEastAsia"/>
          <w:noProof/>
          <w:lang w:eastAsia="en-GB"/>
        </w:rPr>
      </w:pPr>
      <w:hyperlink w:anchor="_Toc494203885" w:history="1">
        <w:r>
          <w:rPr>
            <w:rStyle w:val="Hyperlink"/>
            <w:noProof/>
          </w:rPr>
          <w:t>Table 6: Member States' ESD targets and emissions relative to 2005 base year. Relative gap between emissions and targets.</w:t>
        </w:r>
        <w:r>
          <w:rPr>
            <w:noProof/>
            <w:webHidden/>
          </w:rPr>
          <w:tab/>
        </w:r>
        <w:r>
          <w:rPr>
            <w:noProof/>
            <w:webHidden/>
          </w:rPr>
          <w:fldChar w:fldCharType="begin"/>
        </w:r>
        <w:r>
          <w:rPr>
            <w:noProof/>
            <w:webHidden/>
          </w:rPr>
          <w:instrText xml:space="preserve"> PAGEREF _Toc494203885 \h </w:instrText>
        </w:r>
        <w:r>
          <w:rPr>
            <w:noProof/>
            <w:webHidden/>
          </w:rPr>
        </w:r>
        <w:r>
          <w:rPr>
            <w:noProof/>
            <w:webHidden/>
          </w:rPr>
          <w:fldChar w:fldCharType="separate"/>
        </w:r>
        <w:r>
          <w:rPr>
            <w:noProof/>
            <w:webHidden/>
          </w:rPr>
          <w:t>16</w:t>
        </w:r>
        <w:r>
          <w:rPr>
            <w:noProof/>
            <w:webHidden/>
          </w:rPr>
          <w:fldChar w:fldCharType="end"/>
        </w:r>
      </w:hyperlink>
    </w:p>
    <w:p>
      <w:pPr>
        <w:pStyle w:val="TableofFigures"/>
        <w:tabs>
          <w:tab w:val="right" w:leader="dot" w:pos="9060"/>
        </w:tabs>
        <w:rPr>
          <w:rFonts w:eastAsiaTheme="minorEastAsia"/>
          <w:noProof/>
          <w:lang w:eastAsia="en-GB"/>
        </w:rPr>
      </w:pPr>
      <w:hyperlink w:anchor="_Toc494203886" w:history="1">
        <w:r>
          <w:rPr>
            <w:rStyle w:val="Hyperlink"/>
            <w:noProof/>
          </w:rPr>
          <w:t>Table 7: Annual emissions allocations, emissions and gap to targets under the Effort Sharing Decision (Mt. CO</w:t>
        </w:r>
        <w:r>
          <w:rPr>
            <w:rStyle w:val="Hyperlink"/>
            <w:noProof/>
            <w:vertAlign w:val="subscript"/>
          </w:rPr>
          <w:t>2</w:t>
        </w:r>
        <w:r>
          <w:rPr>
            <w:rStyle w:val="Hyperlink"/>
            <w:noProof/>
          </w:rPr>
          <w:t>-eq.)</w:t>
        </w:r>
        <w:r>
          <w:rPr>
            <w:noProof/>
            <w:webHidden/>
          </w:rPr>
          <w:tab/>
        </w:r>
        <w:r>
          <w:rPr>
            <w:noProof/>
            <w:webHidden/>
          </w:rPr>
          <w:fldChar w:fldCharType="begin"/>
        </w:r>
        <w:r>
          <w:rPr>
            <w:noProof/>
            <w:webHidden/>
          </w:rPr>
          <w:instrText xml:space="preserve"> PAGEREF _Toc494203886 \h </w:instrText>
        </w:r>
        <w:r>
          <w:rPr>
            <w:noProof/>
            <w:webHidden/>
          </w:rPr>
        </w:r>
        <w:r>
          <w:rPr>
            <w:noProof/>
            <w:webHidden/>
          </w:rPr>
          <w:fldChar w:fldCharType="separate"/>
        </w:r>
        <w:r>
          <w:rPr>
            <w:noProof/>
            <w:webHidden/>
          </w:rPr>
          <w:t>18</w:t>
        </w:r>
        <w:r>
          <w:rPr>
            <w:noProof/>
            <w:webHidden/>
          </w:rPr>
          <w:fldChar w:fldCharType="end"/>
        </w:r>
      </w:hyperlink>
    </w:p>
    <w:p>
      <w:pPr>
        <w:pStyle w:val="TableofFigures"/>
        <w:tabs>
          <w:tab w:val="right" w:leader="dot" w:pos="9060"/>
        </w:tabs>
        <w:rPr>
          <w:rFonts w:eastAsiaTheme="minorEastAsia"/>
          <w:noProof/>
          <w:lang w:eastAsia="en-GB"/>
        </w:rPr>
      </w:pPr>
      <w:hyperlink w:anchor="_Toc494203887" w:history="1">
        <w:r>
          <w:rPr>
            <w:rStyle w:val="Hyperlink"/>
            <w:noProof/>
          </w:rPr>
          <w:t>Table 8: Climate finance provided to developing countries (2015).</w:t>
        </w:r>
        <w:r>
          <w:rPr>
            <w:noProof/>
            <w:webHidden/>
          </w:rPr>
          <w:tab/>
        </w:r>
        <w:r>
          <w:rPr>
            <w:noProof/>
            <w:webHidden/>
          </w:rPr>
          <w:fldChar w:fldCharType="begin"/>
        </w:r>
        <w:r>
          <w:rPr>
            <w:noProof/>
            <w:webHidden/>
          </w:rPr>
          <w:instrText xml:space="preserve"> PAGEREF _Toc494203887 \h </w:instrText>
        </w:r>
        <w:r>
          <w:rPr>
            <w:noProof/>
            <w:webHidden/>
          </w:rPr>
        </w:r>
        <w:r>
          <w:rPr>
            <w:noProof/>
            <w:webHidden/>
          </w:rPr>
          <w:fldChar w:fldCharType="separate"/>
        </w:r>
        <w:r>
          <w:rPr>
            <w:noProof/>
            <w:webHidden/>
          </w:rPr>
          <w:t>21</w:t>
        </w:r>
        <w:r>
          <w:rPr>
            <w:noProof/>
            <w:webHidden/>
          </w:rPr>
          <w:fldChar w:fldCharType="end"/>
        </w:r>
      </w:hyperlink>
    </w:p>
    <w:p>
      <w:pPr>
        <w:rPr>
          <w:noProof/>
        </w:rPr>
      </w:pPr>
      <w:r>
        <w:rPr>
          <w:noProof/>
        </w:rPr>
        <w:fldChar w:fldCharType="end"/>
      </w:r>
    </w:p>
    <w:p>
      <w:pPr>
        <w:pStyle w:val="Heading2"/>
        <w:rPr>
          <w:b w:val="0"/>
          <w:noProof/>
        </w:rPr>
      </w:pPr>
      <w:bookmarkStart w:id="4" w:name="_Toc494203752"/>
      <w:bookmarkStart w:id="5" w:name="_Toc496883473"/>
      <w:r>
        <w:rPr>
          <w:b w:val="0"/>
          <w:noProof/>
        </w:rPr>
        <w:t>Index of figures:</w:t>
      </w:r>
      <w:bookmarkEnd w:id="4"/>
      <w:bookmarkEnd w:id="5"/>
    </w:p>
    <w:p>
      <w:pPr>
        <w:pStyle w:val="TableofFigures"/>
        <w:tabs>
          <w:tab w:val="right" w:leader="dot" w:pos="9060"/>
        </w:tabs>
        <w:rPr>
          <w:rFonts w:eastAsiaTheme="minorEastAsia"/>
          <w:noProof/>
          <w:lang w:eastAsia="en-GB"/>
        </w:rPr>
      </w:pPr>
      <w:r>
        <w:rPr>
          <w:noProof/>
        </w:rPr>
        <w:fldChar w:fldCharType="begin"/>
      </w:r>
      <w:r>
        <w:rPr>
          <w:noProof/>
        </w:rPr>
        <w:instrText xml:space="preserve"> TOC \h \z \c "Figure" </w:instrText>
      </w:r>
      <w:r>
        <w:rPr>
          <w:noProof/>
        </w:rPr>
        <w:fldChar w:fldCharType="separate"/>
      </w:r>
      <w:hyperlink w:anchor="_Toc494203874" w:history="1">
        <w:r>
          <w:rPr>
            <w:rStyle w:val="Hyperlink"/>
            <w:noProof/>
          </w:rPr>
          <w:t>Figure 1: Share of emissions by sector, EU-28 2015</w:t>
        </w:r>
        <w:r>
          <w:rPr>
            <w:noProof/>
            <w:webHidden/>
          </w:rPr>
          <w:tab/>
        </w:r>
        <w:r>
          <w:rPr>
            <w:noProof/>
            <w:webHidden/>
          </w:rPr>
          <w:fldChar w:fldCharType="begin"/>
        </w:r>
        <w:r>
          <w:rPr>
            <w:noProof/>
            <w:webHidden/>
          </w:rPr>
          <w:instrText xml:space="preserve"> PAGEREF _Toc494203874 \h </w:instrText>
        </w:r>
        <w:r>
          <w:rPr>
            <w:noProof/>
            <w:webHidden/>
          </w:rPr>
        </w:r>
        <w:r>
          <w:rPr>
            <w:noProof/>
            <w:webHidden/>
          </w:rPr>
          <w:fldChar w:fldCharType="separate"/>
        </w:r>
        <w:r>
          <w:rPr>
            <w:noProof/>
            <w:webHidden/>
          </w:rPr>
          <w:t>7</w:t>
        </w:r>
        <w:r>
          <w:rPr>
            <w:noProof/>
            <w:webHidden/>
          </w:rPr>
          <w:fldChar w:fldCharType="end"/>
        </w:r>
      </w:hyperlink>
    </w:p>
    <w:p>
      <w:pPr>
        <w:pStyle w:val="TableofFigures"/>
        <w:tabs>
          <w:tab w:val="right" w:leader="dot" w:pos="9060"/>
        </w:tabs>
        <w:rPr>
          <w:rFonts w:eastAsiaTheme="minorEastAsia"/>
          <w:noProof/>
          <w:lang w:eastAsia="en-GB"/>
        </w:rPr>
      </w:pPr>
      <w:hyperlink w:anchor="_Toc494203875" w:history="1">
        <w:r>
          <w:rPr>
            <w:rStyle w:val="Hyperlink"/>
            <w:noProof/>
          </w:rPr>
          <w:t>Figure 2: Historical change in EU-28 GHG emissions by sector.</w:t>
        </w:r>
        <w:r>
          <w:rPr>
            <w:noProof/>
            <w:webHidden/>
          </w:rPr>
          <w:tab/>
        </w:r>
        <w:r>
          <w:rPr>
            <w:noProof/>
            <w:webHidden/>
          </w:rPr>
          <w:fldChar w:fldCharType="begin"/>
        </w:r>
        <w:r>
          <w:rPr>
            <w:noProof/>
            <w:webHidden/>
          </w:rPr>
          <w:instrText xml:space="preserve"> PAGEREF _Toc494203875 \h </w:instrText>
        </w:r>
        <w:r>
          <w:rPr>
            <w:noProof/>
            <w:webHidden/>
          </w:rPr>
        </w:r>
        <w:r>
          <w:rPr>
            <w:noProof/>
            <w:webHidden/>
          </w:rPr>
          <w:fldChar w:fldCharType="separate"/>
        </w:r>
        <w:r>
          <w:rPr>
            <w:noProof/>
            <w:webHidden/>
          </w:rPr>
          <w:t>8</w:t>
        </w:r>
        <w:r>
          <w:rPr>
            <w:noProof/>
            <w:webHidden/>
          </w:rPr>
          <w:fldChar w:fldCharType="end"/>
        </w:r>
      </w:hyperlink>
    </w:p>
    <w:p>
      <w:pPr>
        <w:pStyle w:val="TableofFigures"/>
        <w:tabs>
          <w:tab w:val="right" w:leader="dot" w:pos="9060"/>
        </w:tabs>
        <w:rPr>
          <w:rFonts w:eastAsiaTheme="minorEastAsia"/>
          <w:noProof/>
          <w:lang w:eastAsia="en-GB"/>
        </w:rPr>
      </w:pPr>
      <w:hyperlink w:anchor="_Toc494203876" w:history="1">
        <w:r>
          <w:rPr>
            <w:rStyle w:val="Hyperlink"/>
            <w:noProof/>
          </w:rPr>
          <w:t>Figure 3: EU-28 GHG emissions per sector: historical data and projections (Mt. CO</w:t>
        </w:r>
        <w:r>
          <w:rPr>
            <w:rStyle w:val="Hyperlink"/>
            <w:noProof/>
            <w:vertAlign w:val="subscript"/>
          </w:rPr>
          <w:t>2</w:t>
        </w:r>
        <w:r>
          <w:rPr>
            <w:rStyle w:val="Hyperlink"/>
            <w:noProof/>
          </w:rPr>
          <w:t>-eq.).</w:t>
        </w:r>
        <w:r>
          <w:rPr>
            <w:noProof/>
            <w:webHidden/>
          </w:rPr>
          <w:tab/>
        </w:r>
        <w:r>
          <w:rPr>
            <w:noProof/>
            <w:webHidden/>
          </w:rPr>
          <w:fldChar w:fldCharType="begin"/>
        </w:r>
        <w:r>
          <w:rPr>
            <w:noProof/>
            <w:webHidden/>
          </w:rPr>
          <w:instrText xml:space="preserve"> PAGEREF _Toc494203876 \h </w:instrText>
        </w:r>
        <w:r>
          <w:rPr>
            <w:noProof/>
            <w:webHidden/>
          </w:rPr>
        </w:r>
        <w:r>
          <w:rPr>
            <w:noProof/>
            <w:webHidden/>
          </w:rPr>
          <w:fldChar w:fldCharType="separate"/>
        </w:r>
        <w:r>
          <w:rPr>
            <w:noProof/>
            <w:webHidden/>
          </w:rPr>
          <w:t>9</w:t>
        </w:r>
        <w:r>
          <w:rPr>
            <w:noProof/>
            <w:webHidden/>
          </w:rPr>
          <w:fldChar w:fldCharType="end"/>
        </w:r>
      </w:hyperlink>
    </w:p>
    <w:p>
      <w:pPr>
        <w:pStyle w:val="TableofFigures"/>
        <w:tabs>
          <w:tab w:val="right" w:leader="dot" w:pos="9060"/>
        </w:tabs>
        <w:rPr>
          <w:rFonts w:eastAsiaTheme="minorEastAsia"/>
          <w:noProof/>
          <w:lang w:eastAsia="en-GB"/>
        </w:rPr>
      </w:pPr>
      <w:hyperlink w:anchor="_Toc494203877" w:history="1">
        <w:r>
          <w:rPr>
            <w:rStyle w:val="Hyperlink"/>
            <w:noProof/>
          </w:rPr>
          <w:t>Figure 4: GHG emissions intensity in the EU and its Member States 1990, 2005 and 2016 (tonnes CO</w:t>
        </w:r>
        <w:r>
          <w:rPr>
            <w:rStyle w:val="Hyperlink"/>
            <w:noProof/>
            <w:vertAlign w:val="subscript"/>
          </w:rPr>
          <w:t>2</w:t>
        </w:r>
        <w:r>
          <w:rPr>
            <w:rStyle w:val="Hyperlink"/>
            <w:noProof/>
          </w:rPr>
          <w:t>-eq. per million Euro GDP).</w:t>
        </w:r>
        <w:r>
          <w:rPr>
            <w:noProof/>
            <w:webHidden/>
          </w:rPr>
          <w:tab/>
        </w:r>
        <w:r>
          <w:rPr>
            <w:noProof/>
            <w:webHidden/>
          </w:rPr>
          <w:fldChar w:fldCharType="begin"/>
        </w:r>
        <w:r>
          <w:rPr>
            <w:noProof/>
            <w:webHidden/>
          </w:rPr>
          <w:instrText xml:space="preserve"> PAGEREF _Toc494203877 \h </w:instrText>
        </w:r>
        <w:r>
          <w:rPr>
            <w:noProof/>
            <w:webHidden/>
          </w:rPr>
        </w:r>
        <w:r>
          <w:rPr>
            <w:noProof/>
            <w:webHidden/>
          </w:rPr>
          <w:fldChar w:fldCharType="separate"/>
        </w:r>
        <w:r>
          <w:rPr>
            <w:noProof/>
            <w:webHidden/>
          </w:rPr>
          <w:t>10</w:t>
        </w:r>
        <w:r>
          <w:rPr>
            <w:noProof/>
            <w:webHidden/>
          </w:rPr>
          <w:fldChar w:fldCharType="end"/>
        </w:r>
      </w:hyperlink>
    </w:p>
    <w:p>
      <w:pPr>
        <w:pStyle w:val="TableofFigures"/>
        <w:tabs>
          <w:tab w:val="right" w:leader="dot" w:pos="9060"/>
        </w:tabs>
        <w:rPr>
          <w:rFonts w:eastAsiaTheme="minorEastAsia"/>
          <w:noProof/>
          <w:lang w:eastAsia="en-GB"/>
        </w:rPr>
      </w:pPr>
      <w:hyperlink w:anchor="_Toc494203878" w:history="1">
        <w:r>
          <w:rPr>
            <w:rStyle w:val="Hyperlink"/>
            <w:noProof/>
          </w:rPr>
          <w:t>Figure 5: GHG emissions per capita in the EU and its Member States, 1990, 2005 and 2016 (tonnes CO</w:t>
        </w:r>
        <w:r>
          <w:rPr>
            <w:rStyle w:val="Hyperlink"/>
            <w:noProof/>
            <w:vertAlign w:val="subscript"/>
          </w:rPr>
          <w:t>2</w:t>
        </w:r>
        <w:r>
          <w:rPr>
            <w:rStyle w:val="Hyperlink"/>
            <w:noProof/>
          </w:rPr>
          <w:t>-eq. per capita).</w:t>
        </w:r>
        <w:r>
          <w:rPr>
            <w:noProof/>
            <w:webHidden/>
          </w:rPr>
          <w:tab/>
        </w:r>
        <w:r>
          <w:rPr>
            <w:noProof/>
            <w:webHidden/>
          </w:rPr>
          <w:fldChar w:fldCharType="begin"/>
        </w:r>
        <w:r>
          <w:rPr>
            <w:noProof/>
            <w:webHidden/>
          </w:rPr>
          <w:instrText xml:space="preserve"> PAGEREF _Toc494203878 \h </w:instrText>
        </w:r>
        <w:r>
          <w:rPr>
            <w:noProof/>
            <w:webHidden/>
          </w:rPr>
        </w:r>
        <w:r>
          <w:rPr>
            <w:noProof/>
            <w:webHidden/>
          </w:rPr>
          <w:fldChar w:fldCharType="separate"/>
        </w:r>
        <w:r>
          <w:rPr>
            <w:noProof/>
            <w:webHidden/>
          </w:rPr>
          <w:t>11</w:t>
        </w:r>
        <w:r>
          <w:rPr>
            <w:noProof/>
            <w:webHidden/>
          </w:rPr>
          <w:fldChar w:fldCharType="end"/>
        </w:r>
      </w:hyperlink>
    </w:p>
    <w:p>
      <w:pPr>
        <w:pStyle w:val="TableofFigures"/>
        <w:tabs>
          <w:tab w:val="right" w:leader="dot" w:pos="9060"/>
        </w:tabs>
        <w:rPr>
          <w:rFonts w:eastAsiaTheme="minorEastAsia"/>
          <w:noProof/>
          <w:lang w:eastAsia="en-GB"/>
        </w:rPr>
      </w:pPr>
      <w:hyperlink w:anchor="_Toc494203879" w:history="1">
        <w:r>
          <w:rPr>
            <w:rStyle w:val="Hyperlink"/>
            <w:noProof/>
          </w:rPr>
          <w:t>Figure 6: Development in supply and demand of ETS allowances 2013-2016.</w:t>
        </w:r>
        <w:r>
          <w:rPr>
            <w:noProof/>
            <w:webHidden/>
          </w:rPr>
          <w:tab/>
        </w:r>
        <w:r>
          <w:rPr>
            <w:noProof/>
            <w:webHidden/>
          </w:rPr>
          <w:fldChar w:fldCharType="begin"/>
        </w:r>
        <w:r>
          <w:rPr>
            <w:noProof/>
            <w:webHidden/>
          </w:rPr>
          <w:instrText xml:space="preserve"> PAGEREF _Toc494203879 \h </w:instrText>
        </w:r>
        <w:r>
          <w:rPr>
            <w:noProof/>
            <w:webHidden/>
          </w:rPr>
        </w:r>
        <w:r>
          <w:rPr>
            <w:noProof/>
            <w:webHidden/>
          </w:rPr>
          <w:fldChar w:fldCharType="separate"/>
        </w:r>
        <w:r>
          <w:rPr>
            <w:noProof/>
            <w:webHidden/>
          </w:rPr>
          <w:t>13</w:t>
        </w:r>
        <w:r>
          <w:rPr>
            <w:noProof/>
            <w:webHidden/>
          </w:rPr>
          <w:fldChar w:fldCharType="end"/>
        </w:r>
      </w:hyperlink>
    </w:p>
    <w:p>
      <w:pPr>
        <w:rPr>
          <w:noProof/>
        </w:rPr>
      </w:pPr>
      <w:r>
        <w:rPr>
          <w:noProof/>
        </w:rPr>
        <w:fldChar w:fldCharType="end"/>
      </w:r>
    </w:p>
    <w:p>
      <w:pPr>
        <w:rPr>
          <w:noProof/>
        </w:rPr>
      </w:pPr>
      <w:r>
        <w:rPr>
          <w:noProof/>
        </w:rPr>
        <w:br w:type="page"/>
      </w:r>
    </w:p>
    <w:p>
      <w:pPr>
        <w:pStyle w:val="Heading1"/>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cols w:space="720"/>
          <w:docGrid w:linePitch="360"/>
        </w:sectPr>
      </w:pPr>
    </w:p>
    <w:p>
      <w:pPr>
        <w:pStyle w:val="Heading1"/>
        <w:rPr>
          <w:noProof/>
        </w:rPr>
      </w:pPr>
      <w:bookmarkStart w:id="6" w:name="_Toc496883474"/>
      <w:r>
        <w:rPr>
          <w:noProof/>
        </w:rPr>
        <w:lastRenderedPageBreak/>
        <w:t>Overview of EU climate targets</w:t>
      </w:r>
      <w:bookmarkEnd w:id="6"/>
    </w:p>
    <w:p>
      <w:pPr>
        <w:rPr>
          <w:noProof/>
        </w:rPr>
      </w:pPr>
    </w:p>
    <w:p>
      <w:pPr>
        <w:pStyle w:val="Tableheading"/>
        <w:rPr>
          <w:rStyle w:val="Strong"/>
          <w:noProof/>
        </w:rPr>
      </w:pPr>
      <w:bookmarkStart w:id="7" w:name="_Toc494203880"/>
      <w:r>
        <w:rPr>
          <w:rStyle w:val="Strong"/>
          <w:noProof/>
        </w:rPr>
        <w:t xml:space="preserve">Table </w:t>
      </w:r>
      <w:r>
        <w:rPr>
          <w:rStyle w:val="Strong"/>
          <w:noProof/>
        </w:rPr>
        <w:fldChar w:fldCharType="begin"/>
      </w:r>
      <w:r>
        <w:rPr>
          <w:rStyle w:val="Strong"/>
          <w:noProof/>
        </w:rPr>
        <w:instrText xml:space="preserve"> SEQ Table \* ARABIC </w:instrText>
      </w:r>
      <w:r>
        <w:rPr>
          <w:rStyle w:val="Strong"/>
          <w:noProof/>
        </w:rPr>
        <w:fldChar w:fldCharType="separate"/>
      </w:r>
      <w:r>
        <w:rPr>
          <w:rStyle w:val="Strong"/>
          <w:noProof/>
        </w:rPr>
        <w:t>1</w:t>
      </w:r>
      <w:r>
        <w:rPr>
          <w:rStyle w:val="Strong"/>
          <w:noProof/>
        </w:rPr>
        <w:fldChar w:fldCharType="end"/>
      </w:r>
      <w:r>
        <w:rPr>
          <w:rStyle w:val="Strong"/>
          <w:noProof/>
        </w:rPr>
        <w:t>: Overview of climate targets</w:t>
      </w:r>
      <w:bookmarkEnd w:id="7"/>
    </w:p>
    <w:tbl>
      <w:tblPr>
        <w:tblW w:w="4840" w:type="pct"/>
        <w:tblInd w:w="212" w:type="dxa"/>
        <w:tblLook w:val="04A0" w:firstRow="1" w:lastRow="0" w:firstColumn="1" w:lastColumn="0" w:noHBand="0" w:noVBand="1"/>
      </w:tblPr>
      <w:tblGrid>
        <w:gridCol w:w="1328"/>
        <w:gridCol w:w="1461"/>
        <w:gridCol w:w="1041"/>
        <w:gridCol w:w="1827"/>
        <w:gridCol w:w="2037"/>
        <w:gridCol w:w="2097"/>
        <w:gridCol w:w="2579"/>
        <w:gridCol w:w="1393"/>
      </w:tblGrid>
      <w:tr>
        <w:trPr>
          <w:trHeight w:val="508"/>
          <w:tblHeader/>
        </w:trPr>
        <w:tc>
          <w:tcPr>
            <w:tcW w:w="482" w:type="pct"/>
            <w:tcBorders>
              <w:top w:val="single" w:sz="8" w:space="0" w:color="auto"/>
              <w:left w:val="single" w:sz="8" w:space="0" w:color="auto"/>
              <w:bottom w:val="single" w:sz="8" w:space="0" w:color="auto"/>
              <w:right w:val="single" w:sz="8" w:space="0" w:color="auto"/>
            </w:tcBorders>
            <w:shd w:val="clear" w:color="000000" w:fill="B9E7FF"/>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 </w:t>
            </w:r>
          </w:p>
        </w:tc>
        <w:tc>
          <w:tcPr>
            <w:tcW w:w="1573" w:type="pct"/>
            <w:gridSpan w:val="3"/>
            <w:tcBorders>
              <w:top w:val="single" w:sz="8" w:space="0" w:color="auto"/>
              <w:left w:val="nil"/>
              <w:bottom w:val="single" w:sz="8" w:space="0" w:color="auto"/>
              <w:right w:val="single" w:sz="8" w:space="0" w:color="000000"/>
            </w:tcBorders>
            <w:shd w:val="clear" w:color="000000" w:fill="B9E7FF"/>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International commitments</w:t>
            </w:r>
          </w:p>
        </w:tc>
        <w:tc>
          <w:tcPr>
            <w:tcW w:w="2945" w:type="pct"/>
            <w:gridSpan w:val="4"/>
            <w:tcBorders>
              <w:top w:val="single" w:sz="8" w:space="0" w:color="auto"/>
              <w:left w:val="nil"/>
              <w:bottom w:val="single" w:sz="8" w:space="0" w:color="auto"/>
              <w:right w:val="single" w:sz="8" w:space="0" w:color="000000"/>
            </w:tcBorders>
            <w:shd w:val="clear" w:color="000000" w:fill="B9E7FF"/>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EU domestic legislation</w:t>
            </w:r>
          </w:p>
        </w:tc>
      </w:tr>
      <w:tr>
        <w:trPr>
          <w:trHeight w:val="508"/>
          <w:tblHeader/>
        </w:trPr>
        <w:tc>
          <w:tcPr>
            <w:tcW w:w="482" w:type="pct"/>
            <w:vMerge w:val="restart"/>
            <w:tcBorders>
              <w:top w:val="nil"/>
              <w:left w:val="single" w:sz="8" w:space="0" w:color="auto"/>
              <w:bottom w:val="single" w:sz="8" w:space="0" w:color="000000"/>
              <w:right w:val="single" w:sz="8" w:space="0" w:color="auto"/>
            </w:tcBorders>
            <w:shd w:val="clear" w:color="000000" w:fill="B9E7FF"/>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 </w:t>
            </w:r>
          </w:p>
        </w:tc>
        <w:tc>
          <w:tcPr>
            <w:tcW w:w="909" w:type="pct"/>
            <w:gridSpan w:val="2"/>
            <w:vMerge w:val="restart"/>
            <w:tcBorders>
              <w:top w:val="single" w:sz="8" w:space="0" w:color="auto"/>
              <w:left w:val="single" w:sz="8" w:space="0" w:color="auto"/>
              <w:bottom w:val="single" w:sz="8" w:space="0" w:color="000000"/>
              <w:right w:val="single" w:sz="8" w:space="0" w:color="000000"/>
            </w:tcBorders>
            <w:shd w:val="clear" w:color="000000" w:fill="B9E7FF"/>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Kyoto Protocol</w:t>
            </w:r>
          </w:p>
        </w:tc>
        <w:tc>
          <w:tcPr>
            <w:tcW w:w="664" w:type="pct"/>
            <w:vMerge w:val="restart"/>
            <w:tcBorders>
              <w:top w:val="nil"/>
              <w:left w:val="single" w:sz="8" w:space="0" w:color="auto"/>
              <w:bottom w:val="single" w:sz="8" w:space="0" w:color="000000"/>
              <w:right w:val="single" w:sz="8" w:space="0" w:color="auto"/>
            </w:tcBorders>
            <w:shd w:val="clear" w:color="000000" w:fill="B1A0C7"/>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Paris Agreement</w:t>
            </w:r>
          </w:p>
        </w:tc>
        <w:tc>
          <w:tcPr>
            <w:tcW w:w="1502" w:type="pct"/>
            <w:gridSpan w:val="2"/>
            <w:tcBorders>
              <w:top w:val="single" w:sz="8" w:space="0" w:color="auto"/>
              <w:left w:val="single" w:sz="8" w:space="0" w:color="auto"/>
              <w:bottom w:val="single" w:sz="8" w:space="0" w:color="auto"/>
              <w:right w:val="single" w:sz="8" w:space="0" w:color="000000"/>
            </w:tcBorders>
            <w:shd w:val="clear" w:color="000000" w:fill="B9E7FF"/>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2020 Climate and Energy Package</w:t>
            </w:r>
          </w:p>
        </w:tc>
        <w:tc>
          <w:tcPr>
            <w:tcW w:w="1443" w:type="pct"/>
            <w:gridSpan w:val="2"/>
            <w:tcBorders>
              <w:top w:val="single" w:sz="8" w:space="0" w:color="auto"/>
              <w:left w:val="nil"/>
              <w:bottom w:val="single" w:sz="8" w:space="0" w:color="auto"/>
              <w:right w:val="single" w:sz="8" w:space="0" w:color="000000"/>
            </w:tcBorders>
            <w:shd w:val="clear" w:color="000000" w:fill="B1A0C7"/>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2030 Climate and Energy Framework</w:t>
            </w:r>
          </w:p>
        </w:tc>
      </w:tr>
      <w:tr>
        <w:trPr>
          <w:trHeight w:val="522"/>
          <w:tblHeader/>
        </w:trPr>
        <w:tc>
          <w:tcPr>
            <w:tcW w:w="482"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909"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664"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740" w:type="pct"/>
            <w:tcBorders>
              <w:top w:val="nil"/>
              <w:left w:val="nil"/>
              <w:bottom w:val="single" w:sz="8" w:space="0" w:color="auto"/>
              <w:right w:val="single" w:sz="8" w:space="0" w:color="auto"/>
            </w:tcBorders>
            <w:shd w:val="clear" w:color="000000" w:fill="B9E7FF"/>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EU ETS</w:t>
            </w:r>
          </w:p>
        </w:tc>
        <w:tc>
          <w:tcPr>
            <w:tcW w:w="762" w:type="pct"/>
            <w:tcBorders>
              <w:top w:val="nil"/>
              <w:left w:val="nil"/>
              <w:bottom w:val="single" w:sz="8" w:space="0" w:color="auto"/>
              <w:right w:val="single" w:sz="8" w:space="0" w:color="auto"/>
            </w:tcBorders>
            <w:shd w:val="clear" w:color="000000" w:fill="B9E7FF"/>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Effort Sharing Decision (ESD)</w:t>
            </w:r>
          </w:p>
        </w:tc>
        <w:tc>
          <w:tcPr>
            <w:tcW w:w="937" w:type="pct"/>
            <w:tcBorders>
              <w:top w:val="nil"/>
              <w:left w:val="nil"/>
              <w:bottom w:val="single" w:sz="8" w:space="0" w:color="auto"/>
              <w:right w:val="single" w:sz="8" w:space="0" w:color="auto"/>
            </w:tcBorders>
            <w:shd w:val="clear" w:color="000000" w:fill="B1A0C7"/>
            <w:vAlign w:val="center"/>
            <w:hideMark/>
          </w:tcPr>
          <w:p>
            <w:pPr>
              <w:spacing w:after="0" w:line="240" w:lineRule="auto"/>
              <w:jc w:val="center"/>
              <w:rPr>
                <w:rFonts w:ascii="Times New Roman" w:eastAsia="Times New Roman" w:hAnsi="Times New Roman"/>
                <w:b/>
                <w:bCs/>
                <w:noProof/>
                <w:color w:val="000000"/>
                <w:sz w:val="20"/>
                <w:szCs w:val="20"/>
                <w:lang w:val="pt-PT" w:eastAsia="en-GB"/>
              </w:rPr>
            </w:pPr>
            <w:r>
              <w:rPr>
                <w:rFonts w:ascii="Times New Roman" w:eastAsia="Times New Roman" w:hAnsi="Times New Roman"/>
                <w:b/>
                <w:bCs/>
                <w:noProof/>
                <w:color w:val="000000"/>
                <w:sz w:val="20"/>
                <w:szCs w:val="20"/>
                <w:lang w:val="pt-PT" w:eastAsia="en-GB"/>
              </w:rPr>
              <w:t xml:space="preserve">EU ETS </w:t>
            </w:r>
          </w:p>
          <w:p>
            <w:pPr>
              <w:spacing w:after="0" w:line="240" w:lineRule="auto"/>
              <w:jc w:val="center"/>
              <w:rPr>
                <w:rFonts w:ascii="Times New Roman" w:eastAsia="Times New Roman" w:hAnsi="Times New Roman"/>
                <w:b/>
                <w:bCs/>
                <w:noProof/>
                <w:color w:val="000000"/>
                <w:sz w:val="20"/>
                <w:szCs w:val="20"/>
                <w:lang w:val="pt-PT" w:eastAsia="en-GB"/>
              </w:rPr>
            </w:pPr>
            <w:r>
              <w:rPr>
                <w:rFonts w:ascii="Times New Roman" w:eastAsia="Times New Roman" w:hAnsi="Times New Roman"/>
                <w:b/>
                <w:bCs/>
                <w:noProof/>
                <w:color w:val="000000"/>
                <w:sz w:val="20"/>
                <w:szCs w:val="20"/>
                <w:lang w:val="pt-PT" w:eastAsia="en-GB"/>
              </w:rPr>
              <w:t>(</w:t>
            </w:r>
            <w:r>
              <w:rPr>
                <w:rFonts w:ascii="Times New Roman" w:eastAsia="Times New Roman" w:hAnsi="Times New Roman"/>
                <w:b/>
                <w:bCs/>
                <w:noProof/>
                <w:color w:val="000000"/>
                <w:sz w:val="16"/>
                <w:szCs w:val="16"/>
                <w:lang w:val="pt-PT" w:eastAsia="en-GB"/>
              </w:rPr>
              <w:t>as proposal COM(2015) 337 final)</w:t>
            </w:r>
          </w:p>
        </w:tc>
        <w:tc>
          <w:tcPr>
            <w:tcW w:w="506" w:type="pct"/>
            <w:tcBorders>
              <w:top w:val="nil"/>
              <w:left w:val="nil"/>
              <w:bottom w:val="single" w:sz="8" w:space="0" w:color="auto"/>
              <w:right w:val="single" w:sz="8" w:space="0" w:color="auto"/>
            </w:tcBorders>
            <w:shd w:val="clear" w:color="000000" w:fill="B1A0C7"/>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Effort Sharing Regulation (ESR)</w:t>
            </w:r>
          </w:p>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16"/>
                <w:szCs w:val="16"/>
                <w:lang w:eastAsia="en-GB"/>
              </w:rPr>
              <w:t>(as proposal COM(2016) 482)</w:t>
            </w:r>
          </w:p>
        </w:tc>
      </w:tr>
      <w:tr>
        <w:trPr>
          <w:trHeight w:val="313"/>
        </w:trPr>
        <w:tc>
          <w:tcPr>
            <w:tcW w:w="482" w:type="pct"/>
            <w:tcBorders>
              <w:top w:val="nil"/>
              <w:left w:val="single" w:sz="8" w:space="0" w:color="auto"/>
              <w:bottom w:val="single" w:sz="8" w:space="0" w:color="auto"/>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Target year of period</w:t>
            </w:r>
          </w:p>
        </w:tc>
        <w:tc>
          <w:tcPr>
            <w:tcW w:w="909" w:type="pct"/>
            <w:gridSpan w:val="2"/>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Second commitment period (2013-2020)</w:t>
            </w: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(target for EU-28)</w:t>
            </w:r>
          </w:p>
        </w:tc>
        <w:tc>
          <w:tcPr>
            <w:tcW w:w="664"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Already in force – covers the period post 2020</w:t>
            </w:r>
          </w:p>
        </w:tc>
        <w:tc>
          <w:tcPr>
            <w:tcW w:w="74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2013-2020</w:t>
            </w:r>
          </w:p>
        </w:tc>
        <w:tc>
          <w:tcPr>
            <w:tcW w:w="76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2013-2020</w:t>
            </w:r>
          </w:p>
        </w:tc>
        <w:tc>
          <w:tcPr>
            <w:tcW w:w="937"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2021-2030</w:t>
            </w:r>
          </w:p>
        </w:tc>
        <w:tc>
          <w:tcPr>
            <w:tcW w:w="506"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2021-2030</w:t>
            </w:r>
          </w:p>
        </w:tc>
      </w:tr>
      <w:tr>
        <w:trPr>
          <w:trHeight w:val="522"/>
        </w:trPr>
        <w:tc>
          <w:tcPr>
            <w:tcW w:w="482" w:type="pct"/>
            <w:vMerge w:val="restart"/>
            <w:tcBorders>
              <w:top w:val="single" w:sz="8" w:space="0" w:color="auto"/>
              <w:left w:val="single" w:sz="8" w:space="0" w:color="auto"/>
              <w:bottom w:val="single" w:sz="8" w:space="0" w:color="000000"/>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Emission reduction target</w:t>
            </w:r>
          </w:p>
        </w:tc>
        <w:tc>
          <w:tcPr>
            <w:tcW w:w="909" w:type="pct"/>
            <w:gridSpan w:val="2"/>
            <w:vMerge w:val="restart"/>
            <w:tcBorders>
              <w:top w:val="single" w:sz="8" w:space="0" w:color="auto"/>
              <w:left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-20%</w:t>
            </w:r>
          </w:p>
        </w:tc>
        <w:tc>
          <w:tcPr>
            <w:tcW w:w="664" w:type="pct"/>
            <w:vMerge w:val="restart"/>
            <w:tcBorders>
              <w:top w:val="single" w:sz="8" w:space="0" w:color="auto"/>
              <w:left w:val="single" w:sz="8" w:space="0" w:color="auto"/>
              <w:bottom w:val="single" w:sz="8" w:space="0" w:color="000000"/>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at least -40% in 2030</w:t>
            </w:r>
          </w:p>
        </w:tc>
        <w:tc>
          <w:tcPr>
            <w:tcW w:w="740"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-21% in 2020compared to 2005 for ETS emissions</w:t>
            </w:r>
          </w:p>
        </w:tc>
        <w:tc>
          <w:tcPr>
            <w:tcW w:w="76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Annual targets by MS. In 2020 -10% compared to 2005 for non-ETS emissions</w:t>
            </w:r>
          </w:p>
        </w:tc>
        <w:tc>
          <w:tcPr>
            <w:tcW w:w="937"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-43% in 2030 compared to 2005 for ETS emissions</w:t>
            </w:r>
          </w:p>
        </w:tc>
        <w:tc>
          <w:tcPr>
            <w:tcW w:w="506"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Annual targets by MS. In 2030 -30% compared to 2005 for non-ETS emissions</w:t>
            </w:r>
          </w:p>
        </w:tc>
      </w:tr>
      <w:tr>
        <w:trPr>
          <w:trHeight w:val="313"/>
        </w:trPr>
        <w:tc>
          <w:tcPr>
            <w:tcW w:w="482"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909" w:type="pct"/>
            <w:gridSpan w:val="2"/>
            <w:vMerge/>
            <w:tcBorders>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noProof/>
                <w:color w:val="000000"/>
                <w:sz w:val="18"/>
                <w:szCs w:val="18"/>
                <w:lang w:eastAsia="en-GB"/>
              </w:rPr>
            </w:pPr>
          </w:p>
        </w:tc>
        <w:tc>
          <w:tcPr>
            <w:tcW w:w="664"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noProof/>
                <w:color w:val="000000"/>
                <w:sz w:val="18"/>
                <w:szCs w:val="18"/>
                <w:lang w:eastAsia="en-GB"/>
              </w:rPr>
            </w:pPr>
          </w:p>
        </w:tc>
        <w:tc>
          <w:tcPr>
            <w:tcW w:w="1502" w:type="pct"/>
            <w:gridSpan w:val="2"/>
            <w:tcBorders>
              <w:top w:val="nil"/>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Overall target: -20% GHG emissions reduction vs 1990"</w:t>
            </w:r>
          </w:p>
        </w:tc>
        <w:tc>
          <w:tcPr>
            <w:tcW w:w="1443" w:type="pct"/>
            <w:gridSpan w:val="2"/>
            <w:tcBorders>
              <w:top w:val="single" w:sz="8" w:space="0" w:color="auto"/>
              <w:left w:val="nil"/>
              <w:bottom w:val="single" w:sz="8" w:space="0" w:color="auto"/>
              <w:right w:val="single" w:sz="8" w:space="0" w:color="000000"/>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Overall target:  "at least -40% domestic GHG emissions reduction vs 1990"</w:t>
            </w:r>
          </w:p>
        </w:tc>
      </w:tr>
      <w:tr>
        <w:trPr>
          <w:trHeight w:val="732"/>
        </w:trPr>
        <w:tc>
          <w:tcPr>
            <w:tcW w:w="482" w:type="pct"/>
            <w:vMerge w:val="restart"/>
            <w:tcBorders>
              <w:top w:val="single" w:sz="8" w:space="0" w:color="auto"/>
              <w:left w:val="single" w:sz="8" w:space="0" w:color="auto"/>
              <w:bottom w:val="single" w:sz="4" w:space="0" w:color="auto"/>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Further targets</w:t>
            </w:r>
          </w:p>
        </w:tc>
        <w:tc>
          <w:tcPr>
            <w:tcW w:w="909" w:type="pct"/>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pPr>
              <w:spacing w:after="0" w:line="240" w:lineRule="auto"/>
              <w:jc w:val="center"/>
              <w:rPr>
                <w:rFonts w:eastAsia="Times New Roman"/>
                <w:noProof/>
                <w:color w:val="000000"/>
                <w:sz w:val="18"/>
                <w:szCs w:val="18"/>
                <w:lang w:eastAsia="en-GB"/>
              </w:rPr>
            </w:pPr>
          </w:p>
          <w:p>
            <w:pPr>
              <w:spacing w:after="0" w:line="240" w:lineRule="auto"/>
              <w:jc w:val="center"/>
              <w:rPr>
                <w:rFonts w:eastAsia="Times New Roman"/>
                <w:noProof/>
                <w:color w:val="000000"/>
                <w:sz w:val="18"/>
                <w:szCs w:val="18"/>
                <w:lang w:eastAsia="en-GB"/>
              </w:rPr>
            </w:pPr>
            <w:r>
              <w:rPr>
                <w:rFonts w:eastAsia="Times New Roman"/>
                <w:noProof/>
                <w:color w:val="000000"/>
                <w:sz w:val="18"/>
                <w:szCs w:val="18"/>
                <w:lang w:eastAsia="en-GB"/>
              </w:rPr>
              <w:t>-</w:t>
            </w:r>
          </w:p>
        </w:tc>
        <w:tc>
          <w:tcPr>
            <w:tcW w:w="664" w:type="pct"/>
            <w:vMerge w:val="restart"/>
            <w:tcBorders>
              <w:top w:val="single" w:sz="8" w:space="0" w:color="auto"/>
              <w:left w:val="single" w:sz="8" w:space="0" w:color="auto"/>
              <w:bottom w:val="single" w:sz="4" w:space="0" w:color="auto"/>
              <w:right w:val="single" w:sz="8" w:space="0" w:color="auto"/>
            </w:tcBorders>
            <w:shd w:val="clear" w:color="000000" w:fill="E4DFEC"/>
            <w:vAlign w:val="center"/>
            <w:hideMark/>
          </w:tcPr>
          <w:p>
            <w:pPr>
              <w:spacing w:after="0" w:line="240" w:lineRule="auto"/>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xml:space="preserve">• limiting global warming to well below 2°C.; </w:t>
            </w:r>
            <w:r>
              <w:rPr>
                <w:rFonts w:ascii="Times New Roman" w:eastAsia="Times New Roman" w:hAnsi="Times New Roman"/>
                <w:noProof/>
                <w:color w:val="000000"/>
                <w:sz w:val="18"/>
                <w:szCs w:val="18"/>
                <w:lang w:eastAsia="en-GB"/>
              </w:rPr>
              <w:br/>
            </w:r>
            <w:r>
              <w:rPr>
                <w:rFonts w:ascii="Times New Roman" w:eastAsia="Times New Roman" w:hAnsi="Times New Roman"/>
                <w:noProof/>
                <w:color w:val="000000"/>
                <w:sz w:val="18"/>
                <w:szCs w:val="18"/>
                <w:lang w:eastAsia="en-GB"/>
              </w:rPr>
              <w:lastRenderedPageBreak/>
              <w:t>• every 5 years to set more ambitious targets as required by science;</w:t>
            </w:r>
            <w:r>
              <w:rPr>
                <w:rFonts w:ascii="Times New Roman" w:eastAsia="Times New Roman" w:hAnsi="Times New Roman"/>
                <w:noProof/>
                <w:color w:val="000000"/>
                <w:sz w:val="18"/>
                <w:szCs w:val="18"/>
                <w:lang w:eastAsia="en-GB"/>
              </w:rPr>
              <w:br/>
              <w:t>• report on implementation/ track progress towards the long-term goal through a robust transparency and accountability system.</w:t>
            </w:r>
          </w:p>
          <w:p>
            <w:pPr>
              <w:spacing w:after="0" w:line="240" w:lineRule="auto"/>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balance between anthropogenic emissions by sources and removals by sinks of greenhouse gases in the second half of this century</w:t>
            </w:r>
          </w:p>
        </w:tc>
        <w:tc>
          <w:tcPr>
            <w:tcW w:w="1502" w:type="pct"/>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pPr>
              <w:spacing w:after="0" w:line="240" w:lineRule="auto"/>
              <w:rPr>
                <w:rFonts w:ascii="Times New Roman" w:eastAsia="Times New Roman" w:hAnsi="Times New Roman"/>
                <w:noProof/>
                <w:color w:val="000000"/>
                <w:sz w:val="18"/>
                <w:szCs w:val="18"/>
                <w:lang w:eastAsia="en-GB"/>
              </w:rPr>
            </w:pPr>
            <w:r>
              <w:rPr>
                <w:rFonts w:ascii="Wingdings" w:eastAsia="Times New Roman" w:hAnsi="Wingdings"/>
                <w:noProof/>
                <w:color w:val="000000"/>
                <w:sz w:val="18"/>
                <w:szCs w:val="18"/>
                <w:lang w:eastAsia="en-GB"/>
              </w:rPr>
              <w:lastRenderedPageBreak/>
              <w:t></w:t>
            </w:r>
            <w:r>
              <w:rPr>
                <w:rFonts w:ascii="Times New Roman" w:eastAsia="Times New Roman" w:hAnsi="Times New Roman"/>
                <w:noProof/>
                <w:color w:val="000000"/>
                <w:sz w:val="18"/>
                <w:szCs w:val="18"/>
                <w:lang w:eastAsia="en-GB"/>
              </w:rPr>
              <w:t>Renewable Energy Directive: 20% share of renewable energy of gross final energy consumption;</w:t>
            </w:r>
          </w:p>
        </w:tc>
        <w:tc>
          <w:tcPr>
            <w:tcW w:w="1443" w:type="pct"/>
            <w:gridSpan w:val="2"/>
            <w:tcBorders>
              <w:top w:val="single" w:sz="8" w:space="0" w:color="auto"/>
              <w:left w:val="single" w:sz="8" w:space="0" w:color="auto"/>
              <w:bottom w:val="single" w:sz="4" w:space="0" w:color="auto"/>
              <w:right w:val="single" w:sz="8" w:space="0" w:color="000000"/>
            </w:tcBorders>
            <w:shd w:val="clear" w:color="000000" w:fill="E4DFEC"/>
            <w:vAlign w:val="center"/>
            <w:hideMark/>
          </w:tcPr>
          <w:p>
            <w:pPr>
              <w:spacing w:after="0" w:line="240" w:lineRule="auto"/>
              <w:rPr>
                <w:rFonts w:ascii="Times New Roman" w:eastAsia="Times New Roman" w:hAnsi="Times New Roman"/>
                <w:noProof/>
                <w:color w:val="000000"/>
                <w:sz w:val="18"/>
                <w:szCs w:val="18"/>
                <w:lang w:eastAsia="en-GB"/>
              </w:rPr>
            </w:pPr>
            <w:r>
              <w:rPr>
                <w:rFonts w:ascii="Wingdings" w:eastAsia="Times New Roman" w:hAnsi="Wingdings"/>
                <w:noProof/>
                <w:color w:val="000000"/>
                <w:sz w:val="18"/>
                <w:szCs w:val="18"/>
                <w:lang w:eastAsia="en-GB"/>
              </w:rPr>
              <w:t></w:t>
            </w:r>
            <w:r>
              <w:rPr>
                <w:rFonts w:ascii="Times New Roman" w:eastAsia="Times New Roman" w:hAnsi="Times New Roman"/>
                <w:noProof/>
                <w:color w:val="000000"/>
                <w:sz w:val="18"/>
                <w:szCs w:val="18"/>
                <w:lang w:eastAsia="en-GB"/>
              </w:rPr>
              <w:t>At least 27% share of  renewable energy in EU energy consumption;</w:t>
            </w:r>
          </w:p>
        </w:tc>
      </w:tr>
      <w:tr>
        <w:trPr>
          <w:trHeight w:val="881"/>
        </w:trPr>
        <w:tc>
          <w:tcPr>
            <w:tcW w:w="482" w:type="pct"/>
            <w:vMerge/>
            <w:tcBorders>
              <w:top w:val="single" w:sz="4"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909" w:type="pct"/>
            <w:gridSpan w:val="2"/>
            <w:vMerge/>
            <w:tcBorders>
              <w:top w:val="single" w:sz="4" w:space="0" w:color="auto"/>
              <w:left w:val="single" w:sz="8" w:space="0" w:color="auto"/>
              <w:bottom w:val="single" w:sz="8" w:space="0" w:color="000000"/>
              <w:right w:val="single" w:sz="8" w:space="0" w:color="auto"/>
            </w:tcBorders>
            <w:vAlign w:val="center"/>
            <w:hideMark/>
          </w:tcPr>
          <w:p>
            <w:pPr>
              <w:spacing w:after="0" w:line="240" w:lineRule="auto"/>
              <w:rPr>
                <w:rFonts w:eastAsia="Times New Roman"/>
                <w:noProof/>
                <w:color w:val="000000"/>
                <w:sz w:val="18"/>
                <w:szCs w:val="18"/>
                <w:lang w:eastAsia="en-GB"/>
              </w:rPr>
            </w:pPr>
          </w:p>
        </w:tc>
        <w:tc>
          <w:tcPr>
            <w:tcW w:w="664" w:type="pct"/>
            <w:vMerge/>
            <w:tcBorders>
              <w:top w:val="single" w:sz="4"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noProof/>
                <w:color w:val="000000"/>
                <w:sz w:val="18"/>
                <w:szCs w:val="18"/>
                <w:lang w:eastAsia="en-GB"/>
              </w:rPr>
            </w:pPr>
          </w:p>
        </w:tc>
        <w:tc>
          <w:tcPr>
            <w:tcW w:w="1502" w:type="pct"/>
            <w:gridSpan w:val="2"/>
            <w:tcBorders>
              <w:top w:val="single" w:sz="4" w:space="0" w:color="auto"/>
              <w:left w:val="nil"/>
              <w:bottom w:val="single" w:sz="8" w:space="0" w:color="auto"/>
              <w:right w:val="single" w:sz="8" w:space="0" w:color="000000"/>
            </w:tcBorders>
            <w:shd w:val="clear" w:color="000000" w:fill="FFFFFF"/>
            <w:vAlign w:val="center"/>
            <w:hideMark/>
          </w:tcPr>
          <w:p>
            <w:pPr>
              <w:spacing w:after="0" w:line="240" w:lineRule="auto"/>
              <w:rPr>
                <w:rFonts w:ascii="Times New Roman" w:eastAsia="Times New Roman" w:hAnsi="Times New Roman"/>
                <w:noProof/>
                <w:color w:val="000000"/>
                <w:sz w:val="18"/>
                <w:szCs w:val="18"/>
                <w:lang w:eastAsia="en-GB"/>
              </w:rPr>
            </w:pPr>
            <w:r>
              <w:rPr>
                <w:rFonts w:ascii="Wingdings" w:eastAsia="Times New Roman" w:hAnsi="Wingdings"/>
                <w:noProof/>
                <w:color w:val="000000"/>
                <w:sz w:val="18"/>
                <w:szCs w:val="18"/>
                <w:lang w:eastAsia="en-GB"/>
              </w:rPr>
              <w:t></w:t>
            </w:r>
            <w:r>
              <w:rPr>
                <w:rFonts w:ascii="Times New Roman" w:eastAsia="Times New Roman" w:hAnsi="Times New Roman"/>
                <w:noProof/>
                <w:color w:val="000000"/>
                <w:sz w:val="18"/>
                <w:szCs w:val="18"/>
                <w:lang w:eastAsia="en-GB"/>
              </w:rPr>
              <w:t>Energy Efficiency Directive : Increase energy efficiency by 20 %</w:t>
            </w:r>
          </w:p>
        </w:tc>
        <w:tc>
          <w:tcPr>
            <w:tcW w:w="1443" w:type="pct"/>
            <w:gridSpan w:val="2"/>
            <w:tcBorders>
              <w:top w:val="single" w:sz="4" w:space="0" w:color="auto"/>
              <w:left w:val="nil"/>
              <w:bottom w:val="single" w:sz="8" w:space="0" w:color="auto"/>
              <w:right w:val="single" w:sz="8" w:space="0" w:color="000000"/>
            </w:tcBorders>
            <w:shd w:val="clear" w:color="000000" w:fill="E4DFEC"/>
            <w:vAlign w:val="center"/>
            <w:hideMark/>
          </w:tcPr>
          <w:p>
            <w:pPr>
              <w:spacing w:after="0" w:line="240" w:lineRule="auto"/>
              <w:rPr>
                <w:rFonts w:ascii="Times New Roman" w:eastAsia="Times New Roman" w:hAnsi="Times New Roman"/>
                <w:noProof/>
                <w:color w:val="000000"/>
                <w:sz w:val="18"/>
                <w:szCs w:val="18"/>
                <w:lang w:eastAsia="en-GB"/>
              </w:rPr>
            </w:pPr>
            <w:r>
              <w:rPr>
                <w:rFonts w:ascii="Wingdings" w:eastAsia="Times New Roman" w:hAnsi="Wingdings"/>
                <w:noProof/>
                <w:color w:val="000000"/>
                <w:sz w:val="18"/>
                <w:szCs w:val="18"/>
                <w:lang w:eastAsia="en-GB"/>
              </w:rPr>
              <w:t></w:t>
            </w:r>
            <w:r>
              <w:rPr>
                <w:rFonts w:ascii="Times New Roman" w:eastAsia="Times New Roman" w:hAnsi="Times New Roman"/>
                <w:noProof/>
                <w:color w:val="000000"/>
                <w:sz w:val="18"/>
                <w:szCs w:val="18"/>
                <w:lang w:eastAsia="en-GB"/>
              </w:rPr>
              <w:t>At least 27% improvement in energy efficiency (to be reviewed by 2020, having in mind an EU level of 30%)</w:t>
            </w:r>
            <w:r>
              <w:rPr>
                <w:rStyle w:val="FootnoteReference"/>
                <w:rFonts w:ascii="Times New Roman" w:eastAsia="Times New Roman" w:hAnsi="Times New Roman"/>
                <w:noProof/>
                <w:color w:val="000000"/>
                <w:sz w:val="18"/>
                <w:szCs w:val="18"/>
                <w:lang w:eastAsia="en-GB"/>
              </w:rPr>
              <w:footnoteReference w:id="2"/>
            </w:r>
          </w:p>
        </w:tc>
      </w:tr>
      <w:tr>
        <w:trPr>
          <w:trHeight w:val="1095"/>
        </w:trPr>
        <w:tc>
          <w:tcPr>
            <w:tcW w:w="482" w:type="pct"/>
            <w:tcBorders>
              <w:top w:val="single" w:sz="8" w:space="0" w:color="auto"/>
              <w:left w:val="single" w:sz="8" w:space="0" w:color="auto"/>
              <w:bottom w:val="single" w:sz="8" w:space="0" w:color="000000"/>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lastRenderedPageBreak/>
              <w:t>Base year</w:t>
            </w:r>
          </w:p>
        </w:tc>
        <w:tc>
          <w:tcPr>
            <w:tcW w:w="909" w:type="pct"/>
            <w:gridSpan w:val="2"/>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1990, but subject to flexibility rules. 1995 or 2000 may be used as its base year for NF3</w:t>
            </w:r>
          </w:p>
          <w:p>
            <w:pPr>
              <w:spacing w:after="0" w:line="240" w:lineRule="auto"/>
              <w:rPr>
                <w:rFonts w:ascii="Times New Roman" w:eastAsia="Times New Roman" w:hAnsi="Times New Roman"/>
                <w:noProof/>
                <w:color w:val="000000"/>
                <w:sz w:val="18"/>
                <w:szCs w:val="18"/>
                <w:lang w:eastAsia="en-GB"/>
              </w:rPr>
            </w:pPr>
          </w:p>
        </w:tc>
        <w:tc>
          <w:tcPr>
            <w:tcW w:w="664" w:type="pct"/>
            <w:tcBorders>
              <w:top w:val="single" w:sz="8" w:space="0" w:color="auto"/>
              <w:left w:val="single" w:sz="8" w:space="0" w:color="auto"/>
              <w:bottom w:val="single" w:sz="8" w:space="0" w:color="000000"/>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1990</w:t>
            </w:r>
          </w:p>
        </w:tc>
        <w:tc>
          <w:tcPr>
            <w:tcW w:w="1502" w:type="pct"/>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1990 for overall emission reduction target; 2005 for targets broken down into ETS and non-ETS emissions.</w:t>
            </w:r>
          </w:p>
        </w:tc>
        <w:tc>
          <w:tcPr>
            <w:tcW w:w="1443" w:type="pct"/>
            <w:gridSpan w:val="2"/>
            <w:tcBorders>
              <w:top w:val="single" w:sz="8" w:space="0" w:color="auto"/>
              <w:left w:val="single" w:sz="8" w:space="0" w:color="auto"/>
              <w:bottom w:val="single" w:sz="8" w:space="0" w:color="000000"/>
              <w:right w:val="single" w:sz="8" w:space="0" w:color="000000"/>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xml:space="preserve">1990 for overall emission reduction target; 2005 for targets broken down into ETS and non-ETS emissions </w:t>
            </w:r>
          </w:p>
        </w:tc>
      </w:tr>
      <w:tr>
        <w:trPr>
          <w:trHeight w:val="1648"/>
        </w:trPr>
        <w:tc>
          <w:tcPr>
            <w:tcW w:w="482" w:type="pct"/>
            <w:tcBorders>
              <w:top w:val="single" w:sz="8" w:space="0" w:color="auto"/>
              <w:left w:val="single" w:sz="8" w:space="0" w:color="auto"/>
              <w:bottom w:val="single" w:sz="8" w:space="0" w:color="000000"/>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lastRenderedPageBreak/>
              <w:t>LULUCF</w:t>
            </w:r>
          </w:p>
        </w:tc>
        <w:tc>
          <w:tcPr>
            <w:tcW w:w="90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Included ARD and forest management, other activities if elected</w:t>
            </w: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xml:space="preserve">(new accounting rules) </w:t>
            </w:r>
          </w:p>
        </w:tc>
        <w:tc>
          <w:tcPr>
            <w:tcW w:w="664" w:type="pct"/>
            <w:tcBorders>
              <w:top w:val="single" w:sz="8" w:space="0" w:color="auto"/>
              <w:left w:val="single" w:sz="8" w:space="0" w:color="auto"/>
              <w:bottom w:val="single" w:sz="8" w:space="0" w:color="000000"/>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Included</w:t>
            </w:r>
          </w:p>
        </w:tc>
        <w:tc>
          <w:tcPr>
            <w:tcW w:w="1502" w:type="pct"/>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xml:space="preserve">Excluded </w:t>
            </w:r>
          </w:p>
        </w:tc>
        <w:tc>
          <w:tcPr>
            <w:tcW w:w="1443" w:type="pct"/>
            <w:gridSpan w:val="2"/>
            <w:tcBorders>
              <w:top w:val="single" w:sz="8" w:space="0" w:color="auto"/>
              <w:left w:val="single" w:sz="8" w:space="0" w:color="auto"/>
              <w:bottom w:val="single" w:sz="8" w:space="0" w:color="000000"/>
              <w:right w:val="single" w:sz="8" w:space="0" w:color="000000"/>
            </w:tcBorders>
            <w:shd w:val="clear" w:color="000000" w:fill="E4DFEC"/>
            <w:vAlign w:val="center"/>
            <w:hideMark/>
          </w:tcPr>
          <w:p>
            <w:pPr>
              <w:spacing w:after="0" w:line="240" w:lineRule="auto"/>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Included:</w:t>
            </w:r>
            <w:r>
              <w:rPr>
                <w:rFonts w:ascii="Times New Roman" w:eastAsia="Times New Roman" w:hAnsi="Times New Roman"/>
                <w:noProof/>
                <w:color w:val="000000"/>
                <w:sz w:val="18"/>
                <w:szCs w:val="18"/>
                <w:lang w:eastAsia="en-GB"/>
              </w:rPr>
              <w:br/>
              <w:t xml:space="preserve"> July 2016, the Commission launched a proposal for a regulation on the inclusion of GHG emissions and removals from LULUCF into the 2030 climate and enegy framework (COM/2016/0479 final) and the rules of its inclusion as of 2021. The proposal includes a "no debit rule", i.e. emissions from LULUCF must be compensated by carbon uptake after specified rules. </w:t>
            </w:r>
          </w:p>
        </w:tc>
      </w:tr>
      <w:tr>
        <w:trPr>
          <w:trHeight w:val="522"/>
        </w:trPr>
        <w:tc>
          <w:tcPr>
            <w:tcW w:w="482" w:type="pct"/>
            <w:tcBorders>
              <w:top w:val="nil"/>
              <w:left w:val="single" w:sz="8" w:space="0" w:color="auto"/>
              <w:bottom w:val="single" w:sz="8" w:space="0" w:color="auto"/>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Aviation</w:t>
            </w:r>
            <w:r>
              <w:rPr>
                <w:rStyle w:val="FootnoteReference"/>
                <w:rFonts w:ascii="Times New Roman" w:eastAsia="Times New Roman" w:hAnsi="Times New Roman"/>
                <w:b/>
                <w:bCs/>
                <w:noProof/>
                <w:color w:val="000000"/>
                <w:sz w:val="20"/>
                <w:szCs w:val="20"/>
                <w:lang w:eastAsia="en-GB"/>
              </w:rPr>
              <w:footnoteReference w:id="3"/>
            </w:r>
          </w:p>
        </w:tc>
        <w:tc>
          <w:tcPr>
            <w:tcW w:w="909" w:type="pct"/>
            <w:gridSpan w:val="2"/>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xml:space="preserve">Domestic aviation included. International aviation not attributed. </w:t>
            </w:r>
          </w:p>
        </w:tc>
        <w:tc>
          <w:tcPr>
            <w:tcW w:w="664"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Economy-wide action encouraged</w:t>
            </w:r>
          </w:p>
        </w:tc>
        <w:tc>
          <w:tcPr>
            <w:tcW w:w="74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EU ETS:</w:t>
            </w: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xml:space="preserve"> Domestic and some international aviation included. </w:t>
            </w:r>
          </w:p>
        </w:tc>
        <w:tc>
          <w:tcPr>
            <w:tcW w:w="76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ESD:</w:t>
            </w: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Aviation generally excluded</w:t>
            </w:r>
          </w:p>
        </w:tc>
        <w:tc>
          <w:tcPr>
            <w:tcW w:w="937"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EU ETS:</w:t>
            </w: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Domestic and some international aviation included.</w:t>
            </w:r>
          </w:p>
        </w:tc>
        <w:tc>
          <w:tcPr>
            <w:tcW w:w="506"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ESR:</w:t>
            </w: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Aviation generally excluded</w:t>
            </w:r>
          </w:p>
        </w:tc>
      </w:tr>
      <w:tr>
        <w:trPr>
          <w:trHeight w:val="776"/>
        </w:trPr>
        <w:tc>
          <w:tcPr>
            <w:tcW w:w="482" w:type="pct"/>
            <w:tcBorders>
              <w:top w:val="nil"/>
              <w:left w:val="single" w:sz="8" w:space="0" w:color="auto"/>
              <w:bottom w:val="single" w:sz="8" w:space="0" w:color="auto"/>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Use of international credits</w:t>
            </w:r>
          </w:p>
        </w:tc>
        <w:tc>
          <w:tcPr>
            <w:tcW w:w="909" w:type="pct"/>
            <w:gridSpan w:val="2"/>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Use of KP flexible mechanisms subject to KP rules</w:t>
            </w:r>
          </w:p>
        </w:tc>
        <w:tc>
          <w:tcPr>
            <w:tcW w:w="664"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Possible</w:t>
            </w:r>
          </w:p>
        </w:tc>
        <w:tc>
          <w:tcPr>
            <w:tcW w:w="74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xml:space="preserve">Upper limit for credit use for period 2008-2020 at a maximum of 50 % of the reduction effort below 2005 levels </w:t>
            </w:r>
          </w:p>
        </w:tc>
        <w:tc>
          <w:tcPr>
            <w:tcW w:w="76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hAnsi="Times New Roman" w:cs="Times New Roman"/>
                <w:noProof/>
                <w:sz w:val="18"/>
                <w:szCs w:val="18"/>
              </w:rPr>
              <w:t>Annual use of carbon credits is limited to up to 3 % of each Member State's ESD emissions in 2005</w:t>
            </w:r>
            <w:hyperlink r:id="rId25" w:anchor="RANGE!C25" w:history="1">
              <w:r>
                <w:rPr>
                  <w:rFonts w:ascii="Times New Roman" w:eastAsia="Times New Roman" w:hAnsi="Times New Roman"/>
                  <w:noProof/>
                  <w:color w:val="000000"/>
                  <w:sz w:val="18"/>
                  <w:szCs w:val="18"/>
                  <w:vertAlign w:val="superscript"/>
                  <w:lang w:eastAsia="en-GB"/>
                </w:rPr>
                <w:footnoteReference w:id="4"/>
              </w:r>
              <w:r>
                <w:rPr>
                  <w:rFonts w:ascii="Times New Roman" w:eastAsia="Times New Roman" w:hAnsi="Times New Roman"/>
                  <w:noProof/>
                  <w:color w:val="000000"/>
                  <w:sz w:val="18"/>
                  <w:szCs w:val="18"/>
                  <w:lang w:eastAsia="en-GB"/>
                </w:rPr>
                <w:t xml:space="preserve"> </w:t>
              </w:r>
            </w:hyperlink>
          </w:p>
        </w:tc>
        <w:tc>
          <w:tcPr>
            <w:tcW w:w="937"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xml:space="preserve">No </w:t>
            </w:r>
          </w:p>
        </w:tc>
        <w:tc>
          <w:tcPr>
            <w:tcW w:w="506"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No</w:t>
            </w:r>
          </w:p>
        </w:tc>
      </w:tr>
      <w:tr>
        <w:trPr>
          <w:trHeight w:val="776"/>
        </w:trPr>
        <w:tc>
          <w:tcPr>
            <w:tcW w:w="482" w:type="pct"/>
            <w:tcBorders>
              <w:top w:val="nil"/>
              <w:left w:val="single" w:sz="8" w:space="0" w:color="auto"/>
              <w:bottom w:val="single" w:sz="8" w:space="0" w:color="auto"/>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Carry-over of units from preceeding periods</w:t>
            </w:r>
            <w:r>
              <w:rPr>
                <w:rStyle w:val="FootnoteReference"/>
                <w:rFonts w:ascii="Times New Roman" w:eastAsia="Times New Roman" w:hAnsi="Times New Roman"/>
                <w:b/>
                <w:bCs/>
                <w:noProof/>
                <w:color w:val="000000"/>
                <w:sz w:val="20"/>
                <w:szCs w:val="20"/>
                <w:lang w:eastAsia="en-GB"/>
              </w:rPr>
              <w:footnoteReference w:id="5"/>
            </w:r>
          </w:p>
        </w:tc>
        <w:tc>
          <w:tcPr>
            <w:tcW w:w="909" w:type="pct"/>
            <w:gridSpan w:val="2"/>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p>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Subject to KP rules including those agreed in the Doha Amendment</w:t>
            </w:r>
          </w:p>
        </w:tc>
        <w:tc>
          <w:tcPr>
            <w:tcW w:w="664"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No</w:t>
            </w:r>
          </w:p>
        </w:tc>
        <w:tc>
          <w:tcPr>
            <w:tcW w:w="74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EU ETS allowances can be banked into subsequent ETS trading periods since the second trading period</w:t>
            </w:r>
          </w:p>
        </w:tc>
        <w:tc>
          <w:tcPr>
            <w:tcW w:w="76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No carry over from previous period</w:t>
            </w:r>
          </w:p>
        </w:tc>
        <w:tc>
          <w:tcPr>
            <w:tcW w:w="937"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Indefinite validity of allowances not limited to trading periods, no need to carry over.</w:t>
            </w:r>
          </w:p>
        </w:tc>
        <w:tc>
          <w:tcPr>
            <w:tcW w:w="506"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No</w:t>
            </w:r>
          </w:p>
        </w:tc>
      </w:tr>
      <w:tr>
        <w:trPr>
          <w:trHeight w:val="313"/>
        </w:trPr>
        <w:tc>
          <w:tcPr>
            <w:tcW w:w="482" w:type="pct"/>
            <w:tcBorders>
              <w:top w:val="nil"/>
              <w:left w:val="single" w:sz="8" w:space="0" w:color="auto"/>
              <w:bottom w:val="single" w:sz="8" w:space="0" w:color="auto"/>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Gases covered</w:t>
            </w:r>
          </w:p>
        </w:tc>
        <w:tc>
          <w:tcPr>
            <w:tcW w:w="909" w:type="pct"/>
            <w:gridSpan w:val="2"/>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val="pt-PT" w:eastAsia="en-GB"/>
              </w:rPr>
            </w:pPr>
          </w:p>
          <w:p>
            <w:pPr>
              <w:spacing w:after="0" w:line="240" w:lineRule="auto"/>
              <w:jc w:val="center"/>
              <w:rPr>
                <w:rFonts w:ascii="Times New Roman" w:eastAsia="Times New Roman" w:hAnsi="Times New Roman"/>
                <w:noProof/>
                <w:color w:val="000000"/>
                <w:sz w:val="18"/>
                <w:szCs w:val="18"/>
                <w:lang w:val="pt-PT" w:eastAsia="en-GB"/>
              </w:rPr>
            </w:pPr>
            <w:r>
              <w:rPr>
                <w:rFonts w:ascii="Times New Roman" w:eastAsia="Times New Roman" w:hAnsi="Times New Roman"/>
                <w:noProof/>
                <w:color w:val="000000"/>
                <w:sz w:val="18"/>
                <w:szCs w:val="18"/>
                <w:lang w:val="pt-PT" w:eastAsia="en-GB"/>
              </w:rPr>
              <w:t>CO</w:t>
            </w:r>
            <w:r>
              <w:rPr>
                <w:rFonts w:ascii="Times New Roman" w:eastAsia="Times New Roman" w:hAnsi="Times New Roman"/>
                <w:noProof/>
                <w:color w:val="000000"/>
                <w:sz w:val="18"/>
                <w:szCs w:val="18"/>
                <w:vertAlign w:val="subscript"/>
                <w:lang w:val="pt-PT" w:eastAsia="en-GB"/>
              </w:rPr>
              <w:t>2</w:t>
            </w:r>
            <w:r>
              <w:rPr>
                <w:rFonts w:ascii="Times New Roman" w:eastAsia="Times New Roman" w:hAnsi="Times New Roman"/>
                <w:noProof/>
                <w:color w:val="000000"/>
                <w:sz w:val="18"/>
                <w:szCs w:val="18"/>
                <w:lang w:val="pt-PT" w:eastAsia="en-GB"/>
              </w:rPr>
              <w:t>, CH</w:t>
            </w:r>
            <w:r>
              <w:rPr>
                <w:rFonts w:ascii="Times New Roman" w:eastAsia="Times New Roman" w:hAnsi="Times New Roman"/>
                <w:noProof/>
                <w:color w:val="000000"/>
                <w:sz w:val="18"/>
                <w:szCs w:val="18"/>
                <w:vertAlign w:val="subscript"/>
                <w:lang w:val="pt-PT" w:eastAsia="en-GB"/>
              </w:rPr>
              <w:t>4</w:t>
            </w:r>
            <w:r>
              <w:rPr>
                <w:rFonts w:ascii="Times New Roman" w:eastAsia="Times New Roman" w:hAnsi="Times New Roman"/>
                <w:noProof/>
                <w:color w:val="000000"/>
                <w:sz w:val="18"/>
                <w:szCs w:val="18"/>
                <w:lang w:val="pt-PT" w:eastAsia="en-GB"/>
              </w:rPr>
              <w:t>, N</w:t>
            </w:r>
            <w:r>
              <w:rPr>
                <w:rFonts w:ascii="Times New Roman" w:eastAsia="Times New Roman" w:hAnsi="Times New Roman"/>
                <w:noProof/>
                <w:color w:val="000000"/>
                <w:sz w:val="18"/>
                <w:szCs w:val="18"/>
                <w:vertAlign w:val="subscript"/>
                <w:lang w:val="pt-PT" w:eastAsia="en-GB"/>
              </w:rPr>
              <w:t>2</w:t>
            </w:r>
            <w:r>
              <w:rPr>
                <w:rFonts w:ascii="Times New Roman" w:eastAsia="Times New Roman" w:hAnsi="Times New Roman"/>
                <w:noProof/>
                <w:color w:val="000000"/>
                <w:sz w:val="18"/>
                <w:szCs w:val="18"/>
                <w:lang w:val="pt-PT" w:eastAsia="en-GB"/>
              </w:rPr>
              <w:t>O, HFCs, PFCs, SF</w:t>
            </w:r>
            <w:r>
              <w:rPr>
                <w:rFonts w:ascii="Times New Roman" w:eastAsia="Times New Roman" w:hAnsi="Times New Roman"/>
                <w:noProof/>
                <w:color w:val="000000"/>
                <w:sz w:val="18"/>
                <w:szCs w:val="18"/>
                <w:vertAlign w:val="subscript"/>
                <w:lang w:val="pt-PT" w:eastAsia="en-GB"/>
              </w:rPr>
              <w:t>6</w:t>
            </w:r>
            <w:r>
              <w:rPr>
                <w:rFonts w:ascii="Times New Roman" w:eastAsia="Times New Roman" w:hAnsi="Times New Roman"/>
                <w:noProof/>
                <w:color w:val="000000"/>
                <w:sz w:val="18"/>
                <w:szCs w:val="18"/>
                <w:lang w:val="pt-PT" w:eastAsia="en-GB"/>
              </w:rPr>
              <w:t>, NF</w:t>
            </w:r>
            <w:r>
              <w:rPr>
                <w:rFonts w:ascii="Times New Roman" w:eastAsia="Times New Roman" w:hAnsi="Times New Roman"/>
                <w:noProof/>
                <w:color w:val="000000"/>
                <w:sz w:val="18"/>
                <w:szCs w:val="18"/>
                <w:vertAlign w:val="subscript"/>
                <w:lang w:val="pt-PT" w:eastAsia="en-GB"/>
              </w:rPr>
              <w:t>3</w:t>
            </w:r>
          </w:p>
        </w:tc>
        <w:tc>
          <w:tcPr>
            <w:tcW w:w="664"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val="pt-PT" w:eastAsia="en-GB"/>
              </w:rPr>
            </w:pPr>
            <w:r>
              <w:rPr>
                <w:rFonts w:ascii="Times New Roman" w:eastAsia="Times New Roman" w:hAnsi="Times New Roman"/>
                <w:noProof/>
                <w:color w:val="000000"/>
                <w:sz w:val="18"/>
                <w:szCs w:val="18"/>
                <w:lang w:val="pt-PT" w:eastAsia="en-GB"/>
              </w:rPr>
              <w:t>CO</w:t>
            </w:r>
            <w:r>
              <w:rPr>
                <w:rFonts w:ascii="Times New Roman" w:eastAsia="Times New Roman" w:hAnsi="Times New Roman"/>
                <w:noProof/>
                <w:color w:val="000000"/>
                <w:sz w:val="18"/>
                <w:szCs w:val="18"/>
                <w:vertAlign w:val="subscript"/>
                <w:lang w:val="pt-PT" w:eastAsia="en-GB"/>
              </w:rPr>
              <w:t>2</w:t>
            </w:r>
            <w:r>
              <w:rPr>
                <w:rFonts w:ascii="Times New Roman" w:eastAsia="Times New Roman" w:hAnsi="Times New Roman"/>
                <w:noProof/>
                <w:color w:val="000000"/>
                <w:sz w:val="18"/>
                <w:szCs w:val="18"/>
                <w:lang w:val="pt-PT" w:eastAsia="en-GB"/>
              </w:rPr>
              <w:t>, CH</w:t>
            </w:r>
            <w:r>
              <w:rPr>
                <w:rFonts w:ascii="Times New Roman" w:eastAsia="Times New Roman" w:hAnsi="Times New Roman"/>
                <w:noProof/>
                <w:color w:val="000000"/>
                <w:sz w:val="18"/>
                <w:szCs w:val="18"/>
                <w:vertAlign w:val="subscript"/>
                <w:lang w:val="pt-PT" w:eastAsia="en-GB"/>
              </w:rPr>
              <w:t>4</w:t>
            </w:r>
            <w:r>
              <w:rPr>
                <w:rFonts w:ascii="Times New Roman" w:eastAsia="Times New Roman" w:hAnsi="Times New Roman"/>
                <w:noProof/>
                <w:color w:val="000000"/>
                <w:sz w:val="18"/>
                <w:szCs w:val="18"/>
                <w:lang w:val="pt-PT" w:eastAsia="en-GB"/>
              </w:rPr>
              <w:t>, N</w:t>
            </w:r>
            <w:r>
              <w:rPr>
                <w:rFonts w:ascii="Times New Roman" w:eastAsia="Times New Roman" w:hAnsi="Times New Roman"/>
                <w:noProof/>
                <w:color w:val="000000"/>
                <w:sz w:val="18"/>
                <w:szCs w:val="18"/>
                <w:vertAlign w:val="subscript"/>
                <w:lang w:val="pt-PT" w:eastAsia="en-GB"/>
              </w:rPr>
              <w:t>2</w:t>
            </w:r>
            <w:r>
              <w:rPr>
                <w:rFonts w:ascii="Times New Roman" w:eastAsia="Times New Roman" w:hAnsi="Times New Roman"/>
                <w:noProof/>
                <w:color w:val="000000"/>
                <w:sz w:val="18"/>
                <w:szCs w:val="18"/>
                <w:lang w:val="pt-PT" w:eastAsia="en-GB"/>
              </w:rPr>
              <w:t>O, HFCs, PFCs, SF</w:t>
            </w:r>
            <w:r>
              <w:rPr>
                <w:rFonts w:ascii="Times New Roman" w:eastAsia="Times New Roman" w:hAnsi="Times New Roman"/>
                <w:noProof/>
                <w:color w:val="000000"/>
                <w:sz w:val="18"/>
                <w:szCs w:val="18"/>
                <w:vertAlign w:val="subscript"/>
                <w:lang w:val="pt-PT" w:eastAsia="en-GB"/>
              </w:rPr>
              <w:t>6</w:t>
            </w:r>
            <w:r>
              <w:rPr>
                <w:rFonts w:ascii="Times New Roman" w:eastAsia="Times New Roman" w:hAnsi="Times New Roman"/>
                <w:noProof/>
                <w:color w:val="000000"/>
                <w:sz w:val="18"/>
                <w:szCs w:val="18"/>
                <w:lang w:val="pt-PT" w:eastAsia="en-GB"/>
              </w:rPr>
              <w:t>, NF</w:t>
            </w:r>
            <w:r>
              <w:rPr>
                <w:rFonts w:ascii="Times New Roman" w:eastAsia="Times New Roman" w:hAnsi="Times New Roman"/>
                <w:noProof/>
                <w:color w:val="000000"/>
                <w:sz w:val="18"/>
                <w:szCs w:val="18"/>
                <w:vertAlign w:val="subscript"/>
                <w:lang w:val="pt-PT" w:eastAsia="en-GB"/>
              </w:rPr>
              <w:t>3</w:t>
            </w:r>
          </w:p>
        </w:tc>
        <w:tc>
          <w:tcPr>
            <w:tcW w:w="150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val="pt-PT" w:eastAsia="en-GB"/>
              </w:rPr>
            </w:pPr>
            <w:r>
              <w:rPr>
                <w:rFonts w:ascii="Times New Roman" w:eastAsia="Times New Roman" w:hAnsi="Times New Roman"/>
                <w:noProof/>
                <w:color w:val="000000"/>
                <w:sz w:val="18"/>
                <w:szCs w:val="18"/>
                <w:lang w:val="pt-PT" w:eastAsia="en-GB"/>
              </w:rPr>
              <w:t>CO</w:t>
            </w:r>
            <w:r>
              <w:rPr>
                <w:rFonts w:ascii="Times New Roman" w:eastAsia="Times New Roman" w:hAnsi="Times New Roman"/>
                <w:noProof/>
                <w:color w:val="000000"/>
                <w:sz w:val="18"/>
                <w:szCs w:val="18"/>
                <w:vertAlign w:val="subscript"/>
                <w:lang w:val="pt-PT" w:eastAsia="en-GB"/>
              </w:rPr>
              <w:t>2</w:t>
            </w:r>
            <w:r>
              <w:rPr>
                <w:rFonts w:ascii="Times New Roman" w:eastAsia="Times New Roman" w:hAnsi="Times New Roman"/>
                <w:noProof/>
                <w:color w:val="000000"/>
                <w:sz w:val="18"/>
                <w:szCs w:val="18"/>
                <w:lang w:val="pt-PT" w:eastAsia="en-GB"/>
              </w:rPr>
              <w:t>, CH</w:t>
            </w:r>
            <w:r>
              <w:rPr>
                <w:rFonts w:ascii="Times New Roman" w:eastAsia="Times New Roman" w:hAnsi="Times New Roman"/>
                <w:noProof/>
                <w:color w:val="000000"/>
                <w:sz w:val="18"/>
                <w:szCs w:val="18"/>
                <w:vertAlign w:val="subscript"/>
                <w:lang w:val="pt-PT" w:eastAsia="en-GB"/>
              </w:rPr>
              <w:t>4</w:t>
            </w:r>
            <w:r>
              <w:rPr>
                <w:rFonts w:ascii="Times New Roman" w:eastAsia="Times New Roman" w:hAnsi="Times New Roman"/>
                <w:noProof/>
                <w:color w:val="000000"/>
                <w:sz w:val="18"/>
                <w:szCs w:val="18"/>
                <w:lang w:val="pt-PT" w:eastAsia="en-GB"/>
              </w:rPr>
              <w:t>, N</w:t>
            </w:r>
            <w:r>
              <w:rPr>
                <w:rFonts w:ascii="Times New Roman" w:eastAsia="Times New Roman" w:hAnsi="Times New Roman"/>
                <w:noProof/>
                <w:color w:val="000000"/>
                <w:sz w:val="18"/>
                <w:szCs w:val="18"/>
                <w:vertAlign w:val="subscript"/>
                <w:lang w:val="pt-PT" w:eastAsia="en-GB"/>
              </w:rPr>
              <w:t>2</w:t>
            </w:r>
            <w:r>
              <w:rPr>
                <w:rFonts w:ascii="Times New Roman" w:eastAsia="Times New Roman" w:hAnsi="Times New Roman"/>
                <w:noProof/>
                <w:color w:val="000000"/>
                <w:sz w:val="18"/>
                <w:szCs w:val="18"/>
                <w:lang w:val="pt-PT" w:eastAsia="en-GB"/>
              </w:rPr>
              <w:t>O, HFCs, PFCs, SF</w:t>
            </w:r>
            <w:r>
              <w:rPr>
                <w:rFonts w:ascii="Times New Roman" w:eastAsia="Times New Roman" w:hAnsi="Times New Roman"/>
                <w:noProof/>
                <w:color w:val="000000"/>
                <w:sz w:val="18"/>
                <w:szCs w:val="18"/>
                <w:vertAlign w:val="subscript"/>
                <w:lang w:val="pt-PT" w:eastAsia="en-GB"/>
              </w:rPr>
              <w:t>6</w:t>
            </w:r>
          </w:p>
        </w:tc>
        <w:tc>
          <w:tcPr>
            <w:tcW w:w="937" w:type="pct"/>
            <w:tcBorders>
              <w:top w:val="single" w:sz="8" w:space="0" w:color="auto"/>
              <w:left w:val="nil"/>
              <w:bottom w:val="single" w:sz="8" w:space="0" w:color="auto"/>
              <w:right w:val="single" w:sz="8" w:space="0" w:color="000000"/>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val="pt-PT" w:eastAsia="en-GB"/>
              </w:rPr>
            </w:pPr>
            <w:r>
              <w:rPr>
                <w:rFonts w:ascii="Times New Roman" w:eastAsia="Times New Roman" w:hAnsi="Times New Roman"/>
                <w:noProof/>
                <w:color w:val="000000"/>
                <w:sz w:val="18"/>
                <w:szCs w:val="18"/>
                <w:lang w:val="pt-PT" w:eastAsia="en-GB"/>
              </w:rPr>
              <w:t>CO</w:t>
            </w:r>
            <w:r>
              <w:rPr>
                <w:rFonts w:ascii="Times New Roman" w:eastAsia="Times New Roman" w:hAnsi="Times New Roman"/>
                <w:noProof/>
                <w:color w:val="000000"/>
                <w:sz w:val="18"/>
                <w:szCs w:val="18"/>
                <w:vertAlign w:val="subscript"/>
                <w:lang w:val="pt-PT" w:eastAsia="en-GB"/>
              </w:rPr>
              <w:t>2</w:t>
            </w:r>
            <w:r>
              <w:rPr>
                <w:rFonts w:ascii="Times New Roman" w:eastAsia="Times New Roman" w:hAnsi="Times New Roman"/>
                <w:noProof/>
                <w:color w:val="000000"/>
                <w:sz w:val="18"/>
                <w:szCs w:val="18"/>
                <w:lang w:val="pt-PT" w:eastAsia="en-GB"/>
              </w:rPr>
              <w:t>, CH</w:t>
            </w:r>
            <w:r>
              <w:rPr>
                <w:rFonts w:ascii="Times New Roman" w:eastAsia="Times New Roman" w:hAnsi="Times New Roman"/>
                <w:noProof/>
                <w:color w:val="000000"/>
                <w:sz w:val="18"/>
                <w:szCs w:val="18"/>
                <w:vertAlign w:val="subscript"/>
                <w:lang w:val="pt-PT" w:eastAsia="en-GB"/>
              </w:rPr>
              <w:t>4</w:t>
            </w:r>
            <w:r>
              <w:rPr>
                <w:rFonts w:ascii="Times New Roman" w:eastAsia="Times New Roman" w:hAnsi="Times New Roman"/>
                <w:noProof/>
                <w:color w:val="000000"/>
                <w:sz w:val="18"/>
                <w:szCs w:val="18"/>
                <w:lang w:val="pt-PT" w:eastAsia="en-GB"/>
              </w:rPr>
              <w:t>, N</w:t>
            </w:r>
            <w:r>
              <w:rPr>
                <w:rFonts w:ascii="Times New Roman" w:eastAsia="Times New Roman" w:hAnsi="Times New Roman"/>
                <w:noProof/>
                <w:color w:val="000000"/>
                <w:sz w:val="18"/>
                <w:szCs w:val="18"/>
                <w:vertAlign w:val="subscript"/>
                <w:lang w:val="pt-PT" w:eastAsia="en-GB"/>
              </w:rPr>
              <w:t>2</w:t>
            </w:r>
            <w:r>
              <w:rPr>
                <w:rFonts w:ascii="Times New Roman" w:eastAsia="Times New Roman" w:hAnsi="Times New Roman"/>
                <w:noProof/>
                <w:color w:val="000000"/>
                <w:sz w:val="18"/>
                <w:szCs w:val="18"/>
                <w:lang w:val="pt-PT" w:eastAsia="en-GB"/>
              </w:rPr>
              <w:t>O, HFCs, PFCs, SF</w:t>
            </w:r>
            <w:r>
              <w:rPr>
                <w:rFonts w:ascii="Times New Roman" w:eastAsia="Times New Roman" w:hAnsi="Times New Roman"/>
                <w:noProof/>
                <w:color w:val="000000"/>
                <w:sz w:val="18"/>
                <w:szCs w:val="18"/>
                <w:vertAlign w:val="subscript"/>
                <w:lang w:val="pt-PT" w:eastAsia="en-GB"/>
              </w:rPr>
              <w:t>6</w:t>
            </w:r>
            <w:r>
              <w:rPr>
                <w:rFonts w:ascii="Times New Roman" w:eastAsia="Times New Roman" w:hAnsi="Times New Roman"/>
                <w:noProof/>
                <w:color w:val="000000"/>
                <w:sz w:val="18"/>
                <w:szCs w:val="18"/>
                <w:lang w:val="pt-PT" w:eastAsia="en-GB"/>
              </w:rPr>
              <w:t>,</w:t>
            </w:r>
          </w:p>
        </w:tc>
        <w:tc>
          <w:tcPr>
            <w:tcW w:w="506" w:type="pct"/>
            <w:tcBorders>
              <w:top w:val="single" w:sz="8" w:space="0" w:color="auto"/>
              <w:left w:val="nil"/>
              <w:bottom w:val="single" w:sz="8" w:space="0" w:color="auto"/>
              <w:right w:val="single" w:sz="8" w:space="0" w:color="000000"/>
            </w:tcBorders>
            <w:shd w:val="clear" w:color="000000" w:fill="E4DFEC"/>
            <w:vAlign w:val="center"/>
          </w:tcPr>
          <w:p>
            <w:pPr>
              <w:spacing w:after="0" w:line="240" w:lineRule="auto"/>
              <w:jc w:val="center"/>
              <w:rPr>
                <w:rFonts w:ascii="Times New Roman" w:eastAsia="Times New Roman" w:hAnsi="Times New Roman"/>
                <w:noProof/>
                <w:color w:val="000000"/>
                <w:sz w:val="18"/>
                <w:szCs w:val="18"/>
                <w:lang w:val="pt-PT" w:eastAsia="en-GB"/>
              </w:rPr>
            </w:pPr>
            <w:r>
              <w:rPr>
                <w:rFonts w:ascii="Times New Roman" w:eastAsia="Times New Roman" w:hAnsi="Times New Roman"/>
                <w:noProof/>
                <w:color w:val="000000"/>
                <w:sz w:val="18"/>
                <w:szCs w:val="18"/>
                <w:lang w:val="pt-PT" w:eastAsia="en-GB"/>
              </w:rPr>
              <w:t>CO</w:t>
            </w:r>
            <w:r>
              <w:rPr>
                <w:rFonts w:ascii="Times New Roman" w:eastAsia="Times New Roman" w:hAnsi="Times New Roman"/>
                <w:noProof/>
                <w:color w:val="000000"/>
                <w:sz w:val="18"/>
                <w:szCs w:val="18"/>
                <w:vertAlign w:val="subscript"/>
                <w:lang w:val="pt-PT" w:eastAsia="en-GB"/>
              </w:rPr>
              <w:t>2</w:t>
            </w:r>
            <w:r>
              <w:rPr>
                <w:rFonts w:ascii="Times New Roman" w:eastAsia="Times New Roman" w:hAnsi="Times New Roman"/>
                <w:noProof/>
                <w:color w:val="000000"/>
                <w:sz w:val="18"/>
                <w:szCs w:val="18"/>
                <w:lang w:val="pt-PT" w:eastAsia="en-GB"/>
              </w:rPr>
              <w:t>, CH</w:t>
            </w:r>
            <w:r>
              <w:rPr>
                <w:rFonts w:ascii="Times New Roman" w:eastAsia="Times New Roman" w:hAnsi="Times New Roman"/>
                <w:noProof/>
                <w:color w:val="000000"/>
                <w:sz w:val="18"/>
                <w:szCs w:val="18"/>
                <w:vertAlign w:val="subscript"/>
                <w:lang w:val="pt-PT" w:eastAsia="en-GB"/>
              </w:rPr>
              <w:t>4</w:t>
            </w:r>
            <w:r>
              <w:rPr>
                <w:rFonts w:ascii="Times New Roman" w:eastAsia="Times New Roman" w:hAnsi="Times New Roman"/>
                <w:noProof/>
                <w:color w:val="000000"/>
                <w:sz w:val="18"/>
                <w:szCs w:val="18"/>
                <w:lang w:val="pt-PT" w:eastAsia="en-GB"/>
              </w:rPr>
              <w:t>, N</w:t>
            </w:r>
            <w:r>
              <w:rPr>
                <w:rFonts w:ascii="Times New Roman" w:eastAsia="Times New Roman" w:hAnsi="Times New Roman"/>
                <w:noProof/>
                <w:color w:val="000000"/>
                <w:sz w:val="18"/>
                <w:szCs w:val="18"/>
                <w:vertAlign w:val="subscript"/>
                <w:lang w:val="pt-PT" w:eastAsia="en-GB"/>
              </w:rPr>
              <w:t>2</w:t>
            </w:r>
            <w:r>
              <w:rPr>
                <w:rFonts w:ascii="Times New Roman" w:eastAsia="Times New Roman" w:hAnsi="Times New Roman"/>
                <w:noProof/>
                <w:color w:val="000000"/>
                <w:sz w:val="18"/>
                <w:szCs w:val="18"/>
                <w:lang w:val="pt-PT" w:eastAsia="en-GB"/>
              </w:rPr>
              <w:t>O, HFCs, PFCs, SF</w:t>
            </w:r>
            <w:r>
              <w:rPr>
                <w:rFonts w:ascii="Times New Roman" w:eastAsia="Times New Roman" w:hAnsi="Times New Roman"/>
                <w:noProof/>
                <w:color w:val="000000"/>
                <w:sz w:val="18"/>
                <w:szCs w:val="18"/>
                <w:vertAlign w:val="subscript"/>
                <w:lang w:val="pt-PT" w:eastAsia="en-GB"/>
              </w:rPr>
              <w:t>6</w:t>
            </w:r>
            <w:r>
              <w:rPr>
                <w:rFonts w:ascii="Times New Roman" w:eastAsia="Times New Roman" w:hAnsi="Times New Roman"/>
                <w:noProof/>
                <w:color w:val="000000"/>
                <w:sz w:val="18"/>
                <w:szCs w:val="18"/>
                <w:lang w:val="pt-PT" w:eastAsia="en-GB"/>
              </w:rPr>
              <w:t>, NF</w:t>
            </w:r>
            <w:r>
              <w:rPr>
                <w:rFonts w:ascii="Times New Roman" w:eastAsia="Times New Roman" w:hAnsi="Times New Roman"/>
                <w:noProof/>
                <w:color w:val="000000"/>
                <w:sz w:val="18"/>
                <w:szCs w:val="18"/>
                <w:vertAlign w:val="subscript"/>
                <w:lang w:val="pt-PT" w:eastAsia="en-GB"/>
              </w:rPr>
              <w:t>3</w:t>
            </w:r>
          </w:p>
        </w:tc>
      </w:tr>
      <w:tr>
        <w:trPr>
          <w:trHeight w:val="776"/>
        </w:trPr>
        <w:tc>
          <w:tcPr>
            <w:tcW w:w="482" w:type="pct"/>
            <w:tcBorders>
              <w:top w:val="nil"/>
              <w:left w:val="single" w:sz="8" w:space="0" w:color="auto"/>
              <w:bottom w:val="single" w:sz="8" w:space="0" w:color="auto"/>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Sectors included</w:t>
            </w:r>
          </w:p>
        </w:tc>
        <w:tc>
          <w:tcPr>
            <w:tcW w:w="531"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Energy, IPPU, agriculture, waste, LULUCF</w:t>
            </w:r>
          </w:p>
        </w:tc>
        <w:tc>
          <w:tcPr>
            <w:tcW w:w="378"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Energy, IPPU, agriculture, waste, LULUCF</w:t>
            </w:r>
          </w:p>
        </w:tc>
        <w:tc>
          <w:tcPr>
            <w:tcW w:w="664"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Energy, IPPU, agriculture, waste, LULUCF</w:t>
            </w:r>
          </w:p>
        </w:tc>
        <w:tc>
          <w:tcPr>
            <w:tcW w:w="74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Power &amp; heat generation, energy-intensive industry sectors, aviation</w:t>
            </w:r>
          </w:p>
        </w:tc>
        <w:tc>
          <w:tcPr>
            <w:tcW w:w="76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Transport (except aviation), buildings, non-ETS industry, agriculture (except forestry) and waste</w:t>
            </w:r>
          </w:p>
        </w:tc>
        <w:tc>
          <w:tcPr>
            <w:tcW w:w="937"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Power &amp; heat generation, energy-intensive industry sectors, aviation</w:t>
            </w:r>
          </w:p>
        </w:tc>
        <w:tc>
          <w:tcPr>
            <w:tcW w:w="506" w:type="pct"/>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Transport (except aviation), buildings, non-ETS industry, agriculture (except forestry) and waste</w:t>
            </w:r>
          </w:p>
        </w:tc>
      </w:tr>
      <w:tr>
        <w:trPr>
          <w:trHeight w:val="313"/>
        </w:trPr>
        <w:tc>
          <w:tcPr>
            <w:tcW w:w="482" w:type="pct"/>
            <w:tcBorders>
              <w:top w:val="nil"/>
              <w:left w:val="single" w:sz="8" w:space="0" w:color="auto"/>
              <w:bottom w:val="single" w:sz="8" w:space="0" w:color="auto"/>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GWPs used</w:t>
            </w:r>
          </w:p>
        </w:tc>
        <w:tc>
          <w:tcPr>
            <w:tcW w:w="531"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IPCC SAR</w:t>
            </w:r>
          </w:p>
        </w:tc>
        <w:tc>
          <w:tcPr>
            <w:tcW w:w="378"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IPCC AR4</w:t>
            </w:r>
          </w:p>
        </w:tc>
        <w:tc>
          <w:tcPr>
            <w:tcW w:w="664" w:type="pct"/>
            <w:tcBorders>
              <w:top w:val="nil"/>
              <w:left w:val="nil"/>
              <w:bottom w:val="single" w:sz="8" w:space="0" w:color="auto"/>
              <w:right w:val="nil"/>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IPCC AR4</w:t>
            </w:r>
          </w:p>
        </w:tc>
        <w:tc>
          <w:tcPr>
            <w:tcW w:w="150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IPCC AR4</w:t>
            </w:r>
          </w:p>
        </w:tc>
        <w:tc>
          <w:tcPr>
            <w:tcW w:w="1443" w:type="pct"/>
            <w:gridSpan w:val="2"/>
            <w:tcBorders>
              <w:top w:val="single" w:sz="8" w:space="0" w:color="auto"/>
              <w:left w:val="nil"/>
              <w:bottom w:val="single" w:sz="8" w:space="0" w:color="auto"/>
              <w:right w:val="single" w:sz="8" w:space="0" w:color="000000"/>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IPCC AR4</w:t>
            </w:r>
          </w:p>
        </w:tc>
      </w:tr>
      <w:tr>
        <w:trPr>
          <w:trHeight w:val="860"/>
        </w:trPr>
        <w:tc>
          <w:tcPr>
            <w:tcW w:w="482" w:type="pct"/>
            <w:tcBorders>
              <w:top w:val="nil"/>
              <w:left w:val="single" w:sz="8" w:space="0" w:color="auto"/>
              <w:bottom w:val="single" w:sz="8" w:space="0" w:color="auto"/>
              <w:right w:val="single" w:sz="8" w:space="0" w:color="auto"/>
            </w:tcBorders>
            <w:shd w:val="clear" w:color="000000" w:fill="B9E7FF"/>
            <w:vAlign w:val="center"/>
            <w:hideMark/>
          </w:tcPr>
          <w:p>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Applicable to number of MS</w:t>
            </w:r>
          </w:p>
        </w:tc>
        <w:tc>
          <w:tcPr>
            <w:tcW w:w="531"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15 (additional KP targets for single MS)</w:t>
            </w:r>
          </w:p>
        </w:tc>
        <w:tc>
          <w:tcPr>
            <w:tcW w:w="378"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28 and Iceland</w:t>
            </w:r>
          </w:p>
        </w:tc>
        <w:tc>
          <w:tcPr>
            <w:tcW w:w="664" w:type="pct"/>
            <w:tcBorders>
              <w:top w:val="nil"/>
              <w:left w:val="nil"/>
              <w:bottom w:val="single" w:sz="8" w:space="0" w:color="auto"/>
              <w:right w:val="single" w:sz="8" w:space="0" w:color="auto"/>
            </w:tcBorders>
            <w:shd w:val="clear" w:color="000000" w:fill="E4DFEC"/>
            <w:vAlign w:val="center"/>
            <w:hideMark/>
          </w:tcPr>
          <w:p>
            <w:pPr>
              <w:spacing w:after="0" w:line="240" w:lineRule="auto"/>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28 Member States + possibly Iceland and Norway</w:t>
            </w:r>
          </w:p>
        </w:tc>
        <w:tc>
          <w:tcPr>
            <w:tcW w:w="150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28</w:t>
            </w:r>
            <w:r>
              <w:rPr>
                <w:rStyle w:val="FootnoteReference"/>
                <w:rFonts w:ascii="Times New Roman" w:eastAsia="Times New Roman" w:hAnsi="Times New Roman"/>
                <w:noProof/>
                <w:color w:val="000000"/>
                <w:sz w:val="18"/>
                <w:szCs w:val="18"/>
                <w:lang w:eastAsia="en-GB"/>
              </w:rPr>
              <w:footnoteReference w:id="6"/>
            </w:r>
            <w:r>
              <w:rPr>
                <w:rFonts w:ascii="Times New Roman" w:eastAsia="Times New Roman" w:hAnsi="Times New Roman"/>
                <w:noProof/>
                <w:color w:val="000000"/>
                <w:sz w:val="18"/>
                <w:szCs w:val="18"/>
                <w:lang w:eastAsia="en-GB"/>
              </w:rPr>
              <w:t xml:space="preserve"> </w:t>
            </w:r>
          </w:p>
        </w:tc>
        <w:tc>
          <w:tcPr>
            <w:tcW w:w="1443" w:type="pct"/>
            <w:gridSpan w:val="2"/>
            <w:tcBorders>
              <w:top w:val="single" w:sz="8" w:space="0" w:color="auto"/>
              <w:left w:val="nil"/>
              <w:bottom w:val="single" w:sz="8" w:space="0" w:color="auto"/>
              <w:right w:val="single" w:sz="8" w:space="0" w:color="000000"/>
            </w:tcBorders>
            <w:shd w:val="clear" w:color="000000" w:fill="E4DFEC"/>
            <w:vAlign w:val="center"/>
            <w:hideMark/>
          </w:tcPr>
          <w:p>
            <w:pPr>
              <w:spacing w:after="0" w:line="240" w:lineRule="auto"/>
              <w:jc w:val="center"/>
              <w:rPr>
                <w:rFonts w:ascii="Times New Roman" w:eastAsia="Times New Roman" w:hAnsi="Times New Roman"/>
                <w:noProof/>
                <w:color w:val="000000"/>
                <w:sz w:val="18"/>
                <w:szCs w:val="18"/>
                <w:lang w:eastAsia="en-GB"/>
              </w:rPr>
            </w:pPr>
            <w:r>
              <w:rPr>
                <w:rFonts w:ascii="Times New Roman" w:eastAsia="Times New Roman" w:hAnsi="Times New Roman"/>
                <w:noProof/>
                <w:color w:val="000000"/>
                <w:sz w:val="18"/>
                <w:szCs w:val="18"/>
                <w:lang w:eastAsia="en-GB"/>
              </w:rPr>
              <w:t xml:space="preserve">28 </w:t>
            </w:r>
          </w:p>
        </w:tc>
      </w:tr>
    </w:tbl>
    <w:p>
      <w:pPr>
        <w:spacing w:after="0"/>
        <w:rPr>
          <w:noProof/>
        </w:rPr>
        <w:sectPr>
          <w:headerReference w:type="even" r:id="rId26"/>
          <w:headerReference w:type="default" r:id="rId27"/>
          <w:footerReference w:type="even" r:id="rId28"/>
          <w:footerReference w:type="default" r:id="rId29"/>
          <w:headerReference w:type="first" r:id="rId30"/>
          <w:footerReference w:type="first" r:id="rId31"/>
          <w:pgSz w:w="16838" w:h="11906" w:orient="landscape"/>
          <w:pgMar w:top="1418" w:right="1418" w:bottom="1418" w:left="1418" w:header="709" w:footer="709" w:gutter="0"/>
          <w:cols w:space="708"/>
          <w:docGrid w:linePitch="360"/>
        </w:sectPr>
      </w:pPr>
      <w:r>
        <w:rPr>
          <w:rFonts w:ascii="Times New Roman" w:hAnsi="Times New Roman"/>
          <w:noProof/>
          <w:sz w:val="20"/>
          <w:szCs w:val="20"/>
        </w:rPr>
        <w:t xml:space="preserve">Source: European Commission. </w:t>
      </w:r>
      <w:r>
        <w:rPr>
          <w:rFonts w:ascii="Times New Roman" w:hAnsi="Times New Roman"/>
          <w:noProof/>
          <w:sz w:val="20"/>
          <w:szCs w:val="20"/>
        </w:rPr>
        <w:tab/>
      </w:r>
    </w:p>
    <w:p>
      <w:pPr>
        <w:pStyle w:val="Heading1"/>
        <w:rPr>
          <w:noProof/>
        </w:rPr>
      </w:pPr>
      <w:bookmarkStart w:id="8" w:name="_Toc496883475"/>
      <w:r>
        <w:rPr>
          <w:noProof/>
        </w:rPr>
        <w:t>EU-wide emissions trends and projections</w:t>
      </w:r>
      <w:bookmarkEnd w:id="8"/>
    </w:p>
    <w:p>
      <w:pPr>
        <w:rPr>
          <w:noProof/>
        </w:rPr>
      </w:pPr>
    </w:p>
    <w:p>
      <w:pPr>
        <w:pStyle w:val="Tableheading"/>
        <w:jc w:val="center"/>
        <w:rPr>
          <w:noProof/>
        </w:rPr>
      </w:pPr>
      <w:bookmarkStart w:id="9" w:name="_Ref492627706"/>
      <w:bookmarkStart w:id="10" w:name="_Toc494203874"/>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Share of greenhouse gas emissions by sector</w:t>
      </w:r>
      <w:r>
        <w:rPr>
          <w:rStyle w:val="FootnoteReference"/>
          <w:noProof/>
        </w:rPr>
        <w:footnoteReference w:id="7"/>
      </w:r>
      <w:r>
        <w:rPr>
          <w:noProof/>
        </w:rPr>
        <w:t>, EU-28 2015</w:t>
      </w:r>
      <w:bookmarkEnd w:id="9"/>
      <w:bookmarkEnd w:id="10"/>
    </w:p>
    <w:p>
      <w:pPr>
        <w:keepNext/>
        <w:jc w:val="center"/>
        <w:rPr>
          <w:noProof/>
        </w:rPr>
      </w:pPr>
      <w:r>
        <w:rPr>
          <w:noProof/>
          <w:lang w:val="en-US"/>
        </w:rPr>
        <w:drawing>
          <wp:inline distT="0" distB="0" distL="0" distR="0">
            <wp:extent cx="4873277" cy="2806627"/>
            <wp:effectExtent l="0" t="0" r="22860" b="13335"/>
            <wp:docPr id="1" name="Chart 1" title="k"/>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rPr>
          <w:noProof/>
        </w:rPr>
      </w:pPr>
      <w:r>
        <w:rPr>
          <w:noProof/>
        </w:rPr>
        <w:t xml:space="preserve">Source: 2017 EU greenhouse gas inventory (European Environment Agency). </w:t>
      </w:r>
    </w:p>
    <w:p>
      <w:pPr>
        <w:pStyle w:val="Tableheading"/>
        <w:jc w:val="center"/>
        <w:rPr>
          <w:noProof/>
        </w:rPr>
      </w:pPr>
      <w:bookmarkStart w:id="11" w:name="_Toc494203875"/>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Historical change in EU-28 greenhouse gas emissions by sector</w:t>
      </w:r>
      <w:r>
        <w:rPr>
          <w:rStyle w:val="FootnoteReference"/>
          <w:noProof/>
        </w:rPr>
        <w:footnoteReference w:id="8"/>
      </w:r>
      <w:r>
        <w:rPr>
          <w:noProof/>
        </w:rPr>
        <w:t>.</w:t>
      </w:r>
      <w:bookmarkEnd w:id="11"/>
      <w:r>
        <w:rPr>
          <w:noProof/>
        </w:rPr>
        <w:t xml:space="preserve"> </w:t>
      </w:r>
    </w:p>
    <w:p>
      <w:pPr>
        <w:pStyle w:val="Tableheading"/>
        <w:jc w:val="center"/>
        <w:rPr>
          <w:noProof/>
        </w:rPr>
      </w:pPr>
      <w:r>
        <w:rPr>
          <w:noProof/>
          <w:lang w:val="en-US"/>
        </w:rPr>
        <w:drawing>
          <wp:inline distT="0" distB="0" distL="0" distR="0">
            <wp:extent cx="4661855" cy="3351039"/>
            <wp:effectExtent l="0" t="0" r="24765"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rPr>
          <w:noProof/>
        </w:rPr>
      </w:pPr>
      <w:r>
        <w:rPr>
          <w:noProof/>
        </w:rPr>
        <w:t xml:space="preserve"> Source: 2017 EU greenhouse gas inventory (European Environment Agency). </w:t>
      </w:r>
    </w:p>
    <w:p>
      <w:pPr>
        <w:pStyle w:val="Tableheading"/>
        <w:jc w:val="center"/>
        <w:rPr>
          <w:noProof/>
        </w:rPr>
      </w:pPr>
      <w:bookmarkStart w:id="12" w:name="_Toc494203876"/>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EU-28 GHG emissions per sector</w:t>
      </w:r>
      <w:r>
        <w:rPr>
          <w:rStyle w:val="FootnoteReference"/>
          <w:noProof/>
        </w:rPr>
        <w:footnoteReference w:id="9"/>
      </w:r>
      <w:r>
        <w:rPr>
          <w:noProof/>
        </w:rPr>
        <w:t>: historical data and projections (Mt. CO</w:t>
      </w:r>
      <w:r>
        <w:rPr>
          <w:noProof/>
          <w:vertAlign w:val="subscript"/>
        </w:rPr>
        <w:t>2</w:t>
      </w:r>
      <w:r>
        <w:rPr>
          <w:noProof/>
        </w:rPr>
        <w:t>-eq.).</w:t>
      </w:r>
      <w:bookmarkEnd w:id="12"/>
    </w:p>
    <w:p>
      <w:pPr>
        <w:keepNext/>
        <w:jc w:val="center"/>
        <w:rPr>
          <w:noProof/>
        </w:rPr>
      </w:pPr>
      <w:r>
        <w:rPr>
          <w:noProof/>
          <w:lang w:val="en-US"/>
        </w:rPr>
        <w:drawing>
          <wp:inline distT="0" distB="0" distL="0" distR="0">
            <wp:extent cx="6331789" cy="3812875"/>
            <wp:effectExtent l="0" t="0" r="12065"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rPr>
          <w:noProof/>
        </w:rPr>
      </w:pPr>
      <w:r>
        <w:rPr>
          <w:noProof/>
        </w:rPr>
        <w:t>Source: 1990-2015 data based on 2017 EU greenhouse gas inventory (European Environment Agency), 2016 data based on 2017 approximated inventory (European Environment Agency), 2017-2035 data based on Member States' projections</w:t>
      </w:r>
      <w:r>
        <w:rPr>
          <w:rStyle w:val="FootnoteReference"/>
          <w:noProof/>
        </w:rPr>
        <w:footnoteReference w:id="10"/>
      </w:r>
      <w:r>
        <w:rPr>
          <w:noProof/>
        </w:rPr>
        <w:t xml:space="preserve"> reviewed by  the European Environment Agency. </w:t>
      </w:r>
    </w:p>
    <w:p>
      <w:pPr>
        <w:pStyle w:val="Tableheading"/>
        <w:jc w:val="center"/>
        <w:rPr>
          <w:noProof/>
        </w:rPr>
      </w:pPr>
      <w:bookmarkStart w:id="13" w:name="_Toc494203877"/>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GHG emissions intensity in the EU and its Member States 1990, 2005 and 2016 (tonnes CO</w:t>
      </w:r>
      <w:r>
        <w:rPr>
          <w:noProof/>
          <w:vertAlign w:val="subscript"/>
        </w:rPr>
        <w:t>2</w:t>
      </w:r>
      <w:r>
        <w:rPr>
          <w:noProof/>
        </w:rPr>
        <w:t>-eq. per million Euro GDP)</w:t>
      </w:r>
      <w:r>
        <w:rPr>
          <w:rStyle w:val="FootnoteReference"/>
          <w:noProof/>
        </w:rPr>
        <w:footnoteReference w:id="11"/>
      </w:r>
      <w:r>
        <w:rPr>
          <w:noProof/>
        </w:rPr>
        <w:t xml:space="preserve">, </w:t>
      </w:r>
      <w:r>
        <w:rPr>
          <w:rStyle w:val="FootnoteReference"/>
          <w:noProof/>
        </w:rPr>
        <w:footnoteReference w:id="12"/>
      </w:r>
      <w:r>
        <w:rPr>
          <w:noProof/>
        </w:rPr>
        <w:t>.</w:t>
      </w:r>
      <w:bookmarkEnd w:id="13"/>
      <w:r>
        <w:rPr>
          <w:noProof/>
        </w:rPr>
        <w:t xml:space="preserve"> </w:t>
      </w:r>
    </w:p>
    <w:p>
      <w:pPr>
        <w:jc w:val="center"/>
        <w:rPr>
          <w:noProof/>
        </w:rPr>
      </w:pPr>
      <w:r>
        <w:rPr>
          <w:noProof/>
          <w:lang w:val="en-US"/>
        </w:rPr>
        <w:drawing>
          <wp:inline distT="0" distB="0" distL="0" distR="0">
            <wp:extent cx="5398617" cy="7095744"/>
            <wp:effectExtent l="0" t="0" r="1206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rPr>
          <w:noProof/>
        </w:rPr>
      </w:pPr>
      <w:r>
        <w:rPr>
          <w:noProof/>
        </w:rPr>
        <w:t xml:space="preserve">Source: European Environment Agency. For 2016 approximated emissions data are used. </w:t>
      </w:r>
    </w:p>
    <w:p>
      <w:pPr>
        <w:pStyle w:val="Tableheading"/>
        <w:jc w:val="center"/>
        <w:rPr>
          <w:noProof/>
        </w:rPr>
      </w:pPr>
      <w:bookmarkStart w:id="14" w:name="_Toc494203878"/>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GHG emissions per capita in the EU and its Member States, 1990, 2005 and 2016 (tonnes CO</w:t>
      </w:r>
      <w:r>
        <w:rPr>
          <w:noProof/>
          <w:vertAlign w:val="subscript"/>
        </w:rPr>
        <w:t>2</w:t>
      </w:r>
      <w:r>
        <w:rPr>
          <w:noProof/>
        </w:rPr>
        <w:t>-eq. per capita)</w:t>
      </w:r>
      <w:r>
        <w:rPr>
          <w:rStyle w:val="FootnoteReference"/>
          <w:noProof/>
        </w:rPr>
        <w:footnoteReference w:id="13"/>
      </w:r>
      <w:r>
        <w:rPr>
          <w:noProof/>
        </w:rPr>
        <w:t>,</w:t>
      </w:r>
      <w:r>
        <w:rPr>
          <w:rStyle w:val="FootnoteReference"/>
          <w:noProof/>
        </w:rPr>
        <w:footnoteReference w:id="14"/>
      </w:r>
      <w:r>
        <w:rPr>
          <w:noProof/>
        </w:rPr>
        <w:t>.</w:t>
      </w:r>
      <w:bookmarkEnd w:id="14"/>
    </w:p>
    <w:p>
      <w:pPr>
        <w:rPr>
          <w:noProof/>
        </w:rPr>
      </w:pPr>
      <w:r>
        <w:rPr>
          <w:noProof/>
          <w:lang w:val="en-US"/>
        </w:rPr>
        <w:drawing>
          <wp:inline distT="0" distB="0" distL="0" distR="0">
            <wp:extent cx="5654649" cy="7029907"/>
            <wp:effectExtent l="0" t="0" r="2286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noProof/>
        </w:rPr>
        <w:t>Source: 1990 and 2005 emissions from inventory data, 2016 emissions from approximated inventory data (European Environment Agency). Population data: Eurostat.</w:t>
      </w:r>
    </w:p>
    <w:p>
      <w:pPr>
        <w:pStyle w:val="Tableheading"/>
        <w:rPr>
          <w:noProof/>
        </w:rPr>
      </w:pPr>
      <w:bookmarkStart w:id="15" w:name="_Toc494203881"/>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Emissions covered by the Kyoto Protocol 2nd commitment period (Mt. CO</w:t>
      </w:r>
      <w:r>
        <w:rPr>
          <w:noProof/>
          <w:vertAlign w:val="subscript"/>
        </w:rPr>
        <w:t>2</w:t>
      </w:r>
      <w:r>
        <w:rPr>
          <w:noProof/>
        </w:rPr>
        <w:t>-eq.).</w:t>
      </w:r>
      <w:r>
        <w:rPr>
          <w:rStyle w:val="FootnoteReference"/>
          <w:noProof/>
        </w:rPr>
        <w:footnoteReference w:id="15"/>
      </w:r>
      <w:bookmarkEnd w:id="15"/>
    </w:p>
    <w:tbl>
      <w:tblPr>
        <w:tblW w:w="5620" w:type="dxa"/>
        <w:tblInd w:w="108" w:type="dxa"/>
        <w:tblLook w:val="04A0" w:firstRow="1" w:lastRow="0" w:firstColumn="1" w:lastColumn="0" w:noHBand="0" w:noVBand="1"/>
      </w:tblPr>
      <w:tblGrid>
        <w:gridCol w:w="1780"/>
        <w:gridCol w:w="960"/>
        <w:gridCol w:w="960"/>
        <w:gridCol w:w="960"/>
        <w:gridCol w:w="960"/>
      </w:tblGrid>
      <w:tr>
        <w:trPr>
          <w:trHeight w:val="315"/>
        </w:trPr>
        <w:tc>
          <w:tcPr>
            <w:tcW w:w="1780"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lang w:eastAsia="en-GB"/>
              </w:rPr>
            </w:pPr>
          </w:p>
        </w:tc>
        <w:tc>
          <w:tcPr>
            <w:tcW w:w="960"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lang w:eastAsia="en-GB"/>
              </w:rPr>
            </w:pPr>
          </w:p>
        </w:tc>
        <w:tc>
          <w:tcPr>
            <w:tcW w:w="960"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lang w:eastAsia="en-GB"/>
              </w:rPr>
            </w:pPr>
          </w:p>
        </w:tc>
        <w:tc>
          <w:tcPr>
            <w:tcW w:w="960"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lang w:eastAsia="en-GB"/>
              </w:rPr>
            </w:pPr>
          </w:p>
        </w:tc>
        <w:tc>
          <w:tcPr>
            <w:tcW w:w="960"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lang w:eastAsia="en-GB"/>
              </w:rPr>
            </w:pPr>
          </w:p>
        </w:tc>
      </w:tr>
      <w:tr>
        <w:trPr>
          <w:trHeight w:val="315"/>
        </w:trPr>
        <w:tc>
          <w:tcPr>
            <w:tcW w:w="1780"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p>
        </w:tc>
        <w:tc>
          <w:tcPr>
            <w:tcW w:w="960" w:type="dxa"/>
            <w:tcBorders>
              <w:top w:val="single" w:sz="8" w:space="0" w:color="auto"/>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1990</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2005</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2015</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2020</w:t>
            </w:r>
          </w:p>
        </w:tc>
      </w:tr>
      <w:tr>
        <w:trPr>
          <w:trHeight w:val="525"/>
        </w:trPr>
        <w:tc>
          <w:tcPr>
            <w:tcW w:w="1780" w:type="dxa"/>
            <w:tcBorders>
              <w:top w:val="nil"/>
              <w:left w:val="single" w:sz="8" w:space="0" w:color="auto"/>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Total GHG emissions</w:t>
            </w: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5,647</w:t>
            </w: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5,214</w:t>
            </w: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4,310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line="240" w:lineRule="auto"/>
              <w:jc w:val="center"/>
              <w:rPr>
                <w:rFonts w:ascii="Arial" w:eastAsia="Times New Roman" w:hAnsi="Arial" w:cs="Arial"/>
                <w:noProof/>
                <w:color w:val="000000"/>
                <w:sz w:val="20"/>
                <w:szCs w:val="20"/>
                <w:lang w:eastAsia="en-GB"/>
              </w:rPr>
            </w:pPr>
          </w:p>
        </w:tc>
      </w:tr>
      <w:tr>
        <w:trPr>
          <w:trHeight w:val="525"/>
        </w:trPr>
        <w:tc>
          <w:tcPr>
            <w:tcW w:w="1780" w:type="dxa"/>
            <w:tcBorders>
              <w:top w:val="nil"/>
              <w:left w:val="single" w:sz="8" w:space="0" w:color="auto"/>
              <w:bottom w:val="single" w:sz="8" w:space="0" w:color="auto"/>
              <w:right w:val="single" w:sz="8" w:space="0" w:color="auto"/>
            </w:tcBorders>
            <w:shd w:val="clear" w:color="000000" w:fill="F2F2F2"/>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Of which domestic aviation</w:t>
            </w:r>
          </w:p>
        </w:tc>
        <w:tc>
          <w:tcPr>
            <w:tcW w:w="960" w:type="dxa"/>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14</w:t>
            </w:r>
          </w:p>
        </w:tc>
        <w:tc>
          <w:tcPr>
            <w:tcW w:w="960" w:type="dxa"/>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20</w:t>
            </w:r>
          </w:p>
        </w:tc>
        <w:tc>
          <w:tcPr>
            <w:tcW w:w="960" w:type="dxa"/>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15</w:t>
            </w:r>
          </w:p>
        </w:tc>
        <w:tc>
          <w:tcPr>
            <w:tcW w:w="960" w:type="dxa"/>
            <w:vMerge/>
            <w:tcBorders>
              <w:top w:val="nil"/>
              <w:left w:val="single" w:sz="8" w:space="0" w:color="auto"/>
              <w:bottom w:val="single" w:sz="8" w:space="0" w:color="000000"/>
              <w:right w:val="single" w:sz="8" w:space="0" w:color="auto"/>
            </w:tcBorders>
            <w:vAlign w:val="center"/>
            <w:hideMark/>
          </w:tcPr>
          <w:p>
            <w:pPr>
              <w:spacing w:after="0" w:line="240" w:lineRule="auto"/>
              <w:jc w:val="center"/>
              <w:rPr>
                <w:rFonts w:ascii="Arial" w:eastAsia="Times New Roman" w:hAnsi="Arial" w:cs="Arial"/>
                <w:noProof/>
                <w:color w:val="000000"/>
                <w:sz w:val="20"/>
                <w:szCs w:val="20"/>
                <w:lang w:eastAsia="en-GB"/>
              </w:rPr>
            </w:pPr>
          </w:p>
        </w:tc>
      </w:tr>
      <w:tr>
        <w:trPr>
          <w:trHeight w:val="705"/>
        </w:trPr>
        <w:tc>
          <w:tcPr>
            <w:tcW w:w="3700" w:type="dxa"/>
            <w:gridSpan w:val="3"/>
            <w:tcBorders>
              <w:top w:val="single" w:sz="8" w:space="0" w:color="auto"/>
              <w:left w:val="single" w:sz="8" w:space="0" w:color="auto"/>
              <w:bottom w:val="single" w:sz="8" w:space="0" w:color="auto"/>
              <w:right w:val="nil"/>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Projections as compilation of MS data, WEM scenario</w:t>
            </w:r>
          </w:p>
        </w:tc>
        <w:tc>
          <w:tcPr>
            <w:tcW w:w="960" w:type="dxa"/>
            <w:tcBorders>
              <w:top w:val="nil"/>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4,068</w:t>
            </w:r>
          </w:p>
        </w:tc>
      </w:tr>
      <w:tr>
        <w:trPr>
          <w:trHeight w:val="315"/>
        </w:trPr>
        <w:tc>
          <w:tcPr>
            <w:tcW w:w="3700" w:type="dxa"/>
            <w:gridSpan w:val="3"/>
            <w:tcBorders>
              <w:top w:val="single" w:sz="8" w:space="0" w:color="auto"/>
              <w:left w:val="single" w:sz="8" w:space="0" w:color="auto"/>
              <w:bottom w:val="single" w:sz="8" w:space="0" w:color="auto"/>
              <w:right w:val="nil"/>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 compared to Kyoto base year</w:t>
            </w:r>
          </w:p>
        </w:tc>
        <w:tc>
          <w:tcPr>
            <w:tcW w:w="960" w:type="dxa"/>
            <w:tcBorders>
              <w:top w:val="nil"/>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p>
        </w:tc>
        <w:tc>
          <w:tcPr>
            <w:tcW w:w="960" w:type="dxa"/>
            <w:tcBorders>
              <w:top w:val="nil"/>
              <w:left w:val="nil"/>
              <w:bottom w:val="single" w:sz="8" w:space="0" w:color="auto"/>
              <w:right w:val="single" w:sz="8" w:space="0" w:color="auto"/>
            </w:tcBorders>
            <w:shd w:val="clear" w:color="000000" w:fill="FFFF00"/>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4517</w:t>
            </w:r>
            <w:r>
              <w:rPr>
                <w:rStyle w:val="FootnoteReference"/>
                <w:rFonts w:ascii="Times New Roman" w:eastAsia="Times New Roman" w:hAnsi="Times New Roman" w:cs="Times New Roman"/>
                <w:noProof/>
                <w:color w:val="000000"/>
                <w:sz w:val="20"/>
                <w:szCs w:val="20"/>
                <w:lang w:eastAsia="en-GB"/>
              </w:rPr>
              <w:footnoteReference w:id="16"/>
            </w:r>
          </w:p>
        </w:tc>
      </w:tr>
    </w:tbl>
    <w:p>
      <w:pPr>
        <w:pStyle w:val="Tableheading"/>
        <w:jc w:val="center"/>
        <w:rPr>
          <w:noProof/>
        </w:rPr>
      </w:pPr>
    </w:p>
    <w:p>
      <w:pPr>
        <w:pStyle w:val="Tableheading"/>
        <w:rPr>
          <w:noProof/>
        </w:rPr>
      </w:pPr>
      <w:bookmarkStart w:id="16" w:name="_Toc494203882"/>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Emissions covered by the Climate and Energy Package (Mt CO</w:t>
      </w:r>
      <w:r>
        <w:rPr>
          <w:noProof/>
          <w:vertAlign w:val="subscript"/>
        </w:rPr>
        <w:t>2</w:t>
      </w:r>
      <w:r>
        <w:rPr>
          <w:noProof/>
        </w:rPr>
        <w:t>-eq.).</w:t>
      </w:r>
      <w:bookmarkEnd w:id="16"/>
    </w:p>
    <w:tbl>
      <w:tblPr>
        <w:tblW w:w="5620" w:type="dxa"/>
        <w:tblInd w:w="108" w:type="dxa"/>
        <w:tblLook w:val="04A0" w:firstRow="1" w:lastRow="0" w:firstColumn="1" w:lastColumn="0" w:noHBand="0" w:noVBand="1"/>
      </w:tblPr>
      <w:tblGrid>
        <w:gridCol w:w="1780"/>
        <w:gridCol w:w="960"/>
        <w:gridCol w:w="960"/>
        <w:gridCol w:w="960"/>
        <w:gridCol w:w="960"/>
      </w:tblGrid>
      <w:tr>
        <w:trPr>
          <w:trHeight w:val="315"/>
        </w:trPr>
        <w:tc>
          <w:tcPr>
            <w:tcW w:w="1780" w:type="dxa"/>
            <w:tcBorders>
              <w:top w:val="nil"/>
              <w:left w:val="nil"/>
              <w:bottom w:val="nil"/>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p>
        </w:tc>
        <w:tc>
          <w:tcPr>
            <w:tcW w:w="960" w:type="dxa"/>
            <w:tcBorders>
              <w:top w:val="single" w:sz="8" w:space="0" w:color="auto"/>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1990</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2005</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2015</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2020</w:t>
            </w:r>
          </w:p>
        </w:tc>
      </w:tr>
      <w:tr>
        <w:trPr>
          <w:trHeight w:val="525"/>
        </w:trPr>
        <w:tc>
          <w:tcPr>
            <w:tcW w:w="1780" w:type="dxa"/>
            <w:tcBorders>
              <w:top w:val="single" w:sz="8" w:space="0" w:color="auto"/>
              <w:left w:val="single" w:sz="8" w:space="0" w:color="auto"/>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Total GHG emissions</w:t>
            </w: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5,716</w:t>
            </w: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5,345</w:t>
            </w: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4,452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p>
        </w:tc>
      </w:tr>
      <w:tr>
        <w:trPr>
          <w:trHeight w:val="525"/>
        </w:trPr>
        <w:tc>
          <w:tcPr>
            <w:tcW w:w="1780" w:type="dxa"/>
            <w:tcBorders>
              <w:top w:val="nil"/>
              <w:left w:val="single" w:sz="8" w:space="0" w:color="auto"/>
              <w:bottom w:val="single" w:sz="8" w:space="0" w:color="auto"/>
              <w:right w:val="single" w:sz="8" w:space="0" w:color="auto"/>
            </w:tcBorders>
            <w:shd w:val="clear" w:color="000000" w:fill="F2F2F2"/>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of which domestic aviation</w:t>
            </w:r>
          </w:p>
        </w:tc>
        <w:tc>
          <w:tcPr>
            <w:tcW w:w="960" w:type="dxa"/>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14</w:t>
            </w:r>
          </w:p>
        </w:tc>
        <w:tc>
          <w:tcPr>
            <w:tcW w:w="960" w:type="dxa"/>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20</w:t>
            </w:r>
          </w:p>
        </w:tc>
        <w:tc>
          <w:tcPr>
            <w:tcW w:w="960" w:type="dxa"/>
            <w:tcBorders>
              <w:top w:val="nil"/>
              <w:left w:val="nil"/>
              <w:bottom w:val="single" w:sz="8" w:space="0" w:color="auto"/>
              <w:right w:val="single" w:sz="8" w:space="0" w:color="auto"/>
            </w:tcBorders>
            <w:shd w:val="clear" w:color="000000" w:fill="E4DFEC"/>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15</w:t>
            </w:r>
          </w:p>
        </w:tc>
        <w:tc>
          <w:tcPr>
            <w:tcW w:w="960" w:type="dxa"/>
            <w:vMerge/>
            <w:tcBorders>
              <w:top w:val="nil"/>
              <w:left w:val="single" w:sz="8" w:space="0" w:color="auto"/>
              <w:bottom w:val="single" w:sz="8"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p>
        </w:tc>
      </w:tr>
      <w:tr>
        <w:trPr>
          <w:trHeight w:val="780"/>
        </w:trPr>
        <w:tc>
          <w:tcPr>
            <w:tcW w:w="1780" w:type="dxa"/>
            <w:tcBorders>
              <w:top w:val="nil"/>
              <w:left w:val="single" w:sz="8" w:space="0" w:color="auto"/>
              <w:bottom w:val="single" w:sz="8" w:space="0" w:color="auto"/>
              <w:right w:val="single" w:sz="8" w:space="0" w:color="auto"/>
            </w:tcBorders>
            <w:shd w:val="clear" w:color="000000" w:fill="F2F2F2"/>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of which international aviation</w:t>
            </w: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69</w:t>
            </w: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132</w:t>
            </w: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20"/>
                <w:szCs w:val="20"/>
                <w:lang w:eastAsia="en-GB"/>
              </w:rPr>
              <w:t>142</w:t>
            </w:r>
          </w:p>
        </w:tc>
        <w:tc>
          <w:tcPr>
            <w:tcW w:w="960" w:type="dxa"/>
            <w:vMerge/>
            <w:tcBorders>
              <w:top w:val="nil"/>
              <w:left w:val="single" w:sz="8" w:space="0" w:color="auto"/>
              <w:bottom w:val="single" w:sz="8" w:space="0" w:color="000000"/>
              <w:right w:val="single" w:sz="8" w:space="0" w:color="auto"/>
            </w:tcBorders>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p>
        </w:tc>
      </w:tr>
      <w:tr>
        <w:trPr>
          <w:trHeight w:val="690"/>
        </w:trPr>
        <w:tc>
          <w:tcPr>
            <w:tcW w:w="3700" w:type="dxa"/>
            <w:gridSpan w:val="3"/>
            <w:tcBorders>
              <w:top w:val="single" w:sz="8" w:space="0" w:color="auto"/>
              <w:left w:val="single" w:sz="8" w:space="0" w:color="auto"/>
              <w:bottom w:val="single" w:sz="8" w:space="0" w:color="auto"/>
              <w:right w:val="nil"/>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Projections as compilation of MS data, WEM scenario</w:t>
            </w:r>
          </w:p>
        </w:tc>
        <w:tc>
          <w:tcPr>
            <w:tcW w:w="960" w:type="dxa"/>
            <w:tcBorders>
              <w:top w:val="nil"/>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4,213</w:t>
            </w:r>
          </w:p>
        </w:tc>
      </w:tr>
      <w:tr>
        <w:trPr>
          <w:trHeight w:val="315"/>
        </w:trPr>
        <w:tc>
          <w:tcPr>
            <w:tcW w:w="3700" w:type="dxa"/>
            <w:gridSpan w:val="3"/>
            <w:tcBorders>
              <w:top w:val="single" w:sz="8" w:space="0" w:color="auto"/>
              <w:left w:val="single" w:sz="8" w:space="0" w:color="auto"/>
              <w:bottom w:val="single" w:sz="8" w:space="0" w:color="auto"/>
              <w:right w:val="nil"/>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-20 % compared to 1990</w:t>
            </w:r>
          </w:p>
        </w:tc>
        <w:tc>
          <w:tcPr>
            <w:tcW w:w="960" w:type="dxa"/>
            <w:tcBorders>
              <w:top w:val="nil"/>
              <w:left w:val="nil"/>
              <w:bottom w:val="single" w:sz="8" w:space="0" w:color="auto"/>
              <w:right w:val="single" w:sz="8"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p>
        </w:tc>
        <w:tc>
          <w:tcPr>
            <w:tcW w:w="960" w:type="dxa"/>
            <w:tcBorders>
              <w:top w:val="nil"/>
              <w:left w:val="nil"/>
              <w:bottom w:val="single" w:sz="8" w:space="0" w:color="auto"/>
              <w:right w:val="single" w:sz="8" w:space="0" w:color="auto"/>
            </w:tcBorders>
            <w:shd w:val="clear" w:color="000000" w:fill="D8E4BC"/>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4,573</w:t>
            </w:r>
          </w:p>
        </w:tc>
      </w:tr>
    </w:tbl>
    <w:p>
      <w:pPr>
        <w:jc w:val="center"/>
        <w:rPr>
          <w:noProof/>
        </w:rPr>
      </w:pPr>
    </w:p>
    <w:p>
      <w:pPr>
        <w:rPr>
          <w:noProof/>
        </w:rPr>
      </w:pPr>
      <w:r>
        <w:rPr>
          <w:noProof/>
        </w:rPr>
        <w:br w:type="page"/>
      </w:r>
    </w:p>
    <w:p>
      <w:pPr>
        <w:pStyle w:val="Heading1"/>
        <w:rPr>
          <w:noProof/>
        </w:rPr>
      </w:pPr>
      <w:bookmarkStart w:id="17" w:name="_Toc496883476"/>
      <w:r>
        <w:rPr>
          <w:noProof/>
        </w:rPr>
        <w:t>EU ETS emissions</w:t>
      </w:r>
      <w:bookmarkEnd w:id="17"/>
    </w:p>
    <w:p>
      <w:pPr>
        <w:pStyle w:val="Caption"/>
        <w:keepNext/>
        <w:rPr>
          <w:noProof/>
          <w:color w:val="auto"/>
        </w:rPr>
      </w:pPr>
      <w:bookmarkStart w:id="18" w:name="_Toc494203883"/>
      <w:r>
        <w:rPr>
          <w:noProof/>
          <w:color w:val="auto"/>
        </w:rPr>
        <w:t xml:space="preserve">Table </w:t>
      </w:r>
      <w:r>
        <w:rPr>
          <w:noProof/>
          <w:color w:val="auto"/>
        </w:rPr>
        <w:fldChar w:fldCharType="begin"/>
      </w:r>
      <w:r>
        <w:rPr>
          <w:noProof/>
          <w:color w:val="auto"/>
        </w:rPr>
        <w:instrText xml:space="preserve"> SEQ Table \* ARABIC </w:instrText>
      </w:r>
      <w:r>
        <w:rPr>
          <w:noProof/>
          <w:color w:val="auto"/>
        </w:rPr>
        <w:fldChar w:fldCharType="separate"/>
      </w:r>
      <w:r>
        <w:rPr>
          <w:noProof/>
          <w:color w:val="auto"/>
        </w:rPr>
        <w:t>4</w:t>
      </w:r>
      <w:r>
        <w:rPr>
          <w:noProof/>
          <w:color w:val="auto"/>
        </w:rPr>
        <w:fldChar w:fldCharType="end"/>
      </w:r>
      <w:r>
        <w:rPr>
          <w:noProof/>
          <w:color w:val="auto"/>
        </w:rPr>
        <w:t>: Verified ETS emissions (Mt CO</w:t>
      </w:r>
      <w:r>
        <w:rPr>
          <w:noProof/>
          <w:color w:val="auto"/>
          <w:vertAlign w:val="subscript"/>
        </w:rPr>
        <w:t>2</w:t>
      </w:r>
      <w:r>
        <w:rPr>
          <w:noProof/>
          <w:color w:val="auto"/>
        </w:rPr>
        <w:t>-equivalents).</w:t>
      </w:r>
      <w:bookmarkEnd w:id="18"/>
    </w:p>
    <w:tbl>
      <w:tblPr>
        <w:tblW w:w="4869"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710"/>
        <w:gridCol w:w="963"/>
        <w:gridCol w:w="960"/>
        <w:gridCol w:w="960"/>
        <w:gridCol w:w="960"/>
        <w:gridCol w:w="960"/>
        <w:gridCol w:w="1530"/>
      </w:tblGrid>
      <w:tr>
        <w:tc>
          <w:tcPr>
            <w:tcW w:w="1498"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t>Year</w:t>
            </w:r>
          </w:p>
        </w:tc>
        <w:tc>
          <w:tcPr>
            <w:tcW w:w="532"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t>2011</w:t>
            </w:r>
          </w:p>
        </w:tc>
        <w:tc>
          <w:tcPr>
            <w:tcW w:w="531"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t>2012</w:t>
            </w:r>
          </w:p>
        </w:tc>
        <w:tc>
          <w:tcPr>
            <w:tcW w:w="531"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t>2013</w:t>
            </w:r>
          </w:p>
        </w:tc>
        <w:tc>
          <w:tcPr>
            <w:tcW w:w="531" w:type="pct"/>
          </w:tcPr>
          <w:p>
            <w:pPr>
              <w:jc w:val="center"/>
              <w:rPr>
                <w:rFonts w:ascii="Times New Roman" w:hAnsi="Times New Roman"/>
                <w:b/>
                <w:noProof/>
                <w:sz w:val="20"/>
                <w:szCs w:val="20"/>
              </w:rPr>
            </w:pPr>
            <w:r>
              <w:rPr>
                <w:rFonts w:ascii="Times New Roman" w:hAnsi="Times New Roman"/>
                <w:b/>
                <w:noProof/>
                <w:sz w:val="20"/>
                <w:szCs w:val="20"/>
              </w:rPr>
              <w:br/>
              <w:t>2014</w:t>
            </w:r>
          </w:p>
        </w:tc>
        <w:tc>
          <w:tcPr>
            <w:tcW w:w="531" w:type="pct"/>
          </w:tcPr>
          <w:p>
            <w:pPr>
              <w:jc w:val="center"/>
              <w:rPr>
                <w:rFonts w:ascii="Times New Roman" w:hAnsi="Times New Roman"/>
                <w:b/>
                <w:noProof/>
                <w:sz w:val="20"/>
                <w:szCs w:val="20"/>
              </w:rPr>
            </w:pPr>
            <w:r>
              <w:rPr>
                <w:rFonts w:ascii="Times New Roman" w:hAnsi="Times New Roman"/>
                <w:b/>
                <w:noProof/>
                <w:sz w:val="20"/>
                <w:szCs w:val="20"/>
              </w:rPr>
              <w:br/>
              <w:t>2015</w:t>
            </w:r>
          </w:p>
        </w:tc>
        <w:tc>
          <w:tcPr>
            <w:tcW w:w="846" w:type="pct"/>
          </w:tcPr>
          <w:p>
            <w:pPr>
              <w:jc w:val="center"/>
              <w:rPr>
                <w:rFonts w:ascii="Times New Roman" w:hAnsi="Times New Roman"/>
                <w:b/>
                <w:noProof/>
                <w:sz w:val="20"/>
                <w:szCs w:val="20"/>
              </w:rPr>
            </w:pPr>
            <w:r>
              <w:rPr>
                <w:rFonts w:ascii="Times New Roman" w:hAnsi="Times New Roman"/>
                <w:b/>
                <w:noProof/>
                <w:sz w:val="20"/>
                <w:szCs w:val="20"/>
              </w:rPr>
              <w:br/>
              <w:t>2016</w:t>
            </w:r>
          </w:p>
        </w:tc>
      </w:tr>
      <w:tr>
        <w:trPr>
          <w:trHeight w:val="474"/>
        </w:trPr>
        <w:tc>
          <w:tcPr>
            <w:tcW w:w="1498" w:type="pct"/>
            <w:shd w:val="clear" w:color="auto" w:fill="auto"/>
          </w:tcPr>
          <w:p>
            <w:pPr>
              <w:jc w:val="center"/>
              <w:rPr>
                <w:rFonts w:ascii="Times New Roman" w:hAnsi="Times New Roman"/>
                <w:noProof/>
                <w:color w:val="FF0000"/>
                <w:sz w:val="20"/>
                <w:szCs w:val="20"/>
              </w:rPr>
            </w:pPr>
            <w:r>
              <w:rPr>
                <w:rFonts w:ascii="Times New Roman" w:hAnsi="Times New Roman"/>
                <w:b/>
                <w:bCs/>
                <w:noProof/>
                <w:color w:val="000000"/>
                <w:sz w:val="20"/>
                <w:szCs w:val="20"/>
                <w:lang w:eastAsia="en-GB"/>
              </w:rPr>
              <w:t xml:space="preserve">Verified total emissions </w:t>
            </w:r>
          </w:p>
        </w:tc>
        <w:tc>
          <w:tcPr>
            <w:tcW w:w="532" w:type="pct"/>
            <w:shd w:val="clear" w:color="auto" w:fill="auto"/>
          </w:tcPr>
          <w:p>
            <w:pPr>
              <w:jc w:val="center"/>
              <w:rPr>
                <w:rFonts w:ascii="Times New Roman" w:hAnsi="Times New Roman"/>
                <w:noProof/>
                <w:sz w:val="20"/>
                <w:szCs w:val="20"/>
              </w:rPr>
            </w:pPr>
            <w:r>
              <w:rPr>
                <w:rFonts w:ascii="Times New Roman" w:hAnsi="Times New Roman"/>
                <w:noProof/>
                <w:sz w:val="20"/>
                <w:szCs w:val="20"/>
              </w:rPr>
              <w:t>1904</w:t>
            </w:r>
          </w:p>
        </w:tc>
        <w:tc>
          <w:tcPr>
            <w:tcW w:w="531" w:type="pct"/>
            <w:shd w:val="clear" w:color="auto" w:fill="auto"/>
          </w:tcPr>
          <w:p>
            <w:pPr>
              <w:jc w:val="center"/>
              <w:rPr>
                <w:rFonts w:ascii="Times New Roman" w:hAnsi="Times New Roman"/>
                <w:noProof/>
                <w:sz w:val="20"/>
                <w:szCs w:val="20"/>
              </w:rPr>
            </w:pPr>
            <w:r>
              <w:rPr>
                <w:rFonts w:ascii="Times New Roman" w:hAnsi="Times New Roman"/>
                <w:noProof/>
                <w:sz w:val="20"/>
                <w:szCs w:val="20"/>
                <w:lang w:val="en"/>
              </w:rPr>
              <w:t>1867</w:t>
            </w:r>
          </w:p>
        </w:tc>
        <w:tc>
          <w:tcPr>
            <w:tcW w:w="531" w:type="pct"/>
            <w:shd w:val="clear" w:color="auto" w:fill="auto"/>
          </w:tcPr>
          <w:p>
            <w:pPr>
              <w:jc w:val="center"/>
              <w:rPr>
                <w:rFonts w:ascii="Times New Roman" w:hAnsi="Times New Roman"/>
                <w:noProof/>
                <w:sz w:val="20"/>
                <w:szCs w:val="20"/>
              </w:rPr>
            </w:pPr>
            <w:r>
              <w:rPr>
                <w:rFonts w:ascii="Times New Roman" w:hAnsi="Times New Roman"/>
                <w:noProof/>
                <w:sz w:val="20"/>
                <w:szCs w:val="20"/>
              </w:rPr>
              <w:t>1908</w:t>
            </w:r>
          </w:p>
        </w:tc>
        <w:tc>
          <w:tcPr>
            <w:tcW w:w="531" w:type="pct"/>
          </w:tcPr>
          <w:p>
            <w:pPr>
              <w:jc w:val="center"/>
              <w:rPr>
                <w:rFonts w:ascii="Times New Roman" w:hAnsi="Times New Roman"/>
                <w:noProof/>
                <w:sz w:val="20"/>
                <w:szCs w:val="20"/>
              </w:rPr>
            </w:pPr>
            <w:r>
              <w:rPr>
                <w:rFonts w:ascii="Times New Roman" w:hAnsi="Times New Roman"/>
                <w:noProof/>
                <w:sz w:val="20"/>
                <w:szCs w:val="20"/>
              </w:rPr>
              <w:t>1814</w:t>
            </w:r>
          </w:p>
        </w:tc>
        <w:tc>
          <w:tcPr>
            <w:tcW w:w="531" w:type="pct"/>
          </w:tcPr>
          <w:p>
            <w:pPr>
              <w:jc w:val="center"/>
              <w:rPr>
                <w:rFonts w:ascii="Times New Roman" w:hAnsi="Times New Roman"/>
                <w:noProof/>
                <w:sz w:val="20"/>
                <w:szCs w:val="20"/>
              </w:rPr>
            </w:pPr>
            <w:r>
              <w:rPr>
                <w:rFonts w:ascii="Times New Roman" w:hAnsi="Times New Roman"/>
                <w:noProof/>
                <w:sz w:val="20"/>
                <w:szCs w:val="20"/>
              </w:rPr>
              <w:t>1803</w:t>
            </w:r>
          </w:p>
        </w:tc>
        <w:tc>
          <w:tcPr>
            <w:tcW w:w="846" w:type="pct"/>
          </w:tcPr>
          <w:p>
            <w:pPr>
              <w:jc w:val="center"/>
              <w:rPr>
                <w:rFonts w:ascii="Times New Roman" w:hAnsi="Times New Roman"/>
                <w:noProof/>
                <w:sz w:val="20"/>
                <w:szCs w:val="20"/>
              </w:rPr>
            </w:pPr>
            <w:r>
              <w:rPr>
                <w:rFonts w:ascii="Times New Roman" w:hAnsi="Times New Roman"/>
                <w:noProof/>
                <w:sz w:val="20"/>
                <w:szCs w:val="20"/>
              </w:rPr>
              <w:t>1750</w:t>
            </w:r>
          </w:p>
        </w:tc>
      </w:tr>
      <w:tr>
        <w:tc>
          <w:tcPr>
            <w:tcW w:w="1498" w:type="pct"/>
            <w:shd w:val="clear" w:color="auto" w:fill="auto"/>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to year x-1</w:t>
            </w:r>
          </w:p>
        </w:tc>
        <w:tc>
          <w:tcPr>
            <w:tcW w:w="532"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t>-1.8%</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t>-2%</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t>2.2%</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-4.9%</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-0.6%</w:t>
            </w:r>
          </w:p>
        </w:tc>
        <w:tc>
          <w:tcPr>
            <w:tcW w:w="846"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-2.9%</w:t>
            </w:r>
          </w:p>
        </w:tc>
      </w:tr>
      <w:tr>
        <w:trPr>
          <w:trHeight w:val="558"/>
        </w:trPr>
        <w:tc>
          <w:tcPr>
            <w:tcW w:w="1498" w:type="pct"/>
            <w:shd w:val="clear" w:color="auto" w:fill="auto"/>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 xml:space="preserve">Verified emissions from power sector </w:t>
            </w:r>
          </w:p>
        </w:tc>
        <w:tc>
          <w:tcPr>
            <w:tcW w:w="532"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1.185</w:t>
            </w: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1.181</w:t>
            </w: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1.128</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1.039</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1.031</w:t>
            </w:r>
          </w:p>
        </w:tc>
        <w:tc>
          <w:tcPr>
            <w:tcW w:w="846"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982</w:t>
            </w:r>
          </w:p>
        </w:tc>
      </w:tr>
      <w:tr>
        <w:tc>
          <w:tcPr>
            <w:tcW w:w="1498" w:type="pct"/>
            <w:shd w:val="clear" w:color="auto" w:fill="auto"/>
            <w:vAlign w:val="center"/>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to year x-1</w:t>
            </w:r>
          </w:p>
        </w:tc>
        <w:tc>
          <w:tcPr>
            <w:tcW w:w="532" w:type="pct"/>
            <w:shd w:val="clear" w:color="auto" w:fill="auto"/>
            <w:vAlign w:val="center"/>
          </w:tcPr>
          <w:p>
            <w:pPr>
              <w:jc w:val="center"/>
              <w:rPr>
                <w:rFonts w:ascii="Times New Roman" w:hAnsi="Times New Roman"/>
                <w:noProof/>
                <w:color w:val="000000"/>
                <w:sz w:val="20"/>
                <w:szCs w:val="20"/>
                <w:lang w:eastAsia="en-GB"/>
              </w:rPr>
            </w:pPr>
          </w:p>
        </w:tc>
        <w:tc>
          <w:tcPr>
            <w:tcW w:w="531" w:type="pct"/>
            <w:shd w:val="clear" w:color="auto" w:fill="auto"/>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-0,3%</w:t>
            </w:r>
          </w:p>
        </w:tc>
        <w:tc>
          <w:tcPr>
            <w:tcW w:w="531" w:type="pct"/>
            <w:shd w:val="clear" w:color="auto" w:fill="auto"/>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-4,4%</w:t>
            </w:r>
          </w:p>
        </w:tc>
        <w:tc>
          <w:tcPr>
            <w:tcW w:w="531"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-7,9%</w:t>
            </w:r>
          </w:p>
        </w:tc>
        <w:tc>
          <w:tcPr>
            <w:tcW w:w="531"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-0,8%</w:t>
            </w:r>
          </w:p>
        </w:tc>
        <w:tc>
          <w:tcPr>
            <w:tcW w:w="846"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-4,8%</w:t>
            </w:r>
          </w:p>
        </w:tc>
      </w:tr>
      <w:tr>
        <w:tc>
          <w:tcPr>
            <w:tcW w:w="1498" w:type="pct"/>
            <w:shd w:val="clear" w:color="auto" w:fill="auto"/>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 xml:space="preserve">Verified emissions from industrial installations </w:t>
            </w:r>
          </w:p>
        </w:tc>
        <w:tc>
          <w:tcPr>
            <w:tcW w:w="532"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720</w:t>
            </w: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686</w:t>
            </w: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780</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775</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772</w:t>
            </w:r>
          </w:p>
        </w:tc>
        <w:tc>
          <w:tcPr>
            <w:tcW w:w="846"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768</w:t>
            </w:r>
          </w:p>
        </w:tc>
      </w:tr>
      <w:tr>
        <w:tc>
          <w:tcPr>
            <w:tcW w:w="1498" w:type="pct"/>
            <w:shd w:val="clear" w:color="auto" w:fill="auto"/>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to year x-1</w:t>
            </w:r>
          </w:p>
        </w:tc>
        <w:tc>
          <w:tcPr>
            <w:tcW w:w="532" w:type="pct"/>
            <w:shd w:val="clear" w:color="auto" w:fill="auto"/>
          </w:tcPr>
          <w:p>
            <w:pPr>
              <w:jc w:val="center"/>
              <w:rPr>
                <w:rFonts w:ascii="Times New Roman" w:hAnsi="Times New Roman"/>
                <w:noProof/>
                <w:color w:val="000000"/>
                <w:sz w:val="20"/>
                <w:szCs w:val="20"/>
                <w:lang w:eastAsia="en-GB"/>
              </w:rPr>
            </w:pP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-4,6%</w:t>
            </w: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13,7%</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-0,7%</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-0,4%</w:t>
            </w:r>
          </w:p>
        </w:tc>
        <w:tc>
          <w:tcPr>
            <w:tcW w:w="846"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-0,5%</w:t>
            </w:r>
          </w:p>
        </w:tc>
      </w:tr>
      <w:tr>
        <w:trPr>
          <w:trHeight w:val="38"/>
        </w:trPr>
        <w:tc>
          <w:tcPr>
            <w:tcW w:w="1498" w:type="pct"/>
            <w:shd w:val="clear" w:color="auto" w:fill="auto"/>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br/>
              <w:t>Real GDP</w:t>
            </w:r>
            <w:r>
              <w:rPr>
                <w:rStyle w:val="FootnoteReference"/>
                <w:rFonts w:ascii="Times New Roman" w:hAnsi="Times New Roman"/>
                <w:b/>
                <w:bCs/>
                <w:noProof/>
                <w:color w:val="000000"/>
                <w:sz w:val="20"/>
                <w:szCs w:val="20"/>
                <w:lang w:eastAsia="en-GB"/>
              </w:rPr>
              <w:footnoteReference w:id="17"/>
            </w:r>
            <w:r>
              <w:rPr>
                <w:rFonts w:ascii="Times New Roman" w:hAnsi="Times New Roman"/>
                <w:b/>
                <w:bCs/>
                <w:noProof/>
                <w:color w:val="000000"/>
                <w:sz w:val="20"/>
                <w:szCs w:val="20"/>
                <w:lang w:eastAsia="en-GB"/>
              </w:rPr>
              <w:t xml:space="preserve"> growth rate EU28</w:t>
            </w:r>
          </w:p>
        </w:tc>
        <w:tc>
          <w:tcPr>
            <w:tcW w:w="532"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br/>
              <w:t>1.7%</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br/>
              <w:t>-0.5%</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br/>
              <w:t>0.2%</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br/>
              <w:t>1.7%</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br/>
              <w:t>2.2%</w:t>
            </w:r>
          </w:p>
        </w:tc>
        <w:tc>
          <w:tcPr>
            <w:tcW w:w="846"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br/>
              <w:t>1.9%</w:t>
            </w:r>
          </w:p>
        </w:tc>
      </w:tr>
    </w:tbl>
    <w:p>
      <w:pPr>
        <w:autoSpaceDE w:val="0"/>
        <w:autoSpaceDN w:val="0"/>
        <w:adjustRightInd w:val="0"/>
        <w:spacing w:after="0"/>
        <w:rPr>
          <w:noProof/>
        </w:rPr>
      </w:pPr>
    </w:p>
    <w:p>
      <w:pPr>
        <w:keepNext/>
        <w:rPr>
          <w:noProof/>
        </w:rPr>
      </w:pPr>
    </w:p>
    <w:p>
      <w:pPr>
        <w:keepNext/>
        <w:rPr>
          <w:noProof/>
        </w:rPr>
      </w:pPr>
      <w:r>
        <w:rPr>
          <w:noProof/>
          <w:highlight w:val="yellow"/>
          <w:lang w:val="en-US"/>
        </w:rPr>
        <w:drawing>
          <wp:inline distT="0" distB="0" distL="0" distR="0">
            <wp:extent cx="5013960" cy="2721916"/>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22464" cy="2726533"/>
                    </a:xfrm>
                    <a:prstGeom prst="rect">
                      <a:avLst/>
                    </a:prstGeom>
                    <a:noFill/>
                  </pic:spPr>
                </pic:pic>
              </a:graphicData>
            </a:graphic>
          </wp:inline>
        </w:drawing>
      </w:r>
    </w:p>
    <w:p>
      <w:pPr>
        <w:pStyle w:val="Caption"/>
        <w:rPr>
          <w:noProof/>
        </w:rPr>
      </w:pPr>
      <w:bookmarkStart w:id="19" w:name="_Toc494203879"/>
      <w:r>
        <w:rPr>
          <w:noProof/>
          <w:color w:val="auto"/>
          <w:highlight w:val="yellow"/>
          <w:lang w:val="en-US"/>
        </w:rPr>
        <w:drawing>
          <wp:anchor distT="0" distB="0" distL="114300" distR="114300" simplePos="0" relativeHeight="251658240" behindDoc="0" locked="0" layoutInCell="1" allowOverlap="1">
            <wp:simplePos x="0" y="0"/>
            <wp:positionH relativeFrom="column">
              <wp:posOffset>3639226</wp:posOffset>
            </wp:positionH>
            <wp:positionV relativeFrom="paragraph">
              <wp:posOffset>2029</wp:posOffset>
            </wp:positionV>
            <wp:extent cx="1557655" cy="577850"/>
            <wp:effectExtent l="0" t="0" r="4445" b="0"/>
            <wp:wrapNone/>
            <wp:docPr id="13" name="Picture 2" descr="cid:image004.png@01D21003.2E7BF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21003.2E7BFE7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55765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rPr>
        <w:t xml:space="preserve">Figure </w:t>
      </w:r>
      <w:r>
        <w:rPr>
          <w:noProof/>
          <w:color w:val="auto"/>
        </w:rPr>
        <w:fldChar w:fldCharType="begin"/>
      </w:r>
      <w:r>
        <w:rPr>
          <w:noProof/>
          <w:color w:val="auto"/>
        </w:rPr>
        <w:instrText xml:space="preserve"> SEQ Figure \* ARABIC </w:instrText>
      </w:r>
      <w:r>
        <w:rPr>
          <w:noProof/>
          <w:color w:val="auto"/>
        </w:rPr>
        <w:fldChar w:fldCharType="separate"/>
      </w:r>
      <w:r>
        <w:rPr>
          <w:noProof/>
          <w:color w:val="auto"/>
        </w:rPr>
        <w:t>6</w:t>
      </w:r>
      <w:r>
        <w:rPr>
          <w:noProof/>
          <w:color w:val="auto"/>
        </w:rPr>
        <w:fldChar w:fldCharType="end"/>
      </w:r>
      <w:r>
        <w:rPr>
          <w:noProof/>
          <w:color w:val="auto"/>
        </w:rPr>
        <w:t>: Development in supply and demand of ETS allowances 2013-2016.</w:t>
      </w:r>
      <w:bookmarkEnd w:id="19"/>
      <w:r>
        <w:rPr>
          <w:noProof/>
          <w:color w:val="auto"/>
        </w:rPr>
        <w:t xml:space="preserve"> </w:t>
      </w:r>
    </w:p>
    <w:p>
      <w:pPr>
        <w:rPr>
          <w:noProof/>
        </w:rPr>
      </w:pPr>
      <w:r>
        <w:rPr>
          <w:noProof/>
        </w:rPr>
        <w:br w:type="page"/>
      </w:r>
    </w:p>
    <w:p>
      <w:pPr>
        <w:pStyle w:val="Heading1"/>
        <w:rPr>
          <w:noProof/>
        </w:rPr>
      </w:pPr>
      <w:bookmarkStart w:id="20" w:name="_Toc496883477"/>
      <w:r>
        <w:rPr>
          <w:noProof/>
        </w:rPr>
        <w:t>Member States' LULUCF accounting quantities</w:t>
      </w:r>
      <w:bookmarkEnd w:id="20"/>
    </w:p>
    <w:p>
      <w:pPr>
        <w:pStyle w:val="Tableheading"/>
        <w:rPr>
          <w:noProof/>
        </w:rPr>
      </w:pPr>
      <w:bookmarkStart w:id="21" w:name="_Toc494203884"/>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LULUCF accounting quantities (average annual values) estimated by JRC based on Member States' GHG Inventories under KP and under 529/2013.</w:t>
      </w:r>
      <w:bookmarkEnd w:id="21"/>
    </w:p>
    <w:tbl>
      <w:tblPr>
        <w:tblW w:w="9940" w:type="dxa"/>
        <w:tblInd w:w="98" w:type="dxa"/>
        <w:tblLook w:val="04A0" w:firstRow="1" w:lastRow="0" w:firstColumn="1" w:lastColumn="0" w:noHBand="0" w:noVBand="1"/>
      </w:tblPr>
      <w:tblGrid>
        <w:gridCol w:w="1500"/>
        <w:gridCol w:w="793"/>
        <w:gridCol w:w="676"/>
        <w:gridCol w:w="809"/>
        <w:gridCol w:w="641"/>
        <w:gridCol w:w="661"/>
        <w:gridCol w:w="623"/>
        <w:gridCol w:w="931"/>
        <w:gridCol w:w="1434"/>
        <w:gridCol w:w="922"/>
        <w:gridCol w:w="950"/>
      </w:tblGrid>
      <w:tr>
        <w:trPr>
          <w:trHeight w:val="300"/>
          <w:tblHeader/>
        </w:trPr>
        <w:tc>
          <w:tcPr>
            <w:tcW w:w="1500" w:type="dxa"/>
            <w:vMerge w:val="restart"/>
            <w:tcBorders>
              <w:top w:val="single" w:sz="8" w:space="0" w:color="auto"/>
              <w:left w:val="single" w:sz="8" w:space="0" w:color="auto"/>
              <w:right w:val="single" w:sz="4" w:space="0" w:color="auto"/>
            </w:tcBorders>
            <w:shd w:val="clear" w:color="auto" w:fill="auto"/>
            <w:vAlign w:val="center"/>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 xml:space="preserve">Member </w:t>
            </w:r>
            <w:r>
              <w:rPr>
                <w:rFonts w:ascii="Times" w:eastAsia="Times New Roman" w:hAnsi="Times" w:cs="Times New Roman"/>
                <w:b/>
                <w:bCs/>
                <w:noProof/>
                <w:color w:val="000000"/>
                <w:sz w:val="20"/>
                <w:szCs w:val="20"/>
              </w:rPr>
              <w:br/>
              <w:t>State</w:t>
            </w:r>
          </w:p>
        </w:tc>
        <w:tc>
          <w:tcPr>
            <w:tcW w:w="8440" w:type="dxa"/>
            <w:gridSpan w:val="10"/>
            <w:tcBorders>
              <w:top w:val="single" w:sz="8" w:space="0" w:color="auto"/>
              <w:left w:val="nil"/>
              <w:bottom w:val="single" w:sz="4" w:space="0" w:color="auto"/>
              <w:right w:val="single" w:sz="4" w:space="0" w:color="auto"/>
            </w:tcBorders>
            <w:shd w:val="clear" w:color="auto" w:fill="auto"/>
            <w:vAlign w:val="center"/>
          </w:tcPr>
          <w:p>
            <w:pPr>
              <w:jc w:val="center"/>
              <w:rPr>
                <w:rFonts w:ascii="Times" w:eastAsia="Times New Roman" w:hAnsi="Times" w:cs="Times New Roman"/>
                <w:b/>
                <w:bCs/>
                <w:noProof/>
                <w:color w:val="000000"/>
              </w:rPr>
            </w:pPr>
            <w:r>
              <w:rPr>
                <w:rFonts w:ascii="Times" w:eastAsia="Times New Roman" w:hAnsi="Times" w:cs="Times New Roman"/>
                <w:b/>
                <w:bCs/>
                <w:noProof/>
                <w:sz w:val="20"/>
                <w:szCs w:val="20"/>
              </w:rPr>
              <w:t>Accounting quantity, average annual values (Mt CO2/y), credits (-) and debits (+)</w:t>
            </w:r>
          </w:p>
        </w:tc>
      </w:tr>
      <w:tr>
        <w:trPr>
          <w:trHeight w:val="300"/>
          <w:tblHeader/>
        </w:trPr>
        <w:tc>
          <w:tcPr>
            <w:tcW w:w="1500" w:type="dxa"/>
            <w:vMerge/>
            <w:tcBorders>
              <w:left w:val="single" w:sz="8" w:space="0" w:color="auto"/>
              <w:right w:val="single" w:sz="4" w:space="0" w:color="auto"/>
            </w:tcBorders>
            <w:shd w:val="clear" w:color="auto" w:fill="auto"/>
            <w:vAlign w:val="center"/>
            <w:hideMark/>
          </w:tcPr>
          <w:p>
            <w:pPr>
              <w:jc w:val="center"/>
              <w:rPr>
                <w:rFonts w:ascii="Times" w:eastAsia="Times New Roman" w:hAnsi="Times" w:cs="Times New Roman"/>
                <w:b/>
                <w:bCs/>
                <w:noProof/>
                <w:color w:val="000000"/>
                <w:sz w:val="20"/>
                <w:szCs w:val="20"/>
              </w:rPr>
            </w:pPr>
          </w:p>
        </w:tc>
        <w:tc>
          <w:tcPr>
            <w:tcW w:w="6568" w:type="dxa"/>
            <w:gridSpan w:val="8"/>
            <w:tcBorders>
              <w:top w:val="single" w:sz="8" w:space="0" w:color="auto"/>
              <w:left w:val="nil"/>
              <w:bottom w:val="single" w:sz="4" w:space="0" w:color="auto"/>
              <w:right w:val="single" w:sz="4" w:space="0" w:color="auto"/>
            </w:tcBorders>
            <w:shd w:val="clear" w:color="auto" w:fill="auto"/>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Activities under KP</w:t>
            </w:r>
          </w:p>
        </w:tc>
        <w:tc>
          <w:tcPr>
            <w:tcW w:w="18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pPr>
              <w:jc w:val="center"/>
              <w:rPr>
                <w:rFonts w:ascii="Times" w:eastAsia="Times New Roman" w:hAnsi="Times" w:cs="Times New Roman"/>
                <w:b/>
                <w:bCs/>
                <w:noProof/>
                <w:color w:val="000000"/>
              </w:rPr>
            </w:pPr>
            <w:r>
              <w:rPr>
                <w:rFonts w:ascii="Times" w:eastAsia="Times New Roman" w:hAnsi="Times" w:cs="Times New Roman"/>
                <w:b/>
                <w:bCs/>
                <w:noProof/>
                <w:color w:val="000000"/>
                <w:sz w:val="20"/>
              </w:rPr>
              <w:t>Additional activities under 529/2013</w:t>
            </w:r>
          </w:p>
        </w:tc>
      </w:tr>
      <w:tr>
        <w:trPr>
          <w:trHeight w:val="300"/>
          <w:tblHeader/>
        </w:trPr>
        <w:tc>
          <w:tcPr>
            <w:tcW w:w="1500" w:type="dxa"/>
            <w:vMerge/>
            <w:tcBorders>
              <w:left w:val="single" w:sz="8" w:space="0" w:color="auto"/>
              <w:right w:val="single" w:sz="4" w:space="0" w:color="auto"/>
            </w:tcBorders>
            <w:vAlign w:val="center"/>
            <w:hideMark/>
          </w:tcPr>
          <w:p>
            <w:pPr>
              <w:rPr>
                <w:rFonts w:ascii="Times" w:eastAsia="Times New Roman" w:hAnsi="Times" w:cs="Times New Roman"/>
                <w:b/>
                <w:bCs/>
                <w:noProof/>
                <w:color w:val="000000"/>
                <w:sz w:val="20"/>
                <w:szCs w:val="20"/>
              </w:rPr>
            </w:pPr>
          </w:p>
        </w:tc>
        <w:tc>
          <w:tcPr>
            <w:tcW w:w="1469" w:type="dxa"/>
            <w:gridSpan w:val="2"/>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Article 3.3</w:t>
            </w:r>
          </w:p>
        </w:tc>
        <w:tc>
          <w:tcPr>
            <w:tcW w:w="3665" w:type="dxa"/>
            <w:gridSpan w:val="5"/>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Article 3.4</w:t>
            </w:r>
          </w:p>
        </w:tc>
        <w:tc>
          <w:tcPr>
            <w:tcW w:w="1434" w:type="dxa"/>
            <w:vMerge w:val="restart"/>
            <w:tcBorders>
              <w:top w:val="nil"/>
              <w:left w:val="single" w:sz="4" w:space="0" w:color="auto"/>
              <w:bottom w:val="single" w:sz="4" w:space="0" w:color="auto"/>
              <w:right w:val="nil"/>
            </w:tcBorders>
            <w:shd w:val="clear" w:color="auto" w:fill="auto"/>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total under KP</w:t>
            </w:r>
          </w:p>
        </w:tc>
        <w:tc>
          <w:tcPr>
            <w:tcW w:w="1872" w:type="dxa"/>
            <w:gridSpan w:val="2"/>
            <w:vMerge/>
            <w:tcBorders>
              <w:top w:val="nil"/>
              <w:left w:val="single" w:sz="4" w:space="0" w:color="auto"/>
              <w:bottom w:val="single" w:sz="4" w:space="0" w:color="auto"/>
              <w:right w:val="single" w:sz="4" w:space="0" w:color="auto"/>
            </w:tcBorders>
            <w:vAlign w:val="center"/>
            <w:hideMark/>
          </w:tcPr>
          <w:p>
            <w:pPr>
              <w:rPr>
                <w:rFonts w:ascii="Times" w:eastAsia="Times New Roman" w:hAnsi="Times" w:cs="Times New Roman"/>
                <w:b/>
                <w:bCs/>
                <w:noProof/>
                <w:color w:val="000000"/>
              </w:rPr>
            </w:pPr>
          </w:p>
        </w:tc>
      </w:tr>
      <w:tr>
        <w:trPr>
          <w:trHeight w:val="700"/>
          <w:tblHeader/>
        </w:trPr>
        <w:tc>
          <w:tcPr>
            <w:tcW w:w="1500" w:type="dxa"/>
            <w:vMerge/>
            <w:tcBorders>
              <w:left w:val="single" w:sz="8" w:space="0" w:color="auto"/>
              <w:bottom w:val="single" w:sz="4" w:space="0" w:color="auto"/>
              <w:right w:val="single" w:sz="4" w:space="0" w:color="auto"/>
            </w:tcBorders>
            <w:vAlign w:val="center"/>
            <w:hideMark/>
          </w:tcPr>
          <w:p>
            <w:pPr>
              <w:rPr>
                <w:rFonts w:ascii="Times" w:eastAsia="Times New Roman" w:hAnsi="Times" w:cs="Times New Roman"/>
                <w:b/>
                <w:bCs/>
                <w:noProof/>
                <w:color w:val="000000"/>
                <w:sz w:val="20"/>
                <w:szCs w:val="20"/>
              </w:rPr>
            </w:pPr>
          </w:p>
        </w:tc>
        <w:tc>
          <w:tcPr>
            <w:tcW w:w="793" w:type="dxa"/>
            <w:tcBorders>
              <w:top w:val="nil"/>
              <w:left w:val="nil"/>
              <w:bottom w:val="nil"/>
              <w:right w:val="single" w:sz="4" w:space="0" w:color="auto"/>
            </w:tcBorders>
            <w:shd w:val="clear" w:color="auto" w:fill="auto"/>
            <w:noWrap/>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AR</w:t>
            </w:r>
          </w:p>
        </w:tc>
        <w:tc>
          <w:tcPr>
            <w:tcW w:w="676" w:type="dxa"/>
            <w:tcBorders>
              <w:top w:val="nil"/>
              <w:left w:val="nil"/>
              <w:bottom w:val="nil"/>
              <w:right w:val="single" w:sz="4" w:space="0" w:color="auto"/>
            </w:tcBorders>
            <w:shd w:val="clear" w:color="auto" w:fill="auto"/>
            <w:noWrap/>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D</w:t>
            </w:r>
          </w:p>
        </w:tc>
        <w:tc>
          <w:tcPr>
            <w:tcW w:w="809" w:type="dxa"/>
            <w:tcBorders>
              <w:top w:val="nil"/>
              <w:left w:val="nil"/>
              <w:bottom w:val="nil"/>
              <w:right w:val="single" w:sz="4" w:space="0" w:color="auto"/>
            </w:tcBorders>
            <w:shd w:val="clear" w:color="auto" w:fill="auto"/>
            <w:noWrap/>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FM</w:t>
            </w:r>
          </w:p>
        </w:tc>
        <w:tc>
          <w:tcPr>
            <w:tcW w:w="641" w:type="dxa"/>
            <w:tcBorders>
              <w:top w:val="nil"/>
              <w:left w:val="nil"/>
              <w:bottom w:val="nil"/>
              <w:right w:val="single" w:sz="4" w:space="0" w:color="auto"/>
            </w:tcBorders>
            <w:shd w:val="clear" w:color="auto" w:fill="auto"/>
            <w:noWrap/>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CM</w:t>
            </w:r>
          </w:p>
        </w:tc>
        <w:tc>
          <w:tcPr>
            <w:tcW w:w="661" w:type="dxa"/>
            <w:tcBorders>
              <w:top w:val="nil"/>
              <w:left w:val="nil"/>
              <w:bottom w:val="nil"/>
              <w:right w:val="single" w:sz="4" w:space="0" w:color="auto"/>
            </w:tcBorders>
            <w:shd w:val="clear" w:color="auto" w:fill="auto"/>
            <w:noWrap/>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GM</w:t>
            </w:r>
          </w:p>
        </w:tc>
        <w:tc>
          <w:tcPr>
            <w:tcW w:w="623" w:type="dxa"/>
            <w:tcBorders>
              <w:top w:val="nil"/>
              <w:left w:val="nil"/>
              <w:bottom w:val="nil"/>
              <w:right w:val="single" w:sz="4" w:space="0" w:color="auto"/>
            </w:tcBorders>
            <w:shd w:val="clear" w:color="auto" w:fill="auto"/>
            <w:noWrap/>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RV</w:t>
            </w:r>
          </w:p>
        </w:tc>
        <w:tc>
          <w:tcPr>
            <w:tcW w:w="931" w:type="dxa"/>
            <w:tcBorders>
              <w:top w:val="nil"/>
              <w:left w:val="nil"/>
              <w:bottom w:val="nil"/>
              <w:right w:val="single" w:sz="4" w:space="0" w:color="auto"/>
            </w:tcBorders>
            <w:shd w:val="clear" w:color="auto" w:fill="auto"/>
            <w:noWrap/>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WDR</w:t>
            </w:r>
          </w:p>
        </w:tc>
        <w:tc>
          <w:tcPr>
            <w:tcW w:w="1434" w:type="dxa"/>
            <w:vMerge/>
            <w:tcBorders>
              <w:top w:val="nil"/>
              <w:left w:val="single" w:sz="4" w:space="0" w:color="auto"/>
              <w:bottom w:val="single" w:sz="4" w:space="0" w:color="auto"/>
              <w:right w:val="nil"/>
            </w:tcBorders>
            <w:vAlign w:val="center"/>
            <w:hideMark/>
          </w:tcPr>
          <w:p>
            <w:pPr>
              <w:rPr>
                <w:rFonts w:ascii="Times" w:eastAsia="Times New Roman" w:hAnsi="Times" w:cs="Times New Roman"/>
                <w:b/>
                <w:bCs/>
                <w:noProof/>
                <w:sz w:val="20"/>
                <w:szCs w:val="20"/>
              </w:rPr>
            </w:pPr>
          </w:p>
        </w:tc>
        <w:tc>
          <w:tcPr>
            <w:tcW w:w="922" w:type="dxa"/>
            <w:tcBorders>
              <w:top w:val="nil"/>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CM</w:t>
            </w:r>
          </w:p>
        </w:tc>
        <w:tc>
          <w:tcPr>
            <w:tcW w:w="950" w:type="dxa"/>
            <w:tcBorders>
              <w:top w:val="nil"/>
              <w:left w:val="nil"/>
              <w:bottom w:val="single" w:sz="8" w:space="0" w:color="auto"/>
              <w:right w:val="single" w:sz="8" w:space="0" w:color="auto"/>
            </w:tcBorders>
            <w:shd w:val="clear" w:color="auto" w:fill="auto"/>
            <w:noWrap/>
            <w:vAlign w:val="center"/>
            <w:hideMark/>
          </w:tcPr>
          <w:p>
            <w:pPr>
              <w:jc w:val="center"/>
              <w:rPr>
                <w:rFonts w:ascii="Times" w:eastAsia="Times New Roman" w:hAnsi="Times" w:cs="Times New Roman"/>
                <w:b/>
                <w:bCs/>
                <w:noProof/>
                <w:sz w:val="20"/>
                <w:szCs w:val="20"/>
              </w:rPr>
            </w:pPr>
            <w:r>
              <w:rPr>
                <w:rFonts w:ascii="Times" w:eastAsia="Times New Roman" w:hAnsi="Times" w:cs="Times New Roman"/>
                <w:b/>
                <w:bCs/>
                <w:noProof/>
                <w:sz w:val="20"/>
                <w:szCs w:val="20"/>
              </w:rPr>
              <w:t>GM</w:t>
            </w:r>
          </w:p>
        </w:tc>
      </w:tr>
      <w:tr>
        <w:trPr>
          <w:trHeight w:val="280"/>
        </w:trPr>
        <w:tc>
          <w:tcPr>
            <w:tcW w:w="1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Austria</w:t>
            </w:r>
          </w:p>
        </w:tc>
        <w:tc>
          <w:tcPr>
            <w:tcW w:w="793" w:type="dxa"/>
            <w:tcBorders>
              <w:top w:val="single" w:sz="8"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-2.0</w:t>
            </w:r>
          </w:p>
        </w:tc>
        <w:tc>
          <w:tcPr>
            <w:tcW w:w="676" w:type="dxa"/>
            <w:tcBorders>
              <w:top w:val="single" w:sz="8"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0.5</w:t>
            </w:r>
          </w:p>
        </w:tc>
        <w:tc>
          <w:tcPr>
            <w:tcW w:w="809" w:type="dxa"/>
            <w:tcBorders>
              <w:top w:val="single" w:sz="8"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-2.7</w:t>
            </w:r>
          </w:p>
        </w:tc>
        <w:tc>
          <w:tcPr>
            <w:tcW w:w="641" w:type="dxa"/>
            <w:tcBorders>
              <w:top w:val="single" w:sz="8" w:space="0" w:color="auto"/>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single" w:sz="8" w:space="0" w:color="auto"/>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single" w:sz="8"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single" w:sz="8" w:space="0" w:color="auto"/>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-4.2</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-0.3</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0.1</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Belgium</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-0.4</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1.3</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-1.2</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-0.3</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0.1</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Bulgaria</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-1.3</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0.1</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2.3</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1.1</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Croatia</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-0.2</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0.1</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-1.1</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-1.3</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-0.1</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Cyprus</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 </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 </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 </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Czech Republic</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-0.5</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0.2</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-1.2</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-1.6</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-0.1</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Denmark</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-0.3</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0.1</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-2.2</w:t>
            </w:r>
          </w:p>
        </w:tc>
        <w:tc>
          <w:tcPr>
            <w:tcW w:w="641"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-1.8</w:t>
            </w:r>
          </w:p>
        </w:tc>
        <w:tc>
          <w:tcPr>
            <w:tcW w:w="661"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0.3</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-3.9</w:t>
            </w:r>
          </w:p>
        </w:tc>
        <w:tc>
          <w:tcPr>
            <w:tcW w:w="922"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Estonia</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-0.2</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0.2</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-0.4</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-0.4</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-0.1</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sz w:val="20"/>
                <w:szCs w:val="20"/>
              </w:rPr>
            </w:pPr>
            <w:r>
              <w:rPr>
                <w:rFonts w:ascii="Times" w:eastAsia="Times New Roman" w:hAnsi="Times" w:cs="Times New Roman"/>
                <w:noProof/>
                <w:sz w:val="20"/>
                <w:szCs w:val="20"/>
              </w:rPr>
              <w:t>Finland</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-0.2</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3.4</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-2.5</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0.7</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-0.1</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sz w:val="20"/>
                <w:szCs w:val="20"/>
              </w:rPr>
            </w:pPr>
            <w:r>
              <w:rPr>
                <w:rFonts w:ascii="Times" w:eastAsia="Times New Roman" w:hAnsi="Times" w:cs="Times New Roman"/>
                <w:noProof/>
                <w:sz w:val="20"/>
                <w:szCs w:val="20"/>
              </w:rPr>
              <w:t>France</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-9.6</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11.2</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-7.5</w:t>
            </w:r>
          </w:p>
        </w:tc>
        <w:tc>
          <w:tcPr>
            <w:tcW w:w="641"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-5.9</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sz w:val="20"/>
                <w:szCs w:val="20"/>
              </w:rPr>
            </w:pPr>
            <w:r>
              <w:rPr>
                <w:rFonts w:ascii="Times" w:eastAsia="Times New Roman" w:hAnsi="Times" w:cs="Times New Roman"/>
                <w:noProof/>
                <w:sz w:val="20"/>
                <w:szCs w:val="20"/>
              </w:rPr>
              <w:t>Germany</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-6.5</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2.1</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-32.3</w:t>
            </w:r>
          </w:p>
        </w:tc>
        <w:tc>
          <w:tcPr>
            <w:tcW w:w="641"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1.9</w:t>
            </w:r>
          </w:p>
        </w:tc>
        <w:tc>
          <w:tcPr>
            <w:tcW w:w="661"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-3.5</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-38.3</w:t>
            </w:r>
          </w:p>
        </w:tc>
        <w:tc>
          <w:tcPr>
            <w:tcW w:w="922"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sz w:val="20"/>
                <w:szCs w:val="20"/>
              </w:rPr>
            </w:pPr>
            <w:r>
              <w:rPr>
                <w:rFonts w:ascii="Times" w:eastAsia="Times New Roman" w:hAnsi="Times" w:cs="Times New Roman"/>
                <w:noProof/>
                <w:sz w:val="20"/>
                <w:szCs w:val="20"/>
              </w:rPr>
              <w:t>Greece</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-0.1</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0.0</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-0.4</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-0.5</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2.0</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sz w:val="20"/>
                <w:szCs w:val="20"/>
              </w:rPr>
            </w:pPr>
            <w:r>
              <w:rPr>
                <w:rFonts w:ascii="Times" w:eastAsia="Times New Roman" w:hAnsi="Times" w:cs="Times New Roman"/>
                <w:noProof/>
                <w:sz w:val="20"/>
                <w:szCs w:val="20"/>
              </w:rPr>
              <w:t>Hungary</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-1.2</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0.2</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-2.0</w:t>
            </w:r>
          </w:p>
        </w:tc>
        <w:tc>
          <w:tcPr>
            <w:tcW w:w="641"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-3.0</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sz w:val="20"/>
                <w:szCs w:val="20"/>
              </w:rPr>
            </w:pPr>
            <w:r>
              <w:rPr>
                <w:rFonts w:ascii="Times" w:eastAsia="Times New Roman" w:hAnsi="Times" w:cs="Times New Roman"/>
                <w:noProof/>
                <w:sz w:val="20"/>
                <w:szCs w:val="20"/>
              </w:rPr>
              <w:t>Ireland</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-3.7</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0.2</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0.3</w:t>
            </w:r>
          </w:p>
        </w:tc>
        <w:tc>
          <w:tcPr>
            <w:tcW w:w="641" w:type="dxa"/>
            <w:tcBorders>
              <w:top w:val="nil"/>
              <w:left w:val="nil"/>
              <w:bottom w:val="single" w:sz="4" w:space="0" w:color="auto"/>
              <w:right w:val="single" w:sz="4" w:space="0" w:color="auto"/>
            </w:tcBorders>
            <w:shd w:val="clear" w:color="000000" w:fill="D9D9D9"/>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c>
          <w:tcPr>
            <w:tcW w:w="661" w:type="dxa"/>
            <w:tcBorders>
              <w:top w:val="nil"/>
              <w:left w:val="nil"/>
              <w:bottom w:val="single" w:sz="4" w:space="0" w:color="auto"/>
              <w:right w:val="single" w:sz="4" w:space="0" w:color="auto"/>
            </w:tcBorders>
            <w:shd w:val="clear" w:color="000000" w:fill="D9D9D9"/>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-1.2</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-4.4</w:t>
            </w:r>
          </w:p>
        </w:tc>
        <w:tc>
          <w:tcPr>
            <w:tcW w:w="922" w:type="dxa"/>
            <w:tcBorders>
              <w:top w:val="nil"/>
              <w:left w:val="nil"/>
              <w:bottom w:val="single" w:sz="4" w:space="0" w:color="auto"/>
              <w:right w:val="single" w:sz="4" w:space="0" w:color="auto"/>
            </w:tcBorders>
            <w:shd w:val="clear" w:color="000000" w:fill="D9D9D9"/>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000000" w:fill="D9D9D9"/>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sz w:val="20"/>
                <w:szCs w:val="20"/>
              </w:rPr>
            </w:pPr>
            <w:r>
              <w:rPr>
                <w:rFonts w:ascii="Times" w:eastAsia="Times New Roman" w:hAnsi="Times" w:cs="Times New Roman"/>
                <w:noProof/>
                <w:sz w:val="20"/>
                <w:szCs w:val="20"/>
              </w:rPr>
              <w:t>Italy</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-8.3</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2.0</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-8.7</w:t>
            </w:r>
          </w:p>
        </w:tc>
        <w:tc>
          <w:tcPr>
            <w:tcW w:w="641"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0.5</w:t>
            </w:r>
          </w:p>
        </w:tc>
        <w:tc>
          <w:tcPr>
            <w:tcW w:w="661"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-0.7</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-15.2</w:t>
            </w:r>
          </w:p>
        </w:tc>
        <w:tc>
          <w:tcPr>
            <w:tcW w:w="922"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Latvia</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-0.1</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1.7</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2.7</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4.4</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-0.3</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-0.8</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Lithuania</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-0.3</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0.2</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-1.7</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-1.8</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-1.4</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Luxemburg</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-0.2</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0.0</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-0.2</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-0.3</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Malta</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 </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 </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 </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sz w:val="20"/>
                <w:szCs w:val="20"/>
              </w:rPr>
            </w:pPr>
            <w:r>
              <w:rPr>
                <w:rFonts w:ascii="Times" w:eastAsia="Times New Roman" w:hAnsi="Times" w:cs="Times New Roman"/>
                <w:noProof/>
                <w:sz w:val="20"/>
                <w:szCs w:val="20"/>
              </w:rPr>
              <w:t>Netherlands</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-0.8</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1.5</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0.0</w:t>
            </w:r>
          </w:p>
        </w:tc>
        <w:tc>
          <w:tcPr>
            <w:tcW w:w="641"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single" w:sz="4" w:space="0" w:color="auto"/>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0.7</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0.9</w:t>
            </w:r>
          </w:p>
        </w:tc>
        <w:tc>
          <w:tcPr>
            <w:tcW w:w="950" w:type="dxa"/>
            <w:tcBorders>
              <w:top w:val="single" w:sz="4" w:space="0" w:color="auto"/>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-1.4</w:t>
            </w:r>
          </w:p>
        </w:tc>
      </w:tr>
      <w:tr>
        <w:trPr>
          <w:trHeight w:val="280"/>
        </w:trPr>
        <w:tc>
          <w:tcPr>
            <w:tcW w:w="15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Poland</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-2.8</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0.3</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-12.1</w:t>
            </w:r>
          </w:p>
        </w:tc>
        <w:tc>
          <w:tcPr>
            <w:tcW w:w="641"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single" w:sz="4" w:space="0" w:color="auto"/>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-14.6</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0.8</w:t>
            </w:r>
          </w:p>
        </w:tc>
        <w:tc>
          <w:tcPr>
            <w:tcW w:w="950" w:type="dxa"/>
            <w:tcBorders>
              <w:top w:val="single" w:sz="4" w:space="0" w:color="auto"/>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-0.7</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Portugal</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-3.5</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2.1</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-2.1</w:t>
            </w:r>
          </w:p>
        </w:tc>
        <w:tc>
          <w:tcPr>
            <w:tcW w:w="641"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-3.0</w:t>
            </w:r>
          </w:p>
        </w:tc>
        <w:tc>
          <w:tcPr>
            <w:tcW w:w="661"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-1.4</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-7.9</w:t>
            </w:r>
          </w:p>
        </w:tc>
        <w:tc>
          <w:tcPr>
            <w:tcW w:w="922"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Romania</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-0.3</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8.1</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-7.5</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-1.2</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-1.0</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0.5</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1.0</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Slovakia</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-0.4</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0.1</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-2.6</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-3.0</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-0.1</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Slovenia</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 </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0.5</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-0.6</w:t>
            </w:r>
          </w:p>
        </w:tc>
        <w:tc>
          <w:tcPr>
            <w:tcW w:w="641"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-0.1</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Spain</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-12.1</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0.6</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-2.4</w:t>
            </w:r>
          </w:p>
        </w:tc>
        <w:tc>
          <w:tcPr>
            <w:tcW w:w="641"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c>
          <w:tcPr>
            <w:tcW w:w="661"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-14.0</w:t>
            </w:r>
          </w:p>
        </w:tc>
        <w:tc>
          <w:tcPr>
            <w:tcW w:w="922" w:type="dxa"/>
            <w:tcBorders>
              <w:top w:val="nil"/>
              <w:left w:val="nil"/>
              <w:bottom w:val="single" w:sz="4"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280"/>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pPr>
              <w:rPr>
                <w:rFonts w:ascii="Times" w:eastAsia="Times New Roman" w:hAnsi="Times" w:cs="Times New Roman"/>
                <w:noProof/>
                <w:sz w:val="20"/>
                <w:szCs w:val="20"/>
              </w:rPr>
            </w:pPr>
            <w:r>
              <w:rPr>
                <w:rFonts w:ascii="Times" w:eastAsia="Times New Roman" w:hAnsi="Times" w:cs="Times New Roman"/>
                <w:noProof/>
                <w:sz w:val="20"/>
                <w:szCs w:val="20"/>
              </w:rPr>
              <w:t>Sweden</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-1.3</w:t>
            </w:r>
          </w:p>
        </w:tc>
        <w:tc>
          <w:tcPr>
            <w:tcW w:w="676"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3.0</w:t>
            </w:r>
          </w:p>
        </w:tc>
        <w:tc>
          <w:tcPr>
            <w:tcW w:w="809"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-2.5</w:t>
            </w:r>
          </w:p>
        </w:tc>
        <w:tc>
          <w:tcPr>
            <w:tcW w:w="64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pPr>
              <w:rPr>
                <w:rFonts w:ascii="Calibri" w:eastAsia="Times New Roman" w:hAnsi="Calibri" w:cs="Times New Roman"/>
                <w:noProof/>
                <w:color w:val="000000"/>
              </w:rPr>
            </w:pPr>
            <w:r>
              <w:rPr>
                <w:rFonts w:ascii="Calibri" w:eastAsia="Times New Roman" w:hAnsi="Calibri" w:cs="Times New Roman"/>
                <w:noProof/>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4"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-0.9</w:t>
            </w:r>
          </w:p>
        </w:tc>
        <w:tc>
          <w:tcPr>
            <w:tcW w:w="922" w:type="dxa"/>
            <w:tcBorders>
              <w:top w:val="nil"/>
              <w:left w:val="nil"/>
              <w:bottom w:val="single" w:sz="4" w:space="0" w:color="auto"/>
              <w:right w:val="single" w:sz="4"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-0.9</w:t>
            </w:r>
          </w:p>
        </w:tc>
        <w:tc>
          <w:tcPr>
            <w:tcW w:w="950" w:type="dxa"/>
            <w:tcBorders>
              <w:top w:val="nil"/>
              <w:left w:val="nil"/>
              <w:bottom w:val="single" w:sz="4" w:space="0" w:color="auto"/>
              <w:right w:val="single" w:sz="8" w:space="0" w:color="auto"/>
            </w:tcBorders>
            <w:shd w:val="clear" w:color="auto" w:fill="auto"/>
            <w:noWrap/>
            <w:vAlign w:val="bottom"/>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0.1</w:t>
            </w:r>
          </w:p>
        </w:tc>
      </w:tr>
      <w:tr>
        <w:trPr>
          <w:trHeight w:val="300"/>
        </w:trPr>
        <w:tc>
          <w:tcPr>
            <w:tcW w:w="1500" w:type="dxa"/>
            <w:tcBorders>
              <w:top w:val="nil"/>
              <w:left w:val="single" w:sz="8" w:space="0" w:color="auto"/>
              <w:bottom w:val="single" w:sz="8" w:space="0" w:color="auto"/>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Un. Kingdom</w:t>
            </w:r>
          </w:p>
        </w:tc>
        <w:tc>
          <w:tcPr>
            <w:tcW w:w="793" w:type="dxa"/>
            <w:tcBorders>
              <w:top w:val="nil"/>
              <w:left w:val="nil"/>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-0.8</w:t>
            </w:r>
          </w:p>
        </w:tc>
        <w:tc>
          <w:tcPr>
            <w:tcW w:w="676" w:type="dxa"/>
            <w:tcBorders>
              <w:top w:val="nil"/>
              <w:left w:val="nil"/>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1.3</w:t>
            </w:r>
          </w:p>
        </w:tc>
        <w:tc>
          <w:tcPr>
            <w:tcW w:w="809" w:type="dxa"/>
            <w:tcBorders>
              <w:top w:val="nil"/>
              <w:left w:val="nil"/>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noProof/>
                <w:sz w:val="20"/>
                <w:szCs w:val="20"/>
              </w:rPr>
            </w:pPr>
            <w:r>
              <w:rPr>
                <w:rFonts w:ascii="Times" w:eastAsia="Times New Roman" w:hAnsi="Times" w:cs="Times New Roman"/>
                <w:noProof/>
                <w:sz w:val="20"/>
                <w:szCs w:val="20"/>
              </w:rPr>
              <w:t>-3.2</w:t>
            </w:r>
          </w:p>
        </w:tc>
        <w:tc>
          <w:tcPr>
            <w:tcW w:w="641" w:type="dxa"/>
            <w:tcBorders>
              <w:top w:val="nil"/>
              <w:left w:val="nil"/>
              <w:bottom w:val="single" w:sz="8"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-1.8</w:t>
            </w:r>
          </w:p>
        </w:tc>
        <w:tc>
          <w:tcPr>
            <w:tcW w:w="661" w:type="dxa"/>
            <w:tcBorders>
              <w:top w:val="nil"/>
              <w:left w:val="nil"/>
              <w:bottom w:val="single" w:sz="8"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1.1</w:t>
            </w:r>
          </w:p>
        </w:tc>
        <w:tc>
          <w:tcPr>
            <w:tcW w:w="623" w:type="dxa"/>
            <w:tcBorders>
              <w:top w:val="nil"/>
              <w:left w:val="nil"/>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31" w:type="dxa"/>
            <w:tcBorders>
              <w:top w:val="nil"/>
              <w:left w:val="nil"/>
              <w:bottom w:val="single" w:sz="8"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single" w:sz="8" w:space="0" w:color="auto"/>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-3.4</w:t>
            </w:r>
          </w:p>
        </w:tc>
        <w:tc>
          <w:tcPr>
            <w:tcW w:w="922" w:type="dxa"/>
            <w:tcBorders>
              <w:top w:val="nil"/>
              <w:left w:val="nil"/>
              <w:bottom w:val="single" w:sz="8" w:space="0" w:color="auto"/>
              <w:right w:val="single" w:sz="4"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nil"/>
              <w:bottom w:val="single" w:sz="8" w:space="0" w:color="auto"/>
              <w:right w:val="single" w:sz="8" w:space="0" w:color="auto"/>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300"/>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pP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EU</w:t>
            </w:r>
          </w:p>
        </w:tc>
        <w:tc>
          <w:tcPr>
            <w:tcW w:w="793" w:type="dxa"/>
            <w:tcBorders>
              <w:top w:val="nil"/>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-57.2</w:t>
            </w:r>
          </w:p>
        </w:tc>
        <w:tc>
          <w:tcPr>
            <w:tcW w:w="676" w:type="dxa"/>
            <w:tcBorders>
              <w:top w:val="nil"/>
              <w:left w:val="single" w:sz="8" w:space="0" w:color="auto"/>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41.0</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-92.0</w:t>
            </w:r>
          </w:p>
        </w:tc>
        <w:tc>
          <w:tcPr>
            <w:tcW w:w="641" w:type="dxa"/>
            <w:tcBorders>
              <w:top w:val="nil"/>
              <w:left w:val="single" w:sz="8" w:space="0" w:color="auto"/>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-4.1</w:t>
            </w:r>
          </w:p>
        </w:tc>
        <w:tc>
          <w:tcPr>
            <w:tcW w:w="661" w:type="dxa"/>
            <w:tcBorders>
              <w:top w:val="nil"/>
              <w:left w:val="single" w:sz="8" w:space="0" w:color="auto"/>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-5.5</w:t>
            </w:r>
          </w:p>
        </w:tc>
        <w:tc>
          <w:tcPr>
            <w:tcW w:w="623" w:type="dxa"/>
            <w:tcBorders>
              <w:top w:val="nil"/>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-1.2</w:t>
            </w:r>
          </w:p>
        </w:tc>
        <w:tc>
          <w:tcPr>
            <w:tcW w:w="931" w:type="dxa"/>
            <w:tcBorders>
              <w:top w:val="nil"/>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0.0</w:t>
            </w:r>
          </w:p>
        </w:tc>
        <w:tc>
          <w:tcPr>
            <w:tcW w:w="1434" w:type="dxa"/>
            <w:tcBorders>
              <w:top w:val="nil"/>
              <w:left w:val="single" w:sz="8" w:space="0" w:color="auto"/>
              <w:bottom w:val="single" w:sz="8" w:space="0" w:color="auto"/>
              <w:right w:val="single" w:sz="8"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-119.0</w:t>
            </w:r>
          </w:p>
        </w:tc>
        <w:tc>
          <w:tcPr>
            <w:tcW w:w="922" w:type="dxa"/>
            <w:tcBorders>
              <w:top w:val="nil"/>
              <w:left w:val="nil"/>
              <w:bottom w:val="single" w:sz="8" w:space="0" w:color="auto"/>
              <w:right w:val="single" w:sz="8"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0.9</w:t>
            </w:r>
          </w:p>
        </w:tc>
        <w:tc>
          <w:tcPr>
            <w:tcW w:w="950" w:type="dxa"/>
            <w:tcBorders>
              <w:top w:val="nil"/>
              <w:left w:val="nil"/>
              <w:bottom w:val="single" w:sz="8" w:space="0" w:color="auto"/>
              <w:right w:val="single" w:sz="8"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-1.5</w:t>
            </w:r>
          </w:p>
        </w:tc>
      </w:tr>
      <w:tr>
        <w:trPr>
          <w:trHeight w:val="300"/>
        </w:trPr>
        <w:tc>
          <w:tcPr>
            <w:tcW w:w="1500" w:type="dxa"/>
            <w:tcBorders>
              <w:top w:val="nil"/>
              <w:left w:val="single" w:sz="8" w:space="0" w:color="auto"/>
              <w:bottom w:val="nil"/>
              <w:right w:val="single" w:sz="4" w:space="0" w:color="auto"/>
            </w:tcBorders>
            <w:shd w:val="clear" w:color="auto" w:fill="auto"/>
            <w:noWrap/>
            <w:vAlign w:val="center"/>
            <w:hideMark/>
          </w:tcPr>
          <w:p>
            <w:pP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Iceland</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-0.6</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0.2</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623" w:type="dxa"/>
            <w:tcBorders>
              <w:top w:val="nil"/>
              <w:left w:val="nil"/>
              <w:bottom w:val="nil"/>
              <w:right w:val="nil"/>
            </w:tcBorders>
            <w:shd w:val="clear" w:color="000000" w:fill="D9D9D9"/>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-0.6</w:t>
            </w:r>
          </w:p>
        </w:tc>
        <w:tc>
          <w:tcPr>
            <w:tcW w:w="931" w:type="dxa"/>
            <w:tcBorders>
              <w:top w:val="nil"/>
              <w:left w:val="single" w:sz="4" w:space="0" w:color="auto"/>
              <w:bottom w:val="nil"/>
              <w:right w:val="single" w:sz="4"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1434" w:type="dxa"/>
            <w:tcBorders>
              <w:top w:val="nil"/>
              <w:left w:val="nil"/>
              <w:bottom w:val="nil"/>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-1.0</w:t>
            </w:r>
          </w:p>
        </w:tc>
        <w:tc>
          <w:tcPr>
            <w:tcW w:w="922" w:type="dxa"/>
            <w:tcBorders>
              <w:top w:val="nil"/>
              <w:left w:val="single" w:sz="4" w:space="0" w:color="auto"/>
              <w:bottom w:val="nil"/>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c>
          <w:tcPr>
            <w:tcW w:w="950" w:type="dxa"/>
            <w:tcBorders>
              <w:top w:val="nil"/>
              <w:left w:val="single" w:sz="4" w:space="0" w:color="auto"/>
              <w:bottom w:val="nil"/>
              <w:right w:val="single" w:sz="8" w:space="0" w:color="auto"/>
            </w:tcBorders>
            <w:shd w:val="clear" w:color="auto" w:fill="auto"/>
            <w:noWrap/>
            <w:vAlign w:val="center"/>
            <w:hideMark/>
          </w:tcPr>
          <w:p>
            <w:pPr>
              <w:jc w:val="center"/>
              <w:rPr>
                <w:rFonts w:ascii="Times" w:eastAsia="Times New Roman" w:hAnsi="Times" w:cs="Times New Roman"/>
                <w:noProof/>
                <w:color w:val="000000"/>
                <w:sz w:val="20"/>
                <w:szCs w:val="20"/>
              </w:rPr>
            </w:pPr>
            <w:r>
              <w:rPr>
                <w:rFonts w:ascii="Times" w:eastAsia="Times New Roman" w:hAnsi="Times" w:cs="Times New Roman"/>
                <w:noProof/>
                <w:color w:val="000000"/>
                <w:sz w:val="20"/>
                <w:szCs w:val="20"/>
              </w:rPr>
              <w:t> </w:t>
            </w:r>
          </w:p>
        </w:tc>
      </w:tr>
      <w:tr>
        <w:trPr>
          <w:trHeight w:val="300"/>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EU + Iceland</w:t>
            </w:r>
          </w:p>
        </w:tc>
        <w:tc>
          <w:tcPr>
            <w:tcW w:w="793" w:type="dxa"/>
            <w:tcBorders>
              <w:top w:val="single" w:sz="4" w:space="0" w:color="auto"/>
              <w:left w:val="nil"/>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-57.8</w:t>
            </w:r>
          </w:p>
        </w:tc>
        <w:tc>
          <w:tcPr>
            <w:tcW w:w="67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41.0</w:t>
            </w:r>
          </w:p>
        </w:tc>
        <w:tc>
          <w:tcPr>
            <w:tcW w:w="80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-91.8</w:t>
            </w:r>
          </w:p>
        </w:tc>
        <w:tc>
          <w:tcPr>
            <w:tcW w:w="6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-4.1</w:t>
            </w:r>
          </w:p>
        </w:tc>
        <w:tc>
          <w:tcPr>
            <w:tcW w:w="66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-5.5</w:t>
            </w:r>
          </w:p>
        </w:tc>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-1.9</w:t>
            </w:r>
          </w:p>
        </w:tc>
        <w:tc>
          <w:tcPr>
            <w:tcW w:w="9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0.0</w:t>
            </w:r>
          </w:p>
        </w:tc>
        <w:tc>
          <w:tcPr>
            <w:tcW w:w="14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-120.1</w:t>
            </w:r>
          </w:p>
        </w:tc>
        <w:tc>
          <w:tcPr>
            <w:tcW w:w="9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0.9</w:t>
            </w:r>
          </w:p>
        </w:tc>
        <w:tc>
          <w:tcPr>
            <w:tcW w:w="9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pPr>
              <w:jc w:val="center"/>
              <w:rPr>
                <w:rFonts w:ascii="Times" w:eastAsia="Times New Roman" w:hAnsi="Times" w:cs="Times New Roman"/>
                <w:b/>
                <w:bCs/>
                <w:noProof/>
                <w:color w:val="000000"/>
                <w:sz w:val="20"/>
                <w:szCs w:val="20"/>
              </w:rPr>
            </w:pPr>
            <w:r>
              <w:rPr>
                <w:rFonts w:ascii="Times" w:eastAsia="Times New Roman" w:hAnsi="Times" w:cs="Times New Roman"/>
                <w:b/>
                <w:bCs/>
                <w:noProof/>
                <w:color w:val="000000"/>
                <w:sz w:val="20"/>
                <w:szCs w:val="20"/>
              </w:rPr>
              <w:t>-1.5</w:t>
            </w:r>
          </w:p>
        </w:tc>
      </w:tr>
    </w:tbl>
    <w:p>
      <w:pPr>
        <w:spacing w:after="60"/>
        <w:rPr>
          <w:rFonts w:ascii="Times" w:hAnsi="Times"/>
          <w:noProof/>
        </w:rPr>
      </w:pPr>
    </w:p>
    <w:p>
      <w:pPr>
        <w:spacing w:after="60"/>
        <w:rPr>
          <w:rFonts w:ascii="Times" w:hAnsi="Times"/>
          <w:noProof/>
        </w:rPr>
      </w:pPr>
      <w:r>
        <w:rPr>
          <w:rFonts w:ascii="Times" w:hAnsi="Times"/>
          <w:noProof/>
        </w:rPr>
        <w:t>AR: Afforestation/Reforestation, D: Deforestation, FM: Forest Management CM: Cropland Management, GM: Grazing land management, RV: Revegetation, WDR: Wetland Drainage and Rewetting.</w:t>
      </w:r>
    </w:p>
    <w:p>
      <w:pPr>
        <w:rPr>
          <w:rFonts w:ascii="Times" w:hAnsi="Times"/>
          <w:noProof/>
        </w:rPr>
      </w:pPr>
      <w:r>
        <w:rPr>
          <w:rFonts w:ascii="Times" w:hAnsi="Times"/>
          <w:noProof/>
        </w:rPr>
        <w:t xml:space="preserve">Numbers express the average annual values based on values reported during 2013-2015. For FM, estimates consider information on technical corrections to </w:t>
      </w:r>
      <w:r>
        <w:rPr>
          <w:rFonts w:ascii="Times" w:hAnsi="Times"/>
          <w:noProof/>
          <w:sz w:val="20"/>
        </w:rPr>
        <w:t xml:space="preserve">Forest Management Reference Levels </w:t>
      </w:r>
      <w:r>
        <w:rPr>
          <w:rFonts w:ascii="Times" w:hAnsi="Times"/>
          <w:noProof/>
        </w:rPr>
        <w:t xml:space="preserve">and the impact of the cap. </w:t>
      </w:r>
    </w:p>
    <w:p>
      <w:pPr>
        <w:spacing w:after="60"/>
        <w:rPr>
          <w:rFonts w:ascii="Times" w:hAnsi="Times"/>
          <w:noProof/>
        </w:rPr>
      </w:pPr>
      <w:r>
        <w:rPr>
          <w:rFonts w:ascii="Times" w:hAnsi="Times"/>
          <w:noProof/>
        </w:rPr>
        <w:t xml:space="preserve">AR, D and FM are mandatory activities under the KP. Grey cells indicate the voluntary elected activities. </w:t>
      </w:r>
    </w:p>
    <w:p>
      <w:pPr>
        <w:spacing w:after="60"/>
        <w:rPr>
          <w:rFonts w:ascii="Times" w:hAnsi="Times"/>
          <w:noProof/>
        </w:rPr>
      </w:pPr>
      <w:r>
        <w:rPr>
          <w:rFonts w:ascii="Times" w:hAnsi="Times"/>
          <w:noProof/>
        </w:rPr>
        <w:t>Under 529/2013, some MS did not report yet complete information on CM and GM. Specifically, information on CM and GM is missing in BG, CY, FR, HU, MT and SI; CZ and ES did not provide information on the base year for GM. Grey cells are already reported under the KP.</w:t>
      </w:r>
    </w:p>
    <w:p>
      <w:pPr>
        <w:jc w:val="center"/>
        <w:rPr>
          <w:noProof/>
        </w:rPr>
      </w:pPr>
    </w:p>
    <w:p>
      <w:pPr>
        <w:keepNext/>
        <w:rPr>
          <w:noProof/>
        </w:rPr>
        <w:sectPr>
          <w:headerReference w:type="even" r:id="rId40"/>
          <w:headerReference w:type="default" r:id="rId41"/>
          <w:footerReference w:type="even" r:id="rId42"/>
          <w:footerReference w:type="default" r:id="rId43"/>
          <w:headerReference w:type="first" r:id="rId44"/>
          <w:footerReference w:type="first" r:id="rId45"/>
          <w:pgSz w:w="11906" w:h="16838"/>
          <w:pgMar w:top="1418" w:right="1418" w:bottom="1418" w:left="1418" w:header="709" w:footer="709" w:gutter="0"/>
          <w:cols w:space="708"/>
          <w:docGrid w:linePitch="360"/>
        </w:sectPr>
      </w:pPr>
    </w:p>
    <w:p>
      <w:pPr>
        <w:pStyle w:val="Heading1"/>
        <w:rPr>
          <w:noProof/>
        </w:rPr>
      </w:pPr>
      <w:bookmarkStart w:id="22" w:name="_Toc496883478"/>
      <w:r>
        <w:rPr>
          <w:noProof/>
        </w:rPr>
        <w:t>Member States' progress towards Effort Sharing Decision targets</w:t>
      </w:r>
      <w:bookmarkEnd w:id="22"/>
    </w:p>
    <w:p>
      <w:pPr>
        <w:rPr>
          <w:noProof/>
        </w:rPr>
      </w:pPr>
    </w:p>
    <w:p>
      <w:pPr>
        <w:pStyle w:val="Tableheading"/>
        <w:rPr>
          <w:noProof/>
        </w:rPr>
      </w:pPr>
      <w:bookmarkStart w:id="23" w:name="_Toc494203885"/>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Pr>
          <w:noProof/>
        </w:rPr>
        <w:t>: Member States' ESD targets and emissions relative to 2005 base year. Relative gap between emissions and targets</w:t>
      </w:r>
      <w:r>
        <w:rPr>
          <w:rStyle w:val="FootnoteReference"/>
          <w:noProof/>
        </w:rPr>
        <w:footnoteReference w:id="18"/>
      </w:r>
      <w:r>
        <w:rPr>
          <w:noProof/>
        </w:rPr>
        <w:t>.</w:t>
      </w:r>
      <w:bookmarkEnd w:id="23"/>
    </w:p>
    <w:tbl>
      <w:tblPr>
        <w:tblW w:w="14020" w:type="dxa"/>
        <w:tblInd w:w="103" w:type="dxa"/>
        <w:tblLook w:val="04A0" w:firstRow="1" w:lastRow="0" w:firstColumn="1" w:lastColumn="0" w:noHBand="0" w:noVBand="1"/>
      </w:tblPr>
      <w:tblGrid>
        <w:gridCol w:w="1960"/>
        <w:gridCol w:w="1340"/>
        <w:gridCol w:w="1340"/>
        <w:gridCol w:w="1340"/>
        <w:gridCol w:w="1340"/>
        <w:gridCol w:w="1340"/>
        <w:gridCol w:w="1340"/>
        <w:gridCol w:w="1340"/>
        <w:gridCol w:w="1340"/>
        <w:gridCol w:w="1340"/>
      </w:tblGrid>
      <w:tr>
        <w:trPr>
          <w:trHeight w:val="300"/>
          <w:tblHeader/>
        </w:trPr>
        <w:tc>
          <w:tcPr>
            <w:tcW w:w="1960" w:type="dxa"/>
            <w:tcBorders>
              <w:top w:val="single" w:sz="4" w:space="0" w:color="000000"/>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4020" w:type="dxa"/>
            <w:gridSpan w:val="3"/>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2015</w:t>
            </w:r>
          </w:p>
        </w:tc>
        <w:tc>
          <w:tcPr>
            <w:tcW w:w="4020" w:type="dxa"/>
            <w:gridSpan w:val="3"/>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2016</w:t>
            </w:r>
          </w:p>
        </w:tc>
        <w:tc>
          <w:tcPr>
            <w:tcW w:w="4020" w:type="dxa"/>
            <w:gridSpan w:val="3"/>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2020</w:t>
            </w:r>
          </w:p>
        </w:tc>
      </w:tr>
      <w:tr>
        <w:trPr>
          <w:trHeight w:val="1800"/>
          <w:tblHeader/>
        </w:trPr>
        <w:tc>
          <w:tcPr>
            <w:tcW w:w="1960" w:type="dxa"/>
            <w:tcBorders>
              <w:top w:val="single" w:sz="4" w:space="0" w:color="000000"/>
              <w:left w:val="single" w:sz="4" w:space="0" w:color="auto"/>
              <w:bottom w:val="nil"/>
              <w:right w:val="single" w:sz="4" w:space="0" w:color="auto"/>
            </w:tcBorders>
            <w:shd w:val="clear" w:color="auto" w:fill="auto"/>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Country</w:t>
            </w:r>
          </w:p>
        </w:tc>
        <w:tc>
          <w:tcPr>
            <w:tcW w:w="1340" w:type="dxa"/>
            <w:tcBorders>
              <w:top w:val="nil"/>
              <w:left w:val="nil"/>
              <w:bottom w:val="nil"/>
              <w:right w:val="nil"/>
            </w:tcBorders>
            <w:shd w:val="clear" w:color="auto" w:fill="auto"/>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2015 ESD target compared to 2005</w:t>
            </w:r>
          </w:p>
        </w:tc>
        <w:tc>
          <w:tcPr>
            <w:tcW w:w="1340" w:type="dxa"/>
            <w:tcBorders>
              <w:top w:val="nil"/>
              <w:left w:val="nil"/>
              <w:bottom w:val="nil"/>
              <w:right w:val="nil"/>
            </w:tcBorders>
            <w:shd w:val="clear" w:color="auto" w:fill="auto"/>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2015 emissions data compared to 2005</w:t>
            </w:r>
          </w:p>
        </w:tc>
        <w:tc>
          <w:tcPr>
            <w:tcW w:w="1340" w:type="dxa"/>
            <w:tcBorders>
              <w:top w:val="nil"/>
              <w:left w:val="nil"/>
              <w:bottom w:val="nil"/>
              <w:right w:val="single" w:sz="4" w:space="0" w:color="auto"/>
            </w:tcBorders>
            <w:shd w:val="clear" w:color="auto" w:fill="auto"/>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Relative gap 2015 vs. ESD 2015 target</w:t>
            </w:r>
          </w:p>
        </w:tc>
        <w:tc>
          <w:tcPr>
            <w:tcW w:w="1340" w:type="dxa"/>
            <w:tcBorders>
              <w:top w:val="nil"/>
              <w:left w:val="nil"/>
              <w:bottom w:val="nil"/>
              <w:right w:val="nil"/>
            </w:tcBorders>
            <w:shd w:val="clear" w:color="auto" w:fill="auto"/>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2016 ESD target compared to 2005</w:t>
            </w:r>
          </w:p>
        </w:tc>
        <w:tc>
          <w:tcPr>
            <w:tcW w:w="1340" w:type="dxa"/>
            <w:tcBorders>
              <w:top w:val="nil"/>
              <w:left w:val="nil"/>
              <w:bottom w:val="nil"/>
              <w:right w:val="nil"/>
            </w:tcBorders>
            <w:shd w:val="clear" w:color="auto" w:fill="auto"/>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2016 proxy emissions data compared to 2005</w:t>
            </w:r>
          </w:p>
        </w:tc>
        <w:tc>
          <w:tcPr>
            <w:tcW w:w="1340" w:type="dxa"/>
            <w:tcBorders>
              <w:top w:val="nil"/>
              <w:left w:val="nil"/>
              <w:bottom w:val="nil"/>
              <w:right w:val="single" w:sz="4" w:space="0" w:color="auto"/>
            </w:tcBorders>
            <w:shd w:val="clear" w:color="auto" w:fill="auto"/>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Relative gap 2016 vs. ESD 2016 target</w:t>
            </w:r>
          </w:p>
        </w:tc>
        <w:tc>
          <w:tcPr>
            <w:tcW w:w="1340" w:type="dxa"/>
            <w:tcBorders>
              <w:top w:val="nil"/>
              <w:left w:val="nil"/>
              <w:bottom w:val="nil"/>
              <w:right w:val="nil"/>
            </w:tcBorders>
            <w:shd w:val="clear" w:color="auto" w:fill="auto"/>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2020 ESD target compared to 2005</w:t>
            </w:r>
          </w:p>
        </w:tc>
        <w:tc>
          <w:tcPr>
            <w:tcW w:w="1340" w:type="dxa"/>
            <w:tcBorders>
              <w:top w:val="nil"/>
              <w:left w:val="nil"/>
              <w:bottom w:val="nil"/>
              <w:right w:val="nil"/>
            </w:tcBorders>
            <w:shd w:val="clear" w:color="auto" w:fill="auto"/>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Projected 2020 ESD emissions compared to 2005</w:t>
            </w:r>
          </w:p>
        </w:tc>
        <w:tc>
          <w:tcPr>
            <w:tcW w:w="1340" w:type="dxa"/>
            <w:tcBorders>
              <w:top w:val="nil"/>
              <w:left w:val="nil"/>
              <w:bottom w:val="nil"/>
              <w:right w:val="single" w:sz="4" w:space="0" w:color="auto"/>
            </w:tcBorders>
            <w:shd w:val="clear" w:color="auto" w:fill="auto"/>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Relative gap projected 2020 emissions vs. 2020 ESD targets</w:t>
            </w:r>
          </w:p>
        </w:tc>
      </w:tr>
      <w:tr>
        <w:trPr>
          <w:trHeight w:val="300"/>
        </w:trPr>
        <w:tc>
          <w:tcPr>
            <w:tcW w:w="1960" w:type="dxa"/>
            <w:tcBorders>
              <w:top w:val="single" w:sz="4" w:space="0" w:color="000000"/>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Austria</w:t>
            </w:r>
          </w:p>
        </w:tc>
        <w:tc>
          <w:tcPr>
            <w:tcW w:w="1340" w:type="dxa"/>
            <w:tcBorders>
              <w:top w:val="single" w:sz="4" w:space="0" w:color="000000"/>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single" w:sz="4" w:space="0" w:color="000000"/>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340" w:type="dxa"/>
            <w:tcBorders>
              <w:top w:val="single" w:sz="4" w:space="0" w:color="000000"/>
              <w:left w:val="nil"/>
              <w:bottom w:val="nil"/>
              <w:right w:val="single" w:sz="4" w:space="0" w:color="auto"/>
            </w:tcBorders>
            <w:shd w:val="clear" w:color="D9D9D9" w:fill="CCEFDC"/>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single" w:sz="4" w:space="0" w:color="000000"/>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340" w:type="dxa"/>
            <w:tcBorders>
              <w:top w:val="single" w:sz="4" w:space="0" w:color="000000"/>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single" w:sz="4" w:space="0" w:color="000000"/>
              <w:left w:val="nil"/>
              <w:bottom w:val="nil"/>
              <w:right w:val="single" w:sz="4" w:space="0" w:color="auto"/>
            </w:tcBorders>
            <w:shd w:val="clear" w:color="D9D9D9" w:fill="ECF9F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340" w:type="dxa"/>
            <w:tcBorders>
              <w:top w:val="single" w:sz="4" w:space="0" w:color="000000"/>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340" w:type="dxa"/>
            <w:tcBorders>
              <w:top w:val="single" w:sz="4" w:space="0" w:color="000000"/>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340" w:type="dxa"/>
            <w:tcBorders>
              <w:top w:val="single" w:sz="4" w:space="0" w:color="000000"/>
              <w:left w:val="nil"/>
              <w:bottom w:val="nil"/>
              <w:right w:val="single" w:sz="4" w:space="0" w:color="auto"/>
            </w:tcBorders>
            <w:shd w:val="clear" w:color="D9D9D9" w:fill="FFC1C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r>
      <w:tr>
        <w:trPr>
          <w:trHeight w:val="300"/>
        </w:trPr>
        <w:tc>
          <w:tcPr>
            <w:tcW w:w="196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Belgium</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nil"/>
              <w:left w:val="nil"/>
              <w:bottom w:val="nil"/>
              <w:right w:val="single" w:sz="4" w:space="0" w:color="auto"/>
            </w:tcBorders>
            <w:shd w:val="clear" w:color="000000" w:fill="D5F2E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340" w:type="dxa"/>
            <w:tcBorders>
              <w:top w:val="nil"/>
              <w:left w:val="nil"/>
              <w:bottom w:val="nil"/>
              <w:right w:val="single" w:sz="4" w:space="0" w:color="auto"/>
            </w:tcBorders>
            <w:shd w:val="clear" w:color="000000" w:fill="FFE8E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nil"/>
              <w:left w:val="nil"/>
              <w:bottom w:val="nil"/>
              <w:right w:val="single" w:sz="4" w:space="0" w:color="auto"/>
            </w:tcBorders>
            <w:shd w:val="clear" w:color="000000" w:fill="FFA7A7"/>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r>
      <w:tr>
        <w:trPr>
          <w:trHeight w:val="300"/>
        </w:trPr>
        <w:tc>
          <w:tcPr>
            <w:tcW w:w="1960" w:type="dxa"/>
            <w:tcBorders>
              <w:top w:val="nil"/>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Bulgaria</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340" w:type="dxa"/>
            <w:tcBorders>
              <w:top w:val="nil"/>
              <w:left w:val="nil"/>
              <w:bottom w:val="nil"/>
              <w:right w:val="single" w:sz="4" w:space="0" w:color="auto"/>
            </w:tcBorders>
            <w:shd w:val="clear" w:color="D9D9D9" w:fill="85D9AB"/>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340" w:type="dxa"/>
            <w:tcBorders>
              <w:top w:val="nil"/>
              <w:left w:val="nil"/>
              <w:bottom w:val="nil"/>
              <w:right w:val="single" w:sz="4" w:space="0" w:color="auto"/>
            </w:tcBorders>
            <w:shd w:val="clear" w:color="D9D9D9" w:fill="5ECD9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340" w:type="dxa"/>
            <w:tcBorders>
              <w:top w:val="nil"/>
              <w:left w:val="nil"/>
              <w:bottom w:val="nil"/>
              <w:right w:val="single" w:sz="4" w:space="0" w:color="auto"/>
            </w:tcBorders>
            <w:shd w:val="clear" w:color="D9D9D9"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r>
      <w:tr>
        <w:trPr>
          <w:trHeight w:val="300"/>
        </w:trPr>
        <w:tc>
          <w:tcPr>
            <w:tcW w:w="196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Croatia</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340" w:type="dxa"/>
            <w:tcBorders>
              <w:top w:val="nil"/>
              <w:left w:val="nil"/>
              <w:bottom w:val="nil"/>
              <w:right w:val="single" w:sz="4" w:space="0" w:color="auto"/>
            </w:tcBorders>
            <w:shd w:val="clear" w:color="000000"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1340" w:type="dxa"/>
            <w:tcBorders>
              <w:top w:val="nil"/>
              <w:left w:val="nil"/>
              <w:bottom w:val="nil"/>
              <w:right w:val="single" w:sz="4" w:space="0" w:color="auto"/>
            </w:tcBorders>
            <w:shd w:val="clear" w:color="000000"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-34%</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nil"/>
              <w:left w:val="nil"/>
              <w:bottom w:val="nil"/>
              <w:right w:val="single" w:sz="4" w:space="0" w:color="auto"/>
            </w:tcBorders>
            <w:shd w:val="clear" w:color="000000"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r>
      <w:tr>
        <w:trPr>
          <w:trHeight w:val="300"/>
        </w:trPr>
        <w:tc>
          <w:tcPr>
            <w:tcW w:w="1960" w:type="dxa"/>
            <w:tcBorders>
              <w:top w:val="nil"/>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Cyprus</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42%</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nil"/>
              <w:left w:val="nil"/>
              <w:bottom w:val="nil"/>
              <w:right w:val="single" w:sz="4" w:space="0" w:color="auto"/>
            </w:tcBorders>
            <w:shd w:val="clear" w:color="D9D9D9"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-45%</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42%</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1340" w:type="dxa"/>
            <w:tcBorders>
              <w:top w:val="nil"/>
              <w:left w:val="nil"/>
              <w:bottom w:val="nil"/>
              <w:right w:val="single" w:sz="4" w:space="0" w:color="auto"/>
            </w:tcBorders>
            <w:shd w:val="clear" w:color="D9D9D9"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-42%</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340" w:type="dxa"/>
            <w:tcBorders>
              <w:top w:val="nil"/>
              <w:left w:val="nil"/>
              <w:bottom w:val="nil"/>
              <w:right w:val="single" w:sz="4" w:space="0" w:color="auto"/>
            </w:tcBorders>
            <w:shd w:val="clear" w:color="D9D9D9" w:fill="85D9AB"/>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r>
      <w:tr>
        <w:trPr>
          <w:trHeight w:val="300"/>
        </w:trPr>
        <w:tc>
          <w:tcPr>
            <w:tcW w:w="196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Czech Republic</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340" w:type="dxa"/>
            <w:tcBorders>
              <w:top w:val="nil"/>
              <w:left w:val="nil"/>
              <w:bottom w:val="nil"/>
              <w:right w:val="single" w:sz="4" w:space="0" w:color="auto"/>
            </w:tcBorders>
            <w:shd w:val="clear" w:color="000000" w:fill="C7ED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340" w:type="dxa"/>
            <w:tcBorders>
              <w:top w:val="nil"/>
              <w:left w:val="nil"/>
              <w:bottom w:val="nil"/>
              <w:right w:val="single" w:sz="4" w:space="0" w:color="auto"/>
            </w:tcBorders>
            <w:shd w:val="clear" w:color="000000" w:fill="77D4A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1340" w:type="dxa"/>
            <w:tcBorders>
              <w:top w:val="nil"/>
              <w:left w:val="nil"/>
              <w:bottom w:val="nil"/>
              <w:right w:val="single" w:sz="4" w:space="0" w:color="auto"/>
            </w:tcBorders>
            <w:shd w:val="clear" w:color="000000" w:fill="92DDB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r>
      <w:tr>
        <w:trPr>
          <w:trHeight w:val="300"/>
        </w:trPr>
        <w:tc>
          <w:tcPr>
            <w:tcW w:w="1960" w:type="dxa"/>
            <w:tcBorders>
              <w:top w:val="nil"/>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Denmark</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1340" w:type="dxa"/>
            <w:tcBorders>
              <w:top w:val="nil"/>
              <w:left w:val="nil"/>
              <w:bottom w:val="nil"/>
              <w:right w:val="single" w:sz="4" w:space="0" w:color="auto"/>
            </w:tcBorders>
            <w:shd w:val="clear" w:color="D9D9D9" w:fill="AFE6C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1340" w:type="dxa"/>
            <w:tcBorders>
              <w:top w:val="nil"/>
              <w:left w:val="nil"/>
              <w:bottom w:val="nil"/>
              <w:right w:val="single" w:sz="4" w:space="0" w:color="auto"/>
            </w:tcBorders>
            <w:shd w:val="clear" w:color="D9D9D9" w:fill="C6EDD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1340" w:type="dxa"/>
            <w:tcBorders>
              <w:top w:val="nil"/>
              <w:left w:val="nil"/>
              <w:bottom w:val="nil"/>
              <w:right w:val="single" w:sz="4" w:space="0" w:color="auto"/>
            </w:tcBorders>
            <w:shd w:val="clear" w:color="D9D9D9" w:fill="E1F5EA"/>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r>
      <w:tr>
        <w:trPr>
          <w:trHeight w:val="300"/>
        </w:trPr>
        <w:tc>
          <w:tcPr>
            <w:tcW w:w="196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Estonia</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340" w:type="dxa"/>
            <w:tcBorders>
              <w:top w:val="nil"/>
              <w:left w:val="nil"/>
              <w:bottom w:val="nil"/>
              <w:right w:val="single" w:sz="4" w:space="0" w:color="auto"/>
            </w:tcBorders>
            <w:shd w:val="clear" w:color="000000" w:fill="CFF0D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340" w:type="dxa"/>
            <w:tcBorders>
              <w:top w:val="nil"/>
              <w:left w:val="nil"/>
              <w:bottom w:val="nil"/>
              <w:right w:val="single" w:sz="4" w:space="0" w:color="auto"/>
            </w:tcBorders>
            <w:shd w:val="clear" w:color="000000" w:fill="82D8A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340" w:type="dxa"/>
            <w:tcBorders>
              <w:top w:val="nil"/>
              <w:left w:val="nil"/>
              <w:bottom w:val="nil"/>
              <w:right w:val="single" w:sz="4" w:space="0" w:color="auto"/>
            </w:tcBorders>
            <w:shd w:val="clear" w:color="000000" w:fill="FBFDFC"/>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300"/>
        </w:trPr>
        <w:tc>
          <w:tcPr>
            <w:tcW w:w="1960" w:type="dxa"/>
            <w:tcBorders>
              <w:top w:val="nil"/>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Finland</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nil"/>
              <w:left w:val="nil"/>
              <w:bottom w:val="nil"/>
              <w:right w:val="single" w:sz="4" w:space="0" w:color="auto"/>
            </w:tcBorders>
            <w:shd w:val="clear" w:color="D9D9D9" w:fill="DCF4E7"/>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340" w:type="dxa"/>
            <w:tcBorders>
              <w:top w:val="nil"/>
              <w:left w:val="nil"/>
              <w:bottom w:val="nil"/>
              <w:right w:val="single" w:sz="4" w:space="0" w:color="auto"/>
            </w:tcBorders>
            <w:shd w:val="clear" w:color="D9D9D9" w:fill="FFB3B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340" w:type="dxa"/>
            <w:tcBorders>
              <w:top w:val="nil"/>
              <w:left w:val="nil"/>
              <w:bottom w:val="nil"/>
              <w:right w:val="single" w:sz="4" w:space="0" w:color="auto"/>
            </w:tcBorders>
            <w:shd w:val="clear" w:color="D9D9D9" w:fill="FFECEC"/>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r>
      <w:tr>
        <w:trPr>
          <w:trHeight w:val="300"/>
        </w:trPr>
        <w:tc>
          <w:tcPr>
            <w:tcW w:w="196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France</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340" w:type="dxa"/>
            <w:tcBorders>
              <w:top w:val="nil"/>
              <w:left w:val="nil"/>
              <w:bottom w:val="nil"/>
              <w:right w:val="single" w:sz="4" w:space="0" w:color="auto"/>
            </w:tcBorders>
            <w:shd w:val="clear" w:color="000000" w:fill="9ADFB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340" w:type="dxa"/>
            <w:tcBorders>
              <w:top w:val="nil"/>
              <w:left w:val="nil"/>
              <w:bottom w:val="nil"/>
              <w:right w:val="single" w:sz="4" w:space="0" w:color="auto"/>
            </w:tcBorders>
            <w:shd w:val="clear" w:color="000000" w:fill="B7E8C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340" w:type="dxa"/>
            <w:tcBorders>
              <w:top w:val="nil"/>
              <w:left w:val="nil"/>
              <w:bottom w:val="nil"/>
              <w:right w:val="single" w:sz="4" w:space="0" w:color="auto"/>
            </w:tcBorders>
            <w:shd w:val="clear" w:color="000000" w:fill="B1E6C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r>
      <w:tr>
        <w:trPr>
          <w:trHeight w:val="300"/>
        </w:trPr>
        <w:tc>
          <w:tcPr>
            <w:tcW w:w="1960" w:type="dxa"/>
            <w:tcBorders>
              <w:top w:val="nil"/>
              <w:left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Germany</w:t>
            </w:r>
          </w:p>
        </w:tc>
        <w:tc>
          <w:tcPr>
            <w:tcW w:w="1340" w:type="dxa"/>
            <w:tcBorders>
              <w:top w:val="nil"/>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340" w:type="dxa"/>
            <w:tcBorders>
              <w:top w:val="nil"/>
              <w:left w:val="nil"/>
              <w:right w:val="single" w:sz="4" w:space="0" w:color="auto"/>
            </w:tcBorders>
            <w:shd w:val="clear" w:color="D9D9D9" w:fill="D6F2E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nil"/>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340" w:type="dxa"/>
            <w:tcBorders>
              <w:top w:val="nil"/>
              <w:left w:val="nil"/>
              <w:right w:val="single" w:sz="4" w:space="0" w:color="auto"/>
            </w:tcBorders>
            <w:shd w:val="clear" w:color="D9D9D9" w:fill="F9FDFB"/>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1340" w:type="dxa"/>
            <w:tcBorders>
              <w:top w:val="nil"/>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340" w:type="dxa"/>
            <w:tcBorders>
              <w:top w:val="nil"/>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340" w:type="dxa"/>
            <w:tcBorders>
              <w:top w:val="nil"/>
              <w:left w:val="nil"/>
              <w:right w:val="single" w:sz="4" w:space="0" w:color="auto"/>
            </w:tcBorders>
            <w:shd w:val="clear" w:color="D9D9D9" w:fill="FFACAC"/>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r>
      <w:tr>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Greece</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-27%</w:t>
            </w:r>
          </w:p>
        </w:tc>
        <w:tc>
          <w:tcPr>
            <w:tcW w:w="1340" w:type="dxa"/>
            <w:tcBorders>
              <w:top w:val="nil"/>
              <w:left w:val="nil"/>
              <w:bottom w:val="single" w:sz="4" w:space="0" w:color="auto"/>
              <w:right w:val="single" w:sz="4" w:space="0" w:color="auto"/>
            </w:tcBorders>
            <w:shd w:val="clear" w:color="000000"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c>
          <w:tcPr>
            <w:tcW w:w="1340" w:type="dxa"/>
            <w:tcBorders>
              <w:top w:val="nil"/>
              <w:left w:val="nil"/>
              <w:bottom w:val="single" w:sz="4" w:space="0" w:color="auto"/>
              <w:right w:val="single" w:sz="4" w:space="0" w:color="auto"/>
            </w:tcBorders>
            <w:shd w:val="clear" w:color="000000"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1340" w:type="dxa"/>
            <w:tcBorders>
              <w:top w:val="nil"/>
              <w:left w:val="nil"/>
              <w:bottom w:val="single" w:sz="4" w:space="0" w:color="auto"/>
              <w:right w:val="single" w:sz="4" w:space="0" w:color="auto"/>
            </w:tcBorders>
            <w:shd w:val="clear" w:color="000000" w:fill="1CB86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r>
      <w:tr>
        <w:trPr>
          <w:trHeight w:val="300"/>
        </w:trPr>
        <w:tc>
          <w:tcPr>
            <w:tcW w:w="1960" w:type="dxa"/>
            <w:tcBorders>
              <w:top w:val="single" w:sz="4" w:space="0" w:color="auto"/>
              <w:left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Hungary</w:t>
            </w:r>
          </w:p>
        </w:tc>
        <w:tc>
          <w:tcPr>
            <w:tcW w:w="1340" w:type="dxa"/>
            <w:tcBorders>
              <w:top w:val="single" w:sz="4" w:space="0" w:color="auto"/>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340" w:type="dxa"/>
            <w:tcBorders>
              <w:top w:val="single" w:sz="4" w:space="0" w:color="auto"/>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340" w:type="dxa"/>
            <w:tcBorders>
              <w:top w:val="single" w:sz="4" w:space="0" w:color="auto"/>
              <w:left w:val="nil"/>
              <w:right w:val="single" w:sz="4" w:space="0" w:color="auto"/>
            </w:tcBorders>
            <w:shd w:val="clear" w:color="D9D9D9"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c>
          <w:tcPr>
            <w:tcW w:w="1340" w:type="dxa"/>
            <w:tcBorders>
              <w:top w:val="single" w:sz="4" w:space="0" w:color="auto"/>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single" w:sz="4" w:space="0" w:color="auto"/>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single" w:sz="4" w:space="0" w:color="auto"/>
              <w:left w:val="nil"/>
              <w:right w:val="single" w:sz="4" w:space="0" w:color="auto"/>
            </w:tcBorders>
            <w:shd w:val="clear" w:color="D9D9D9"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w:t>
            </w:r>
          </w:p>
        </w:tc>
        <w:tc>
          <w:tcPr>
            <w:tcW w:w="1340" w:type="dxa"/>
            <w:tcBorders>
              <w:top w:val="single" w:sz="4" w:space="0" w:color="auto"/>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340" w:type="dxa"/>
            <w:tcBorders>
              <w:top w:val="single" w:sz="4" w:space="0" w:color="auto"/>
              <w:left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1340" w:type="dxa"/>
            <w:tcBorders>
              <w:top w:val="single" w:sz="4" w:space="0" w:color="auto"/>
              <w:left w:val="nil"/>
              <w:bottom w:val="single" w:sz="4" w:space="0" w:color="auto"/>
              <w:right w:val="single" w:sz="4" w:space="0" w:color="auto"/>
            </w:tcBorders>
            <w:shd w:val="clear" w:color="D9D9D9"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w:t>
            </w:r>
          </w:p>
        </w:tc>
      </w:tr>
      <w:tr>
        <w:trPr>
          <w:trHeight w:val="300"/>
        </w:trPr>
        <w:tc>
          <w:tcPr>
            <w:tcW w:w="1960" w:type="dxa"/>
            <w:tcBorders>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Ireland</w:t>
            </w:r>
          </w:p>
        </w:tc>
        <w:tc>
          <w:tcPr>
            <w:tcW w:w="1340" w:type="dxa"/>
            <w:tcBorders>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left w:val="nil"/>
              <w:bottom w:val="nil"/>
              <w:right w:val="single" w:sz="4" w:space="0" w:color="auto"/>
            </w:tcBorders>
            <w:shd w:val="clear" w:color="000000" w:fill="D3F1E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340" w:type="dxa"/>
            <w:tcBorders>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left w:val="nil"/>
              <w:bottom w:val="nil"/>
              <w:right w:val="single" w:sz="4" w:space="0" w:color="auto"/>
            </w:tcBorders>
            <w:shd w:val="clear" w:color="000000" w:fill="FFC7C7"/>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340" w:type="dxa"/>
            <w:tcBorders>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340" w:type="dxa"/>
            <w:tcBorders>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single" w:sz="4" w:space="0" w:color="auto"/>
              <w:left w:val="nil"/>
              <w:bottom w:val="nil"/>
              <w:right w:val="single" w:sz="4" w:space="0" w:color="auto"/>
            </w:tcBorders>
            <w:shd w:val="clear" w:color="000000" w:fill="FF000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r>
      <w:tr>
        <w:trPr>
          <w:trHeight w:val="300"/>
        </w:trPr>
        <w:tc>
          <w:tcPr>
            <w:tcW w:w="1960" w:type="dxa"/>
            <w:tcBorders>
              <w:top w:val="nil"/>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Italy</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1340" w:type="dxa"/>
            <w:tcBorders>
              <w:top w:val="nil"/>
              <w:left w:val="nil"/>
              <w:bottom w:val="nil"/>
              <w:right w:val="single" w:sz="4" w:space="0" w:color="auto"/>
            </w:tcBorders>
            <w:shd w:val="clear" w:color="D9D9D9" w:fill="89DAA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340" w:type="dxa"/>
            <w:tcBorders>
              <w:top w:val="nil"/>
              <w:left w:val="nil"/>
              <w:bottom w:val="nil"/>
              <w:right w:val="single" w:sz="4" w:space="0" w:color="auto"/>
            </w:tcBorders>
            <w:shd w:val="clear" w:color="D9D9D9" w:fill="A0E1B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1340" w:type="dxa"/>
            <w:tcBorders>
              <w:top w:val="nil"/>
              <w:left w:val="nil"/>
              <w:bottom w:val="nil"/>
              <w:right w:val="single" w:sz="4" w:space="0" w:color="auto"/>
            </w:tcBorders>
            <w:shd w:val="clear" w:color="D9D9D9" w:fill="92DDB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r>
      <w:tr>
        <w:trPr>
          <w:trHeight w:val="300"/>
        </w:trPr>
        <w:tc>
          <w:tcPr>
            <w:tcW w:w="196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single" w:sz="4" w:space="0" w:color="auto"/>
            </w:tcBorders>
            <w:shd w:val="clear" w:color="000000" w:fill="BDEAD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nil"/>
              <w:right w:val="single" w:sz="4" w:space="0" w:color="auto"/>
            </w:tcBorders>
            <w:shd w:val="clear" w:color="000000" w:fill="9BE0BA"/>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340" w:type="dxa"/>
            <w:tcBorders>
              <w:top w:val="nil"/>
              <w:left w:val="nil"/>
              <w:bottom w:val="nil"/>
              <w:right w:val="single" w:sz="4" w:space="0" w:color="auto"/>
            </w:tcBorders>
            <w:shd w:val="clear" w:color="000000" w:fill="89DAA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r>
      <w:tr>
        <w:trPr>
          <w:trHeight w:val="300"/>
        </w:trPr>
        <w:tc>
          <w:tcPr>
            <w:tcW w:w="1960" w:type="dxa"/>
            <w:tcBorders>
              <w:top w:val="nil"/>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Lithuania</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1340" w:type="dxa"/>
            <w:tcBorders>
              <w:top w:val="nil"/>
              <w:left w:val="nil"/>
              <w:bottom w:val="nil"/>
              <w:right w:val="single" w:sz="4" w:space="0" w:color="auto"/>
            </w:tcBorders>
            <w:shd w:val="clear" w:color="D9D9D9" w:fill="D7F2E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340" w:type="dxa"/>
            <w:tcBorders>
              <w:top w:val="nil"/>
              <w:left w:val="nil"/>
              <w:bottom w:val="nil"/>
              <w:right w:val="single" w:sz="4" w:space="0" w:color="auto"/>
            </w:tcBorders>
            <w:shd w:val="clear" w:color="D9D9D9" w:fill="9DE0BB"/>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340" w:type="dxa"/>
            <w:tcBorders>
              <w:top w:val="nil"/>
              <w:left w:val="nil"/>
              <w:bottom w:val="nil"/>
              <w:right w:val="single" w:sz="4" w:space="0" w:color="auto"/>
            </w:tcBorders>
            <w:shd w:val="clear" w:color="D9D9D9" w:fill="5ECD9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r>
      <w:tr>
        <w:trPr>
          <w:trHeight w:val="300"/>
        </w:trPr>
        <w:tc>
          <w:tcPr>
            <w:tcW w:w="196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Luxembourg</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340" w:type="dxa"/>
            <w:tcBorders>
              <w:top w:val="nil"/>
              <w:left w:val="nil"/>
              <w:bottom w:val="nil"/>
              <w:right w:val="single" w:sz="4" w:space="0" w:color="auto"/>
            </w:tcBorders>
            <w:shd w:val="clear" w:color="000000" w:fill="BBEAD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340" w:type="dxa"/>
            <w:tcBorders>
              <w:top w:val="nil"/>
              <w:left w:val="nil"/>
              <w:bottom w:val="nil"/>
              <w:right w:val="single" w:sz="4" w:space="0" w:color="auto"/>
            </w:tcBorders>
            <w:shd w:val="clear" w:color="000000" w:fill="C9EEDA"/>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340" w:type="dxa"/>
            <w:tcBorders>
              <w:top w:val="nil"/>
              <w:left w:val="nil"/>
              <w:bottom w:val="nil"/>
              <w:right w:val="single" w:sz="4" w:space="0" w:color="auto"/>
            </w:tcBorders>
            <w:shd w:val="clear" w:color="000000" w:fill="FFBDB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r>
      <w:tr>
        <w:trPr>
          <w:trHeight w:val="300"/>
        </w:trPr>
        <w:tc>
          <w:tcPr>
            <w:tcW w:w="1960" w:type="dxa"/>
            <w:tcBorders>
              <w:top w:val="nil"/>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Malta</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340" w:type="dxa"/>
            <w:tcBorders>
              <w:top w:val="nil"/>
              <w:left w:val="nil"/>
              <w:bottom w:val="nil"/>
              <w:right w:val="single" w:sz="4" w:space="0" w:color="auto"/>
            </w:tcBorders>
            <w:shd w:val="clear" w:color="D9D9D9" w:fill="FF000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340" w:type="dxa"/>
            <w:tcBorders>
              <w:top w:val="nil"/>
              <w:left w:val="nil"/>
              <w:bottom w:val="nil"/>
              <w:right w:val="single" w:sz="4" w:space="0" w:color="auto"/>
            </w:tcBorders>
            <w:shd w:val="clear" w:color="D9D9D9" w:fill="FF000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340" w:type="dxa"/>
            <w:tcBorders>
              <w:top w:val="nil"/>
              <w:left w:val="nil"/>
              <w:bottom w:val="nil"/>
              <w:right w:val="single" w:sz="4" w:space="0" w:color="auto"/>
            </w:tcBorders>
            <w:shd w:val="clear" w:color="D9D9D9" w:fill="FF000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r>
      <w:tr>
        <w:trPr>
          <w:trHeight w:val="300"/>
        </w:trPr>
        <w:tc>
          <w:tcPr>
            <w:tcW w:w="196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Netherlands</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1340" w:type="dxa"/>
            <w:tcBorders>
              <w:top w:val="nil"/>
              <w:left w:val="nil"/>
              <w:bottom w:val="nil"/>
              <w:right w:val="single" w:sz="4" w:space="0" w:color="auto"/>
            </w:tcBorders>
            <w:shd w:val="clear" w:color="000000" w:fill="52C98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340" w:type="dxa"/>
            <w:tcBorders>
              <w:top w:val="nil"/>
              <w:left w:val="nil"/>
              <w:bottom w:val="nil"/>
              <w:right w:val="single" w:sz="4" w:space="0" w:color="auto"/>
            </w:tcBorders>
            <w:shd w:val="clear" w:color="000000" w:fill="78D5A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c>
          <w:tcPr>
            <w:tcW w:w="1340" w:type="dxa"/>
            <w:tcBorders>
              <w:top w:val="nil"/>
              <w:left w:val="nil"/>
              <w:bottom w:val="nil"/>
              <w:right w:val="single" w:sz="4" w:space="0" w:color="auto"/>
            </w:tcBorders>
            <w:shd w:val="clear" w:color="000000" w:fill="7FD7A7"/>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r>
      <w:tr>
        <w:trPr>
          <w:trHeight w:val="300"/>
        </w:trPr>
        <w:tc>
          <w:tcPr>
            <w:tcW w:w="1960" w:type="dxa"/>
            <w:tcBorders>
              <w:top w:val="nil"/>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Poland</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nil"/>
              <w:right w:val="single" w:sz="4" w:space="0" w:color="auto"/>
            </w:tcBorders>
            <w:shd w:val="clear" w:color="D9D9D9" w:fill="BCEAD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340" w:type="dxa"/>
            <w:tcBorders>
              <w:top w:val="nil"/>
              <w:left w:val="nil"/>
              <w:bottom w:val="nil"/>
              <w:right w:val="single" w:sz="4" w:space="0" w:color="auto"/>
            </w:tcBorders>
            <w:shd w:val="clear" w:color="D9D9D9" w:fill="DEF4E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340" w:type="dxa"/>
            <w:tcBorders>
              <w:top w:val="nil"/>
              <w:left w:val="nil"/>
              <w:bottom w:val="nil"/>
              <w:right w:val="single" w:sz="4" w:space="0" w:color="auto"/>
            </w:tcBorders>
            <w:shd w:val="clear" w:color="D9D9D9" w:fill="94DDB5"/>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r>
      <w:tr>
        <w:trPr>
          <w:trHeight w:val="300"/>
        </w:trPr>
        <w:tc>
          <w:tcPr>
            <w:tcW w:w="196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Portugal</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340" w:type="dxa"/>
            <w:tcBorders>
              <w:top w:val="nil"/>
              <w:left w:val="nil"/>
              <w:bottom w:val="nil"/>
              <w:right w:val="single" w:sz="4" w:space="0" w:color="auto"/>
            </w:tcBorders>
            <w:shd w:val="clear" w:color="000000" w:fill="0CB35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340" w:type="dxa"/>
            <w:tcBorders>
              <w:top w:val="nil"/>
              <w:left w:val="nil"/>
              <w:bottom w:val="nil"/>
              <w:right w:val="single" w:sz="4" w:space="0" w:color="auto"/>
            </w:tcBorders>
            <w:shd w:val="clear" w:color="000000"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340" w:type="dxa"/>
            <w:tcBorders>
              <w:top w:val="nil"/>
              <w:left w:val="nil"/>
              <w:bottom w:val="nil"/>
              <w:right w:val="single" w:sz="4" w:space="0" w:color="auto"/>
            </w:tcBorders>
            <w:shd w:val="clear" w:color="000000" w:fill="1EB96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r>
      <w:tr>
        <w:trPr>
          <w:trHeight w:val="300"/>
        </w:trPr>
        <w:tc>
          <w:tcPr>
            <w:tcW w:w="1960" w:type="dxa"/>
            <w:tcBorders>
              <w:top w:val="nil"/>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Romania</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340" w:type="dxa"/>
            <w:tcBorders>
              <w:top w:val="nil"/>
              <w:left w:val="nil"/>
              <w:bottom w:val="nil"/>
              <w:right w:val="single" w:sz="4" w:space="0" w:color="auto"/>
            </w:tcBorders>
            <w:shd w:val="clear" w:color="D9D9D9" w:fill="AFE6C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nil"/>
              <w:right w:val="single" w:sz="4" w:space="0" w:color="auto"/>
            </w:tcBorders>
            <w:shd w:val="clear" w:color="D9D9D9" w:fill="70D29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340" w:type="dxa"/>
            <w:tcBorders>
              <w:top w:val="nil"/>
              <w:left w:val="nil"/>
              <w:bottom w:val="nil"/>
              <w:right w:val="single" w:sz="4" w:space="0" w:color="auto"/>
            </w:tcBorders>
            <w:shd w:val="clear" w:color="D9D9D9" w:fill="1EB965"/>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r>
      <w:tr>
        <w:trPr>
          <w:trHeight w:val="300"/>
        </w:trPr>
        <w:tc>
          <w:tcPr>
            <w:tcW w:w="196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Slovakia</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340" w:type="dxa"/>
            <w:tcBorders>
              <w:top w:val="nil"/>
              <w:left w:val="nil"/>
              <w:bottom w:val="nil"/>
              <w:right w:val="single" w:sz="4" w:space="0" w:color="auto"/>
            </w:tcBorders>
            <w:shd w:val="clear" w:color="000000"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340" w:type="dxa"/>
            <w:tcBorders>
              <w:top w:val="nil"/>
              <w:left w:val="nil"/>
              <w:bottom w:val="nil"/>
              <w:right w:val="single" w:sz="4" w:space="0" w:color="auto"/>
            </w:tcBorders>
            <w:shd w:val="clear" w:color="000000"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nil"/>
              <w:left w:val="nil"/>
              <w:bottom w:val="nil"/>
              <w:right w:val="single" w:sz="4" w:space="0" w:color="auto"/>
            </w:tcBorders>
            <w:shd w:val="clear" w:color="000000"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w:t>
            </w:r>
          </w:p>
        </w:tc>
      </w:tr>
      <w:tr>
        <w:trPr>
          <w:trHeight w:val="300"/>
        </w:trPr>
        <w:tc>
          <w:tcPr>
            <w:tcW w:w="1960" w:type="dxa"/>
            <w:tcBorders>
              <w:top w:val="nil"/>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Slovenia</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nil"/>
              <w:left w:val="nil"/>
              <w:bottom w:val="nil"/>
              <w:right w:val="single" w:sz="4" w:space="0" w:color="auto"/>
            </w:tcBorders>
            <w:shd w:val="clear" w:color="D9D9D9" w:fill="4BC78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340" w:type="dxa"/>
            <w:tcBorders>
              <w:top w:val="nil"/>
              <w:left w:val="nil"/>
              <w:bottom w:val="nil"/>
              <w:right w:val="single" w:sz="4" w:space="0" w:color="auto"/>
            </w:tcBorders>
            <w:shd w:val="clear" w:color="D9D9D9" w:fill="6AD19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nil"/>
              <w:left w:val="nil"/>
              <w:bottom w:val="nil"/>
              <w:right w:val="single" w:sz="4" w:space="0" w:color="auto"/>
            </w:tcBorders>
            <w:shd w:val="clear" w:color="D9D9D9" w:fill="55CA8A"/>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r>
      <w:tr>
        <w:trPr>
          <w:trHeight w:val="300"/>
        </w:trPr>
        <w:tc>
          <w:tcPr>
            <w:tcW w:w="196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Spain</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340" w:type="dxa"/>
            <w:tcBorders>
              <w:top w:val="nil"/>
              <w:left w:val="nil"/>
              <w:bottom w:val="nil"/>
              <w:right w:val="single" w:sz="4" w:space="0" w:color="auto"/>
            </w:tcBorders>
            <w:shd w:val="clear" w:color="000000" w:fill="69D09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340" w:type="dxa"/>
            <w:tcBorders>
              <w:top w:val="nil"/>
              <w:left w:val="nil"/>
              <w:bottom w:val="nil"/>
              <w:right w:val="single" w:sz="4" w:space="0" w:color="auto"/>
            </w:tcBorders>
            <w:shd w:val="clear" w:color="000000" w:fill="7DD6A5"/>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340"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340" w:type="dxa"/>
            <w:tcBorders>
              <w:top w:val="nil"/>
              <w:left w:val="nil"/>
              <w:bottom w:val="nil"/>
              <w:right w:val="single" w:sz="4" w:space="0" w:color="auto"/>
            </w:tcBorders>
            <w:shd w:val="clear" w:color="000000" w:fill="80D7A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r>
      <w:tr>
        <w:trPr>
          <w:trHeight w:val="300"/>
        </w:trPr>
        <w:tc>
          <w:tcPr>
            <w:tcW w:w="1960" w:type="dxa"/>
            <w:tcBorders>
              <w:top w:val="nil"/>
              <w:left w:val="single" w:sz="4" w:space="0" w:color="auto"/>
              <w:bottom w:val="nil"/>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Sweden</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1340" w:type="dxa"/>
            <w:tcBorders>
              <w:top w:val="nil"/>
              <w:left w:val="nil"/>
              <w:bottom w:val="nil"/>
              <w:right w:val="single" w:sz="4" w:space="0" w:color="auto"/>
            </w:tcBorders>
            <w:shd w:val="clear" w:color="D9D9D9" w:fill="40C37C"/>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1340" w:type="dxa"/>
            <w:tcBorders>
              <w:top w:val="nil"/>
              <w:left w:val="nil"/>
              <w:bottom w:val="nil"/>
              <w:right w:val="single" w:sz="4" w:space="0" w:color="auto"/>
            </w:tcBorders>
            <w:shd w:val="clear" w:color="D9D9D9" w:fill="4DC785"/>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340" w:type="dxa"/>
            <w:tcBorders>
              <w:top w:val="nil"/>
              <w:left w:val="nil"/>
              <w:bottom w:val="nil"/>
              <w:right w:val="nil"/>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-32%</w:t>
            </w:r>
          </w:p>
        </w:tc>
        <w:tc>
          <w:tcPr>
            <w:tcW w:w="1340" w:type="dxa"/>
            <w:tcBorders>
              <w:top w:val="nil"/>
              <w:left w:val="nil"/>
              <w:bottom w:val="nil"/>
              <w:right w:val="single" w:sz="4" w:space="0" w:color="auto"/>
            </w:tcBorders>
            <w:shd w:val="clear" w:color="D9D9D9" w:fill="42C47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r>
      <w:tr>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United Kingdom</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1340" w:type="dxa"/>
            <w:tcBorders>
              <w:top w:val="nil"/>
              <w:left w:val="nil"/>
              <w:bottom w:val="single" w:sz="4" w:space="0" w:color="auto"/>
              <w:right w:val="single" w:sz="4" w:space="0" w:color="auto"/>
            </w:tcBorders>
            <w:shd w:val="clear" w:color="000000" w:fill="B6E8C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1340" w:type="dxa"/>
            <w:tcBorders>
              <w:top w:val="nil"/>
              <w:left w:val="nil"/>
              <w:bottom w:val="single" w:sz="4" w:space="0" w:color="auto"/>
              <w:right w:val="single" w:sz="4" w:space="0" w:color="auto"/>
            </w:tcBorders>
            <w:shd w:val="clear" w:color="000000" w:fill="BFEBD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340" w:type="dxa"/>
            <w:tcBorders>
              <w:top w:val="nil"/>
              <w:left w:val="nil"/>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c>
          <w:tcPr>
            <w:tcW w:w="1340" w:type="dxa"/>
            <w:tcBorders>
              <w:top w:val="nil"/>
              <w:left w:val="nil"/>
              <w:bottom w:val="single" w:sz="4" w:space="0" w:color="auto"/>
              <w:right w:val="single" w:sz="4" w:space="0" w:color="auto"/>
            </w:tcBorders>
            <w:shd w:val="clear" w:color="000000" w:fill="80D7A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r>
    </w:tbl>
    <w:p>
      <w:pPr>
        <w:rPr>
          <w:noProof/>
        </w:rPr>
      </w:pPr>
    </w:p>
    <w:p>
      <w:pPr>
        <w:rPr>
          <w:noProof/>
        </w:rPr>
      </w:pPr>
      <w:r>
        <w:rPr>
          <w:noProof/>
        </w:rPr>
        <w:t xml:space="preserve">Source: 2015 emissions from 2017 annual review of inventory data. 2016 emissions from 2017 approximated inventory data. 2020 Member States' projections (with existing measures), quality checked by the European Environment Agency (2017). </w:t>
      </w:r>
    </w:p>
    <w:p>
      <w:pPr>
        <w:rPr>
          <w:noProof/>
        </w:rPr>
      </w:pPr>
    </w:p>
    <w:p>
      <w:pPr>
        <w:spacing w:after="0" w:line="240" w:lineRule="auto"/>
        <w:rPr>
          <w:rFonts w:ascii="Calibri" w:eastAsia="Times New Roman" w:hAnsi="Calibri" w:cs="Times New Roman"/>
          <w:noProof/>
          <w:color w:val="000000"/>
          <w:lang w:eastAsia="en-GB"/>
        </w:rPr>
      </w:pPr>
    </w:p>
    <w:p>
      <w:pPr>
        <w:pStyle w:val="Tableheading"/>
        <w:rPr>
          <w:noProof/>
        </w:rPr>
      </w:pPr>
      <w:bookmarkStart w:id="24" w:name="_Toc494203886"/>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Pr>
          <w:noProof/>
        </w:rPr>
        <w:t>: Annual emissions allocations, emissions and gap to targets under the Effort Sharing Decision (Mt. CO</w:t>
      </w:r>
      <w:r>
        <w:rPr>
          <w:noProof/>
          <w:vertAlign w:val="subscript"/>
        </w:rPr>
        <w:t>2</w:t>
      </w:r>
      <w:r>
        <w:rPr>
          <w:noProof/>
        </w:rPr>
        <w:t>-eq.)</w:t>
      </w:r>
      <w:bookmarkEnd w:id="24"/>
    </w:p>
    <w:tbl>
      <w:tblPr>
        <w:tblW w:w="14624" w:type="dxa"/>
        <w:tblInd w:w="534" w:type="dxa"/>
        <w:tblLook w:val="04A0" w:firstRow="1" w:lastRow="0" w:firstColumn="1" w:lastColumn="0" w:noHBand="0" w:noVBand="1"/>
      </w:tblPr>
      <w:tblGrid>
        <w:gridCol w:w="1130"/>
        <w:gridCol w:w="1180"/>
        <w:gridCol w:w="1114"/>
        <w:gridCol w:w="731"/>
        <w:gridCol w:w="669"/>
        <w:gridCol w:w="731"/>
        <w:gridCol w:w="669"/>
        <w:gridCol w:w="731"/>
        <w:gridCol w:w="669"/>
        <w:gridCol w:w="731"/>
        <w:gridCol w:w="669"/>
        <w:gridCol w:w="731"/>
        <w:gridCol w:w="669"/>
        <w:gridCol w:w="731"/>
        <w:gridCol w:w="669"/>
        <w:gridCol w:w="731"/>
        <w:gridCol w:w="669"/>
        <w:gridCol w:w="731"/>
        <w:gridCol w:w="669"/>
      </w:tblGrid>
      <w:tr>
        <w:trPr>
          <w:trHeight w:val="600"/>
          <w:tblHeader/>
        </w:trPr>
        <w:tc>
          <w:tcPr>
            <w:tcW w:w="1130" w:type="dxa"/>
            <w:tcBorders>
              <w:top w:val="single" w:sz="4" w:space="0" w:color="auto"/>
              <w:left w:val="single" w:sz="4" w:space="0" w:color="auto"/>
              <w:bottom w:val="nil"/>
              <w:right w:val="nil"/>
            </w:tcBorders>
            <w:shd w:val="clear" w:color="auto" w:fill="auto"/>
            <w:vAlign w:val="bottom"/>
            <w:hideMark/>
          </w:tcPr>
          <w:p>
            <w:pPr>
              <w:spacing w:after="0" w:line="240" w:lineRule="auto"/>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 </w:t>
            </w:r>
          </w:p>
        </w:tc>
        <w:tc>
          <w:tcPr>
            <w:tcW w:w="1180" w:type="dxa"/>
            <w:tcBorders>
              <w:top w:val="single" w:sz="4" w:space="0" w:color="auto"/>
              <w:left w:val="single" w:sz="4" w:space="0" w:color="auto"/>
              <w:bottom w:val="nil"/>
              <w:right w:val="nil"/>
            </w:tcBorders>
            <w:shd w:val="clear" w:color="auto" w:fill="auto"/>
            <w:vAlign w:val="bottom"/>
            <w:hideMark/>
          </w:tcPr>
          <w:p>
            <w:pPr>
              <w:spacing w:after="0" w:line="240" w:lineRule="auto"/>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 </w:t>
            </w:r>
          </w:p>
        </w:tc>
        <w:tc>
          <w:tcPr>
            <w:tcW w:w="1114" w:type="dxa"/>
            <w:tcBorders>
              <w:top w:val="single" w:sz="4" w:space="0" w:color="auto"/>
              <w:left w:val="single" w:sz="4" w:space="0" w:color="auto"/>
              <w:bottom w:val="nil"/>
              <w:right w:val="nil"/>
            </w:tcBorders>
            <w:shd w:val="clear" w:color="auto" w:fill="auto"/>
            <w:vAlign w:val="bottom"/>
            <w:hideMark/>
          </w:tcPr>
          <w:p>
            <w:pPr>
              <w:spacing w:after="0" w:line="240" w:lineRule="auto"/>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Base year emissions</w:t>
            </w:r>
          </w:p>
        </w:tc>
        <w:tc>
          <w:tcPr>
            <w:tcW w:w="420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ESD reviewed</w:t>
            </w:r>
          </w:p>
        </w:tc>
        <w:tc>
          <w:tcPr>
            <w:tcW w:w="1400" w:type="dxa"/>
            <w:gridSpan w:val="2"/>
            <w:tcBorders>
              <w:top w:val="single" w:sz="4" w:space="0" w:color="auto"/>
              <w:left w:val="nil"/>
              <w:bottom w:val="single" w:sz="4" w:space="0" w:color="auto"/>
              <w:right w:val="single" w:sz="4" w:space="0" w:color="000000"/>
            </w:tcBorders>
            <w:shd w:val="clear" w:color="auto" w:fill="auto"/>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Proxy emissions</w:t>
            </w:r>
          </w:p>
        </w:tc>
        <w:tc>
          <w:tcPr>
            <w:tcW w:w="5600" w:type="dxa"/>
            <w:gridSpan w:val="8"/>
            <w:tcBorders>
              <w:top w:val="single" w:sz="4" w:space="0" w:color="auto"/>
              <w:left w:val="nil"/>
              <w:bottom w:val="single" w:sz="4" w:space="0" w:color="auto"/>
              <w:right w:val="single" w:sz="4" w:space="0" w:color="000000"/>
            </w:tcBorders>
            <w:shd w:val="clear" w:color="auto" w:fill="auto"/>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Projections (WEM)</w:t>
            </w:r>
          </w:p>
        </w:tc>
      </w:tr>
      <w:tr>
        <w:trPr>
          <w:trHeight w:val="300"/>
          <w:tblHeader/>
        </w:trPr>
        <w:tc>
          <w:tcPr>
            <w:tcW w:w="1130" w:type="dxa"/>
            <w:tcBorders>
              <w:top w:val="single" w:sz="4" w:space="0" w:color="auto"/>
              <w:left w:val="single" w:sz="4" w:space="0" w:color="auto"/>
              <w:bottom w:val="single" w:sz="4" w:space="0" w:color="auto"/>
              <w:right w:val="nil"/>
            </w:tcBorders>
            <w:shd w:val="clear" w:color="DCE6F1" w:fill="FFFFFF"/>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1180" w:type="dxa"/>
            <w:tcBorders>
              <w:top w:val="single" w:sz="4" w:space="0" w:color="auto"/>
              <w:left w:val="single" w:sz="4" w:space="0" w:color="auto"/>
              <w:bottom w:val="nil"/>
              <w:right w:val="nil"/>
            </w:tcBorders>
            <w:shd w:val="clear" w:color="DCE6F1" w:fill="FFFFFF"/>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1114" w:type="dxa"/>
            <w:tcBorders>
              <w:top w:val="single" w:sz="4" w:space="0" w:color="auto"/>
              <w:left w:val="single" w:sz="4" w:space="0" w:color="auto"/>
              <w:bottom w:val="nil"/>
              <w:right w:val="nil"/>
            </w:tcBorders>
            <w:shd w:val="clear" w:color="DCE6F1" w:fill="FFFFFF"/>
            <w:noWrap/>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2005</w:t>
            </w:r>
          </w:p>
        </w:tc>
        <w:tc>
          <w:tcPr>
            <w:tcW w:w="1400" w:type="dxa"/>
            <w:gridSpan w:val="2"/>
            <w:tcBorders>
              <w:top w:val="single" w:sz="4" w:space="0" w:color="auto"/>
              <w:left w:val="single" w:sz="4" w:space="0" w:color="auto"/>
              <w:bottom w:val="single" w:sz="4" w:space="0" w:color="auto"/>
              <w:right w:val="single" w:sz="4" w:space="0" w:color="000000"/>
            </w:tcBorders>
            <w:shd w:val="clear" w:color="DCE6F1" w:fill="FFFFFF"/>
            <w:noWrap/>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2013</w:t>
            </w:r>
          </w:p>
        </w:tc>
        <w:tc>
          <w:tcPr>
            <w:tcW w:w="1400" w:type="dxa"/>
            <w:gridSpan w:val="2"/>
            <w:tcBorders>
              <w:top w:val="single" w:sz="4" w:space="0" w:color="auto"/>
              <w:left w:val="nil"/>
              <w:bottom w:val="single" w:sz="4" w:space="0" w:color="auto"/>
              <w:right w:val="single" w:sz="4" w:space="0" w:color="000000"/>
            </w:tcBorders>
            <w:shd w:val="clear" w:color="DCE6F1" w:fill="FFFFFF"/>
            <w:noWrap/>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2014</w:t>
            </w:r>
          </w:p>
        </w:tc>
        <w:tc>
          <w:tcPr>
            <w:tcW w:w="1400" w:type="dxa"/>
            <w:gridSpan w:val="2"/>
            <w:tcBorders>
              <w:top w:val="single" w:sz="4" w:space="0" w:color="auto"/>
              <w:left w:val="nil"/>
              <w:bottom w:val="single" w:sz="4" w:space="0" w:color="auto"/>
              <w:right w:val="single" w:sz="4" w:space="0" w:color="000000"/>
            </w:tcBorders>
            <w:shd w:val="clear" w:color="DCE6F1" w:fill="FFFFFF"/>
            <w:noWrap/>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2015</w:t>
            </w:r>
          </w:p>
        </w:tc>
        <w:tc>
          <w:tcPr>
            <w:tcW w:w="1400" w:type="dxa"/>
            <w:gridSpan w:val="2"/>
            <w:tcBorders>
              <w:top w:val="single" w:sz="4" w:space="0" w:color="auto"/>
              <w:left w:val="nil"/>
              <w:bottom w:val="single" w:sz="4" w:space="0" w:color="auto"/>
              <w:right w:val="single" w:sz="4" w:space="0" w:color="000000"/>
            </w:tcBorders>
            <w:shd w:val="clear" w:color="DCE6F1" w:fill="FFFFFF"/>
            <w:noWrap/>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2016</w:t>
            </w:r>
          </w:p>
        </w:tc>
        <w:tc>
          <w:tcPr>
            <w:tcW w:w="1400" w:type="dxa"/>
            <w:gridSpan w:val="2"/>
            <w:tcBorders>
              <w:top w:val="single" w:sz="4" w:space="0" w:color="auto"/>
              <w:left w:val="nil"/>
              <w:bottom w:val="single" w:sz="4" w:space="0" w:color="auto"/>
              <w:right w:val="single" w:sz="4" w:space="0" w:color="000000"/>
            </w:tcBorders>
            <w:shd w:val="clear" w:color="DCE6F1" w:fill="FFFFFF"/>
            <w:noWrap/>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2017</w:t>
            </w:r>
          </w:p>
        </w:tc>
        <w:tc>
          <w:tcPr>
            <w:tcW w:w="1400" w:type="dxa"/>
            <w:gridSpan w:val="2"/>
            <w:tcBorders>
              <w:top w:val="single" w:sz="4" w:space="0" w:color="auto"/>
              <w:left w:val="nil"/>
              <w:bottom w:val="single" w:sz="4" w:space="0" w:color="auto"/>
              <w:right w:val="single" w:sz="4" w:space="0" w:color="000000"/>
            </w:tcBorders>
            <w:shd w:val="clear" w:color="DCE6F1" w:fill="FFFFFF"/>
            <w:noWrap/>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2018</w:t>
            </w:r>
          </w:p>
        </w:tc>
        <w:tc>
          <w:tcPr>
            <w:tcW w:w="1400" w:type="dxa"/>
            <w:gridSpan w:val="2"/>
            <w:tcBorders>
              <w:top w:val="single" w:sz="4" w:space="0" w:color="auto"/>
              <w:left w:val="nil"/>
              <w:bottom w:val="single" w:sz="4" w:space="0" w:color="auto"/>
              <w:right w:val="single" w:sz="4" w:space="0" w:color="000000"/>
            </w:tcBorders>
            <w:shd w:val="clear" w:color="DCE6F1" w:fill="FFFFFF"/>
            <w:noWrap/>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2019</w:t>
            </w:r>
          </w:p>
        </w:tc>
        <w:tc>
          <w:tcPr>
            <w:tcW w:w="1400" w:type="dxa"/>
            <w:gridSpan w:val="2"/>
            <w:tcBorders>
              <w:top w:val="single" w:sz="4" w:space="0" w:color="auto"/>
              <w:left w:val="nil"/>
              <w:bottom w:val="single" w:sz="4" w:space="0" w:color="auto"/>
              <w:right w:val="single" w:sz="4" w:space="0" w:color="000000"/>
            </w:tcBorders>
            <w:shd w:val="clear" w:color="DCE6F1" w:fill="FFFFFF"/>
            <w:noWrap/>
            <w:vAlign w:val="bottom"/>
            <w:hideMark/>
          </w:tcPr>
          <w:p>
            <w:pPr>
              <w:spacing w:after="0" w:line="240" w:lineRule="auto"/>
              <w:jc w:val="center"/>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2020</w:t>
            </w:r>
          </w:p>
        </w:tc>
      </w:tr>
      <w:tr>
        <w:trPr>
          <w:trHeight w:val="1010"/>
          <w:tblHeader/>
        </w:trPr>
        <w:tc>
          <w:tcPr>
            <w:tcW w:w="1130"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Country</w:t>
            </w:r>
          </w:p>
        </w:tc>
        <w:tc>
          <w:tcPr>
            <w:tcW w:w="1180"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b/>
                <w:bCs/>
                <w:noProof/>
                <w:color w:val="000000"/>
                <w:sz w:val="18"/>
                <w:szCs w:val="18"/>
                <w:lang w:eastAsia="en-GB"/>
              </w:rPr>
            </w:pPr>
            <w:r>
              <w:rPr>
                <w:rFonts w:ascii="Calibri" w:eastAsia="Times New Roman" w:hAnsi="Calibri" w:cs="Times New Roman"/>
                <w:b/>
                <w:bCs/>
                <w:noProof/>
                <w:color w:val="000000"/>
                <w:sz w:val="18"/>
                <w:szCs w:val="18"/>
                <w:lang w:eastAsia="en-GB"/>
              </w:rPr>
              <w:t>Mt CO</w:t>
            </w:r>
            <w:r>
              <w:rPr>
                <w:rFonts w:ascii="Calibri" w:eastAsia="Times New Roman" w:hAnsi="Calibri" w:cs="Times New Roman"/>
                <w:b/>
                <w:bCs/>
                <w:noProof/>
                <w:color w:val="000000"/>
                <w:sz w:val="18"/>
                <w:szCs w:val="18"/>
                <w:vertAlign w:val="subscript"/>
                <w:lang w:eastAsia="en-GB"/>
              </w:rPr>
              <w:t>2</w:t>
            </w:r>
            <w:r>
              <w:rPr>
                <w:rFonts w:ascii="Calibri" w:eastAsia="Times New Roman" w:hAnsi="Calibri" w:cs="Times New Roman"/>
                <w:b/>
                <w:bCs/>
                <w:noProof/>
                <w:color w:val="000000"/>
                <w:sz w:val="18"/>
                <w:szCs w:val="18"/>
                <w:lang w:eastAsia="en-GB"/>
              </w:rPr>
              <w:t>-eq.</w:t>
            </w:r>
          </w:p>
        </w:tc>
        <w:tc>
          <w:tcPr>
            <w:tcW w:w="1114" w:type="dxa"/>
            <w:tcBorders>
              <w:top w:val="single" w:sz="4" w:space="0" w:color="auto"/>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base year emissions</w:t>
            </w:r>
          </w:p>
        </w:tc>
        <w:tc>
          <w:tcPr>
            <w:tcW w:w="731"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 / target</w:t>
            </w:r>
          </w:p>
        </w:tc>
        <w:tc>
          <w:tcPr>
            <w:tcW w:w="669"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absolute gap to target</w:t>
            </w:r>
          </w:p>
        </w:tc>
        <w:tc>
          <w:tcPr>
            <w:tcW w:w="731"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 / target</w:t>
            </w:r>
          </w:p>
        </w:tc>
        <w:tc>
          <w:tcPr>
            <w:tcW w:w="669"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absolute gap to target</w:t>
            </w:r>
          </w:p>
        </w:tc>
        <w:tc>
          <w:tcPr>
            <w:tcW w:w="731"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 / target</w:t>
            </w:r>
          </w:p>
        </w:tc>
        <w:tc>
          <w:tcPr>
            <w:tcW w:w="669"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absolute gap to target</w:t>
            </w:r>
          </w:p>
        </w:tc>
        <w:tc>
          <w:tcPr>
            <w:tcW w:w="731"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 / target</w:t>
            </w:r>
          </w:p>
        </w:tc>
        <w:tc>
          <w:tcPr>
            <w:tcW w:w="669"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absolute gap to target</w:t>
            </w:r>
          </w:p>
        </w:tc>
        <w:tc>
          <w:tcPr>
            <w:tcW w:w="731"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 / target</w:t>
            </w:r>
          </w:p>
        </w:tc>
        <w:tc>
          <w:tcPr>
            <w:tcW w:w="669"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absolute gap to target</w:t>
            </w:r>
          </w:p>
        </w:tc>
        <w:tc>
          <w:tcPr>
            <w:tcW w:w="731"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 / target</w:t>
            </w:r>
          </w:p>
        </w:tc>
        <w:tc>
          <w:tcPr>
            <w:tcW w:w="669"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absolute gap to target</w:t>
            </w:r>
          </w:p>
        </w:tc>
        <w:tc>
          <w:tcPr>
            <w:tcW w:w="731"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 / target</w:t>
            </w:r>
          </w:p>
        </w:tc>
        <w:tc>
          <w:tcPr>
            <w:tcW w:w="669"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absolute gap to target</w:t>
            </w:r>
          </w:p>
        </w:tc>
        <w:tc>
          <w:tcPr>
            <w:tcW w:w="731" w:type="dxa"/>
            <w:tcBorders>
              <w:top w:val="nil"/>
              <w:left w:val="single" w:sz="4" w:space="0" w:color="auto"/>
              <w:bottom w:val="nil"/>
              <w:right w:val="nil"/>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 / target</w:t>
            </w:r>
          </w:p>
        </w:tc>
        <w:tc>
          <w:tcPr>
            <w:tcW w:w="669" w:type="dxa"/>
            <w:tcBorders>
              <w:top w:val="nil"/>
              <w:left w:val="single" w:sz="4" w:space="0" w:color="auto"/>
              <w:bottom w:val="nil"/>
              <w:right w:val="single" w:sz="4" w:space="0" w:color="auto"/>
            </w:tcBorders>
            <w:shd w:val="clear" w:color="auto" w:fill="auto"/>
            <w:noWrap/>
            <w:textDirection w:val="btLr"/>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absolute gap to target</w:t>
            </w:r>
          </w:p>
        </w:tc>
      </w:tr>
      <w:tr>
        <w:trPr>
          <w:trHeight w:val="300"/>
        </w:trPr>
        <w:tc>
          <w:tcPr>
            <w:tcW w:w="1130" w:type="dxa"/>
            <w:vMerge w:val="restart"/>
            <w:tcBorders>
              <w:top w:val="single" w:sz="4" w:space="0" w:color="auto"/>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Austria</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56.8</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50.1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49.3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50.2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49.5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49.4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49.3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49.1</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52.6</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52.1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51.5</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51.0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49.5</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48.9</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48.3</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47.8</w:t>
            </w:r>
          </w:p>
        </w:tc>
        <w:tc>
          <w:tcPr>
            <w:tcW w:w="669" w:type="dxa"/>
            <w:tcBorders>
              <w:top w:val="single" w:sz="4" w:space="0" w:color="auto"/>
              <w:left w:val="single" w:sz="4" w:space="0" w:color="auto"/>
              <w:bottom w:val="nil"/>
              <w:right w:val="single" w:sz="4" w:space="0" w:color="auto"/>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Belgium</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80.3</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74.3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70.1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72.7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74.5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71.9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71.7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71.5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71.0</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78.4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76.9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75.3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73.8</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72.5</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71.1</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69.7</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68.2</w:t>
            </w:r>
          </w:p>
        </w:tc>
        <w:tc>
          <w:tcPr>
            <w:tcW w:w="669" w:type="dxa"/>
            <w:tcBorders>
              <w:top w:val="single" w:sz="4" w:space="0" w:color="auto"/>
              <w:left w:val="single" w:sz="4" w:space="0" w:color="auto"/>
              <w:bottom w:val="nil"/>
              <w:right w:val="single" w:sz="4" w:space="0" w:color="auto"/>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2.8</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Bulgaria</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22.1</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21.7</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-4.3</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27.5</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26.5</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Croatia</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17.4</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15.2</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19.6</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19.8</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19.3</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Cyprus</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4.2</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3.6</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-0.4</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Czech Republic</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61.7</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61.5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57.6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61.3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58.1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60.2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61.1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61.9</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62.5</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63.2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64.0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64.7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65.2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65.9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66.5</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67.2</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-5.3</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Denmark</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40.1</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31.8</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31.1</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36.8</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34.1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34.8</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32.1</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-0.9</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Estonia</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5.4</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5.8</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5.8</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6.0</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-0.2</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-0.2</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6.0</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6.0</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6.0</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0.0</w:t>
            </w:r>
          </w:p>
        </w:tc>
      </w:tr>
      <w:tr>
        <w:trPr>
          <w:cantSplit/>
          <w:trHeight w:val="300"/>
        </w:trPr>
        <w:tc>
          <w:tcPr>
            <w:tcW w:w="1130" w:type="dxa"/>
            <w:vMerge w:val="restart"/>
            <w:tcBorders>
              <w:top w:val="nil"/>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Finland</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33.9</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28.8</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31.8</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-0.2</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31.3</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30.8</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-0.9</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30.3</w:t>
            </w:r>
          </w:p>
        </w:tc>
        <w:tc>
          <w:tcPr>
            <w:tcW w:w="669" w:type="dxa"/>
            <w:tcBorders>
              <w:top w:val="single" w:sz="4" w:space="0" w:color="auto"/>
              <w:left w:val="single" w:sz="4" w:space="0" w:color="auto"/>
              <w:bottom w:val="single" w:sz="4" w:space="0" w:color="auto"/>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30.2</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-0.5</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29.6</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-0.2</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29.1</w:t>
            </w:r>
          </w:p>
        </w:tc>
        <w:tc>
          <w:tcPr>
            <w:tcW w:w="669" w:type="dxa"/>
            <w:tcBorders>
              <w:top w:val="single" w:sz="4" w:space="0" w:color="auto"/>
              <w:left w:val="single" w:sz="4" w:space="0" w:color="auto"/>
              <w:bottom w:val="single" w:sz="4" w:space="0" w:color="auto"/>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0.0</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28.5</w:t>
            </w:r>
          </w:p>
        </w:tc>
        <w:tc>
          <w:tcPr>
            <w:tcW w:w="66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0.3</w:t>
            </w:r>
          </w:p>
        </w:tc>
      </w:tr>
      <w:tr>
        <w:trPr>
          <w:trHeight w:val="300"/>
        </w:trPr>
        <w:tc>
          <w:tcPr>
            <w:tcW w:w="1130" w:type="dxa"/>
            <w:tcBorders>
              <w:top w:val="single" w:sz="4" w:space="0" w:color="auto"/>
            </w:tcBorders>
            <w:shd w:val="clear" w:color="auto" w:fill="auto"/>
            <w:noWrap/>
            <w:vAlign w:val="bottom"/>
          </w:tcPr>
          <w:p>
            <w:pPr>
              <w:spacing w:after="0" w:line="240" w:lineRule="auto"/>
              <w:jc w:val="center"/>
              <w:rPr>
                <w:rFonts w:ascii="Calibri" w:eastAsia="Times New Roman" w:hAnsi="Calibri" w:cs="Times New Roman"/>
                <w:noProof/>
                <w:color w:val="000000"/>
                <w:sz w:val="18"/>
                <w:szCs w:val="18"/>
                <w:lang w:eastAsia="en-GB"/>
              </w:rPr>
            </w:pPr>
          </w:p>
        </w:tc>
        <w:tc>
          <w:tcPr>
            <w:tcW w:w="1180" w:type="dxa"/>
            <w:tcBorders>
              <w:top w:val="single" w:sz="4" w:space="0" w:color="auto"/>
            </w:tcBorders>
            <w:shd w:val="clear" w:color="auto" w:fill="auto"/>
            <w:noWrap/>
            <w:vAlign w:val="bottom"/>
          </w:tcPr>
          <w:p>
            <w:pPr>
              <w:spacing w:after="0" w:line="240" w:lineRule="auto"/>
              <w:rPr>
                <w:rFonts w:ascii="Calibri" w:eastAsia="Times New Roman" w:hAnsi="Calibri" w:cs="Times New Roman"/>
                <w:noProof/>
                <w:color w:val="000000"/>
                <w:sz w:val="18"/>
                <w:szCs w:val="18"/>
                <w:lang w:eastAsia="en-GB"/>
              </w:rPr>
            </w:pPr>
          </w:p>
        </w:tc>
        <w:tc>
          <w:tcPr>
            <w:tcW w:w="1114" w:type="dxa"/>
            <w:tcBorders>
              <w:top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sz w:val="18"/>
                <w:szCs w:val="18"/>
                <w:lang w:eastAsia="en-GB"/>
              </w:rPr>
            </w:pPr>
          </w:p>
        </w:tc>
        <w:tc>
          <w:tcPr>
            <w:tcW w:w="731" w:type="dxa"/>
            <w:tcBorders>
              <w:top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sz w:val="18"/>
                <w:szCs w:val="18"/>
                <w:lang w:eastAsia="en-GB"/>
              </w:rPr>
            </w:pPr>
          </w:p>
        </w:tc>
        <w:tc>
          <w:tcPr>
            <w:tcW w:w="669" w:type="dxa"/>
            <w:tcBorders>
              <w:top w:val="single" w:sz="4" w:space="0" w:color="auto"/>
            </w:tcBorders>
            <w:shd w:val="clear" w:color="auto" w:fill="auto"/>
            <w:noWrap/>
            <w:vAlign w:val="bottom"/>
          </w:tcPr>
          <w:p>
            <w:pPr>
              <w:spacing w:after="0" w:line="240" w:lineRule="auto"/>
              <w:rPr>
                <w:rFonts w:ascii="Calibri" w:eastAsia="Times New Roman" w:hAnsi="Calibri" w:cs="Times New Roman"/>
                <w:noProof/>
                <w:color w:val="000000"/>
                <w:sz w:val="18"/>
                <w:szCs w:val="18"/>
                <w:lang w:eastAsia="en-GB"/>
              </w:rPr>
            </w:pPr>
          </w:p>
        </w:tc>
        <w:tc>
          <w:tcPr>
            <w:tcW w:w="731" w:type="dxa"/>
            <w:tcBorders>
              <w:top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sz w:val="18"/>
                <w:szCs w:val="18"/>
                <w:lang w:eastAsia="en-GB"/>
              </w:rPr>
            </w:pPr>
          </w:p>
        </w:tc>
        <w:tc>
          <w:tcPr>
            <w:tcW w:w="669" w:type="dxa"/>
            <w:tcBorders>
              <w:top w:val="single" w:sz="4" w:space="0" w:color="auto"/>
            </w:tcBorders>
            <w:shd w:val="clear" w:color="auto" w:fill="auto"/>
            <w:noWrap/>
            <w:vAlign w:val="bottom"/>
          </w:tcPr>
          <w:p>
            <w:pPr>
              <w:spacing w:after="0" w:line="240" w:lineRule="auto"/>
              <w:rPr>
                <w:rFonts w:ascii="Calibri" w:eastAsia="Times New Roman" w:hAnsi="Calibri" w:cs="Times New Roman"/>
                <w:noProof/>
                <w:color w:val="000000"/>
                <w:sz w:val="18"/>
                <w:szCs w:val="18"/>
                <w:lang w:eastAsia="en-GB"/>
              </w:rPr>
            </w:pPr>
          </w:p>
        </w:tc>
        <w:tc>
          <w:tcPr>
            <w:tcW w:w="731" w:type="dxa"/>
            <w:tcBorders>
              <w:top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sz w:val="18"/>
                <w:szCs w:val="18"/>
                <w:lang w:eastAsia="en-GB"/>
              </w:rPr>
            </w:pPr>
          </w:p>
        </w:tc>
        <w:tc>
          <w:tcPr>
            <w:tcW w:w="669" w:type="dxa"/>
            <w:tcBorders>
              <w:top w:val="single" w:sz="4" w:space="0" w:color="auto"/>
            </w:tcBorders>
            <w:shd w:val="clear" w:color="auto" w:fill="auto"/>
            <w:noWrap/>
            <w:vAlign w:val="bottom"/>
          </w:tcPr>
          <w:p>
            <w:pPr>
              <w:spacing w:after="0" w:line="240" w:lineRule="auto"/>
              <w:rPr>
                <w:rFonts w:ascii="Calibri" w:eastAsia="Times New Roman" w:hAnsi="Calibri" w:cs="Times New Roman"/>
                <w:noProof/>
                <w:color w:val="000000"/>
                <w:sz w:val="18"/>
                <w:szCs w:val="18"/>
                <w:lang w:eastAsia="en-GB"/>
              </w:rPr>
            </w:pPr>
          </w:p>
        </w:tc>
        <w:tc>
          <w:tcPr>
            <w:tcW w:w="731" w:type="dxa"/>
            <w:tcBorders>
              <w:top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sz w:val="18"/>
                <w:szCs w:val="18"/>
                <w:lang w:eastAsia="en-GB"/>
              </w:rPr>
            </w:pPr>
          </w:p>
        </w:tc>
        <w:tc>
          <w:tcPr>
            <w:tcW w:w="669" w:type="dxa"/>
            <w:tcBorders>
              <w:top w:val="single" w:sz="4" w:space="0" w:color="auto"/>
            </w:tcBorders>
            <w:shd w:val="clear" w:color="auto" w:fill="auto"/>
            <w:noWrap/>
            <w:vAlign w:val="bottom"/>
          </w:tcPr>
          <w:p>
            <w:pPr>
              <w:spacing w:after="0" w:line="240" w:lineRule="auto"/>
              <w:rPr>
                <w:rFonts w:ascii="Calibri" w:eastAsia="Times New Roman" w:hAnsi="Calibri" w:cs="Times New Roman"/>
                <w:noProof/>
                <w:color w:val="000000"/>
                <w:sz w:val="18"/>
                <w:szCs w:val="18"/>
                <w:lang w:eastAsia="en-GB"/>
              </w:rPr>
            </w:pPr>
          </w:p>
        </w:tc>
        <w:tc>
          <w:tcPr>
            <w:tcW w:w="731" w:type="dxa"/>
            <w:tcBorders>
              <w:top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sz w:val="18"/>
                <w:szCs w:val="18"/>
                <w:lang w:eastAsia="en-GB"/>
              </w:rPr>
            </w:pPr>
          </w:p>
        </w:tc>
        <w:tc>
          <w:tcPr>
            <w:tcW w:w="669" w:type="dxa"/>
            <w:tcBorders>
              <w:top w:val="single" w:sz="4" w:space="0" w:color="auto"/>
            </w:tcBorders>
            <w:shd w:val="clear" w:color="auto" w:fill="auto"/>
            <w:noWrap/>
            <w:vAlign w:val="bottom"/>
          </w:tcPr>
          <w:p>
            <w:pPr>
              <w:spacing w:after="0" w:line="240" w:lineRule="auto"/>
              <w:rPr>
                <w:rFonts w:ascii="Calibri" w:eastAsia="Times New Roman" w:hAnsi="Calibri" w:cs="Times New Roman"/>
                <w:noProof/>
                <w:color w:val="000000"/>
                <w:sz w:val="18"/>
                <w:szCs w:val="18"/>
                <w:lang w:eastAsia="en-GB"/>
              </w:rPr>
            </w:pPr>
          </w:p>
        </w:tc>
        <w:tc>
          <w:tcPr>
            <w:tcW w:w="731" w:type="dxa"/>
            <w:tcBorders>
              <w:top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sz w:val="18"/>
                <w:szCs w:val="18"/>
                <w:lang w:eastAsia="en-GB"/>
              </w:rPr>
            </w:pPr>
          </w:p>
        </w:tc>
        <w:tc>
          <w:tcPr>
            <w:tcW w:w="669" w:type="dxa"/>
            <w:tcBorders>
              <w:top w:val="single" w:sz="4" w:space="0" w:color="auto"/>
            </w:tcBorders>
            <w:shd w:val="clear" w:color="auto" w:fill="auto"/>
            <w:noWrap/>
            <w:vAlign w:val="bottom"/>
          </w:tcPr>
          <w:p>
            <w:pPr>
              <w:spacing w:after="0" w:line="240" w:lineRule="auto"/>
              <w:rPr>
                <w:rFonts w:ascii="Calibri" w:eastAsia="Times New Roman" w:hAnsi="Calibri" w:cs="Times New Roman"/>
                <w:noProof/>
                <w:color w:val="000000"/>
                <w:sz w:val="18"/>
                <w:szCs w:val="18"/>
                <w:lang w:eastAsia="en-GB"/>
              </w:rPr>
            </w:pPr>
          </w:p>
        </w:tc>
        <w:tc>
          <w:tcPr>
            <w:tcW w:w="731" w:type="dxa"/>
            <w:tcBorders>
              <w:top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sz w:val="18"/>
                <w:szCs w:val="18"/>
                <w:lang w:eastAsia="en-GB"/>
              </w:rPr>
            </w:pPr>
          </w:p>
        </w:tc>
        <w:tc>
          <w:tcPr>
            <w:tcW w:w="669" w:type="dxa"/>
            <w:tcBorders>
              <w:top w:val="single" w:sz="4" w:space="0" w:color="auto"/>
            </w:tcBorders>
            <w:shd w:val="clear" w:color="auto" w:fill="auto"/>
            <w:noWrap/>
            <w:vAlign w:val="bottom"/>
          </w:tcPr>
          <w:p>
            <w:pPr>
              <w:spacing w:after="0" w:line="240" w:lineRule="auto"/>
              <w:rPr>
                <w:rFonts w:ascii="Calibri" w:eastAsia="Times New Roman" w:hAnsi="Calibri" w:cs="Times New Roman"/>
                <w:noProof/>
                <w:color w:val="000000"/>
                <w:sz w:val="18"/>
                <w:szCs w:val="18"/>
                <w:lang w:eastAsia="en-GB"/>
              </w:rPr>
            </w:pPr>
          </w:p>
        </w:tc>
        <w:tc>
          <w:tcPr>
            <w:tcW w:w="731" w:type="dxa"/>
            <w:tcBorders>
              <w:top w:val="single" w:sz="4" w:space="0" w:color="auto"/>
            </w:tcBorders>
            <w:shd w:val="clear" w:color="auto" w:fill="auto"/>
            <w:noWrap/>
            <w:vAlign w:val="bottom"/>
          </w:tcPr>
          <w:p>
            <w:pPr>
              <w:spacing w:after="0" w:line="240" w:lineRule="auto"/>
              <w:jc w:val="right"/>
              <w:rPr>
                <w:rFonts w:ascii="Calibri" w:eastAsia="Times New Roman" w:hAnsi="Calibri" w:cs="Times New Roman"/>
                <w:noProof/>
                <w:color w:val="000000"/>
                <w:sz w:val="18"/>
                <w:szCs w:val="18"/>
                <w:lang w:eastAsia="en-GB"/>
              </w:rPr>
            </w:pPr>
          </w:p>
        </w:tc>
        <w:tc>
          <w:tcPr>
            <w:tcW w:w="669" w:type="dxa"/>
            <w:tcBorders>
              <w:top w:val="single" w:sz="4" w:space="0" w:color="auto"/>
            </w:tcBorders>
            <w:shd w:val="clear" w:color="auto" w:fill="auto"/>
            <w:noWrap/>
            <w:vAlign w:val="bottom"/>
          </w:tcPr>
          <w:p>
            <w:pPr>
              <w:spacing w:after="0" w:line="240" w:lineRule="auto"/>
              <w:rPr>
                <w:rFonts w:ascii="Calibri" w:eastAsia="Times New Roman" w:hAnsi="Calibri" w:cs="Times New Roman"/>
                <w:noProof/>
                <w:color w:val="000000"/>
                <w:sz w:val="18"/>
                <w:szCs w:val="18"/>
                <w:lang w:eastAsia="en-GB"/>
              </w:rPr>
            </w:pPr>
          </w:p>
        </w:tc>
      </w:tr>
      <w:tr>
        <w:trPr>
          <w:trHeight w:val="300"/>
        </w:trPr>
        <w:tc>
          <w:tcPr>
            <w:tcW w:w="1130" w:type="dxa"/>
            <w:vMerge w:val="restart"/>
            <w:tcBorders>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France</w:t>
            </w:r>
          </w:p>
        </w:tc>
        <w:tc>
          <w:tcPr>
            <w:tcW w:w="1180" w:type="dxa"/>
            <w:tcBorders>
              <w:left w:val="nil"/>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398.2</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366.1</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353.5</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353.0</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357.0</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339.1</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332.1</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325.2</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318.2</w:t>
            </w:r>
          </w:p>
        </w:tc>
        <w:tc>
          <w:tcPr>
            <w:tcW w:w="669" w:type="dxa"/>
            <w:tcBorders>
              <w:left w:val="single" w:sz="4" w:space="0" w:color="auto"/>
              <w:bottom w:val="single" w:sz="4" w:space="0" w:color="auto"/>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single" w:sz="4" w:space="0" w:color="000000"/>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394.1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-28.0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389.5</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384.4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379.4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358.2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352.9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347.7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342.5</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-24.3</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Germany</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477.8</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460.2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436.8</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444.1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450.4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441.5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436.3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431.2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426.5</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472.5</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-12.3</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465.8</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459.1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452.4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432.3</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425.2</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418.1</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410.9</w:t>
            </w:r>
          </w:p>
        </w:tc>
        <w:tc>
          <w:tcPr>
            <w:tcW w:w="669" w:type="dxa"/>
            <w:tcBorders>
              <w:top w:val="single" w:sz="4" w:space="0" w:color="auto"/>
              <w:left w:val="single" w:sz="4" w:space="0" w:color="auto"/>
              <w:bottom w:val="nil"/>
              <w:right w:val="single" w:sz="4" w:space="0" w:color="auto"/>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15.6</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Greece</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62.6</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44.2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44.4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45.4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46.5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47.6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48.9</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59.6</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-14.2</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-11.2</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60.0</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-11.1</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Hungary</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48.0</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38.4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38.4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42.1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39.1</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50.4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51.5</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52.6</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-11.2</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53.8</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50.1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-9.3</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51.0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51.9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52.8</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-13.7</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Ireland</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47.1</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42.2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43.0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44.5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44.6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44.6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45.3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45.6</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46.9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45.8</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44.6</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43.5</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40.9</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39.8</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38.7</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37.7</w:t>
            </w:r>
          </w:p>
        </w:tc>
        <w:tc>
          <w:tcPr>
            <w:tcW w:w="669" w:type="dxa"/>
            <w:tcBorders>
              <w:top w:val="single" w:sz="4" w:space="0" w:color="auto"/>
              <w:left w:val="single" w:sz="4" w:space="0" w:color="auto"/>
              <w:bottom w:val="nil"/>
              <w:right w:val="single" w:sz="4" w:space="0" w:color="auto"/>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8.0</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Italy</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334.5</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273.3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265.3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273.3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277.5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269.9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267.5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265.1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262.7</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308.2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-34.8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306.2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304.2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302.3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-24.8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298.3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-28.4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295.8</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-28.4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293.4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-28.3</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291.0</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-28.3</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Latvia</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8.5</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8.8</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9.2</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-0.3</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9.5</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9.8</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10.0</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-0.8</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Lithuania</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13.3</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13.6</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14.5</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15.2</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-1.7</w:t>
            </w:r>
          </w:p>
        </w:tc>
      </w:tr>
      <w:tr>
        <w:trPr>
          <w:cantSplit/>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Luxembourg</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10.1</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8.4</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9.5</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-0.2</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9.3</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-0.5</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9.1</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-0.5</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8.9</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-0.4</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8.7</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-0.4</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8.5</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-0.2</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8.3</w:t>
            </w:r>
          </w:p>
        </w:tc>
        <w:tc>
          <w:tcPr>
            <w:tcW w:w="669" w:type="dxa"/>
            <w:tcBorders>
              <w:top w:val="single" w:sz="4" w:space="0" w:color="auto"/>
              <w:left w:val="single" w:sz="4" w:space="0" w:color="auto"/>
              <w:bottom w:val="single" w:sz="4" w:space="0" w:color="auto"/>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0.0</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8.1</w:t>
            </w:r>
          </w:p>
        </w:tc>
        <w:tc>
          <w:tcPr>
            <w:tcW w:w="66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0.3</w:t>
            </w:r>
          </w:p>
        </w:tc>
      </w:tr>
      <w:tr>
        <w:trPr>
          <w:trHeight w:val="300"/>
        </w:trPr>
        <w:tc>
          <w:tcPr>
            <w:tcW w:w="1130" w:type="dxa"/>
            <w:vMerge w:val="restart"/>
            <w:tcBorders>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Malta</w:t>
            </w:r>
          </w:p>
        </w:tc>
        <w:tc>
          <w:tcPr>
            <w:tcW w:w="1180" w:type="dxa"/>
            <w:tcBorders>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w:t>
            </w:r>
          </w:p>
        </w:tc>
        <w:tc>
          <w:tcPr>
            <w:tcW w:w="731" w:type="dxa"/>
            <w:tcBorders>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w:t>
            </w:r>
          </w:p>
        </w:tc>
        <w:tc>
          <w:tcPr>
            <w:tcW w:w="669" w:type="dxa"/>
            <w:tcBorders>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w:t>
            </w:r>
          </w:p>
        </w:tc>
        <w:tc>
          <w:tcPr>
            <w:tcW w:w="669" w:type="dxa"/>
            <w:tcBorders>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w:t>
            </w:r>
          </w:p>
        </w:tc>
        <w:tc>
          <w:tcPr>
            <w:tcW w:w="669" w:type="dxa"/>
            <w:tcBorders>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w:t>
            </w:r>
          </w:p>
        </w:tc>
        <w:tc>
          <w:tcPr>
            <w:tcW w:w="669" w:type="dxa"/>
            <w:tcBorders>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w:t>
            </w:r>
          </w:p>
        </w:tc>
        <w:tc>
          <w:tcPr>
            <w:tcW w:w="669" w:type="dxa"/>
            <w:tcBorders>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w:t>
            </w:r>
          </w:p>
        </w:tc>
        <w:tc>
          <w:tcPr>
            <w:tcW w:w="669" w:type="dxa"/>
            <w:tcBorders>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w:t>
            </w:r>
          </w:p>
        </w:tc>
        <w:tc>
          <w:tcPr>
            <w:tcW w:w="669" w:type="dxa"/>
            <w:tcBorders>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w:t>
            </w:r>
          </w:p>
        </w:tc>
        <w:tc>
          <w:tcPr>
            <w:tcW w:w="669" w:type="dxa"/>
            <w:tcBorders>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0.2</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w:t>
            </w:r>
          </w:p>
        </w:tc>
        <w:tc>
          <w:tcPr>
            <w:tcW w:w="669" w:type="dxa"/>
            <w:tcBorders>
              <w:top w:val="single" w:sz="4" w:space="0" w:color="auto"/>
              <w:left w:val="single" w:sz="4" w:space="0" w:color="auto"/>
              <w:bottom w:val="nil"/>
              <w:right w:val="nil"/>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w:t>
            </w:r>
          </w:p>
        </w:tc>
        <w:tc>
          <w:tcPr>
            <w:tcW w:w="669" w:type="dxa"/>
            <w:tcBorders>
              <w:top w:val="single" w:sz="4" w:space="0" w:color="auto"/>
              <w:left w:val="single" w:sz="4" w:space="0" w:color="auto"/>
              <w:bottom w:val="nil"/>
              <w:right w:val="single" w:sz="4" w:space="0" w:color="auto"/>
            </w:tcBorders>
            <w:shd w:val="clear" w:color="000000" w:fill="FFC7CE"/>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0.1</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Netherlands</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127.8</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108.3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97.9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101.1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102.7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98.3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96.9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96.0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94.6</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122.9</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-14.7</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120.7</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-22.8</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118.4</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-17.3</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116.1</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-13.5</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114.1</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-15.7</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111.8</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-14.9</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109.6</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-13.6</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107.4</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-12.8</w:t>
            </w:r>
          </w:p>
        </w:tc>
      </w:tr>
      <w:tr>
        <w:trPr>
          <w:trHeight w:val="300"/>
        </w:trPr>
        <w:tc>
          <w:tcPr>
            <w:tcW w:w="1130" w:type="dxa"/>
            <w:vMerge w:val="restart"/>
            <w:tcBorders>
              <w:top w:val="single" w:sz="4" w:space="0" w:color="auto"/>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Poland</w:t>
            </w:r>
          </w:p>
        </w:tc>
        <w:tc>
          <w:tcPr>
            <w:tcW w:w="1180" w:type="dxa"/>
            <w:tcBorders>
              <w:left w:val="nil"/>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180.0</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186.1</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181.5</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186.8</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192.8</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189.2</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189.5</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189.8</w:t>
            </w:r>
          </w:p>
        </w:tc>
        <w:tc>
          <w:tcPr>
            <w:tcW w:w="669" w:type="dxa"/>
            <w:tcBorders>
              <w:left w:val="single" w:sz="4" w:space="0" w:color="auto"/>
              <w:bottom w:val="single" w:sz="4" w:space="0" w:color="auto"/>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left w:val="single" w:sz="4" w:space="0" w:color="auto"/>
              <w:bottom w:val="single" w:sz="4" w:space="0" w:color="auto"/>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190.1</w:t>
            </w:r>
          </w:p>
        </w:tc>
        <w:tc>
          <w:tcPr>
            <w:tcW w:w="669" w:type="dxa"/>
            <w:tcBorders>
              <w:left w:val="single" w:sz="4" w:space="0" w:color="auto"/>
              <w:bottom w:val="single" w:sz="4" w:space="0" w:color="auto"/>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193.6</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194.9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-13.3</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196.1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197.4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200.0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201.7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-12.2</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203.4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205.2</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-15.1</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Portugal</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48.6</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38.6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38.8</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40.5</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49.3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49.6</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49.9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-9.2</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50.1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47.9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48.7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49.1</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-8.6</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Romania</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75.5</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72.7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72.5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74.6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72.7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75.1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75.6</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76.0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76.5</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75.6</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77.5</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79.3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81.1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84.1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86.0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87.9</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89.8</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-13.3</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Slovakia</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23.0</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19.8</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20.1</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20.2</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24.0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24.4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24.7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25.1</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-5.3</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25.6</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25.9</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-5.8</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Slovenia</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11.8</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10.7</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-1.7</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12.3</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-1.6</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Spain</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236.0</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200.3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199.8</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196.2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197.8</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191.4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191.2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190.4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189.1</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227.6</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-27.3</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225.6</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223.7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221.8</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-24.0</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218.3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-26.8</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216.3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214.3</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-23.9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212.4</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-23.3</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DCE6F1"/>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Sweden</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43.5</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35.3</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34.5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33.9</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32.2</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29.7</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-6.4</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41.0</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40.4</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-6.5</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39.8</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37.8</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-5.6</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37.2</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36.7</w:t>
            </w:r>
          </w:p>
        </w:tc>
        <w:tc>
          <w:tcPr>
            <w:tcW w:w="669"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-6.1</w:t>
            </w:r>
          </w:p>
        </w:tc>
        <w:tc>
          <w:tcPr>
            <w:tcW w:w="731" w:type="dxa"/>
            <w:tcBorders>
              <w:top w:val="single" w:sz="4" w:space="0" w:color="auto"/>
              <w:left w:val="single" w:sz="4" w:space="0" w:color="auto"/>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36.1</w:t>
            </w:r>
          </w:p>
        </w:tc>
        <w:tc>
          <w:tcPr>
            <w:tcW w:w="669"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-6.4</w:t>
            </w:r>
          </w:p>
        </w:tc>
      </w:tr>
      <w:tr>
        <w:trPr>
          <w:trHeight w:val="300"/>
        </w:trPr>
        <w:tc>
          <w:tcPr>
            <w:tcW w:w="1130" w:type="dxa"/>
            <w:vMerge w:val="restart"/>
            <w:tcBorders>
              <w:top w:val="nil"/>
              <w:left w:val="single" w:sz="4" w:space="0" w:color="auto"/>
              <w:bottom w:val="single" w:sz="4" w:space="0" w:color="000000"/>
              <w:right w:val="single" w:sz="4" w:space="0" w:color="auto"/>
            </w:tcBorders>
            <w:shd w:val="clear" w:color="DCE6F1" w:fill="FFFFFF"/>
            <w:noWrap/>
            <w:vAlign w:val="bottom"/>
            <w:hideMark/>
          </w:tcPr>
          <w:p>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United Kingdom</w:t>
            </w:r>
          </w:p>
        </w:tc>
        <w:tc>
          <w:tcPr>
            <w:tcW w:w="1180" w:type="dxa"/>
            <w:tcBorders>
              <w:top w:val="single" w:sz="4" w:space="0" w:color="auto"/>
              <w:left w:val="nil"/>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emissions</w:t>
            </w:r>
          </w:p>
        </w:tc>
        <w:tc>
          <w:tcPr>
            <w:tcW w:w="1114"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417.8</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339.5</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324.4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326.0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324.4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321.0</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316.7</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314.4</w:t>
            </w:r>
          </w:p>
        </w:tc>
        <w:tc>
          <w:tcPr>
            <w:tcW w:w="669" w:type="dxa"/>
            <w:tcBorders>
              <w:top w:val="single" w:sz="4" w:space="0" w:color="auto"/>
              <w:left w:val="single" w:sz="4" w:space="0" w:color="auto"/>
              <w:bottom w:val="nil"/>
              <w:right w:val="nil"/>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309.4</w:t>
            </w:r>
          </w:p>
        </w:tc>
        <w:tc>
          <w:tcPr>
            <w:tcW w:w="669" w:type="dxa"/>
            <w:tcBorders>
              <w:top w:val="single" w:sz="4" w:space="0" w:color="auto"/>
              <w:left w:val="single" w:sz="4" w:space="0" w:color="auto"/>
              <w:bottom w:val="nil"/>
              <w:right w:val="single" w:sz="4" w:space="0" w:color="auto"/>
            </w:tcBorders>
            <w:shd w:val="clear" w:color="DCE6F1" w:fill="DCE6F1"/>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r>
      <w:tr>
        <w:trPr>
          <w:trHeight w:val="300"/>
        </w:trPr>
        <w:tc>
          <w:tcPr>
            <w:tcW w:w="113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Times New Roman"/>
                <w:noProof/>
                <w:color w:val="000000"/>
                <w:sz w:val="18"/>
                <w:szCs w:val="18"/>
                <w:lang w:eastAsia="en-GB"/>
              </w:rPr>
            </w:pPr>
          </w:p>
        </w:tc>
        <w:tc>
          <w:tcPr>
            <w:tcW w:w="1180"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target</w:t>
            </w:r>
          </w:p>
        </w:tc>
        <w:tc>
          <w:tcPr>
            <w:tcW w:w="1114"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358.7</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-19.3</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354.2</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-29.8</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349.7</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-23.7</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345.2</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-20.8</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360.4</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-39.4</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357.2</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-40.6</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354.1</w:t>
            </w:r>
          </w:p>
        </w:tc>
        <w:tc>
          <w:tcPr>
            <w:tcW w:w="669"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-39.7</w:t>
            </w:r>
          </w:p>
        </w:tc>
        <w:tc>
          <w:tcPr>
            <w:tcW w:w="731" w:type="dxa"/>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350.9</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-41.5</w:t>
            </w:r>
          </w:p>
        </w:tc>
      </w:tr>
    </w:tbl>
    <w:p>
      <w:pPr>
        <w:rPr>
          <w:noProof/>
        </w:rPr>
      </w:pPr>
    </w:p>
    <w:p>
      <w:pPr>
        <w:rPr>
          <w:noProof/>
        </w:rPr>
      </w:pPr>
      <w:r>
        <w:rPr>
          <w:noProof/>
        </w:rPr>
        <w:t xml:space="preserve">Source: 2013 -2015 ESD emissions from the annual reviews of inventory data. 2016 emissions from approximated inventory data. 2017-2020 Member States projections (with existing measures), quality checked by the European Environment Agency. </w:t>
      </w:r>
    </w:p>
    <w:p>
      <w:pPr>
        <w:rPr>
          <w:noProof/>
        </w:rPr>
        <w:sectPr>
          <w:headerReference w:type="even" r:id="rId46"/>
          <w:headerReference w:type="default" r:id="rId47"/>
          <w:footerReference w:type="even" r:id="rId48"/>
          <w:footerReference w:type="default" r:id="rId49"/>
          <w:headerReference w:type="first" r:id="rId50"/>
          <w:footerReference w:type="first" r:id="rId51"/>
          <w:pgSz w:w="16838" w:h="11906" w:orient="landscape"/>
          <w:pgMar w:top="1418" w:right="1418" w:bottom="1418" w:left="1418" w:header="709" w:footer="709" w:gutter="0"/>
          <w:cols w:space="708"/>
          <w:docGrid w:linePitch="360"/>
        </w:sectPr>
      </w:pPr>
    </w:p>
    <w:p>
      <w:pPr>
        <w:pStyle w:val="Heading1"/>
        <w:rPr>
          <w:noProof/>
        </w:rPr>
      </w:pPr>
      <w:bookmarkStart w:id="25" w:name="_Toc496883479"/>
      <w:r>
        <w:rPr>
          <w:noProof/>
        </w:rPr>
        <w:t>Climate finance to developing countries</w:t>
      </w:r>
      <w:bookmarkEnd w:id="25"/>
    </w:p>
    <w:p>
      <w:pPr>
        <w:rPr>
          <w:noProof/>
        </w:rPr>
      </w:pPr>
    </w:p>
    <w:p>
      <w:pPr>
        <w:pStyle w:val="Tableheading"/>
        <w:rPr>
          <w:noProof/>
        </w:rPr>
      </w:pPr>
      <w:bookmarkStart w:id="26" w:name="_Toc494203887"/>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Pr>
          <w:noProof/>
        </w:rPr>
        <w:t>: Climate finance provided to developing countries (2016).</w:t>
      </w:r>
      <w:bookmarkEnd w:id="26"/>
    </w:p>
    <w:tbl>
      <w:tblPr>
        <w:tblW w:w="6942" w:type="dxa"/>
        <w:tblInd w:w="103" w:type="dxa"/>
        <w:tblLook w:val="04A0" w:firstRow="1" w:lastRow="0" w:firstColumn="1" w:lastColumn="0" w:noHBand="0" w:noVBand="1"/>
      </w:tblPr>
      <w:tblGrid>
        <w:gridCol w:w="3410"/>
        <w:gridCol w:w="3532"/>
      </w:tblGrid>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EU and Member States</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Climate finance (€ million)</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Austria</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jc w:val="right"/>
              <w:rPr>
                <w:noProof/>
              </w:rPr>
            </w:pPr>
            <w:r>
              <w:rPr>
                <w:noProof/>
              </w:rPr>
              <w:t>199.26</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Belgium</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100.92</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Bulgaria</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Croatia</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Cyprus</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Czech Republic</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7.48</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Denmark</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172.98</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Estonia</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0.38</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Finland</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43.04</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France</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3 334.84</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Germany</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8 534.08</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Greece</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0.23</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Hungary</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35.29</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Ireland</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52.70</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Italy</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242.95</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0.01</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Lithuania</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0.54</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Luxembourg</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129.53</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Malta</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0.20</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Netherlands</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471.89</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Poland</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5.38</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Portugal</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2.00</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Romania</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0.78</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Slovakia</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2.99</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Slovenia</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2.98</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Spain</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595.03</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Sweden</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402.40</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United Kingdom</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1 163.58</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xml:space="preserve">European Commission </w:t>
            </w:r>
          </w:p>
        </w:tc>
        <w:tc>
          <w:tcPr>
            <w:tcW w:w="353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2 730.17</w:t>
            </w:r>
          </w:p>
        </w:tc>
      </w:tr>
      <w:tr>
        <w:trPr>
          <w:trHeight w:val="153"/>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European Investment Bank</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1 947.72</w:t>
            </w:r>
          </w:p>
        </w:tc>
      </w:tr>
      <w:tr>
        <w:trPr>
          <w:trHeight w:val="24"/>
        </w:trPr>
        <w:tc>
          <w:tcPr>
            <w:tcW w:w="3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Total</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20 179.32</w:t>
            </w:r>
          </w:p>
        </w:tc>
      </w:tr>
    </w:tbl>
    <w:p>
      <w:pPr>
        <w:rPr>
          <w:noProof/>
        </w:rPr>
      </w:pPr>
    </w:p>
    <w:p>
      <w:pPr>
        <w:rPr>
          <w:noProof/>
        </w:rPr>
      </w:pPr>
      <w:r>
        <w:rPr>
          <w:noProof/>
        </w:rPr>
        <w:t>Source: The figures represent climate finance sources from public budgets and other development financial institutions as reported by Member States under Article 16 of Regulation (EU) No 525/2013 of 21 May 2013. They also include EUR 2.7 billion climate finance from the EU Budget and the European Development Fund, and EUR 1.9 billion from European Investment Bank.</w:t>
      </w:r>
    </w:p>
    <w:sectPr>
      <w:headerReference w:type="even" r:id="rId52"/>
      <w:headerReference w:type="default" r:id="rId53"/>
      <w:footerReference w:type="even" r:id="rId54"/>
      <w:footerReference w:type="default" r:id="rId55"/>
      <w:headerReference w:type="first" r:id="rId56"/>
      <w:footerReference w:type="first" r:id="rId5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577290"/>
      <w:docPartObj>
        <w:docPartGallery w:val="Page Numbers (Bottom of Page)"/>
        <w:docPartUnique/>
      </w:docPartObj>
    </w:sdtPr>
    <w:sdtEndPr>
      <w:rPr>
        <w:noProof/>
      </w:rPr>
    </w:sdtEndPr>
    <w:sdtContent>
      <w:p>
        <w:pPr>
          <w:jc w:val="center"/>
        </w:pPr>
        <w:r>
          <w:fldChar w:fldCharType="begin"/>
        </w:r>
        <w:r>
          <w:instrText xml:space="preserve"> PAGE   \* MERGEFORMAT </w:instrText>
        </w:r>
        <w:r>
          <w:fldChar w:fldCharType="separate"/>
        </w:r>
        <w:r>
          <w:rPr>
            <w:noProof/>
          </w:rPr>
          <w:t>9</w:t>
        </w:r>
        <w:r>
          <w:rPr>
            <w:noProof/>
          </w:rPr>
          <w:fldChar w:fldCharType="end"/>
        </w:r>
      </w:p>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459538"/>
      <w:docPartObj>
        <w:docPartGallery w:val="Page Numbers (Bottom of Page)"/>
        <w:docPartUnique/>
      </w:docPartObj>
    </w:sdtPr>
    <w:sdtEndPr>
      <w:rPr>
        <w:noProof/>
      </w:rPr>
    </w:sdtEndPr>
    <w:sdtContent>
      <w:p>
        <w:pPr>
          <w:jc w:val="center"/>
        </w:pPr>
        <w:r>
          <w:fldChar w:fldCharType="begin"/>
        </w:r>
        <w:r>
          <w:instrText xml:space="preserve"> PAGE   \* MERGEFORMAT </w:instrText>
        </w:r>
        <w:r>
          <w:fldChar w:fldCharType="separate"/>
        </w:r>
        <w:r>
          <w:rPr>
            <w:noProof/>
          </w:rPr>
          <w:t>15</w:t>
        </w:r>
        <w:r>
          <w:rPr>
            <w:noProof/>
          </w:rPr>
          <w:fldChar w:fldCharType="end"/>
        </w:r>
      </w:p>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144315"/>
      <w:docPartObj>
        <w:docPartGallery w:val="Page Numbers (Bottom of Page)"/>
        <w:docPartUnique/>
      </w:docPartObj>
    </w:sdtPr>
    <w:sdtEndPr>
      <w:rPr>
        <w:noProof/>
      </w:rPr>
    </w:sdtEndPr>
    <w:sdtContent>
      <w:p>
        <w:pPr>
          <w:jc w:val="center"/>
        </w:pPr>
        <w:r>
          <w:fldChar w:fldCharType="begin"/>
        </w:r>
        <w:r>
          <w:instrText xml:space="preserve"> PAGE   \* MERGEFORMAT </w:instrText>
        </w:r>
        <w:r>
          <w:fldChar w:fldCharType="separate"/>
        </w:r>
        <w:r>
          <w:rPr>
            <w:noProof/>
          </w:rPr>
          <w:t>20</w:t>
        </w:r>
        <w:r>
          <w:rPr>
            <w:noProof/>
          </w:rPr>
          <w:fldChar w:fldCharType="end"/>
        </w:r>
      </w:p>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702051"/>
      <w:docPartObj>
        <w:docPartGallery w:val="Page Numbers (Bottom of Page)"/>
        <w:docPartUnique/>
      </w:docPartObj>
    </w:sdtPr>
    <w:sdtEndPr>
      <w:rPr>
        <w:noProof/>
      </w:rPr>
    </w:sdtEndPr>
    <w:sdtContent>
      <w:p>
        <w:pPr>
          <w:jc w:val="center"/>
        </w:pPr>
        <w:r>
          <w:fldChar w:fldCharType="begin"/>
        </w:r>
        <w:r>
          <w:instrText xml:space="preserve"> PAGE   \* MERGEFORMAT </w:instrText>
        </w:r>
        <w:r>
          <w:fldChar w:fldCharType="separate"/>
        </w:r>
        <w:r>
          <w:rPr>
            <w:noProof/>
          </w:rPr>
          <w:t>1</w:t>
        </w:r>
        <w:r>
          <w:rPr>
            <w:noProof/>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502273"/>
      <w:docPartObj>
        <w:docPartGallery w:val="Page Numbers (Bottom of Page)"/>
        <w:docPartUnique/>
      </w:docPartObj>
    </w:sdtPr>
    <w:sdtEndPr>
      <w:rPr>
        <w:noProof/>
      </w:rPr>
    </w:sdtEndPr>
    <w:sdtContent>
      <w:p>
        <w:pPr>
          <w:jc w:val="center"/>
        </w:pPr>
        <w:r>
          <w:fldChar w:fldCharType="begin"/>
        </w:r>
        <w:r>
          <w:instrText xml:space="preserve"> PAGE   \* MERGEFORMAT </w:instrText>
        </w:r>
        <w:r>
          <w:fldChar w:fldCharType="separate"/>
        </w:r>
        <w:r>
          <w:rPr>
            <w:noProof/>
          </w:rPr>
          <w:t>6</w:t>
        </w:r>
        <w:r>
          <w:rPr>
            <w:noProof/>
          </w:rPr>
          <w:fldChar w:fldCharType="end"/>
        </w:r>
      </w:p>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rPr>
          <w:rFonts w:cs="Arial"/>
          <w:color w:val="000000"/>
          <w:lang w:val="en"/>
        </w:rPr>
        <w:t xml:space="preserve">On 30 November 2016 the Commission proposed an </w:t>
      </w:r>
      <w:hyperlink r:id="rId1" w:tgtFrame="_self" w:history="1">
        <w:r>
          <w:t>update to the Energy Efficiency Directive</w:t>
        </w:r>
      </w:hyperlink>
      <w:r>
        <w:t xml:space="preserve"> </w:t>
      </w:r>
      <w:r>
        <w:rPr>
          <w:rFonts w:cs="Arial"/>
          <w:color w:val="000000"/>
          <w:lang w:val="en"/>
        </w:rPr>
        <w:t xml:space="preserve">including a new 30% energy efficiency target for 2030. The proposal is under consideration in the Council and the European Parliament. </w:t>
      </w:r>
    </w:p>
  </w:footnote>
  <w:footnote w:id="3">
    <w:p>
      <w:pPr>
        <w:pStyle w:val="FootnoteText"/>
      </w:pPr>
      <w:r>
        <w:rPr>
          <w:rStyle w:val="FootnoteReference"/>
        </w:rPr>
        <w:footnoteRef/>
      </w:r>
      <w:r>
        <w:t xml:space="preserve"> </w:t>
      </w:r>
      <w:r>
        <w:rPr>
          <w:rFonts w:eastAsia="Times New Roman"/>
          <w:noProof/>
          <w:color w:val="000000"/>
          <w:lang w:eastAsia="de-DE"/>
        </w:rPr>
        <w:t xml:space="preserve">May be reviewed in the light of the implementation of ICAO's global measure.  </w:t>
      </w:r>
    </w:p>
  </w:footnote>
  <w:footnote w:id="4">
    <w:p>
      <w:pPr>
        <w:pStyle w:val="FootnoteText"/>
      </w:pPr>
      <w:r>
        <w:rPr>
          <w:rStyle w:val="FootnoteReference"/>
        </w:rPr>
        <w:footnoteRef/>
      </w:r>
      <w:r>
        <w:t xml:space="preserve"> Member States that do not use their 3 % limit for the use of international credits in any specific year can transfer the unused part of their limit to another Member State or bank it for their own use until 2020. Member States fulfilling additional criteria (Austria, Belgium, Cyprus, Denmark, Finland, Ireland, Italy, Luxembourg, Portugal, Slovenia, Spain and Sweden) may use credits from projects in Least Developed Countries (LDCs) and Small Island Developing States (SIDS) up to an additional 1 % of their verified emissions in 2005. These credits are not bankable and transferable. A maximum of approximately 750 Mt of international credits can be used during the period from 2013 to 2020 in the ESD.</w:t>
      </w:r>
    </w:p>
  </w:footnote>
  <w:footnote w:id="5">
    <w:p>
      <w:pPr>
        <w:pStyle w:val="FootnoteText"/>
      </w:pPr>
      <w:r>
        <w:rPr>
          <w:rStyle w:val="FootnoteReference"/>
        </w:rPr>
        <w:footnoteRef/>
      </w:r>
      <w:r>
        <w:t xml:space="preserve"> </w:t>
      </w:r>
      <w:r>
        <w:rPr>
          <w:noProof/>
        </w:rPr>
        <w:t xml:space="preserve">For the CP2 it refers to carry over from CP1. For the ETS it refers to carry-over from previous trading period under the scheme itself. </w:t>
      </w:r>
    </w:p>
  </w:footnote>
  <w:footnote w:id="6">
    <w:p>
      <w:pPr>
        <w:pStyle w:val="FootnoteText"/>
      </w:pPr>
      <w:r>
        <w:rPr>
          <w:rStyle w:val="FootnoteReference"/>
        </w:rPr>
        <w:footnoteRef/>
      </w:r>
      <w:r>
        <w:t xml:space="preserve"> In addition to the 28 MS, </w:t>
      </w:r>
      <w:r>
        <w:rPr>
          <w:rFonts w:eastAsia="Times New Roman"/>
          <w:noProof/>
          <w:color w:val="000000"/>
          <w:lang w:eastAsia="de-DE"/>
        </w:rPr>
        <w:t>Iceland, Liechtenstein and Norway are also covered under the EU-ETS.</w:t>
      </w:r>
      <w:r>
        <w:rPr>
          <w:rFonts w:ascii="Times New Roman" w:eastAsia="Times New Roman" w:hAnsi="Times New Roman"/>
          <w:noProof/>
          <w:color w:val="000000"/>
          <w:lang w:eastAsia="de-DE"/>
        </w:rPr>
        <w:t xml:space="preserve"> </w:t>
      </w:r>
    </w:p>
  </w:footnote>
  <w:footnote w:id="7">
    <w:p>
      <w:pPr>
        <w:rPr>
          <w:sz w:val="20"/>
          <w:szCs w:val="20"/>
        </w:rPr>
      </w:pPr>
      <w:r>
        <w:rPr>
          <w:rStyle w:val="FootnoteReference"/>
        </w:rPr>
        <w:footnoteRef/>
      </w:r>
      <w:r>
        <w:t xml:space="preserve"> </w:t>
      </w:r>
      <w:r>
        <w:rPr>
          <w:sz w:val="20"/>
          <w:szCs w:val="20"/>
        </w:rPr>
        <w:t>The sectors correspond to IPCC sectors. Energy supply includes IPCC sectors 1.A.1, 1.B, 1.C. Energy use includes IPCC sectors 1.A.2, 1.A.4, 1.A.5, 6. International aviation is not included.</w:t>
      </w:r>
    </w:p>
    <w:p>
      <w:pPr>
        <w:pStyle w:val="FootnoteText"/>
      </w:pPr>
    </w:p>
  </w:footnote>
  <w:footnote w:id="8">
    <w:p>
      <w:pPr>
        <w:rPr>
          <w:sz w:val="20"/>
          <w:szCs w:val="20"/>
        </w:rPr>
      </w:pPr>
      <w:r>
        <w:rPr>
          <w:rStyle w:val="FootnoteReference"/>
        </w:rPr>
        <w:footnoteRef/>
      </w:r>
      <w:r>
        <w:t xml:space="preserve"> </w:t>
      </w:r>
      <w:r>
        <w:rPr>
          <w:sz w:val="20"/>
          <w:szCs w:val="20"/>
        </w:rPr>
        <w:t xml:space="preserve">The sectors correspond to IPCC sectors. Energy supply includes IPCC sectors 1.A.1, 1.B, 1.C. Energy use includes IPCC sectors 1.A.2, 1.A.4, 1.A.5, 6. International aviation is not included. </w:t>
      </w:r>
    </w:p>
    <w:p>
      <w:pPr>
        <w:pStyle w:val="FootnoteText"/>
      </w:pPr>
    </w:p>
  </w:footnote>
  <w:footnote w:id="9">
    <w:p>
      <w:pPr>
        <w:pStyle w:val="FootnoteText"/>
      </w:pPr>
      <w:r>
        <w:rPr>
          <w:rStyle w:val="FootnoteReference"/>
        </w:rPr>
        <w:footnoteRef/>
      </w:r>
      <w:r>
        <w:t xml:space="preserve"> The sectors correspond to IPPC sectors. Energy supply includes IPCC sectors 1.A.1, 1.B, 1.C. Energy use includes IPCC sectors 1.A.2, 1.A.4, 1.A.5, 6. International aviation is not included. </w:t>
      </w:r>
    </w:p>
  </w:footnote>
  <w:footnote w:id="10">
    <w:p>
      <w:pPr>
        <w:pStyle w:val="FootnoteText"/>
      </w:pPr>
      <w:r>
        <w:rPr>
          <w:rStyle w:val="FootnoteReference"/>
        </w:rPr>
        <w:footnoteRef/>
      </w:r>
      <w:r>
        <w:t xml:space="preserve"> The projections are based on scenarios where existing measures are maintained (WEM scenarios). </w:t>
      </w:r>
    </w:p>
  </w:footnote>
  <w:footnote w:id="11">
    <w:p>
      <w:pPr>
        <w:pStyle w:val="FootnoteText"/>
      </w:pPr>
      <w:r>
        <w:rPr>
          <w:rStyle w:val="FootnoteReference"/>
        </w:rPr>
        <w:footnoteRef/>
      </w:r>
      <w:r>
        <w:t xml:space="preserve"> Percentages reflect average annual change in the period 1990-2016. </w:t>
      </w:r>
    </w:p>
  </w:footnote>
  <w:footnote w:id="12">
    <w:p>
      <w:pPr>
        <w:pStyle w:val="FootnoteText"/>
      </w:pPr>
      <w:r>
        <w:rPr>
          <w:rStyle w:val="FootnoteReference"/>
        </w:rPr>
        <w:footnoteRef/>
      </w:r>
      <w:r>
        <w:t xml:space="preserve"> Emissions data used are national totals (including international aviation). </w:t>
      </w:r>
    </w:p>
  </w:footnote>
  <w:footnote w:id="13">
    <w:p>
      <w:pPr>
        <w:pStyle w:val="FootnoteText"/>
      </w:pPr>
      <w:r>
        <w:rPr>
          <w:rStyle w:val="FootnoteReference"/>
        </w:rPr>
        <w:footnoteRef/>
      </w:r>
      <w:r>
        <w:t xml:space="preserve"> Numbers show tonnes CO</w:t>
      </w:r>
      <w:r>
        <w:rPr>
          <w:vertAlign w:val="subscript"/>
        </w:rPr>
        <w:t>2</w:t>
      </w:r>
      <w:r>
        <w:t xml:space="preserve">-eq. per capita in 2016. </w:t>
      </w:r>
    </w:p>
  </w:footnote>
  <w:footnote w:id="14">
    <w:p>
      <w:pPr>
        <w:pStyle w:val="FootnoteText"/>
      </w:pPr>
      <w:r>
        <w:rPr>
          <w:rStyle w:val="FootnoteReference"/>
        </w:rPr>
        <w:footnoteRef/>
      </w:r>
      <w:r>
        <w:t xml:space="preserve"> Emissions data used are national totals (including international aviation). Population data used are 'average population – total'. </w:t>
      </w:r>
    </w:p>
  </w:footnote>
  <w:footnote w:id="15">
    <w:p>
      <w:pPr>
        <w:pStyle w:val="FootnoteText"/>
      </w:pPr>
      <w:r>
        <w:rPr>
          <w:rStyle w:val="FootnoteReference"/>
        </w:rPr>
        <w:footnoteRef/>
      </w:r>
      <w:r>
        <w:t xml:space="preserve"> Emissions from international aviation is covered by the EU Climate and Energy Package, but not by the obligation under the Kyoto Protocol. </w:t>
      </w:r>
    </w:p>
  </w:footnote>
  <w:footnote w:id="16">
    <w:p>
      <w:pPr>
        <w:pStyle w:val="FootnoteText"/>
      </w:pPr>
      <w:r>
        <w:rPr>
          <w:rStyle w:val="FootnoteReference"/>
        </w:rPr>
        <w:footnoteRef/>
      </w:r>
      <w:r>
        <w:t xml:space="preserve"> Preliminary numbers. </w:t>
      </w:r>
    </w:p>
  </w:footnote>
  <w:footnote w:id="17">
    <w:p>
      <w:pPr>
        <w:autoSpaceDE w:val="0"/>
        <w:autoSpaceDN w:val="0"/>
        <w:adjustRightInd w:val="0"/>
        <w:spacing w:after="0"/>
        <w:rPr>
          <w:rStyle w:val="Hyperlink"/>
          <w:rFonts w:ascii="Times New Roman" w:hAnsi="Times New Roman"/>
          <w:bCs/>
          <w:sz w:val="18"/>
          <w:szCs w:val="18"/>
          <w:lang w:eastAsia="en-GB"/>
        </w:rPr>
      </w:pPr>
      <w:r>
        <w:rPr>
          <w:rStyle w:val="FootnoteReference"/>
        </w:rPr>
        <w:footnoteRef/>
      </w:r>
      <w:r>
        <w:t xml:space="preserve"> </w:t>
      </w:r>
      <w:r>
        <w:rPr>
          <w:rFonts w:ascii="Times New Roman" w:hAnsi="Times New Roman"/>
          <w:sz w:val="18"/>
          <w:szCs w:val="18"/>
          <w:lang w:eastAsia="en-GB"/>
        </w:rPr>
        <w:t xml:space="preserve">GDP data as reported on: </w:t>
      </w:r>
      <w:hyperlink r:id="rId2" w:history="1">
        <w:r>
          <w:rPr>
            <w:rStyle w:val="Hyperlink"/>
            <w:rFonts w:ascii="Times New Roman" w:hAnsi="Times New Roman"/>
            <w:bCs/>
            <w:sz w:val="18"/>
            <w:szCs w:val="18"/>
            <w:lang w:eastAsia="en-GB"/>
          </w:rPr>
          <w:t>http://epp.eurostat.ec.europa.eu/tgm/table.do?tab=table&amp;init=1&amp;plugin=1&amp;language=en&amp;pcode=tec00115</w:t>
        </w:r>
      </w:hyperlink>
      <w:r>
        <w:rPr>
          <w:rStyle w:val="Hyperlink"/>
          <w:rFonts w:ascii="Times New Roman" w:hAnsi="Times New Roman"/>
          <w:bCs/>
          <w:sz w:val="18"/>
          <w:szCs w:val="18"/>
          <w:lang w:eastAsia="en-GB"/>
        </w:rPr>
        <w:t xml:space="preserve"> </w:t>
      </w:r>
    </w:p>
    <w:p>
      <w:pPr>
        <w:autoSpaceDE w:val="0"/>
        <w:autoSpaceDN w:val="0"/>
        <w:adjustRightInd w:val="0"/>
        <w:spacing w:after="0"/>
        <w:rPr>
          <w:rFonts w:ascii="Times New Roman" w:hAnsi="Times New Roman"/>
          <w:bCs/>
          <w:color w:val="0000FF" w:themeColor="hyperlink"/>
          <w:sz w:val="18"/>
          <w:szCs w:val="18"/>
          <w:u w:val="single"/>
          <w:lang w:eastAsia="en-GB"/>
        </w:rPr>
      </w:pPr>
      <w:r>
        <w:rPr>
          <w:rStyle w:val="Hyperlink"/>
          <w:rFonts w:ascii="Times New Roman" w:hAnsi="Times New Roman"/>
          <w:bCs/>
          <w:sz w:val="18"/>
          <w:szCs w:val="18"/>
          <w:lang w:eastAsia="en-GB"/>
        </w:rPr>
        <w:t>(accessed in July 2017). Verified aviation emissions are reported separately in section 4.</w:t>
      </w:r>
    </w:p>
  </w:footnote>
  <w:footnote w:id="18">
    <w:p>
      <w:r>
        <w:rPr>
          <w:rStyle w:val="FootnoteReference"/>
        </w:rPr>
        <w:footnoteRef/>
      </w:r>
      <w:r>
        <w:t xml:space="preserve"> The relative gap to target is calculated as follows: (emissions year x) – (ESD target year x). Negative values indicate over-delivery while positive values indicate shortfall towards ESD target.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016"/>
    <w:multiLevelType w:val="hybridMultilevel"/>
    <w:tmpl w:val="965844A6"/>
    <w:lvl w:ilvl="0" w:tplc="56567A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0356FD"/>
    <w:multiLevelType w:val="hybridMultilevel"/>
    <w:tmpl w:val="03C290FA"/>
    <w:lvl w:ilvl="0" w:tplc="69B6E9E0">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47C9AE9-F683-4ACC-8308-4436D8CF2B93"/>
    <w:docVar w:name="LW_COVERPAGE_TYPE" w:val="1"/>
    <w:docVar w:name="LW_CROSSREFERENCE" w:val="{COM(2017) 646 final}"/>
    <w:docVar w:name="LW_DocType" w:val="NORMAL"/>
    <w:docVar w:name="LW_EMISSION" w:val="7.11.2017"/>
    <w:docVar w:name="LW_EMISSION_ISODATE" w:val="2017-11-0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Two years after Paris - Progress towards meeting the EU's climate commitments_x000b__x000b_(required under Article 21 of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w:docVar w:name="LW_PART_NBR" w:val="1"/>
    <w:docVar w:name="LW_PART_NBR_TOTAL" w:val="1"/>
    <w:docVar w:name="LW_REF.INST.NEW" w:val="SWD"/>
    <w:docVar w:name="LW_REF.INST.NEW_ADOPTED" w:val="final"/>
    <w:docVar w:name="LW_REF.INST.NEW_TEXT" w:val="(2017) 3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echnical Information"/>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aliases w:val="-E Fußnotentext,footnote text,Fußnotentext Ursprung,-E Fußnotentext1,-E Fußnotentext2,-E Fußnotentext3,Fußnotentextf,Footnote,Footnote Text Char1,Footnote1,footnote text1,Fußnotentext Ursprung1,Footnote Text Char2,Car,Fußnote,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E Fußnotentext Char,footnote text Char,Fußnotentext Ursprung Char,-E Fußnotentext1 Char,-E Fußnotentext2 Char,-E Fußnotentext3 Char,Fußnotentextf Char,Footnote Char,Footnote Text Char1 Char,Footnote1 Char,footnote text1 Char,Car Char"/>
    <w:basedOn w:val="DefaultParagraphFont"/>
    <w:link w:val="FootnoteText"/>
    <w:uiPriority w:val="99"/>
    <w:rPr>
      <w:sz w:val="20"/>
      <w:szCs w:val="20"/>
    </w:rPr>
  </w:style>
  <w:style w:type="character" w:styleId="FootnoteReference">
    <w:name w:val="footnote reference"/>
    <w:aliases w:val="number,Footnote reference number,Footnote symbol,note TESI,-E Fußnotenzeichen,SUPERS,stylish,EN Footnote Reference,(Diplomarbeit FZ),(Diplomarbeit FZ)1,(Diplomarbeit FZ)2,(Diplomarbeit FZ)3,(Diplomarbeit FZ)4,(Diplomarbeit FZ)5,BVI fn"/>
    <w:basedOn w:val="DefaultParagraphFont"/>
    <w:link w:val="SUPERSCharCharCharCharCharCharCharChar"/>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link w:val="CaptionChar"/>
    <w:uiPriority w:val="35"/>
    <w:unhideWhenUsed/>
    <w:qFormat/>
    <w:pPr>
      <w:spacing w:line="240" w:lineRule="auto"/>
    </w:pPr>
    <w:rPr>
      <w:b/>
      <w:bCs/>
      <w:color w:val="4F81BD" w:themeColor="accent1"/>
      <w:sz w:val="18"/>
      <w:szCs w:val="18"/>
    </w:r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1"/>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uiPriority w:val="99"/>
    <w:semiHidden/>
    <w:rPr>
      <w:sz w:val="20"/>
      <w:szCs w:val="20"/>
    </w:rPr>
  </w:style>
  <w:style w:type="character" w:customStyle="1" w:styleId="CommentTextChar1">
    <w:name w:val="Comment Text Char1"/>
    <w:link w:val="CommentText"/>
    <w:uiPriority w:val="99"/>
    <w:rPr>
      <w:rFonts w:ascii="Times New Roman" w:eastAsia="Times New Roman" w:hAnsi="Times New Roman" w:cs="Times New Roman"/>
      <w:sz w:val="20"/>
      <w:szCs w:val="20"/>
      <w:lang w:val="x-non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ableofFigures">
    <w:name w:val="table of figures"/>
    <w:basedOn w:val="Normal"/>
    <w:next w:val="Normal"/>
    <w:uiPriority w:val="99"/>
    <w:unhideWhenUsed/>
    <w:pPr>
      <w:spacing w:after="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Pr>
      <w:b/>
      <w:bCs/>
    </w:rPr>
  </w:style>
  <w:style w:type="paragraph" w:customStyle="1" w:styleId="Tableheading">
    <w:name w:val="Table heading"/>
    <w:basedOn w:val="Caption"/>
    <w:link w:val="TableheadingChar"/>
    <w:qFormat/>
    <w:pPr>
      <w:keepNext/>
    </w:pPr>
    <w:rPr>
      <w:color w:val="auto"/>
      <w:sz w:val="22"/>
      <w:szCs w:val="22"/>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lang w:val="en-GB"/>
    </w:rPr>
  </w:style>
  <w:style w:type="character" w:customStyle="1" w:styleId="CaptionChar">
    <w:name w:val="Caption Char"/>
    <w:basedOn w:val="DefaultParagraphFont"/>
    <w:link w:val="Caption"/>
    <w:uiPriority w:val="35"/>
    <w:rPr>
      <w:b/>
      <w:bCs/>
      <w:color w:val="4F81BD" w:themeColor="accent1"/>
      <w:sz w:val="18"/>
      <w:szCs w:val="18"/>
    </w:rPr>
  </w:style>
  <w:style w:type="character" w:customStyle="1" w:styleId="TableheadingChar">
    <w:name w:val="Table heading Char"/>
    <w:basedOn w:val="CaptionChar"/>
    <w:link w:val="Tableheading"/>
    <w:rPr>
      <w:b/>
      <w:bCs/>
      <w:color w:val="4F81BD" w:themeColor="accent1"/>
      <w:sz w:val="18"/>
      <w:szCs w:val="18"/>
    </w:rPr>
  </w:style>
  <w:style w:type="character" w:customStyle="1" w:styleId="CommentSubjectChar">
    <w:name w:val="Comment Subject Char"/>
    <w:basedOn w:val="CommentTextChar1"/>
    <w:link w:val="CommentSubject"/>
    <w:uiPriority w:val="99"/>
    <w:semiHidden/>
    <w:rPr>
      <w:rFonts w:ascii="Times New Roman" w:eastAsia="Times New Roman" w:hAnsi="Times New Roman" w:cs="Times New Roman"/>
      <w:b/>
      <w:bCs/>
      <w:sz w:val="20"/>
      <w:szCs w:val="20"/>
      <w:lang w:val="x-none"/>
    </w:r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aliases w:val="-E Fußnotentext,footnote text,Fußnotentext Ursprung,-E Fußnotentext1,-E Fußnotentext2,-E Fußnotentext3,Fußnotentextf,Footnote,Footnote Text Char1,Footnote1,footnote text1,Fußnotentext Ursprung1,Footnote Text Char2,Car,Fußnote,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E Fußnotentext Char,footnote text Char,Fußnotentext Ursprung Char,-E Fußnotentext1 Char,-E Fußnotentext2 Char,-E Fußnotentext3 Char,Fußnotentextf Char,Footnote Char,Footnote Text Char1 Char,Footnote1 Char,footnote text1 Char,Car Char"/>
    <w:basedOn w:val="DefaultParagraphFont"/>
    <w:link w:val="FootnoteText"/>
    <w:uiPriority w:val="99"/>
    <w:rPr>
      <w:sz w:val="20"/>
      <w:szCs w:val="20"/>
    </w:rPr>
  </w:style>
  <w:style w:type="character" w:styleId="FootnoteReference">
    <w:name w:val="footnote reference"/>
    <w:aliases w:val="number,Footnote reference number,Footnote symbol,note TESI,-E Fußnotenzeichen,SUPERS,stylish,EN Footnote Reference,(Diplomarbeit FZ),(Diplomarbeit FZ)1,(Diplomarbeit FZ)2,(Diplomarbeit FZ)3,(Diplomarbeit FZ)4,(Diplomarbeit FZ)5,BVI fn"/>
    <w:basedOn w:val="DefaultParagraphFont"/>
    <w:link w:val="SUPERSCharCharCharCharCharCharCharChar"/>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link w:val="CaptionChar"/>
    <w:uiPriority w:val="35"/>
    <w:unhideWhenUsed/>
    <w:qFormat/>
    <w:pPr>
      <w:spacing w:line="240" w:lineRule="auto"/>
    </w:pPr>
    <w:rPr>
      <w:b/>
      <w:bCs/>
      <w:color w:val="4F81BD" w:themeColor="accent1"/>
      <w:sz w:val="18"/>
      <w:szCs w:val="18"/>
    </w:r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1"/>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uiPriority w:val="99"/>
    <w:semiHidden/>
    <w:rPr>
      <w:sz w:val="20"/>
      <w:szCs w:val="20"/>
    </w:rPr>
  </w:style>
  <w:style w:type="character" w:customStyle="1" w:styleId="CommentTextChar1">
    <w:name w:val="Comment Text Char1"/>
    <w:link w:val="CommentText"/>
    <w:uiPriority w:val="99"/>
    <w:rPr>
      <w:rFonts w:ascii="Times New Roman" w:eastAsia="Times New Roman" w:hAnsi="Times New Roman" w:cs="Times New Roman"/>
      <w:sz w:val="20"/>
      <w:szCs w:val="20"/>
      <w:lang w:val="x-non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ableofFigures">
    <w:name w:val="table of figures"/>
    <w:basedOn w:val="Normal"/>
    <w:next w:val="Normal"/>
    <w:uiPriority w:val="99"/>
    <w:unhideWhenUsed/>
    <w:pPr>
      <w:spacing w:after="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Pr>
      <w:b/>
      <w:bCs/>
    </w:rPr>
  </w:style>
  <w:style w:type="paragraph" w:customStyle="1" w:styleId="Tableheading">
    <w:name w:val="Table heading"/>
    <w:basedOn w:val="Caption"/>
    <w:link w:val="TableheadingChar"/>
    <w:qFormat/>
    <w:pPr>
      <w:keepNext/>
    </w:pPr>
    <w:rPr>
      <w:color w:val="auto"/>
      <w:sz w:val="22"/>
      <w:szCs w:val="22"/>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lang w:val="en-GB"/>
    </w:rPr>
  </w:style>
  <w:style w:type="character" w:customStyle="1" w:styleId="CaptionChar">
    <w:name w:val="Caption Char"/>
    <w:basedOn w:val="DefaultParagraphFont"/>
    <w:link w:val="Caption"/>
    <w:uiPriority w:val="35"/>
    <w:rPr>
      <w:b/>
      <w:bCs/>
      <w:color w:val="4F81BD" w:themeColor="accent1"/>
      <w:sz w:val="18"/>
      <w:szCs w:val="18"/>
    </w:rPr>
  </w:style>
  <w:style w:type="character" w:customStyle="1" w:styleId="TableheadingChar">
    <w:name w:val="Table heading Char"/>
    <w:basedOn w:val="CaptionChar"/>
    <w:link w:val="Tableheading"/>
    <w:rPr>
      <w:b/>
      <w:bCs/>
      <w:color w:val="4F81BD" w:themeColor="accent1"/>
      <w:sz w:val="18"/>
      <w:szCs w:val="18"/>
    </w:rPr>
  </w:style>
  <w:style w:type="character" w:customStyle="1" w:styleId="CommentSubjectChar">
    <w:name w:val="Comment Subject Char"/>
    <w:basedOn w:val="CommentTextChar1"/>
    <w:link w:val="CommentSubject"/>
    <w:uiPriority w:val="99"/>
    <w:semiHidden/>
    <w:rPr>
      <w:rFonts w:ascii="Times New Roman" w:eastAsia="Times New Roman" w:hAnsi="Times New Roman" w:cs="Times New Roman"/>
      <w:b/>
      <w:bCs/>
      <w:sz w:val="20"/>
      <w:szCs w:val="20"/>
      <w:lang w:val="x-none"/>
    </w:r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0593">
      <w:bodyDiv w:val="1"/>
      <w:marLeft w:val="0"/>
      <w:marRight w:val="0"/>
      <w:marTop w:val="0"/>
      <w:marBottom w:val="0"/>
      <w:divBdr>
        <w:top w:val="none" w:sz="0" w:space="0" w:color="auto"/>
        <w:left w:val="none" w:sz="0" w:space="0" w:color="auto"/>
        <w:bottom w:val="none" w:sz="0" w:space="0" w:color="auto"/>
        <w:right w:val="none" w:sz="0" w:space="0" w:color="auto"/>
      </w:divBdr>
    </w:div>
    <w:div w:id="197937858">
      <w:bodyDiv w:val="1"/>
      <w:marLeft w:val="0"/>
      <w:marRight w:val="0"/>
      <w:marTop w:val="0"/>
      <w:marBottom w:val="0"/>
      <w:divBdr>
        <w:top w:val="none" w:sz="0" w:space="0" w:color="auto"/>
        <w:left w:val="none" w:sz="0" w:space="0" w:color="auto"/>
        <w:bottom w:val="none" w:sz="0" w:space="0" w:color="auto"/>
        <w:right w:val="none" w:sz="0" w:space="0" w:color="auto"/>
      </w:divBdr>
    </w:div>
    <w:div w:id="245456799">
      <w:bodyDiv w:val="1"/>
      <w:marLeft w:val="0"/>
      <w:marRight w:val="0"/>
      <w:marTop w:val="0"/>
      <w:marBottom w:val="0"/>
      <w:divBdr>
        <w:top w:val="none" w:sz="0" w:space="0" w:color="auto"/>
        <w:left w:val="none" w:sz="0" w:space="0" w:color="auto"/>
        <w:bottom w:val="none" w:sz="0" w:space="0" w:color="auto"/>
        <w:right w:val="none" w:sz="0" w:space="0" w:color="auto"/>
      </w:divBdr>
    </w:div>
    <w:div w:id="464393439">
      <w:bodyDiv w:val="1"/>
      <w:marLeft w:val="0"/>
      <w:marRight w:val="0"/>
      <w:marTop w:val="0"/>
      <w:marBottom w:val="0"/>
      <w:divBdr>
        <w:top w:val="none" w:sz="0" w:space="0" w:color="auto"/>
        <w:left w:val="none" w:sz="0" w:space="0" w:color="auto"/>
        <w:bottom w:val="none" w:sz="0" w:space="0" w:color="auto"/>
        <w:right w:val="none" w:sz="0" w:space="0" w:color="auto"/>
      </w:divBdr>
    </w:div>
    <w:div w:id="776371176">
      <w:bodyDiv w:val="1"/>
      <w:marLeft w:val="0"/>
      <w:marRight w:val="0"/>
      <w:marTop w:val="0"/>
      <w:marBottom w:val="0"/>
      <w:divBdr>
        <w:top w:val="none" w:sz="0" w:space="0" w:color="auto"/>
        <w:left w:val="none" w:sz="0" w:space="0" w:color="auto"/>
        <w:bottom w:val="none" w:sz="0" w:space="0" w:color="auto"/>
        <w:right w:val="none" w:sz="0" w:space="0" w:color="auto"/>
      </w:divBdr>
    </w:div>
    <w:div w:id="1021513975">
      <w:bodyDiv w:val="1"/>
      <w:marLeft w:val="0"/>
      <w:marRight w:val="0"/>
      <w:marTop w:val="0"/>
      <w:marBottom w:val="0"/>
      <w:divBdr>
        <w:top w:val="none" w:sz="0" w:space="0" w:color="auto"/>
        <w:left w:val="none" w:sz="0" w:space="0" w:color="auto"/>
        <w:bottom w:val="none" w:sz="0" w:space="0" w:color="auto"/>
        <w:right w:val="none" w:sz="0" w:space="0" w:color="auto"/>
      </w:divBdr>
    </w:div>
    <w:div w:id="1070075023">
      <w:bodyDiv w:val="1"/>
      <w:marLeft w:val="0"/>
      <w:marRight w:val="0"/>
      <w:marTop w:val="0"/>
      <w:marBottom w:val="0"/>
      <w:divBdr>
        <w:top w:val="none" w:sz="0" w:space="0" w:color="auto"/>
        <w:left w:val="none" w:sz="0" w:space="0" w:color="auto"/>
        <w:bottom w:val="none" w:sz="0" w:space="0" w:color="auto"/>
        <w:right w:val="none" w:sz="0" w:space="0" w:color="auto"/>
      </w:divBdr>
    </w:div>
    <w:div w:id="1392734856">
      <w:bodyDiv w:val="1"/>
      <w:marLeft w:val="0"/>
      <w:marRight w:val="0"/>
      <w:marTop w:val="0"/>
      <w:marBottom w:val="0"/>
      <w:divBdr>
        <w:top w:val="none" w:sz="0" w:space="0" w:color="auto"/>
        <w:left w:val="none" w:sz="0" w:space="0" w:color="auto"/>
        <w:bottom w:val="none" w:sz="0" w:space="0" w:color="auto"/>
        <w:right w:val="none" w:sz="0" w:space="0" w:color="auto"/>
      </w:divBdr>
    </w:div>
    <w:div w:id="1550729124">
      <w:bodyDiv w:val="1"/>
      <w:marLeft w:val="0"/>
      <w:marRight w:val="0"/>
      <w:marTop w:val="0"/>
      <w:marBottom w:val="0"/>
      <w:divBdr>
        <w:top w:val="none" w:sz="0" w:space="0" w:color="auto"/>
        <w:left w:val="none" w:sz="0" w:space="0" w:color="auto"/>
        <w:bottom w:val="none" w:sz="0" w:space="0" w:color="auto"/>
        <w:right w:val="none" w:sz="0" w:space="0" w:color="auto"/>
      </w:divBdr>
    </w:div>
    <w:div w:id="1607688761">
      <w:bodyDiv w:val="1"/>
      <w:marLeft w:val="0"/>
      <w:marRight w:val="0"/>
      <w:marTop w:val="0"/>
      <w:marBottom w:val="0"/>
      <w:divBdr>
        <w:top w:val="none" w:sz="0" w:space="0" w:color="auto"/>
        <w:left w:val="none" w:sz="0" w:space="0" w:color="auto"/>
        <w:bottom w:val="none" w:sz="0" w:space="0" w:color="auto"/>
        <w:right w:val="none" w:sz="0" w:space="0" w:color="auto"/>
      </w:divBdr>
    </w:div>
    <w:div w:id="1719434706">
      <w:bodyDiv w:val="1"/>
      <w:marLeft w:val="0"/>
      <w:marRight w:val="0"/>
      <w:marTop w:val="0"/>
      <w:marBottom w:val="0"/>
      <w:divBdr>
        <w:top w:val="none" w:sz="0" w:space="0" w:color="auto"/>
        <w:left w:val="none" w:sz="0" w:space="0" w:color="auto"/>
        <w:bottom w:val="none" w:sz="0" w:space="0" w:color="auto"/>
        <w:right w:val="none" w:sz="0" w:space="0" w:color="auto"/>
      </w:divBdr>
    </w:div>
    <w:div w:id="1809856415">
      <w:bodyDiv w:val="1"/>
      <w:marLeft w:val="0"/>
      <w:marRight w:val="0"/>
      <w:marTop w:val="0"/>
      <w:marBottom w:val="0"/>
      <w:divBdr>
        <w:top w:val="none" w:sz="0" w:space="0" w:color="auto"/>
        <w:left w:val="none" w:sz="0" w:space="0" w:color="auto"/>
        <w:bottom w:val="none" w:sz="0" w:space="0" w:color="auto"/>
        <w:right w:val="none" w:sz="0" w:space="0" w:color="auto"/>
      </w:divBdr>
    </w:div>
    <w:div w:id="196688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image" Target="cid:image004.png@01D21003.2E7BFE70" TargetMode="External"/><Relationship Id="rId21" Type="http://schemas.openxmlformats.org/officeDocument/2006/relationships/footer" Target="footer4.xml"/><Relationship Id="rId34" Type="http://schemas.openxmlformats.org/officeDocument/2006/relationships/chart" Target="charts/chart3.xml"/><Relationship Id="rId42" Type="http://schemas.openxmlformats.org/officeDocument/2006/relationships/footer" Target="footer10.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footer" Target="footer17.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file:///C:/Users/veragsi/AppData/Local/Microsoft/Windows/Temporary%20Internet%20Files/Content.MSO/E0DB9A89.xlsx" TargetMode="External"/><Relationship Id="rId33" Type="http://schemas.openxmlformats.org/officeDocument/2006/relationships/chart" Target="charts/chart2.xml"/><Relationship Id="rId38" Type="http://schemas.openxmlformats.org/officeDocument/2006/relationships/image" Target="media/image3.png"/><Relationship Id="rId46" Type="http://schemas.openxmlformats.org/officeDocument/2006/relationships/header" Target="header13.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header" Target="header11.xml"/><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chart" Target="charts/chart1.xml"/><Relationship Id="rId37" Type="http://schemas.openxmlformats.org/officeDocument/2006/relationships/image" Target="media/image2.png"/><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header" Target="header17.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chart" Target="charts/chart5.xml"/><Relationship Id="rId49" Type="http://schemas.openxmlformats.org/officeDocument/2006/relationships/footer" Target="footer14.xml"/><Relationship Id="rId57" Type="http://schemas.openxmlformats.org/officeDocument/2006/relationships/footer" Target="footer1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4" Type="http://schemas.openxmlformats.org/officeDocument/2006/relationships/header" Target="header12.xml"/><Relationship Id="rId52"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chart" Target="charts/chart4.xml"/><Relationship Id="rId43" Type="http://schemas.openxmlformats.org/officeDocument/2006/relationships/footer" Target="footer11.xml"/><Relationship Id="rId48" Type="http://schemas.openxmlformats.org/officeDocument/2006/relationships/footer" Target="footer13.xml"/><Relationship Id="rId56" Type="http://schemas.openxmlformats.org/officeDocument/2006/relationships/header" Target="header18.xml"/><Relationship Id="rId8" Type="http://schemas.openxmlformats.org/officeDocument/2006/relationships/settings" Target="settings.xml"/><Relationship Id="rId51" Type="http://schemas.openxmlformats.org/officeDocument/2006/relationships/footer" Target="footer15.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epp.eurostat.ec.europa.eu/tgm/table.do?tab=table&amp;init=1&amp;plugin=1&amp;language=en&amp;pcode=tec00115" TargetMode="External"/><Relationship Id="rId1" Type="http://schemas.openxmlformats.org/officeDocument/2006/relationships/hyperlink" Target="https://ec.europa.eu/energy/en/news/commission-proposes-new-rules-consumer-centred-clean-energy-transitio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7\2017%20progress%20report%20data%20and%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7\2017%20progress%20report%20data%20and%20figu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7\2017%20progress%20report%20data%20and%20figur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7\2017%20progress%20report%20data%20and%20figur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7\2017%20progress%20report%20data%20and%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numFmt formatCode="0.0%" sourceLinked="0"/>
            <c:showLegendKey val="0"/>
            <c:showVal val="0"/>
            <c:showCatName val="1"/>
            <c:showSerName val="0"/>
            <c:showPercent val="1"/>
            <c:showBubbleSize val="0"/>
            <c:showLeaderLines val="1"/>
          </c:dLbls>
          <c:cat>
            <c:strRef>
              <c:f>'EU by sector (condensed)'!$A$3:$A$8</c:f>
              <c:strCache>
                <c:ptCount val="6"/>
                <c:pt idx="0">
                  <c:v>Energy supply</c:v>
                </c:pt>
                <c:pt idx="1">
                  <c:v>Energy use </c:v>
                </c:pt>
                <c:pt idx="2">
                  <c:v>Transport</c:v>
                </c:pt>
                <c:pt idx="3">
                  <c:v>Industrial processes</c:v>
                </c:pt>
                <c:pt idx="4">
                  <c:v>Agriculture</c:v>
                </c:pt>
                <c:pt idx="5">
                  <c:v>Waste</c:v>
                </c:pt>
              </c:strCache>
            </c:strRef>
          </c:cat>
          <c:val>
            <c:numRef>
              <c:f>'EU by sector (condensed)'!$AB$3:$AB$8</c:f>
              <c:numCache>
                <c:formatCode>_-* #,##0_-;\-* #,##0_-;_-* "-"??_-;_-@_-</c:formatCode>
                <c:ptCount val="6"/>
                <c:pt idx="0">
                  <c:v>1331271608.1860898</c:v>
                </c:pt>
                <c:pt idx="1">
                  <c:v>1120810366.7126195</c:v>
                </c:pt>
                <c:pt idx="2">
                  <c:v>905887844.87867796</c:v>
                </c:pt>
                <c:pt idx="3">
                  <c:v>373937410.950921</c:v>
                </c:pt>
                <c:pt idx="4">
                  <c:v>436748314.62324202</c:v>
                </c:pt>
                <c:pt idx="5">
                  <c:v>139312777.381331</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'EU historical change by sector'!$B$4</c:f>
              <c:strCache>
                <c:ptCount val="1"/>
                <c:pt idx="0">
                  <c:v>2015/1990</c:v>
                </c:pt>
              </c:strCache>
            </c:strRef>
          </c:tx>
          <c:invertIfNegative val="0"/>
          <c:cat>
            <c:strRef>
              <c:f>'EU historical change by sector'!$A$5:$A$10</c:f>
              <c:strCache>
                <c:ptCount val="6"/>
                <c:pt idx="0">
                  <c:v>Energy supply</c:v>
                </c:pt>
                <c:pt idx="1">
                  <c:v>Energy use </c:v>
                </c:pt>
                <c:pt idx="2">
                  <c:v>Transport</c:v>
                </c:pt>
                <c:pt idx="3">
                  <c:v>Industrial processes</c:v>
                </c:pt>
                <c:pt idx="4">
                  <c:v>Agriculture</c:v>
                </c:pt>
                <c:pt idx="5">
                  <c:v>Waste</c:v>
                </c:pt>
              </c:strCache>
            </c:strRef>
          </c:cat>
          <c:val>
            <c:numRef>
              <c:f>'EU historical change by sector'!$B$5:$B$10</c:f>
              <c:numCache>
                <c:formatCode>0.0%</c:formatCode>
                <c:ptCount val="6"/>
                <c:pt idx="0">
                  <c:v>-0.28832029919484381</c:v>
                </c:pt>
                <c:pt idx="1">
                  <c:v>-0.33450234204456347</c:v>
                </c:pt>
                <c:pt idx="2">
                  <c:v>0.15870912224138603</c:v>
                </c:pt>
                <c:pt idx="3">
                  <c:v>-0.27655768669132574</c:v>
                </c:pt>
                <c:pt idx="4">
                  <c:v>-0.20340578910808818</c:v>
                </c:pt>
                <c:pt idx="5">
                  <c:v>-0.42181341502734465</c:v>
                </c:pt>
              </c:numCache>
            </c:numRef>
          </c:val>
        </c:ser>
        <c:ser>
          <c:idx val="1"/>
          <c:order val="1"/>
          <c:tx>
            <c:strRef>
              <c:f>'EU historical change by sector'!$C$4</c:f>
              <c:strCache>
                <c:ptCount val="1"/>
                <c:pt idx="0">
                  <c:v>2015/2005</c:v>
                </c:pt>
              </c:strCache>
            </c:strRef>
          </c:tx>
          <c:invertIfNegative val="0"/>
          <c:cat>
            <c:strRef>
              <c:f>'EU historical change by sector'!$A$5:$A$10</c:f>
              <c:strCache>
                <c:ptCount val="6"/>
                <c:pt idx="0">
                  <c:v>Energy supply</c:v>
                </c:pt>
                <c:pt idx="1">
                  <c:v>Energy use </c:v>
                </c:pt>
                <c:pt idx="2">
                  <c:v>Transport</c:v>
                </c:pt>
                <c:pt idx="3">
                  <c:v>Industrial processes</c:v>
                </c:pt>
                <c:pt idx="4">
                  <c:v>Agriculture</c:v>
                </c:pt>
                <c:pt idx="5">
                  <c:v>Waste</c:v>
                </c:pt>
              </c:strCache>
            </c:strRef>
          </c:cat>
          <c:val>
            <c:numRef>
              <c:f>'EU historical change by sector'!$C$5:$C$10</c:f>
              <c:numCache>
                <c:formatCode>0.0%</c:formatCode>
                <c:ptCount val="6"/>
                <c:pt idx="0">
                  <c:v>-0.22195325456197013</c:v>
                </c:pt>
                <c:pt idx="1">
                  <c:v>-0.2143874117978582</c:v>
                </c:pt>
                <c:pt idx="2">
                  <c:v>-6.6765682633322734E-2</c:v>
                </c:pt>
                <c:pt idx="3">
                  <c:v>-0.18701088047533304</c:v>
                </c:pt>
                <c:pt idx="4">
                  <c:v>-7.0487398381593649E-3</c:v>
                </c:pt>
                <c:pt idx="5">
                  <c:v>-0.31361717901278324</c:v>
                </c:pt>
              </c:numCache>
            </c:numRef>
          </c:val>
        </c:ser>
        <c:dLbls>
          <c:dLblPos val="inEnd"/>
          <c:showLegendKey val="0"/>
          <c:showVal val="1"/>
          <c:showCatName val="0"/>
          <c:showSerName val="0"/>
          <c:showPercent val="0"/>
          <c:showBubbleSize val="0"/>
        </c:dLbls>
        <c:gapWidth val="75"/>
        <c:axId val="35597312"/>
        <c:axId val="35607296"/>
      </c:barChart>
      <c:catAx>
        <c:axId val="35597312"/>
        <c:scaling>
          <c:orientation val="minMax"/>
        </c:scaling>
        <c:delete val="0"/>
        <c:axPos val="l"/>
        <c:majorTickMark val="none"/>
        <c:minorTickMark val="none"/>
        <c:tickLblPos val="high"/>
        <c:crossAx val="35607296"/>
        <c:crosses val="autoZero"/>
        <c:auto val="1"/>
        <c:lblAlgn val="ctr"/>
        <c:lblOffset val="0"/>
        <c:noMultiLvlLbl val="0"/>
      </c:catAx>
      <c:valAx>
        <c:axId val="35607296"/>
        <c:scaling>
          <c:orientation val="minMax"/>
        </c:scaling>
        <c:delete val="0"/>
        <c:axPos val="b"/>
        <c:numFmt formatCode="0.0%" sourceLinked="1"/>
        <c:majorTickMark val="none"/>
        <c:minorTickMark val="none"/>
        <c:tickLblPos val="nextTo"/>
        <c:crossAx val="3559731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'EU by sector (condensed)'!$B$16</c:f>
              <c:strCache>
                <c:ptCount val="1"/>
                <c:pt idx="0">
                  <c:v>Energy supply</c:v>
                </c:pt>
              </c:strCache>
            </c:strRef>
          </c:tx>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(condensed)'!$C$16:$AV$16</c:f>
              <c:numCache>
                <c:formatCode>_(* #,##0.00_);_(* \(#,##0.00\);_(* "-"??_);_(@_)</c:formatCode>
                <c:ptCount val="46"/>
                <c:pt idx="0">
                  <c:v>1870.605002053537</c:v>
                </c:pt>
                <c:pt idx="1">
                  <c:v>1821.1964830401987</c:v>
                </c:pt>
                <c:pt idx="2">
                  <c:v>1756.310371568941</c:v>
                </c:pt>
                <c:pt idx="3">
                  <c:v>1686.066986223585</c:v>
                </c:pt>
                <c:pt idx="4">
                  <c:v>1684.7828969824689</c:v>
                </c:pt>
                <c:pt idx="5">
                  <c:v>1681.322924490285</c:v>
                </c:pt>
                <c:pt idx="6">
                  <c:v>1706.4212872792471</c:v>
                </c:pt>
                <c:pt idx="7">
                  <c:v>1653.7671646478741</c:v>
                </c:pt>
                <c:pt idx="8">
                  <c:v>1660.7786726575159</c:v>
                </c:pt>
                <c:pt idx="9">
                  <c:v>1612.9715318597839</c:v>
                </c:pt>
                <c:pt idx="10">
                  <c:v>1640.4178195760633</c:v>
                </c:pt>
                <c:pt idx="11">
                  <c:v>1681.1125045478941</c:v>
                </c:pt>
                <c:pt idx="12">
                  <c:v>1693.3578266436068</c:v>
                </c:pt>
                <c:pt idx="13">
                  <c:v>1741.108330393655</c:v>
                </c:pt>
                <c:pt idx="14">
                  <c:v>1720.5108007551589</c:v>
                </c:pt>
                <c:pt idx="15">
                  <c:v>1711.0432194361301</c:v>
                </c:pt>
                <c:pt idx="16">
                  <c:v>1718.0393464255828</c:v>
                </c:pt>
                <c:pt idx="17">
                  <c:v>1727.5401140455369</c:v>
                </c:pt>
                <c:pt idx="18">
                  <c:v>1649.4775669897799</c:v>
                </c:pt>
                <c:pt idx="19">
                  <c:v>1517.0847784792043</c:v>
                </c:pt>
                <c:pt idx="20">
                  <c:v>1541.0219503552933</c:v>
                </c:pt>
                <c:pt idx="21">
                  <c:v>1517.2504406899077</c:v>
                </c:pt>
                <c:pt idx="22">
                  <c:v>1509.8994709977942</c:v>
                </c:pt>
                <c:pt idx="23">
                  <c:v>1434.1690217644243</c:v>
                </c:pt>
                <c:pt idx="24">
                  <c:v>1343.6288010381202</c:v>
                </c:pt>
                <c:pt idx="25">
                  <c:v>1331.2716081860897</c:v>
                </c:pt>
                <c:pt idx="26">
                  <c:v>1276.3012151179416</c:v>
                </c:pt>
              </c:numCache>
            </c:numRef>
          </c:val>
          <c:smooth val="0"/>
        </c:ser>
        <c:ser>
          <c:idx val="1"/>
          <c:order val="1"/>
          <c:tx>
            <c:strRef>
              <c:f>'EU by sector (condensed)'!$B$17</c:f>
              <c:strCache>
                <c:ptCount val="1"/>
                <c:pt idx="0">
                  <c:v>Energy use </c:v>
                </c:pt>
              </c:strCache>
            </c:strRef>
          </c:tx>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(condensed)'!$C$17:$AV$17</c:f>
              <c:numCache>
                <c:formatCode>_(* #,##0.00_);_(* \(#,##0.00\);_(* "-"??_);_(@_)</c:formatCode>
                <c:ptCount val="46"/>
                <c:pt idx="0">
                  <c:v>1684.1687619998686</c:v>
                </c:pt>
                <c:pt idx="1">
                  <c:v>1684.5797755061162</c:v>
                </c:pt>
                <c:pt idx="2">
                  <c:v>1590.528674624388</c:v>
                </c:pt>
                <c:pt idx="3">
                  <c:v>1577.0318199218373</c:v>
                </c:pt>
                <c:pt idx="4">
                  <c:v>1530.8179706588874</c:v>
                </c:pt>
                <c:pt idx="5">
                  <c:v>1552.0480830727126</c:v>
                </c:pt>
                <c:pt idx="6">
                  <c:v>1607.5382403993381</c:v>
                </c:pt>
                <c:pt idx="7">
                  <c:v>1547.0841012989167</c:v>
                </c:pt>
                <c:pt idx="8">
                  <c:v>1498.2668700226054</c:v>
                </c:pt>
                <c:pt idx="9">
                  <c:v>1461.8074730687158</c:v>
                </c:pt>
                <c:pt idx="10">
                  <c:v>1446.110195536691</c:v>
                </c:pt>
                <c:pt idx="11">
                  <c:v>1473.4620416356686</c:v>
                </c:pt>
                <c:pt idx="12">
                  <c:v>1421.8739634206934</c:v>
                </c:pt>
                <c:pt idx="13">
                  <c:v>1444.8019408580897</c:v>
                </c:pt>
                <c:pt idx="14">
                  <c:v>1440.5660193480605</c:v>
                </c:pt>
                <c:pt idx="15">
                  <c:v>1426.6705798052078</c:v>
                </c:pt>
                <c:pt idx="16">
                  <c:v>1410.7377160580154</c:v>
                </c:pt>
                <c:pt idx="17">
                  <c:v>1335.8083992563486</c:v>
                </c:pt>
                <c:pt idx="18">
                  <c:v>1359.3432862338655</c:v>
                </c:pt>
                <c:pt idx="19">
                  <c:v>1237.1883862295667</c:v>
                </c:pt>
                <c:pt idx="20">
                  <c:v>1317.657677205181</c:v>
                </c:pt>
                <c:pt idx="21">
                  <c:v>1206.7509563286317</c:v>
                </c:pt>
                <c:pt idx="22">
                  <c:v>1200.0011172312097</c:v>
                </c:pt>
                <c:pt idx="23">
                  <c:v>1194.9843614978049</c:v>
                </c:pt>
                <c:pt idx="24">
                  <c:v>1093.3373436956622</c:v>
                </c:pt>
                <c:pt idx="25">
                  <c:v>1120.8103667126195</c:v>
                </c:pt>
                <c:pt idx="26">
                  <c:v>1132.1901918461012</c:v>
                </c:pt>
              </c:numCache>
            </c:numRef>
          </c:val>
          <c:smooth val="0"/>
        </c:ser>
        <c:ser>
          <c:idx val="2"/>
          <c:order val="2"/>
          <c:tx>
            <c:strRef>
              <c:f>'EU by sector (condensed)'!$B$18</c:f>
              <c:strCache>
                <c:ptCount val="1"/>
                <c:pt idx="0">
                  <c:v>Transport</c:v>
                </c:pt>
              </c:strCache>
            </c:strRef>
          </c:tx>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(condensed)'!$C$18:$AV$18</c:f>
              <c:numCache>
                <c:formatCode>_(* #,##0.00_);_(* \(#,##0.00\);_(* "-"??_);_(@_)</c:formatCode>
                <c:ptCount val="46"/>
                <c:pt idx="0">
                  <c:v>781.80781310010298</c:v>
                </c:pt>
                <c:pt idx="1">
                  <c:v>789.294689884484</c:v>
                </c:pt>
                <c:pt idx="2">
                  <c:v>813.87253064086292</c:v>
                </c:pt>
                <c:pt idx="3">
                  <c:v>818.91590584173093</c:v>
                </c:pt>
                <c:pt idx="4">
                  <c:v>824.10845975068401</c:v>
                </c:pt>
                <c:pt idx="5">
                  <c:v>837.46493084310805</c:v>
                </c:pt>
                <c:pt idx="6">
                  <c:v>864.72042721400703</c:v>
                </c:pt>
                <c:pt idx="7">
                  <c:v>876.39615738112298</c:v>
                </c:pt>
                <c:pt idx="8">
                  <c:v>904.19634438660296</c:v>
                </c:pt>
                <c:pt idx="9">
                  <c:v>923.112036381238</c:v>
                </c:pt>
                <c:pt idx="10">
                  <c:v>918.01220112398198</c:v>
                </c:pt>
                <c:pt idx="11">
                  <c:v>931.37865742757799</c:v>
                </c:pt>
                <c:pt idx="12">
                  <c:v>942.18622390690507</c:v>
                </c:pt>
                <c:pt idx="13">
                  <c:v>951.53476882702194</c:v>
                </c:pt>
                <c:pt idx="14">
                  <c:v>971.13574678869202</c:v>
                </c:pt>
                <c:pt idx="15">
                  <c:v>970.69709934675006</c:v>
                </c:pt>
                <c:pt idx="16">
                  <c:v>978.5201322068109</c:v>
                </c:pt>
                <c:pt idx="17">
                  <c:v>988.41866955002502</c:v>
                </c:pt>
                <c:pt idx="18">
                  <c:v>964.00418190865003</c:v>
                </c:pt>
                <c:pt idx="19">
                  <c:v>936.81606846348598</c:v>
                </c:pt>
                <c:pt idx="20">
                  <c:v>931.30742261453497</c:v>
                </c:pt>
                <c:pt idx="21">
                  <c:v>919.24318371466904</c:v>
                </c:pt>
                <c:pt idx="22">
                  <c:v>890.72163738183292</c:v>
                </c:pt>
                <c:pt idx="23">
                  <c:v>883.90956881210104</c:v>
                </c:pt>
                <c:pt idx="24">
                  <c:v>891.60920581050596</c:v>
                </c:pt>
                <c:pt idx="25">
                  <c:v>905.88784487867792</c:v>
                </c:pt>
                <c:pt idx="26">
                  <c:v>924.51605682340971</c:v>
                </c:pt>
              </c:numCache>
            </c:numRef>
          </c:val>
          <c:smooth val="0"/>
        </c:ser>
        <c:ser>
          <c:idx val="3"/>
          <c:order val="3"/>
          <c:tx>
            <c:strRef>
              <c:f>'EU by sector (condensed)'!$B$19</c:f>
              <c:strCache>
                <c:ptCount val="1"/>
                <c:pt idx="0">
                  <c:v>Industrial processes</c:v>
                </c:pt>
              </c:strCache>
            </c:strRef>
          </c:tx>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(condensed)'!$C$19:$AV$19</c:f>
              <c:numCache>
                <c:formatCode>_(* #,##0.00_);_(* \(#,##0.00\);_(* "-"??_);_(@_)</c:formatCode>
                <c:ptCount val="46"/>
                <c:pt idx="0">
                  <c:v>516.88628667669798</c:v>
                </c:pt>
                <c:pt idx="1">
                  <c:v>482.85012478657302</c:v>
                </c:pt>
                <c:pt idx="2">
                  <c:v>463.71899155220399</c:v>
                </c:pt>
                <c:pt idx="3">
                  <c:v>455.01575250873702</c:v>
                </c:pt>
                <c:pt idx="4">
                  <c:v>482.48975025746</c:v>
                </c:pt>
                <c:pt idx="5">
                  <c:v>497.20967380158004</c:v>
                </c:pt>
                <c:pt idx="6">
                  <c:v>497.97891708090299</c:v>
                </c:pt>
                <c:pt idx="7">
                  <c:v>504.186420752755</c:v>
                </c:pt>
                <c:pt idx="8">
                  <c:v>480.081583549838</c:v>
                </c:pt>
                <c:pt idx="9">
                  <c:v>440.62090278729397</c:v>
                </c:pt>
                <c:pt idx="10">
                  <c:v>452.49084014387205</c:v>
                </c:pt>
                <c:pt idx="11">
                  <c:v>437.12940099339198</c:v>
                </c:pt>
                <c:pt idx="12">
                  <c:v>432.85487125100099</c:v>
                </c:pt>
                <c:pt idx="13">
                  <c:v>446.47202573814701</c:v>
                </c:pt>
                <c:pt idx="14">
                  <c:v>461.45500082604303</c:v>
                </c:pt>
                <c:pt idx="15">
                  <c:v>459.95377056159401</c:v>
                </c:pt>
                <c:pt idx="16">
                  <c:v>456.60024827625199</c:v>
                </c:pt>
                <c:pt idx="17">
                  <c:v>467.31446713015799</c:v>
                </c:pt>
                <c:pt idx="18">
                  <c:v>442.55391613549898</c:v>
                </c:pt>
                <c:pt idx="19">
                  <c:v>371.14165411792499</c:v>
                </c:pt>
                <c:pt idx="20">
                  <c:v>390.00757773489499</c:v>
                </c:pt>
                <c:pt idx="21">
                  <c:v>386.67594383801503</c:v>
                </c:pt>
                <c:pt idx="22">
                  <c:v>374.19846880019298</c:v>
                </c:pt>
                <c:pt idx="23">
                  <c:v>371.56667637748802</c:v>
                </c:pt>
                <c:pt idx="24">
                  <c:v>378.030509988213</c:v>
                </c:pt>
                <c:pt idx="25">
                  <c:v>373.93741095092099</c:v>
                </c:pt>
                <c:pt idx="26">
                  <c:v>370.9392591696764</c:v>
                </c:pt>
              </c:numCache>
            </c:numRef>
          </c:val>
          <c:smooth val="0"/>
        </c:ser>
        <c:ser>
          <c:idx val="4"/>
          <c:order val="4"/>
          <c:tx>
            <c:strRef>
              <c:f>'EU by sector (condensed)'!$B$20</c:f>
              <c:strCache>
                <c:ptCount val="1"/>
                <c:pt idx="0">
                  <c:v>Agriculture</c:v>
                </c:pt>
              </c:strCache>
            </c:strRef>
          </c:tx>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(condensed)'!$C$20:$AV$20</c:f>
              <c:numCache>
                <c:formatCode>_(* #,##0.00_);_(* \(#,##0.00\);_(* "-"??_);_(@_)</c:formatCode>
                <c:ptCount val="46"/>
                <c:pt idx="0">
                  <c:v>548.26950616956401</c:v>
                </c:pt>
                <c:pt idx="1">
                  <c:v>518.33737246202895</c:v>
                </c:pt>
                <c:pt idx="2">
                  <c:v>496.29007704156498</c:v>
                </c:pt>
                <c:pt idx="3">
                  <c:v>483.64686336572703</c:v>
                </c:pt>
                <c:pt idx="4">
                  <c:v>476.56655955500503</c:v>
                </c:pt>
                <c:pt idx="5">
                  <c:v>478.12083407079399</c:v>
                </c:pt>
                <c:pt idx="6">
                  <c:v>478.76918297058398</c:v>
                </c:pt>
                <c:pt idx="7">
                  <c:v>477.23999659081602</c:v>
                </c:pt>
                <c:pt idx="8">
                  <c:v>473.30513107108101</c:v>
                </c:pt>
                <c:pt idx="9">
                  <c:v>470.83310480201499</c:v>
                </c:pt>
                <c:pt idx="10">
                  <c:v>464.47212262092103</c:v>
                </c:pt>
                <c:pt idx="11">
                  <c:v>457.86817206828499</c:v>
                </c:pt>
                <c:pt idx="12">
                  <c:v>451.287582914128</c:v>
                </c:pt>
                <c:pt idx="13">
                  <c:v>447.07496803046604</c:v>
                </c:pt>
                <c:pt idx="14">
                  <c:v>446.83257390275696</c:v>
                </c:pt>
                <c:pt idx="15">
                  <c:v>439.84869363281399</c:v>
                </c:pt>
                <c:pt idx="16">
                  <c:v>436.90223740099697</c:v>
                </c:pt>
                <c:pt idx="17">
                  <c:v>439.12858460417999</c:v>
                </c:pt>
                <c:pt idx="18">
                  <c:v>436.43471500455496</c:v>
                </c:pt>
                <c:pt idx="19">
                  <c:v>431.17481442569203</c:v>
                </c:pt>
                <c:pt idx="20">
                  <c:v>425.548978913567</c:v>
                </c:pt>
                <c:pt idx="21">
                  <c:v>426.28142699710298</c:v>
                </c:pt>
                <c:pt idx="22">
                  <c:v>423.75720837085197</c:v>
                </c:pt>
                <c:pt idx="23">
                  <c:v>426.67976365588896</c:v>
                </c:pt>
                <c:pt idx="24">
                  <c:v>433.85315929802999</c:v>
                </c:pt>
                <c:pt idx="25">
                  <c:v>436.74831462324204</c:v>
                </c:pt>
                <c:pt idx="26">
                  <c:v>439.95136167635377</c:v>
                </c:pt>
              </c:numCache>
            </c:numRef>
          </c:val>
          <c:smooth val="0"/>
        </c:ser>
        <c:ser>
          <c:idx val="5"/>
          <c:order val="5"/>
          <c:tx>
            <c:strRef>
              <c:f>'EU by sector (condensed)'!$B$21</c:f>
              <c:strCache>
                <c:ptCount val="1"/>
                <c:pt idx="0">
                  <c:v>Waste</c:v>
                </c:pt>
              </c:strCache>
            </c:strRef>
          </c:tx>
          <c:spPr>
            <a:ln>
              <a:solidFill>
                <a:schemeClr val="accent6">
                  <a:lumMod val="50000"/>
                </a:schemeClr>
              </a:solidFill>
            </a:ln>
          </c:spPr>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(condensed)'!$C$21:$AV$21</c:f>
              <c:numCache>
                <c:formatCode>_(* #,##0.00_);_(* \(#,##0.00\);_(* "-"??_);_(@_)</c:formatCode>
                <c:ptCount val="46"/>
                <c:pt idx="0">
                  <c:v>240.947785718549</c:v>
                </c:pt>
                <c:pt idx="1">
                  <c:v>245.50547882767</c:v>
                </c:pt>
                <c:pt idx="2">
                  <c:v>243.988169639234</c:v>
                </c:pt>
                <c:pt idx="3">
                  <c:v>244.053291235996</c:v>
                </c:pt>
                <c:pt idx="4">
                  <c:v>243.861332363071</c:v>
                </c:pt>
                <c:pt idx="5">
                  <c:v>245.34039687638398</c:v>
                </c:pt>
                <c:pt idx="6">
                  <c:v>245.24092704886399</c:v>
                </c:pt>
                <c:pt idx="7">
                  <c:v>241.83419148715902</c:v>
                </c:pt>
                <c:pt idx="8">
                  <c:v>238.72891013736702</c:v>
                </c:pt>
                <c:pt idx="9">
                  <c:v>233.58172933717501</c:v>
                </c:pt>
                <c:pt idx="10">
                  <c:v>230.73206309496999</c:v>
                </c:pt>
                <c:pt idx="11">
                  <c:v>227.02418417169898</c:v>
                </c:pt>
                <c:pt idx="12">
                  <c:v>223.576988748285</c:v>
                </c:pt>
                <c:pt idx="13">
                  <c:v>217.74384136023701</c:v>
                </c:pt>
                <c:pt idx="14">
                  <c:v>209.05328730641699</c:v>
                </c:pt>
                <c:pt idx="15">
                  <c:v>202.96658529559201</c:v>
                </c:pt>
                <c:pt idx="16">
                  <c:v>197.87880320420501</c:v>
                </c:pt>
                <c:pt idx="17">
                  <c:v>191.406035124792</c:v>
                </c:pt>
                <c:pt idx="18">
                  <c:v>182.930017256334</c:v>
                </c:pt>
                <c:pt idx="19">
                  <c:v>176.16772012316099</c:v>
                </c:pt>
                <c:pt idx="20">
                  <c:v>169.65857437614198</c:v>
                </c:pt>
                <c:pt idx="21">
                  <c:v>163.97552552138001</c:v>
                </c:pt>
                <c:pt idx="22">
                  <c:v>158.81486245793798</c:v>
                </c:pt>
                <c:pt idx="23">
                  <c:v>150.63374048767099</c:v>
                </c:pt>
                <c:pt idx="24">
                  <c:v>144.372146900394</c:v>
                </c:pt>
                <c:pt idx="25">
                  <c:v>139.31277738133099</c:v>
                </c:pt>
                <c:pt idx="26">
                  <c:v>133.41824561694742</c:v>
                </c:pt>
              </c:numCache>
            </c:numRef>
          </c:val>
          <c:smooth val="0"/>
        </c:ser>
        <c:ser>
          <c:idx val="6"/>
          <c:order val="6"/>
          <c:tx>
            <c:strRef>
              <c:f>'EU by sector (condensed)'!$B$22</c:f>
              <c:strCache>
                <c:ptCount val="1"/>
                <c:pt idx="0">
                  <c:v>LULUCF</c:v>
                </c:pt>
              </c:strCache>
            </c:strRef>
          </c:tx>
          <c:spPr>
            <a:ln>
              <a:solidFill>
                <a:schemeClr val="bg1">
                  <a:lumMod val="50000"/>
                </a:schemeClr>
              </a:solidFill>
            </a:ln>
          </c:spPr>
          <c:marker>
            <c:symbol val="none"/>
          </c:marker>
          <c:dPt>
            <c:idx val="26"/>
            <c:bubble3D val="0"/>
            <c:spPr>
              <a:ln>
                <a:solidFill>
                  <a:schemeClr val="bg1">
                    <a:lumMod val="50000"/>
                  </a:schemeClr>
                </a:solidFill>
                <a:prstDash val="dash"/>
              </a:ln>
            </c:spPr>
          </c:dPt>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(condensed)'!$C$22:$AV$22</c:f>
              <c:numCache>
                <c:formatCode>_(* #,##0.00_);_(* \(#,##0.00\);_(* "-"??_);_(@_)</c:formatCode>
                <c:ptCount val="46"/>
                <c:pt idx="0">
                  <c:v>-231.763198991341</c:v>
                </c:pt>
                <c:pt idx="1">
                  <c:v>-258.48604397209198</c:v>
                </c:pt>
                <c:pt idx="2">
                  <c:v>-227.49257782142101</c:v>
                </c:pt>
                <c:pt idx="3">
                  <c:v>-228.54468775106</c:v>
                </c:pt>
                <c:pt idx="4">
                  <c:v>-243.620413224077</c:v>
                </c:pt>
                <c:pt idx="5">
                  <c:v>-262.08309509908298</c:v>
                </c:pt>
                <c:pt idx="6">
                  <c:v>-294.41475888381001</c:v>
                </c:pt>
                <c:pt idx="7">
                  <c:v>-293.127715192165</c:v>
                </c:pt>
                <c:pt idx="8">
                  <c:v>-311.21076533358803</c:v>
                </c:pt>
                <c:pt idx="9">
                  <c:v>-332.51626724853401</c:v>
                </c:pt>
                <c:pt idx="10">
                  <c:v>-300.85594137230402</c:v>
                </c:pt>
                <c:pt idx="11">
                  <c:v>-323.11928407300502</c:v>
                </c:pt>
                <c:pt idx="12">
                  <c:v>-302.85891375802998</c:v>
                </c:pt>
                <c:pt idx="13">
                  <c:v>-281.09104260988897</c:v>
                </c:pt>
                <c:pt idx="14">
                  <c:v>-317.94426202411302</c:v>
                </c:pt>
                <c:pt idx="15">
                  <c:v>-316.47188411747197</c:v>
                </c:pt>
                <c:pt idx="16">
                  <c:v>-332.56633132369899</c:v>
                </c:pt>
                <c:pt idx="17">
                  <c:v>-295.24254050106197</c:v>
                </c:pt>
                <c:pt idx="18">
                  <c:v>-330.94481226232</c:v>
                </c:pt>
                <c:pt idx="19">
                  <c:v>-330.26963776419996</c:v>
                </c:pt>
                <c:pt idx="20">
                  <c:v>-320.23109985744901</c:v>
                </c:pt>
                <c:pt idx="21">
                  <c:v>-309.81033122650496</c:v>
                </c:pt>
                <c:pt idx="22">
                  <c:v>-311.24514711170502</c:v>
                </c:pt>
                <c:pt idx="23">
                  <c:v>-318.33696340159702</c:v>
                </c:pt>
                <c:pt idx="24">
                  <c:v>-309.40555359231001</c:v>
                </c:pt>
                <c:pt idx="25">
                  <c:v>-304.854822683078</c:v>
                </c:pt>
                <c:pt idx="26">
                  <c:v>-248.77441143501824</c:v>
                </c:pt>
              </c:numCache>
            </c:numRef>
          </c:val>
          <c:smooth val="0"/>
        </c:ser>
        <c:ser>
          <c:idx val="7"/>
          <c:order val="7"/>
          <c:tx>
            <c:strRef>
              <c:f>'EU by sector (condensed)'!$B$23</c:f>
              <c:strCache>
                <c:ptCount val="1"/>
                <c:pt idx="0">
                  <c:v>Energy supply</c:v>
                </c:pt>
              </c:strCache>
            </c:strRef>
          </c:tx>
          <c:spPr>
            <a:ln>
              <a:solidFill>
                <a:schemeClr val="tx2"/>
              </a:solidFill>
              <a:prstDash val="dash"/>
            </a:ln>
          </c:spPr>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(condensed)'!$C$23:$AV$23</c:f>
              <c:numCache>
                <c:formatCode>General</c:formatCode>
                <c:ptCount val="46"/>
                <c:pt idx="27" formatCode="_(* #,##0.00_);_(* \(#,##0.00\);_(* &quot;-&quot;??_);_(@_)">
                  <c:v>1261.1556696229691</c:v>
                </c:pt>
                <c:pt idx="28" formatCode="_(* #,##0.00_);_(* \(#,##0.00\);_(* &quot;-&quot;??_);_(@_)">
                  <c:v>1228.5884860636129</c:v>
                </c:pt>
                <c:pt idx="29" formatCode="_(* #,##0.00_);_(* \(#,##0.00\);_(* &quot;-&quot;??_);_(@_)">
                  <c:v>1199.660287954438</c:v>
                </c:pt>
                <c:pt idx="30" formatCode="_(* #,##0.00_);_(* \(#,##0.00\);_(* &quot;-&quot;??_);_(@_)">
                  <c:v>1171.992555306063</c:v>
                </c:pt>
                <c:pt idx="31" formatCode="_(* #,##0.00_);_(* \(#,##0.00\);_(* &quot;-&quot;??_);_(@_)">
                  <c:v>1166.3433502527994</c:v>
                </c:pt>
                <c:pt idx="32" formatCode="_(* #,##0.00_);_(* \(#,##0.00\);_(* &quot;-&quot;??_);_(@_)">
                  <c:v>1153.093050012463</c:v>
                </c:pt>
                <c:pt idx="33" formatCode="_(* #,##0.00_);_(* \(#,##0.00\);_(* &quot;-&quot;??_);_(@_)">
                  <c:v>1148.9578137338472</c:v>
                </c:pt>
                <c:pt idx="34" formatCode="_(* #,##0.00_);_(* \(#,##0.00\);_(* &quot;-&quot;??_);_(@_)">
                  <c:v>1129.996516715717</c:v>
                </c:pt>
                <c:pt idx="35" formatCode="_(* #,##0.00_);_(* \(#,##0.00\);_(* &quot;-&quot;??_);_(@_)">
                  <c:v>1118.7655656440947</c:v>
                </c:pt>
                <c:pt idx="36" formatCode="_(* #,##0.00_);_(* \(#,##0.00\);_(* &quot;-&quot;??_);_(@_)">
                  <c:v>1104.2549181293848</c:v>
                </c:pt>
                <c:pt idx="37" formatCode="_(* #,##0.00_);_(* \(#,##0.00\);_(* &quot;-&quot;??_);_(@_)">
                  <c:v>1088.3978702234751</c:v>
                </c:pt>
                <c:pt idx="38" formatCode="_(* #,##0.00_);_(* \(#,##0.00\);_(* &quot;-&quot;??_);_(@_)">
                  <c:v>1078.9769015058123</c:v>
                </c:pt>
                <c:pt idx="39" formatCode="_(* #,##0.00_);_(* \(#,##0.00\);_(* &quot;-&quot;??_);_(@_)">
                  <c:v>1067.3491059334965</c:v>
                </c:pt>
                <c:pt idx="40" formatCode="_(* #,##0.00_);_(* \(#,##0.00\);_(* &quot;-&quot;??_);_(@_)">
                  <c:v>1055.3480276521498</c:v>
                </c:pt>
                <c:pt idx="41" formatCode="_(* #,##0.00_);_(* \(#,##0.00\);_(* &quot;-&quot;??_);_(@_)">
                  <c:v>1043.9569660749539</c:v>
                </c:pt>
                <c:pt idx="42" formatCode="_(* #,##0.00_);_(* \(#,##0.00\);_(* &quot;-&quot;??_);_(@_)">
                  <c:v>1030.0714754278658</c:v>
                </c:pt>
                <c:pt idx="43" formatCode="_(* #,##0.00_);_(* \(#,##0.00\);_(* &quot;-&quot;??_);_(@_)">
                  <c:v>1016.6899819557898</c:v>
                </c:pt>
                <c:pt idx="44" formatCode="_(* #,##0.00_);_(* \(#,##0.00\);_(* &quot;-&quot;??_);_(@_)">
                  <c:v>1003.6987501417379</c:v>
                </c:pt>
                <c:pt idx="45" formatCode="_(* #,##0.00_);_(* \(#,##0.00\);_(* &quot;-&quot;??_);_(@_)">
                  <c:v>988.07468761830842</c:v>
                </c:pt>
              </c:numCache>
            </c:numRef>
          </c:val>
          <c:smooth val="0"/>
        </c:ser>
        <c:ser>
          <c:idx val="8"/>
          <c:order val="8"/>
          <c:tx>
            <c:strRef>
              <c:f>'EU by sector (condensed)'!$B$24</c:f>
              <c:strCache>
                <c:ptCount val="1"/>
                <c:pt idx="0">
                  <c:v>Energy use </c:v>
                </c:pt>
              </c:strCache>
            </c:strRef>
          </c:tx>
          <c:spPr>
            <a:ln>
              <a:solidFill>
                <a:schemeClr val="accent2">
                  <a:lumMod val="75000"/>
                </a:schemeClr>
              </a:solidFill>
              <a:prstDash val="dash"/>
            </a:ln>
          </c:spPr>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(condensed)'!$C$24:$AV$24</c:f>
              <c:numCache>
                <c:formatCode>General</c:formatCode>
                <c:ptCount val="46"/>
                <c:pt idx="27" formatCode="_(* #,##0.00_);_(* \(#,##0.00\);_(* &quot;-&quot;??_);_(@_)">
                  <c:v>1108.1361421846416</c:v>
                </c:pt>
                <c:pt idx="28" formatCode="_(* #,##0.00_);_(* \(#,##0.00\);_(* &quot;-&quot;??_);_(@_)">
                  <c:v>1101.0737683001371</c:v>
                </c:pt>
                <c:pt idx="29" formatCode="_(* #,##0.00_);_(* \(#,##0.00\);_(* &quot;-&quot;??_);_(@_)">
                  <c:v>1094.2892600417072</c:v>
                </c:pt>
                <c:pt idx="30" formatCode="_(* #,##0.00_);_(* \(#,##0.00\);_(* &quot;-&quot;??_);_(@_)">
                  <c:v>1083.5485792265342</c:v>
                </c:pt>
                <c:pt idx="31" formatCode="_(* #,##0.00_);_(* \(#,##0.00\);_(* &quot;-&quot;??_);_(@_)">
                  <c:v>1076.5024186859453</c:v>
                </c:pt>
                <c:pt idx="32" formatCode="_(* #,##0.00_);_(* \(#,##0.00\);_(* &quot;-&quot;??_);_(@_)">
                  <c:v>1068.0598278087316</c:v>
                </c:pt>
                <c:pt idx="33" formatCode="_(* #,##0.00_);_(* \(#,##0.00\);_(* &quot;-&quot;??_);_(@_)">
                  <c:v>1060.2556060050208</c:v>
                </c:pt>
                <c:pt idx="34" formatCode="_(* #,##0.00_);_(* \(#,##0.00\);_(* &quot;-&quot;??_);_(@_)">
                  <c:v>1054.1098226003232</c:v>
                </c:pt>
                <c:pt idx="35" formatCode="_(* #,##0.00_);_(* \(#,##0.00\);_(* &quot;-&quot;??_);_(@_)">
                  <c:v>1044.0439050537209</c:v>
                </c:pt>
                <c:pt idx="36" formatCode="_(* #,##0.00_);_(* \(#,##0.00\);_(* &quot;-&quot;??_);_(@_)">
                  <c:v>1039.9717419615108</c:v>
                </c:pt>
                <c:pt idx="37" formatCode="_(* #,##0.00_);_(* \(#,##0.00\);_(* &quot;-&quot;??_);_(@_)">
                  <c:v>1033.090489506875</c:v>
                </c:pt>
                <c:pt idx="38" formatCode="_(* #,##0.00_);_(* \(#,##0.00\);_(* &quot;-&quot;??_);_(@_)">
                  <c:v>1026.8283173359362</c:v>
                </c:pt>
                <c:pt idx="39" formatCode="_(* #,##0.00_);_(* \(#,##0.00\);_(* &quot;-&quot;??_);_(@_)">
                  <c:v>1023.3524443078036</c:v>
                </c:pt>
                <c:pt idx="40" formatCode="_(* #,##0.00_);_(* \(#,##0.00\);_(* &quot;-&quot;??_);_(@_)">
                  <c:v>1013.9448341636549</c:v>
                </c:pt>
                <c:pt idx="41" formatCode="_(* #,##0.00_);_(* \(#,##0.00\);_(* &quot;-&quot;??_);_(@_)">
                  <c:v>1007.3776958930848</c:v>
                </c:pt>
                <c:pt idx="42" formatCode="_(* #,##0.00_);_(* \(#,##0.00\);_(* &quot;-&quot;??_);_(@_)">
                  <c:v>1006.0901975299296</c:v>
                </c:pt>
                <c:pt idx="43" formatCode="_(* #,##0.00_);_(* \(#,##0.00\);_(* &quot;-&quot;??_);_(@_)">
                  <c:v>1000.891324945653</c:v>
                </c:pt>
                <c:pt idx="44" formatCode="_(* #,##0.00_);_(* \(#,##0.00\);_(* &quot;-&quot;??_);_(@_)">
                  <c:v>999.98151805721386</c:v>
                </c:pt>
                <c:pt idx="45" formatCode="_(* #,##0.00_);_(* \(#,##0.00\);_(* &quot;-&quot;??_);_(@_)">
                  <c:v>996.12004121644907</c:v>
                </c:pt>
              </c:numCache>
            </c:numRef>
          </c:val>
          <c:smooth val="0"/>
        </c:ser>
        <c:ser>
          <c:idx val="9"/>
          <c:order val="9"/>
          <c:tx>
            <c:strRef>
              <c:f>'EU by sector (condensed)'!$B$25</c:f>
              <c:strCache>
                <c:ptCount val="1"/>
                <c:pt idx="0">
                  <c:v>Transport</c:v>
                </c:pt>
              </c:strCache>
            </c:strRef>
          </c:tx>
          <c:spPr>
            <a:ln>
              <a:solidFill>
                <a:schemeClr val="accent3">
                  <a:lumMod val="75000"/>
                </a:schemeClr>
              </a:solidFill>
              <a:prstDash val="dash"/>
            </a:ln>
          </c:spPr>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(condensed)'!$C$25:$AV$25</c:f>
              <c:numCache>
                <c:formatCode>General</c:formatCode>
                <c:ptCount val="46"/>
                <c:pt idx="27" formatCode="_(* #,##0.00_);_(* \(#,##0.00\);_(* &quot;-&quot;??_);_(@_)">
                  <c:v>898.64475658084416</c:v>
                </c:pt>
                <c:pt idx="28" formatCode="_(* #,##0.00_);_(* \(#,##0.00\);_(* &quot;-&quot;??_);_(@_)">
                  <c:v>895.77425334611473</c:v>
                </c:pt>
                <c:pt idx="29" formatCode="_(* #,##0.00_);_(* \(#,##0.00\);_(* &quot;-&quot;??_);_(@_)">
                  <c:v>893.34060883143093</c:v>
                </c:pt>
                <c:pt idx="30" formatCode="_(* #,##0.00_);_(* \(#,##0.00\);_(* &quot;-&quot;??_);_(@_)">
                  <c:v>889.97113456624788</c:v>
                </c:pt>
                <c:pt idx="31" formatCode="_(* #,##0.00_);_(* \(#,##0.00\);_(* &quot;-&quot;??_);_(@_)">
                  <c:v>888.05719454248811</c:v>
                </c:pt>
                <c:pt idx="32" formatCode="_(* #,##0.00_);_(* \(#,##0.00\);_(* &quot;-&quot;??_);_(@_)">
                  <c:v>887.6626416388541</c:v>
                </c:pt>
                <c:pt idx="33" formatCode="_(* #,##0.00_);_(* \(#,##0.00\);_(* &quot;-&quot;??_);_(@_)">
                  <c:v>885.76887882214135</c:v>
                </c:pt>
                <c:pt idx="34" formatCode="_(* #,##0.00_);_(* \(#,##0.00\);_(* &quot;-&quot;??_);_(@_)">
                  <c:v>883.84479833034663</c:v>
                </c:pt>
                <c:pt idx="35" formatCode="_(* #,##0.00_);_(* \(#,##0.00\);_(* &quot;-&quot;??_);_(@_)">
                  <c:v>881.5157310176802</c:v>
                </c:pt>
                <c:pt idx="36" formatCode="_(* #,##0.00_);_(* \(#,##0.00\);_(* &quot;-&quot;??_);_(@_)">
                  <c:v>882.19871647982518</c:v>
                </c:pt>
                <c:pt idx="37" formatCode="_(* #,##0.00_);_(* \(#,##0.00\);_(* &quot;-&quot;??_);_(@_)">
                  <c:v>883.13179047128767</c:v>
                </c:pt>
                <c:pt idx="38" formatCode="_(* #,##0.00_);_(* \(#,##0.00\);_(* &quot;-&quot;??_);_(@_)">
                  <c:v>884.11209225879952</c:v>
                </c:pt>
                <c:pt idx="39" formatCode="_(* #,##0.00_);_(* \(#,##0.00\);_(* &quot;-&quot;??_);_(@_)">
                  <c:v>885.28549992775652</c:v>
                </c:pt>
                <c:pt idx="40" formatCode="_(* #,##0.00_);_(* \(#,##0.00\);_(* &quot;-&quot;??_);_(@_)">
                  <c:v>886.37324657335625</c:v>
                </c:pt>
                <c:pt idx="41" formatCode="_(* #,##0.00_);_(* \(#,##0.00\);_(* &quot;-&quot;??_);_(@_)">
                  <c:v>886.79441208266678</c:v>
                </c:pt>
                <c:pt idx="42" formatCode="_(* #,##0.00_);_(* \(#,##0.00\);_(* &quot;-&quot;??_);_(@_)">
                  <c:v>887.38887682866869</c:v>
                </c:pt>
                <c:pt idx="43" formatCode="_(* #,##0.00_);_(* \(#,##0.00\);_(* &quot;-&quot;??_);_(@_)">
                  <c:v>887.94603077469753</c:v>
                </c:pt>
                <c:pt idx="44" formatCode="_(* #,##0.00_);_(* \(#,##0.00\);_(* &quot;-&quot;??_);_(@_)">
                  <c:v>888.31488236117718</c:v>
                </c:pt>
                <c:pt idx="45" formatCode="_(* #,##0.00_);_(* \(#,##0.00\);_(* &quot;-&quot;??_);_(@_)">
                  <c:v>888.8355481383328</c:v>
                </c:pt>
              </c:numCache>
            </c:numRef>
          </c:val>
          <c:smooth val="0"/>
        </c:ser>
        <c:ser>
          <c:idx val="10"/>
          <c:order val="10"/>
          <c:tx>
            <c:strRef>
              <c:f>'EU by sector (condensed)'!$B$26</c:f>
              <c:strCache>
                <c:ptCount val="1"/>
                <c:pt idx="0">
                  <c:v>Industrial processes</c:v>
                </c:pt>
              </c:strCache>
            </c:strRef>
          </c:tx>
          <c:spPr>
            <a:ln>
              <a:solidFill>
                <a:schemeClr val="accent4">
                  <a:lumMod val="75000"/>
                </a:schemeClr>
              </a:solidFill>
              <a:prstDash val="dash"/>
            </a:ln>
          </c:spPr>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(condensed)'!$C$26:$AV$26</c:f>
              <c:numCache>
                <c:formatCode>General</c:formatCode>
                <c:ptCount val="46"/>
                <c:pt idx="27" formatCode="_(* #,##0.00_);_(* \(#,##0.00\);_(* &quot;-&quot;??_);_(@_)">
                  <c:v>375.42180704559939</c:v>
                </c:pt>
                <c:pt idx="28" formatCode="_(* #,##0.00_);_(* \(#,##0.00\);_(* &quot;-&quot;??_);_(@_)">
                  <c:v>374.3958065001741</c:v>
                </c:pt>
                <c:pt idx="29" formatCode="_(* #,##0.00_);_(* \(#,##0.00\);_(* &quot;-&quot;??_);_(@_)">
                  <c:v>373.91584679142363</c:v>
                </c:pt>
                <c:pt idx="30" formatCode="_(* #,##0.00_);_(* \(#,##0.00\);_(* &quot;-&quot;??_);_(@_)">
                  <c:v>373.00899895325068</c:v>
                </c:pt>
                <c:pt idx="31" formatCode="_(* #,##0.00_);_(* \(#,##0.00\);_(* &quot;-&quot;??_);_(@_)">
                  <c:v>368.65794491476407</c:v>
                </c:pt>
                <c:pt idx="32" formatCode="_(* #,##0.00_);_(* \(#,##0.00\);_(* &quot;-&quot;??_);_(@_)">
                  <c:v>364.72023619272102</c:v>
                </c:pt>
                <c:pt idx="33" formatCode="_(* #,##0.00_);_(* \(#,##0.00\);_(* &quot;-&quot;??_);_(@_)">
                  <c:v>360.9307792439219</c:v>
                </c:pt>
                <c:pt idx="34" formatCode="_(* #,##0.00_);_(* \(#,##0.00\);_(* &quot;-&quot;??_);_(@_)">
                  <c:v>356.87826070427712</c:v>
                </c:pt>
                <c:pt idx="35" formatCode="_(* #,##0.00_);_(* \(#,##0.00\);_(* &quot;-&quot;??_);_(@_)">
                  <c:v>353.38345719697423</c:v>
                </c:pt>
                <c:pt idx="36" formatCode="_(* #,##0.00_);_(* \(#,##0.00\);_(* &quot;-&quot;??_);_(@_)">
                  <c:v>350.83648980853985</c:v>
                </c:pt>
                <c:pt idx="37" formatCode="_(* #,##0.00_);_(* \(#,##0.00\);_(* &quot;-&quot;??_);_(@_)">
                  <c:v>348.15503496141798</c:v>
                </c:pt>
                <c:pt idx="38" formatCode="_(* #,##0.00_);_(* \(#,##0.00\);_(* &quot;-&quot;??_);_(@_)">
                  <c:v>345.38537352872186</c:v>
                </c:pt>
                <c:pt idx="39" formatCode="_(* #,##0.00_);_(* \(#,##0.00\);_(* &quot;-&quot;??_);_(@_)">
                  <c:v>342.504957115011</c:v>
                </c:pt>
                <c:pt idx="40" formatCode="_(* #,##0.00_);_(* \(#,##0.00\);_(* &quot;-&quot;??_);_(@_)">
                  <c:v>339.6548911445521</c:v>
                </c:pt>
                <c:pt idx="41" formatCode="_(* #,##0.00_);_(* \(#,##0.00\);_(* &quot;-&quot;??_);_(@_)">
                  <c:v>338.45856586656998</c:v>
                </c:pt>
                <c:pt idx="42" formatCode="_(* #,##0.00_);_(* \(#,##0.00\);_(* &quot;-&quot;??_);_(@_)">
                  <c:v>337.51045059207883</c:v>
                </c:pt>
                <c:pt idx="43" formatCode="_(* #,##0.00_);_(* \(#,##0.00\);_(* &quot;-&quot;??_);_(@_)">
                  <c:v>336.83587840678064</c:v>
                </c:pt>
                <c:pt idx="44" formatCode="_(* #,##0.00_);_(* \(#,##0.00\);_(* &quot;-&quot;??_);_(@_)">
                  <c:v>336.30305584442107</c:v>
                </c:pt>
                <c:pt idx="45" formatCode="_(* #,##0.00_);_(* \(#,##0.00\);_(* &quot;-&quot;??_);_(@_)">
                  <c:v>335.84881690334993</c:v>
                </c:pt>
              </c:numCache>
            </c:numRef>
          </c:val>
          <c:smooth val="0"/>
        </c:ser>
        <c:ser>
          <c:idx val="11"/>
          <c:order val="11"/>
          <c:tx>
            <c:strRef>
              <c:f>'EU by sector (condensed)'!$B$27</c:f>
              <c:strCache>
                <c:ptCount val="1"/>
                <c:pt idx="0">
                  <c:v>Agriculture</c:v>
                </c:pt>
              </c:strCache>
            </c:strRef>
          </c:tx>
          <c:spPr>
            <a:ln>
              <a:solidFill>
                <a:schemeClr val="accent5">
                  <a:lumMod val="75000"/>
                </a:schemeClr>
              </a:solidFill>
              <a:prstDash val="dash"/>
            </a:ln>
          </c:spPr>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(condensed)'!$C$27:$AV$27</c:f>
              <c:numCache>
                <c:formatCode>General</c:formatCode>
                <c:ptCount val="46"/>
                <c:pt idx="27" formatCode="_(* #,##0.00_);_(* \(#,##0.00\);_(* &quot;-&quot;??_);_(@_)">
                  <c:v>432.91794016548266</c:v>
                </c:pt>
                <c:pt idx="28" formatCode="_(* #,##0.00_);_(* \(#,##0.00\);_(* &quot;-&quot;??_);_(@_)">
                  <c:v>432.39789477209325</c:v>
                </c:pt>
                <c:pt idx="29" formatCode="_(* #,##0.00_);_(* \(#,##0.00\);_(* &quot;-&quot;??_);_(@_)">
                  <c:v>431.558201779238</c:v>
                </c:pt>
                <c:pt idx="30" formatCode="_(* #,##0.00_);_(* \(#,##0.00\);_(* &quot;-&quot;??_);_(@_)">
                  <c:v>431.48204530761245</c:v>
                </c:pt>
                <c:pt idx="31" formatCode="_(* #,##0.00_);_(* \(#,##0.00\);_(* &quot;-&quot;??_);_(@_)">
                  <c:v>431.38308262778014</c:v>
                </c:pt>
                <c:pt idx="32" formatCode="_(* #,##0.00_);_(* \(#,##0.00\);_(* &quot;-&quot;??_);_(@_)">
                  <c:v>431.33867459238837</c:v>
                </c:pt>
                <c:pt idx="33" formatCode="_(* #,##0.00_);_(* \(#,##0.00\);_(* &quot;-&quot;??_);_(@_)">
                  <c:v>431.1074193531901</c:v>
                </c:pt>
                <c:pt idx="34" formatCode="_(* #,##0.00_);_(* \(#,##0.00\);_(* &quot;-&quot;??_);_(@_)">
                  <c:v>431.10009862050629</c:v>
                </c:pt>
                <c:pt idx="35" formatCode="_(* #,##0.00_);_(* \(#,##0.00\);_(* &quot;-&quot;??_);_(@_)">
                  <c:v>431.31204495975055</c:v>
                </c:pt>
                <c:pt idx="36" formatCode="_(* #,##0.00_);_(* \(#,##0.00\);_(* &quot;-&quot;??_);_(@_)">
                  <c:v>431.11637488908923</c:v>
                </c:pt>
                <c:pt idx="37" formatCode="_(* #,##0.00_);_(* \(#,##0.00\);_(* &quot;-&quot;??_);_(@_)">
                  <c:v>430.94062358903699</c:v>
                </c:pt>
                <c:pt idx="38" formatCode="_(* #,##0.00_);_(* \(#,##0.00\);_(* &quot;-&quot;??_);_(@_)">
                  <c:v>430.8072530567361</c:v>
                </c:pt>
                <c:pt idx="39" formatCode="_(* #,##0.00_);_(* \(#,##0.00\);_(* &quot;-&quot;??_);_(@_)">
                  <c:v>430.67537711451604</c:v>
                </c:pt>
                <c:pt idx="40" formatCode="_(* #,##0.00_);_(* \(#,##0.00\);_(* &quot;-&quot;??_);_(@_)">
                  <c:v>430.50293528063429</c:v>
                </c:pt>
                <c:pt idx="41" formatCode="_(* #,##0.00_);_(* \(#,##0.00\);_(* &quot;-&quot;??_);_(@_)">
                  <c:v>430.15437806489143</c:v>
                </c:pt>
                <c:pt idx="42" formatCode="_(* #,##0.00_);_(* \(#,##0.00\);_(* &quot;-&quot;??_);_(@_)">
                  <c:v>430.04893347333854</c:v>
                </c:pt>
                <c:pt idx="43" formatCode="_(* #,##0.00_);_(* \(#,##0.00\);_(* &quot;-&quot;??_);_(@_)">
                  <c:v>429.93778798257432</c:v>
                </c:pt>
                <c:pt idx="44" formatCode="_(* #,##0.00_);_(* \(#,##0.00\);_(* &quot;-&quot;??_);_(@_)">
                  <c:v>429.83314711199944</c:v>
                </c:pt>
                <c:pt idx="45" formatCode="_(* #,##0.00_);_(* \(#,##0.00\);_(* &quot;-&quot;??_);_(@_)">
                  <c:v>429.72801522786324</c:v>
                </c:pt>
              </c:numCache>
            </c:numRef>
          </c:val>
          <c:smooth val="0"/>
        </c:ser>
        <c:ser>
          <c:idx val="12"/>
          <c:order val="12"/>
          <c:tx>
            <c:strRef>
              <c:f>'EU by sector (condensed)'!$B$28</c:f>
              <c:strCache>
                <c:ptCount val="1"/>
                <c:pt idx="0">
                  <c:v>Waste</c:v>
                </c:pt>
              </c:strCache>
            </c:strRef>
          </c:tx>
          <c:spPr>
            <a:ln>
              <a:solidFill>
                <a:schemeClr val="accent6">
                  <a:lumMod val="50000"/>
                </a:schemeClr>
              </a:solidFill>
              <a:prstDash val="dash"/>
            </a:ln>
          </c:spPr>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(condensed)'!$C$28:$AV$28</c:f>
              <c:numCache>
                <c:formatCode>General</c:formatCode>
                <c:ptCount val="46"/>
                <c:pt idx="27" formatCode="_(* #,##0.00_);_(* \(#,##0.00\);_(* &quot;-&quot;??_);_(@_)">
                  <c:v>130.84101831548949</c:v>
                </c:pt>
                <c:pt idx="28" formatCode="_(* #,##0.00_);_(* \(#,##0.00\);_(* &quot;-&quot;??_);_(@_)">
                  <c:v>126.07716298418467</c:v>
                </c:pt>
                <c:pt idx="29" formatCode="_(* #,##0.00_);_(* \(#,##0.00\);_(* &quot;-&quot;??_);_(@_)">
                  <c:v>121.99132890081313</c:v>
                </c:pt>
                <c:pt idx="30" formatCode="_(* #,##0.00_);_(* \(#,##0.00\);_(* &quot;-&quot;??_);_(@_)">
                  <c:v>117.67532888701697</c:v>
                </c:pt>
                <c:pt idx="31" formatCode="_(* #,##0.00_);_(* \(#,##0.00\);_(* &quot;-&quot;??_);_(@_)">
                  <c:v>114.90563542589445</c:v>
                </c:pt>
                <c:pt idx="32" formatCode="_(* #,##0.00_);_(* \(#,##0.00\);_(* &quot;-&quot;??_);_(@_)">
                  <c:v>112.32278364560976</c:v>
                </c:pt>
                <c:pt idx="33" formatCode="_(* #,##0.00_);_(* \(#,##0.00\);_(* &quot;-&quot;??_);_(@_)">
                  <c:v>110.06023709749597</c:v>
                </c:pt>
                <c:pt idx="34" formatCode="_(* #,##0.00_);_(* \(#,##0.00\);_(* &quot;-&quot;??_);_(@_)">
                  <c:v>107.91748908032702</c:v>
                </c:pt>
                <c:pt idx="35" formatCode="_(* #,##0.00_);_(* \(#,##0.00\);_(* &quot;-&quot;??_);_(@_)">
                  <c:v>105.80073311076484</c:v>
                </c:pt>
                <c:pt idx="36" formatCode="_(* #,##0.00_);_(* \(#,##0.00\);_(* &quot;-&quot;??_);_(@_)">
                  <c:v>104.34297084106629</c:v>
                </c:pt>
                <c:pt idx="37" formatCode="_(* #,##0.00_);_(* \(#,##0.00\);_(* &quot;-&quot;??_);_(@_)">
                  <c:v>102.93930234527751</c:v>
                </c:pt>
                <c:pt idx="38" formatCode="_(* #,##0.00_);_(* \(#,##0.00\);_(* &quot;-&quot;??_);_(@_)">
                  <c:v>101.5926321138285</c:v>
                </c:pt>
                <c:pt idx="39" formatCode="_(* #,##0.00_);_(* \(#,##0.00\);_(* &quot;-&quot;??_);_(@_)">
                  <c:v>100.29202670897135</c:v>
                </c:pt>
                <c:pt idx="40" formatCode="_(* #,##0.00_);_(* \(#,##0.00\);_(* &quot;-&quot;??_);_(@_)">
                  <c:v>99.033558215438632</c:v>
                </c:pt>
                <c:pt idx="41" formatCode="_(* #,##0.00_);_(* \(#,##0.00\);_(* &quot;-&quot;??_);_(@_)">
                  <c:v>97.512107669213506</c:v>
                </c:pt>
                <c:pt idx="42" formatCode="_(* #,##0.00_);_(* \(#,##0.00\);_(* &quot;-&quot;??_);_(@_)">
                  <c:v>95.963813018267487</c:v>
                </c:pt>
                <c:pt idx="43" formatCode="_(* #,##0.00_);_(* \(#,##0.00\);_(* &quot;-&quot;??_);_(@_)">
                  <c:v>94.432990209307334</c:v>
                </c:pt>
                <c:pt idx="44" formatCode="_(* #,##0.00_);_(* \(#,##0.00\);_(* &quot;-&quot;??_);_(@_)">
                  <c:v>92.918597111071065</c:v>
                </c:pt>
                <c:pt idx="45" formatCode="_(* #,##0.00_);_(* \(#,##0.00\);_(* &quot;-&quot;??_);_(@_)">
                  <c:v>91.418161758631527</c:v>
                </c:pt>
              </c:numCache>
            </c:numRef>
          </c:val>
          <c:smooth val="0"/>
        </c:ser>
        <c:ser>
          <c:idx val="13"/>
          <c:order val="13"/>
          <c:tx>
            <c:strRef>
              <c:f>'EU by sector (condensed)'!$B$29</c:f>
              <c:strCache>
                <c:ptCount val="1"/>
                <c:pt idx="0">
                  <c:v>LULUCF</c:v>
                </c:pt>
              </c:strCache>
            </c:strRef>
          </c:tx>
          <c:spPr>
            <a:ln>
              <a:solidFill>
                <a:schemeClr val="bg1">
                  <a:lumMod val="50000"/>
                </a:schemeClr>
              </a:solidFill>
              <a:prstDash val="dash"/>
            </a:ln>
          </c:spPr>
          <c:marker>
            <c:symbol val="none"/>
          </c:marker>
          <c:cat>
            <c:numRef>
              <c:f>'EU by sector (condensed)'!$C$15:$AV$15</c:f>
              <c:numCache>
                <c:formatCode>General</c:formatCode>
                <c:ptCount val="4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numCache>
            </c:numRef>
          </c:cat>
          <c:val>
            <c:numRef>
              <c:f>'EU by sector (condensed)'!$C$29:$AV$29</c:f>
              <c:numCache>
                <c:formatCode>General</c:formatCode>
                <c:ptCount val="46"/>
                <c:pt idx="27" formatCode="_(* #,##0.00_);_(* \(#,##0.00\);_(* &quot;-&quot;??_);_(@_)">
                  <c:v>-246.43112543077359</c:v>
                </c:pt>
                <c:pt idx="28" formatCode="_(* #,##0.00_);_(* \(#,##0.00\);_(* &quot;-&quot;??_);_(@_)">
                  <c:v>-237.44940251257583</c:v>
                </c:pt>
                <c:pt idx="29" formatCode="_(* #,##0.00_);_(* \(#,##0.00\);_(* &quot;-&quot;??_);_(@_)">
                  <c:v>-236.08412606483563</c:v>
                </c:pt>
                <c:pt idx="30" formatCode="_(* #,##0.00_);_(* \(#,##0.00\);_(* &quot;-&quot;??_);_(@_)">
                  <c:v>-233.91125812717922</c:v>
                </c:pt>
                <c:pt idx="31" formatCode="_(* #,##0.00_);_(* \(#,##0.00\);_(* &quot;-&quot;??_);_(@_)">
                  <c:v>-237.070802951334</c:v>
                </c:pt>
                <c:pt idx="32" formatCode="_(* #,##0.00_);_(* \(#,##0.00\);_(* &quot;-&quot;??_);_(@_)">
                  <c:v>-238.51473413072159</c:v>
                </c:pt>
                <c:pt idx="33" formatCode="_(* #,##0.00_);_(* \(#,##0.00\);_(* &quot;-&quot;??_);_(@_)">
                  <c:v>-256.60821312568311</c:v>
                </c:pt>
                <c:pt idx="34" formatCode="_(* #,##0.00_);_(* \(#,##0.00\);_(* &quot;-&quot;??_);_(@_)">
                  <c:v>-259.98068382685523</c:v>
                </c:pt>
                <c:pt idx="35" formatCode="_(* #,##0.00_);_(* \(#,##0.00\);_(* &quot;-&quot;??_);_(@_)">
                  <c:v>-253.59702617306513</c:v>
                </c:pt>
                <c:pt idx="36" formatCode="_(* #,##0.00_);_(* \(#,##0.00\);_(* &quot;-&quot;??_);_(@_)">
                  <c:v>-252.62960617803614</c:v>
                </c:pt>
                <c:pt idx="37" formatCode="_(* #,##0.00_);_(* \(#,##0.00\);_(* &quot;-&quot;??_);_(@_)">
                  <c:v>-250.78480525316363</c:v>
                </c:pt>
                <c:pt idx="38" formatCode="_(* #,##0.00_);_(* \(#,##0.00\);_(* &quot;-&quot;??_);_(@_)">
                  <c:v>-237.30416542035132</c:v>
                </c:pt>
                <c:pt idx="39" formatCode="_(* #,##0.00_);_(* \(#,##0.00\);_(* &quot;-&quot;??_);_(@_)">
                  <c:v>-236.70524174383428</c:v>
                </c:pt>
                <c:pt idx="40" formatCode="_(* #,##0.00_);_(* \(#,##0.00\);_(* &quot;-&quot;??_);_(@_)">
                  <c:v>-233.46764711094153</c:v>
                </c:pt>
                <c:pt idx="41" formatCode="_(* #,##0.00_);_(* \(#,##0.00\);_(* &quot;-&quot;??_);_(@_)">
                  <c:v>-236.39904373425665</c:v>
                </c:pt>
                <c:pt idx="42" formatCode="_(* #,##0.00_);_(* \(#,##0.00\);_(* &quot;-&quot;??_);_(@_)">
                  <c:v>-237.27721520466545</c:v>
                </c:pt>
                <c:pt idx="43" formatCode="_(* #,##0.00_);_(* \(#,##0.00\);_(* &quot;-&quot;??_);_(@_)">
                  <c:v>-236.18185517326262</c:v>
                </c:pt>
                <c:pt idx="44" formatCode="_(* #,##0.00_);_(* \(#,##0.00\);_(* &quot;-&quot;??_);_(@_)">
                  <c:v>-236.90459069403974</c:v>
                </c:pt>
                <c:pt idx="45" formatCode="_(* #,##0.00_);_(* \(#,##0.00\);_(* &quot;-&quot;??_);_(@_)">
                  <c:v>-243.54744105001754</c:v>
                </c:pt>
              </c:numCache>
            </c:numRef>
          </c:val>
          <c:smooth val="0"/>
        </c:ser>
        <c:dLbls>
          <c:showLegendKey val="0"/>
          <c:showVal val="0"/>
          <c:showCatName val="0"/>
          <c:showSerName val="0"/>
          <c:showPercent val="0"/>
          <c:showBubbleSize val="0"/>
        </c:dLbls>
        <c:marker val="1"/>
        <c:smooth val="0"/>
        <c:axId val="79841920"/>
        <c:axId val="79847808"/>
      </c:lineChart>
      <c:catAx>
        <c:axId val="79841920"/>
        <c:scaling>
          <c:orientation val="minMax"/>
        </c:scaling>
        <c:delete val="0"/>
        <c:axPos val="b"/>
        <c:numFmt formatCode="General" sourceLinked="1"/>
        <c:majorTickMark val="out"/>
        <c:minorTickMark val="none"/>
        <c:tickLblPos val="nextTo"/>
        <c:crossAx val="79847808"/>
        <c:crosses val="autoZero"/>
        <c:auto val="1"/>
        <c:lblAlgn val="ctr"/>
        <c:lblOffset val="100"/>
        <c:tickLblSkip val="5"/>
        <c:noMultiLvlLbl val="0"/>
      </c:catAx>
      <c:valAx>
        <c:axId val="79847808"/>
        <c:scaling>
          <c:orientation val="minMax"/>
        </c:scaling>
        <c:delete val="0"/>
        <c:axPos val="l"/>
        <c:majorGridlines/>
        <c:title>
          <c:tx>
            <c:rich>
              <a:bodyPr rot="-5400000" vert="horz"/>
              <a:lstStyle/>
              <a:p>
                <a:pPr>
                  <a:defRPr/>
                </a:pPr>
                <a:r>
                  <a:rPr lang="en-US"/>
                  <a:t>Mt. CO</a:t>
                </a:r>
                <a:r>
                  <a:rPr lang="en-US" baseline="-25000"/>
                  <a:t>2</a:t>
                </a:r>
                <a:r>
                  <a:rPr lang="en-US"/>
                  <a:t>-eq.</a:t>
                </a:r>
              </a:p>
            </c:rich>
          </c:tx>
          <c:overlay val="0"/>
        </c:title>
        <c:numFmt formatCode="_(* #,##0.00_);_(* \(#,##0.00\);_(* &quot;-&quot;??_);_(@_)" sourceLinked="1"/>
        <c:majorTickMark val="out"/>
        <c:minorTickMark val="none"/>
        <c:tickLblPos val="nextTo"/>
        <c:crossAx val="79841920"/>
        <c:crosses val="autoZero"/>
        <c:crossBetween val="midCat"/>
      </c:valAx>
      <c:spPr>
        <a:noFill/>
      </c:spPr>
    </c:plotArea>
    <c:legend>
      <c:legendPos val="r"/>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'GHG intensity'!$B$2</c:f>
              <c:strCache>
                <c:ptCount val="1"/>
                <c:pt idx="0">
                  <c:v>1990</c:v>
                </c:pt>
              </c:strCache>
            </c:strRef>
          </c:tx>
          <c:invertIfNegative val="0"/>
          <c:dLbls>
            <c:dLbl>
              <c:idx val="0"/>
              <c:tx>
                <c:strRef>
                  <c:f>'GHG intensity'!$G$3</c:f>
                  <c:strCache>
                    <c:ptCount val="1"/>
                    <c:pt idx="0">
                      <c:v>-3.1%</c:v>
                    </c:pt>
                  </c:strCache>
                </c:strRef>
              </c:tx>
              <c:dLblPos val="outEnd"/>
              <c:showLegendKey val="0"/>
              <c:showVal val="1"/>
              <c:showCatName val="0"/>
              <c:showSerName val="0"/>
              <c:showPercent val="0"/>
              <c:showBubbleSize val="0"/>
            </c:dLbl>
            <c:dLbl>
              <c:idx val="1"/>
              <c:tx>
                <c:strRef>
                  <c:f>'GHG intensity'!$G$4</c:f>
                  <c:strCache>
                    <c:ptCount val="1"/>
                    <c:pt idx="0">
                      <c:v>-2.8%</c:v>
                    </c:pt>
                  </c:strCache>
                </c:strRef>
              </c:tx>
              <c:dLblPos val="outEnd"/>
              <c:showLegendKey val="0"/>
              <c:showVal val="1"/>
              <c:showCatName val="0"/>
              <c:showSerName val="0"/>
              <c:showPercent val="0"/>
              <c:showBubbleSize val="0"/>
            </c:dLbl>
            <c:dLbl>
              <c:idx val="2"/>
              <c:tx>
                <c:strRef>
                  <c:f>'GHG intensity'!$G$5</c:f>
                  <c:strCache>
                    <c:ptCount val="1"/>
                    <c:pt idx="0">
                      <c:v>-2.0%</c:v>
                    </c:pt>
                  </c:strCache>
                </c:strRef>
              </c:tx>
              <c:dLblPos val="outEnd"/>
              <c:showLegendKey val="0"/>
              <c:showVal val="1"/>
              <c:showCatName val="0"/>
              <c:showSerName val="0"/>
              <c:showPercent val="0"/>
              <c:showBubbleSize val="0"/>
            </c:dLbl>
            <c:dLbl>
              <c:idx val="3"/>
              <c:tx>
                <c:strRef>
                  <c:f>'GHG intensity'!$G$6</c:f>
                  <c:strCache>
                    <c:ptCount val="1"/>
                    <c:pt idx="0">
                      <c:v>-4.1%</c:v>
                    </c:pt>
                  </c:strCache>
                </c:strRef>
              </c:tx>
              <c:dLblPos val="outEnd"/>
              <c:showLegendKey val="0"/>
              <c:showVal val="1"/>
              <c:showCatName val="0"/>
              <c:showSerName val="0"/>
              <c:showPercent val="0"/>
              <c:showBubbleSize val="0"/>
            </c:dLbl>
            <c:dLbl>
              <c:idx val="4"/>
              <c:tx>
                <c:strRef>
                  <c:f>'GHG intensity'!$G$7</c:f>
                  <c:strCache>
                    <c:ptCount val="1"/>
                    <c:pt idx="0">
                      <c:v>-3.7%</c:v>
                    </c:pt>
                  </c:strCache>
                </c:strRef>
              </c:tx>
              <c:dLblPos val="outEnd"/>
              <c:showLegendKey val="0"/>
              <c:showVal val="1"/>
              <c:showCatName val="0"/>
              <c:showSerName val="0"/>
              <c:showPercent val="0"/>
              <c:showBubbleSize val="0"/>
            </c:dLbl>
            <c:dLbl>
              <c:idx val="5"/>
              <c:tx>
                <c:strRef>
                  <c:f>'GHG intensity'!$G$8</c:f>
                  <c:strCache>
                    <c:ptCount val="1"/>
                    <c:pt idx="0">
                      <c:v>-1.7%</c:v>
                    </c:pt>
                  </c:strCache>
                </c:strRef>
              </c:tx>
              <c:dLblPos val="outEnd"/>
              <c:showLegendKey val="0"/>
              <c:showVal val="1"/>
              <c:showCatName val="0"/>
              <c:showSerName val="0"/>
              <c:showPercent val="0"/>
              <c:showBubbleSize val="0"/>
            </c:dLbl>
            <c:dLbl>
              <c:idx val="6"/>
              <c:tx>
                <c:strRef>
                  <c:f>'GHG intensity'!$G$9</c:f>
                  <c:strCache>
                    <c:ptCount val="1"/>
                    <c:pt idx="0">
                      <c:v>-4.1%</c:v>
                    </c:pt>
                  </c:strCache>
                </c:strRef>
              </c:tx>
              <c:dLblPos val="outEnd"/>
              <c:showLegendKey val="0"/>
              <c:showVal val="1"/>
              <c:showCatName val="0"/>
              <c:showSerName val="0"/>
              <c:showPercent val="0"/>
              <c:showBubbleSize val="0"/>
            </c:dLbl>
            <c:dLbl>
              <c:idx val="7"/>
              <c:tx>
                <c:strRef>
                  <c:f>'GHG intensity'!$G$10</c:f>
                  <c:strCache>
                    <c:ptCount val="1"/>
                    <c:pt idx="0">
                      <c:v>-4.6%</c:v>
                    </c:pt>
                  </c:strCache>
                </c:strRef>
              </c:tx>
              <c:dLblPos val="outEnd"/>
              <c:showLegendKey val="0"/>
              <c:showVal val="1"/>
              <c:showCatName val="0"/>
              <c:showSerName val="0"/>
              <c:showPercent val="0"/>
              <c:showBubbleSize val="0"/>
            </c:dLbl>
            <c:dLbl>
              <c:idx val="8"/>
              <c:tx>
                <c:strRef>
                  <c:f>'GHG intensity'!$G$11</c:f>
                  <c:strCache>
                    <c:ptCount val="1"/>
                    <c:pt idx="0">
                      <c:v>-1.3%</c:v>
                    </c:pt>
                  </c:strCache>
                </c:strRef>
              </c:tx>
              <c:dLblPos val="outEnd"/>
              <c:showLegendKey val="0"/>
              <c:showVal val="1"/>
              <c:showCatName val="0"/>
              <c:showSerName val="0"/>
              <c:showPercent val="0"/>
              <c:showBubbleSize val="0"/>
            </c:dLbl>
            <c:dLbl>
              <c:idx val="9"/>
              <c:tx>
                <c:strRef>
                  <c:f>'GHG intensity'!$G$12</c:f>
                  <c:strCache>
                    <c:ptCount val="1"/>
                    <c:pt idx="0">
                      <c:v>-1.4%</c:v>
                    </c:pt>
                  </c:strCache>
                </c:strRef>
              </c:tx>
              <c:dLblPos val="outEnd"/>
              <c:showLegendKey val="0"/>
              <c:showVal val="1"/>
              <c:showCatName val="0"/>
              <c:showSerName val="0"/>
              <c:showPercent val="0"/>
              <c:showBubbleSize val="0"/>
            </c:dLbl>
            <c:dLbl>
              <c:idx val="10"/>
              <c:tx>
                <c:strRef>
                  <c:f>'GHG intensity'!$G$13</c:f>
                  <c:strCache>
                    <c:ptCount val="1"/>
                    <c:pt idx="0">
                      <c:v>-2.3%</c:v>
                    </c:pt>
                  </c:strCache>
                </c:strRef>
              </c:tx>
              <c:dLblPos val="outEnd"/>
              <c:showLegendKey val="0"/>
              <c:showVal val="1"/>
              <c:showCatName val="0"/>
              <c:showSerName val="0"/>
              <c:showPercent val="0"/>
              <c:showBubbleSize val="0"/>
            </c:dLbl>
            <c:dLbl>
              <c:idx val="11"/>
              <c:tx>
                <c:strRef>
                  <c:f>'GHG intensity'!$G$14</c:f>
                  <c:strCache>
                    <c:ptCount val="1"/>
                    <c:pt idx="0">
                      <c:v>-2.4%</c:v>
                    </c:pt>
                  </c:strCache>
                </c:strRef>
              </c:tx>
              <c:dLblPos val="outEnd"/>
              <c:showLegendKey val="0"/>
              <c:showVal val="1"/>
              <c:showCatName val="0"/>
              <c:showSerName val="0"/>
              <c:showPercent val="0"/>
              <c:showBubbleSize val="0"/>
            </c:dLbl>
            <c:dLbl>
              <c:idx val="12"/>
              <c:tx>
                <c:strRef>
                  <c:f>'GHG intensity'!$G$15</c:f>
                  <c:strCache>
                    <c:ptCount val="1"/>
                    <c:pt idx="0">
                      <c:v>-2.2%</c:v>
                    </c:pt>
                  </c:strCache>
                </c:strRef>
              </c:tx>
              <c:dLblPos val="outEnd"/>
              <c:showLegendKey val="0"/>
              <c:showVal val="1"/>
              <c:showCatName val="0"/>
              <c:showSerName val="0"/>
              <c:showPercent val="0"/>
              <c:showBubbleSize val="0"/>
            </c:dLbl>
            <c:dLbl>
              <c:idx val="13"/>
              <c:tx>
                <c:strRef>
                  <c:f>'GHG intensity'!$G$16</c:f>
                  <c:strCache>
                    <c:ptCount val="1"/>
                    <c:pt idx="0">
                      <c:v>-2.6%</c:v>
                    </c:pt>
                  </c:strCache>
                </c:strRef>
              </c:tx>
              <c:dLblPos val="outEnd"/>
              <c:showLegendKey val="0"/>
              <c:showVal val="1"/>
              <c:showCatName val="0"/>
              <c:showSerName val="0"/>
              <c:showPercent val="0"/>
              <c:showBubbleSize val="0"/>
            </c:dLbl>
            <c:dLbl>
              <c:idx val="14"/>
              <c:tx>
                <c:strRef>
                  <c:f>'GHG intensity'!$G$17</c:f>
                  <c:strCache>
                    <c:ptCount val="1"/>
                    <c:pt idx="0">
                      <c:v>-0.8%</c:v>
                    </c:pt>
                  </c:strCache>
                </c:strRef>
              </c:tx>
              <c:dLblPos val="outEnd"/>
              <c:showLegendKey val="0"/>
              <c:showVal val="1"/>
              <c:showCatName val="0"/>
              <c:showSerName val="0"/>
              <c:showPercent val="0"/>
              <c:showBubbleSize val="0"/>
            </c:dLbl>
            <c:dLbl>
              <c:idx val="15"/>
              <c:tx>
                <c:strRef>
                  <c:f>'GHG intensity'!$G$18</c:f>
                  <c:strCache>
                    <c:ptCount val="1"/>
                    <c:pt idx="0">
                      <c:v>-2.1%</c:v>
                    </c:pt>
                  </c:strCache>
                </c:strRef>
              </c:tx>
              <c:dLblPos val="outEnd"/>
              <c:showLegendKey val="0"/>
              <c:showVal val="1"/>
              <c:showCatName val="0"/>
              <c:showSerName val="0"/>
              <c:showPercent val="0"/>
              <c:showBubbleSize val="0"/>
            </c:dLbl>
            <c:dLbl>
              <c:idx val="16"/>
              <c:tx>
                <c:strRef>
                  <c:f>'GHG intensity'!$G$19</c:f>
                  <c:strCache>
                    <c:ptCount val="1"/>
                    <c:pt idx="0">
                      <c:v>-1.6%</c:v>
                    </c:pt>
                  </c:strCache>
                </c:strRef>
              </c:tx>
              <c:dLblPos val="outEnd"/>
              <c:showLegendKey val="0"/>
              <c:showVal val="1"/>
              <c:showCatName val="0"/>
              <c:showSerName val="0"/>
              <c:showPercent val="0"/>
              <c:showBubbleSize val="0"/>
            </c:dLbl>
            <c:dLbl>
              <c:idx val="17"/>
              <c:tx>
                <c:strRef>
                  <c:f>'GHG intensity'!$G$20</c:f>
                  <c:strCache>
                    <c:ptCount val="1"/>
                    <c:pt idx="0">
                      <c:v>-1.2%</c:v>
                    </c:pt>
                  </c:strCache>
                </c:strRef>
              </c:tx>
              <c:dLblPos val="outEnd"/>
              <c:showLegendKey val="0"/>
              <c:showVal val="1"/>
              <c:showCatName val="0"/>
              <c:showSerName val="0"/>
              <c:showPercent val="0"/>
              <c:showBubbleSize val="0"/>
            </c:dLbl>
            <c:dLbl>
              <c:idx val="18"/>
              <c:tx>
                <c:strRef>
                  <c:f>'GHG intensity'!$G$21</c:f>
                  <c:strCache>
                    <c:ptCount val="1"/>
                    <c:pt idx="0">
                      <c:v>-5.1%</c:v>
                    </c:pt>
                  </c:strCache>
                </c:strRef>
              </c:tx>
              <c:dLblPos val="outEnd"/>
              <c:showLegendKey val="0"/>
              <c:showVal val="1"/>
              <c:showCatName val="0"/>
              <c:showSerName val="0"/>
              <c:showPercent val="0"/>
              <c:showBubbleSize val="0"/>
            </c:dLbl>
            <c:dLbl>
              <c:idx val="19"/>
              <c:tx>
                <c:strRef>
                  <c:f>'GHG intensity'!$G$22</c:f>
                  <c:strCache>
                    <c:ptCount val="1"/>
                    <c:pt idx="0">
                      <c:v>-1.1%</c:v>
                    </c:pt>
                  </c:strCache>
                </c:strRef>
              </c:tx>
              <c:dLblPos val="outEnd"/>
              <c:showLegendKey val="0"/>
              <c:showVal val="1"/>
              <c:showCatName val="0"/>
              <c:showSerName val="0"/>
              <c:showPercent val="0"/>
              <c:showBubbleSize val="0"/>
            </c:dLbl>
            <c:dLbl>
              <c:idx val="20"/>
              <c:tx>
                <c:strRef>
                  <c:f>'GHG intensity'!$G$23</c:f>
                  <c:strCache>
                    <c:ptCount val="1"/>
                    <c:pt idx="0">
                      <c:v>-3.9%</c:v>
                    </c:pt>
                  </c:strCache>
                </c:strRef>
              </c:tx>
              <c:dLblPos val="outEnd"/>
              <c:showLegendKey val="0"/>
              <c:showVal val="1"/>
              <c:showCatName val="0"/>
              <c:showSerName val="0"/>
              <c:showPercent val="0"/>
              <c:showBubbleSize val="0"/>
            </c:dLbl>
            <c:dLbl>
              <c:idx val="21"/>
              <c:tx>
                <c:strRef>
                  <c:f>'GHG intensity'!$G$24</c:f>
                  <c:strCache>
                    <c:ptCount val="1"/>
                    <c:pt idx="0">
                      <c:v>-4.6%</c:v>
                    </c:pt>
                  </c:strCache>
                </c:strRef>
              </c:tx>
              <c:dLblPos val="outEnd"/>
              <c:showLegendKey val="0"/>
              <c:showVal val="1"/>
              <c:showCatName val="0"/>
              <c:showSerName val="0"/>
              <c:showPercent val="0"/>
              <c:showBubbleSize val="0"/>
            </c:dLbl>
            <c:dLbl>
              <c:idx val="22"/>
              <c:tx>
                <c:strRef>
                  <c:f>'GHG intensity'!$G$25</c:f>
                  <c:strCache>
                    <c:ptCount val="1"/>
                    <c:pt idx="0">
                      <c:v>-2.9%</c:v>
                    </c:pt>
                  </c:strCache>
                </c:strRef>
              </c:tx>
              <c:dLblPos val="outEnd"/>
              <c:showLegendKey val="0"/>
              <c:showVal val="1"/>
              <c:showCatName val="0"/>
              <c:showSerName val="0"/>
              <c:showPercent val="0"/>
              <c:showBubbleSize val="0"/>
            </c:dLbl>
            <c:dLbl>
              <c:idx val="23"/>
              <c:tx>
                <c:strRef>
                  <c:f>'GHG intensity'!$G$26</c:f>
                  <c:strCache>
                    <c:ptCount val="1"/>
                    <c:pt idx="0">
                      <c:v>-3.5%</c:v>
                    </c:pt>
                  </c:strCache>
                </c:strRef>
              </c:tx>
              <c:dLblPos val="outEnd"/>
              <c:showLegendKey val="0"/>
              <c:showVal val="1"/>
              <c:showCatName val="0"/>
              <c:showSerName val="0"/>
              <c:showPercent val="0"/>
              <c:showBubbleSize val="0"/>
            </c:dLbl>
            <c:dLbl>
              <c:idx val="24"/>
              <c:tx>
                <c:strRef>
                  <c:f>'GHG intensity'!$G$27</c:f>
                  <c:strCache>
                    <c:ptCount val="1"/>
                    <c:pt idx="0">
                      <c:v>-4.7%</c:v>
                    </c:pt>
                  </c:strCache>
                </c:strRef>
              </c:tx>
              <c:dLblPos val="outEnd"/>
              <c:showLegendKey val="0"/>
              <c:showVal val="1"/>
              <c:showCatName val="0"/>
              <c:showSerName val="0"/>
              <c:showPercent val="0"/>
              <c:showBubbleSize val="0"/>
            </c:dLbl>
            <c:dLbl>
              <c:idx val="25"/>
              <c:tx>
                <c:strRef>
                  <c:f>'GHG intensity'!$G$28</c:f>
                  <c:strCache>
                    <c:ptCount val="1"/>
                    <c:pt idx="0">
                      <c:v>-4.1%</c:v>
                    </c:pt>
                  </c:strCache>
                </c:strRef>
              </c:tx>
              <c:dLblPos val="outEnd"/>
              <c:showLegendKey val="0"/>
              <c:showVal val="1"/>
              <c:showCatName val="0"/>
              <c:showSerName val="0"/>
              <c:showPercent val="0"/>
              <c:showBubbleSize val="0"/>
            </c:dLbl>
            <c:dLbl>
              <c:idx val="26"/>
              <c:tx>
                <c:strRef>
                  <c:f>'GHG intensity'!$G$29</c:f>
                  <c:strCache>
                    <c:ptCount val="1"/>
                    <c:pt idx="0">
                      <c:v>-4.5%</c:v>
                    </c:pt>
                  </c:strCache>
                </c:strRef>
              </c:tx>
              <c:dLblPos val="outEnd"/>
              <c:showLegendKey val="0"/>
              <c:showVal val="1"/>
              <c:showCatName val="0"/>
              <c:showSerName val="0"/>
              <c:showPercent val="0"/>
              <c:showBubbleSize val="0"/>
            </c:dLbl>
            <c:dLbl>
              <c:idx val="27"/>
              <c:tx>
                <c:strRef>
                  <c:f>'GHG intensity'!$G$30</c:f>
                  <c:strCache>
                    <c:ptCount val="1"/>
                    <c:pt idx="0">
                      <c:v>-3.8%</c:v>
                    </c:pt>
                  </c:strCache>
                </c:strRef>
              </c:tx>
              <c:dLblPos val="outEnd"/>
              <c:showLegendKey val="0"/>
              <c:showVal val="1"/>
              <c:showCatName val="0"/>
              <c:showSerName val="0"/>
              <c:showPercent val="0"/>
              <c:showBubbleSize val="0"/>
            </c:dLbl>
            <c:dLbl>
              <c:idx val="29"/>
              <c:tx>
                <c:strRef>
                  <c:f>'GHG intensity'!$G$32</c:f>
                  <c:strCache>
                    <c:ptCount val="1"/>
                    <c:pt idx="0">
                      <c:v>-2.6%</c:v>
                    </c:pt>
                  </c:strCache>
                </c:strRef>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'GHG intensity'!$A$3:$A$32</c:f>
              <c:strCache>
                <c:ptCount val="30"/>
                <c:pt idx="0">
                  <c:v>Sweden</c:v>
                </c:pt>
                <c:pt idx="1">
                  <c:v>Denmark</c:v>
                </c:pt>
                <c:pt idx="2">
                  <c:v>France</c:v>
                </c:pt>
                <c:pt idx="3">
                  <c:v>Luxembourg</c:v>
                </c:pt>
                <c:pt idx="4">
                  <c:v>United Kingdom</c:v>
                </c:pt>
                <c:pt idx="5">
                  <c:v>Austria</c:v>
                </c:pt>
                <c:pt idx="6">
                  <c:v>Malta</c:v>
                </c:pt>
                <c:pt idx="7">
                  <c:v>Ireland</c:v>
                </c:pt>
                <c:pt idx="8">
                  <c:v>Italy</c:v>
                </c:pt>
                <c:pt idx="9">
                  <c:v>Spain</c:v>
                </c:pt>
                <c:pt idx="10">
                  <c:v>Netherlands</c:v>
                </c:pt>
                <c:pt idx="11">
                  <c:v>Belgium</c:v>
                </c:pt>
                <c:pt idx="12">
                  <c:v>Finland</c:v>
                </c:pt>
                <c:pt idx="13">
                  <c:v>Germany</c:v>
                </c:pt>
                <c:pt idx="14">
                  <c:v>Portugal</c:v>
                </c:pt>
                <c:pt idx="15">
                  <c:v>Slovenia</c:v>
                </c:pt>
                <c:pt idx="16">
                  <c:v>Croatia</c:v>
                </c:pt>
                <c:pt idx="17">
                  <c:v>Greece</c:v>
                </c:pt>
                <c:pt idx="18">
                  <c:v>Slovakia</c:v>
                </c:pt>
                <c:pt idx="19">
                  <c:v>Cyprus</c:v>
                </c:pt>
                <c:pt idx="20">
                  <c:v>Latvia</c:v>
                </c:pt>
                <c:pt idx="21">
                  <c:v>Lithuania</c:v>
                </c:pt>
                <c:pt idx="22">
                  <c:v>Hungary</c:v>
                </c:pt>
                <c:pt idx="23">
                  <c:v>Czech Republic</c:v>
                </c:pt>
                <c:pt idx="24">
                  <c:v>Romania</c:v>
                </c:pt>
                <c:pt idx="25">
                  <c:v>Poland</c:v>
                </c:pt>
                <c:pt idx="26">
                  <c:v>Estonia</c:v>
                </c:pt>
                <c:pt idx="27">
                  <c:v>Bulgaria</c:v>
                </c:pt>
                <c:pt idx="29">
                  <c:v>EU 28</c:v>
                </c:pt>
              </c:strCache>
            </c:strRef>
          </c:cat>
          <c:val>
            <c:numRef>
              <c:f>'GHG intensity'!$B$3:$B$32</c:f>
              <c:numCache>
                <c:formatCode>General</c:formatCode>
                <c:ptCount val="30"/>
                <c:pt idx="0">
                  <c:v>300.74195591331204</c:v>
                </c:pt>
                <c:pt idx="1">
                  <c:v>416.61009852462001</c:v>
                </c:pt>
                <c:pt idx="2">
                  <c:v>385.86798658519785</c:v>
                </c:pt>
                <c:pt idx="3">
                  <c:v>691.01649675893566</c:v>
                </c:pt>
                <c:pt idx="4">
                  <c:v>654.24162976300363</c:v>
                </c:pt>
                <c:pt idx="5">
                  <c:v>406.86193323035508</c:v>
                </c:pt>
                <c:pt idx="6">
                  <c:v>785.28133070632327</c:v>
                </c:pt>
                <c:pt idx="7">
                  <c:v>917.98176416289584</c:v>
                </c:pt>
                <c:pt idx="8">
                  <c:v>396.8154756912383</c:v>
                </c:pt>
                <c:pt idx="9">
                  <c:v>445.03983337011158</c:v>
                </c:pt>
                <c:pt idx="10">
                  <c:v>564.24468471884143</c:v>
                </c:pt>
                <c:pt idx="11">
                  <c:v>596.14118043644328</c:v>
                </c:pt>
                <c:pt idx="12">
                  <c:v>572.96443296859559</c:v>
                </c:pt>
                <c:pt idx="13">
                  <c:v>651.15685756318351</c:v>
                </c:pt>
                <c:pt idx="14">
                  <c:v>490.85368611051587</c:v>
                </c:pt>
                <c:pt idx="15">
                  <c:v>800.07460641145587</c:v>
                </c:pt>
                <c:pt idx="16">
                  <c:v>767.93807596083298</c:v>
                </c:pt>
                <c:pt idx="17">
                  <c:v>707.29870066099113</c:v>
                </c:pt>
                <c:pt idx="18">
                  <c:v>2030.3309450120541</c:v>
                </c:pt>
                <c:pt idx="19">
                  <c:v>697.06827763730064</c:v>
                </c:pt>
                <c:pt idx="20">
                  <c:v>1472.3350869394483</c:v>
                </c:pt>
                <c:pt idx="21">
                  <c:v>1926.0816188440613</c:v>
                </c:pt>
                <c:pt idx="22">
                  <c:v>1216.3847458382081</c:v>
                </c:pt>
                <c:pt idx="23">
                  <c:v>1823.0266087253387</c:v>
                </c:pt>
                <c:pt idx="24">
                  <c:v>2636.3759584530258</c:v>
                </c:pt>
                <c:pt idx="25">
                  <c:v>2738.3065718145235</c:v>
                </c:pt>
                <c:pt idx="26">
                  <c:v>3588.7759424108149</c:v>
                </c:pt>
                <c:pt idx="27">
                  <c:v>3816.6052647250422</c:v>
                </c:pt>
                <c:pt idx="29">
                  <c:v>636.10603672170259</c:v>
                </c:pt>
              </c:numCache>
            </c:numRef>
          </c:val>
        </c:ser>
        <c:ser>
          <c:idx val="1"/>
          <c:order val="1"/>
          <c:tx>
            <c:strRef>
              <c:f>'GHG intensity'!$C$2</c:f>
              <c:strCache>
                <c:ptCount val="1"/>
                <c:pt idx="0">
                  <c:v>2005</c:v>
                </c:pt>
              </c:strCache>
            </c:strRef>
          </c:tx>
          <c:invertIfNegative val="0"/>
          <c:cat>
            <c:strRef>
              <c:f>'GHG intensity'!$A$3:$A$32</c:f>
              <c:strCache>
                <c:ptCount val="30"/>
                <c:pt idx="0">
                  <c:v>Sweden</c:v>
                </c:pt>
                <c:pt idx="1">
                  <c:v>Denmark</c:v>
                </c:pt>
                <c:pt idx="2">
                  <c:v>France</c:v>
                </c:pt>
                <c:pt idx="3">
                  <c:v>Luxembourg</c:v>
                </c:pt>
                <c:pt idx="4">
                  <c:v>United Kingdom</c:v>
                </c:pt>
                <c:pt idx="5">
                  <c:v>Austria</c:v>
                </c:pt>
                <c:pt idx="6">
                  <c:v>Malta</c:v>
                </c:pt>
                <c:pt idx="7">
                  <c:v>Ireland</c:v>
                </c:pt>
                <c:pt idx="8">
                  <c:v>Italy</c:v>
                </c:pt>
                <c:pt idx="9">
                  <c:v>Spain</c:v>
                </c:pt>
                <c:pt idx="10">
                  <c:v>Netherlands</c:v>
                </c:pt>
                <c:pt idx="11">
                  <c:v>Belgium</c:v>
                </c:pt>
                <c:pt idx="12">
                  <c:v>Finland</c:v>
                </c:pt>
                <c:pt idx="13">
                  <c:v>Germany</c:v>
                </c:pt>
                <c:pt idx="14">
                  <c:v>Portugal</c:v>
                </c:pt>
                <c:pt idx="15">
                  <c:v>Slovenia</c:v>
                </c:pt>
                <c:pt idx="16">
                  <c:v>Croatia</c:v>
                </c:pt>
                <c:pt idx="17">
                  <c:v>Greece</c:v>
                </c:pt>
                <c:pt idx="18">
                  <c:v>Slovakia</c:v>
                </c:pt>
                <c:pt idx="19">
                  <c:v>Cyprus</c:v>
                </c:pt>
                <c:pt idx="20">
                  <c:v>Latvia</c:v>
                </c:pt>
                <c:pt idx="21">
                  <c:v>Lithuania</c:v>
                </c:pt>
                <c:pt idx="22">
                  <c:v>Hungary</c:v>
                </c:pt>
                <c:pt idx="23">
                  <c:v>Czech Republic</c:v>
                </c:pt>
                <c:pt idx="24">
                  <c:v>Romania</c:v>
                </c:pt>
                <c:pt idx="25">
                  <c:v>Poland</c:v>
                </c:pt>
                <c:pt idx="26">
                  <c:v>Estonia</c:v>
                </c:pt>
                <c:pt idx="27">
                  <c:v>Bulgaria</c:v>
                </c:pt>
                <c:pt idx="29">
                  <c:v>EU 28</c:v>
                </c:pt>
              </c:strCache>
            </c:strRef>
          </c:cat>
          <c:val>
            <c:numRef>
              <c:f>'GHG intensity'!$C$3:$C$32</c:f>
              <c:numCache>
                <c:formatCode>General</c:formatCode>
                <c:ptCount val="30"/>
                <c:pt idx="0">
                  <c:v>201.60844794290338</c:v>
                </c:pt>
                <c:pt idx="1">
                  <c:v>286.36792300911605</c:v>
                </c:pt>
                <c:pt idx="2">
                  <c:v>295.8448040529924</c:v>
                </c:pt>
                <c:pt idx="3">
                  <c:v>401.2249874961509</c:v>
                </c:pt>
                <c:pt idx="4">
                  <c:v>402.40367633682428</c:v>
                </c:pt>
                <c:pt idx="5">
                  <c:v>342.39899522363135</c:v>
                </c:pt>
                <c:pt idx="6">
                  <c:v>550.18056402018806</c:v>
                </c:pt>
                <c:pt idx="7">
                  <c:v>443.78126514462673</c:v>
                </c:pt>
                <c:pt idx="8">
                  <c:v>360.89910968965006</c:v>
                </c:pt>
                <c:pt idx="9">
                  <c:v>440.30606325035967</c:v>
                </c:pt>
                <c:pt idx="10">
                  <c:v>380.01502187544111</c:v>
                </c:pt>
                <c:pt idx="11">
                  <c:v>436.2821990932606</c:v>
                </c:pt>
                <c:pt idx="12">
                  <c:v>394.48757449492172</c:v>
                </c:pt>
                <c:pt idx="13">
                  <c:v>418.14475116338804</c:v>
                </c:pt>
                <c:pt idx="14">
                  <c:v>507.64068377535085</c:v>
                </c:pt>
                <c:pt idx="15">
                  <c:v>617.85043587571238</c:v>
                </c:pt>
                <c:pt idx="16">
                  <c:v>672.61865343644786</c:v>
                </c:pt>
                <c:pt idx="17">
                  <c:v>604.30518376288046</c:v>
                </c:pt>
                <c:pt idx="18">
                  <c:v>961.6502981731735</c:v>
                </c:pt>
                <c:pt idx="19">
                  <c:v>595.66044274530122</c:v>
                </c:pt>
                <c:pt idx="20">
                  <c:v>631.37478633316869</c:v>
                </c:pt>
                <c:pt idx="21">
                  <c:v>877.84636361343837</c:v>
                </c:pt>
                <c:pt idx="22">
                  <c:v>771.16970415217372</c:v>
                </c:pt>
                <c:pt idx="23">
                  <c:v>1071.4974530156046</c:v>
                </c:pt>
                <c:pt idx="24">
                  <c:v>1337.5650287398657</c:v>
                </c:pt>
                <c:pt idx="25">
                  <c:v>1394.7830799884491</c:v>
                </c:pt>
                <c:pt idx="26">
                  <c:v>1285.2424863702963</c:v>
                </c:pt>
                <c:pt idx="27">
                  <c:v>1997.1710845789571</c:v>
                </c:pt>
                <c:pt idx="29">
                  <c:v>435.91544518715352</c:v>
                </c:pt>
              </c:numCache>
            </c:numRef>
          </c:val>
        </c:ser>
        <c:ser>
          <c:idx val="2"/>
          <c:order val="2"/>
          <c:tx>
            <c:strRef>
              <c:f>'GHG intensity'!$D$2</c:f>
              <c:strCache>
                <c:ptCount val="1"/>
                <c:pt idx="0">
                  <c:v>2016</c:v>
                </c:pt>
              </c:strCache>
            </c:strRef>
          </c:tx>
          <c:invertIfNegative val="0"/>
          <c:cat>
            <c:strRef>
              <c:f>'GHG intensity'!$A$3:$A$32</c:f>
              <c:strCache>
                <c:ptCount val="30"/>
                <c:pt idx="0">
                  <c:v>Sweden</c:v>
                </c:pt>
                <c:pt idx="1">
                  <c:v>Denmark</c:v>
                </c:pt>
                <c:pt idx="2">
                  <c:v>France</c:v>
                </c:pt>
                <c:pt idx="3">
                  <c:v>Luxembourg</c:v>
                </c:pt>
                <c:pt idx="4">
                  <c:v>United Kingdom</c:v>
                </c:pt>
                <c:pt idx="5">
                  <c:v>Austria</c:v>
                </c:pt>
                <c:pt idx="6">
                  <c:v>Malta</c:v>
                </c:pt>
                <c:pt idx="7">
                  <c:v>Ireland</c:v>
                </c:pt>
                <c:pt idx="8">
                  <c:v>Italy</c:v>
                </c:pt>
                <c:pt idx="9">
                  <c:v>Spain</c:v>
                </c:pt>
                <c:pt idx="10">
                  <c:v>Netherlands</c:v>
                </c:pt>
                <c:pt idx="11">
                  <c:v>Belgium</c:v>
                </c:pt>
                <c:pt idx="12">
                  <c:v>Finland</c:v>
                </c:pt>
                <c:pt idx="13">
                  <c:v>Germany</c:v>
                </c:pt>
                <c:pt idx="14">
                  <c:v>Portugal</c:v>
                </c:pt>
                <c:pt idx="15">
                  <c:v>Slovenia</c:v>
                </c:pt>
                <c:pt idx="16">
                  <c:v>Croatia</c:v>
                </c:pt>
                <c:pt idx="17">
                  <c:v>Greece</c:v>
                </c:pt>
                <c:pt idx="18">
                  <c:v>Slovakia</c:v>
                </c:pt>
                <c:pt idx="19">
                  <c:v>Cyprus</c:v>
                </c:pt>
                <c:pt idx="20">
                  <c:v>Latvia</c:v>
                </c:pt>
                <c:pt idx="21">
                  <c:v>Lithuania</c:v>
                </c:pt>
                <c:pt idx="22">
                  <c:v>Hungary</c:v>
                </c:pt>
                <c:pt idx="23">
                  <c:v>Czech Republic</c:v>
                </c:pt>
                <c:pt idx="24">
                  <c:v>Romania</c:v>
                </c:pt>
                <c:pt idx="25">
                  <c:v>Poland</c:v>
                </c:pt>
                <c:pt idx="26">
                  <c:v>Estonia</c:v>
                </c:pt>
                <c:pt idx="27">
                  <c:v>Bulgaria</c:v>
                </c:pt>
                <c:pt idx="29">
                  <c:v>EU 28</c:v>
                </c:pt>
              </c:strCache>
            </c:strRef>
          </c:cat>
          <c:val>
            <c:numRef>
              <c:f>'GHG intensity'!$D$3:$D$32</c:f>
              <c:numCache>
                <c:formatCode>General</c:formatCode>
                <c:ptCount val="30"/>
                <c:pt idx="0">
                  <c:v>132.2300520605483</c:v>
                </c:pt>
                <c:pt idx="1">
                  <c:v>200.66797893608299</c:v>
                </c:pt>
                <c:pt idx="2">
                  <c:v>226.72138159235001</c:v>
                </c:pt>
                <c:pt idx="3">
                  <c:v>233.99439321853322</c:v>
                </c:pt>
                <c:pt idx="4">
                  <c:v>245.9886636058865</c:v>
                </c:pt>
                <c:pt idx="5">
                  <c:v>258.88107634053779</c:v>
                </c:pt>
                <c:pt idx="6">
                  <c:v>262.63444609052931</c:v>
                </c:pt>
                <c:pt idx="7">
                  <c:v>269.36204198155701</c:v>
                </c:pt>
                <c:pt idx="8">
                  <c:v>283.3643442670288</c:v>
                </c:pt>
                <c:pt idx="9">
                  <c:v>307.80054902235167</c:v>
                </c:pt>
                <c:pt idx="10">
                  <c:v>310.94771944041565</c:v>
                </c:pt>
                <c:pt idx="11">
                  <c:v>315.04335338226576</c:v>
                </c:pt>
                <c:pt idx="12">
                  <c:v>320.28661151548494</c:v>
                </c:pt>
                <c:pt idx="13">
                  <c:v>327.15618768552213</c:v>
                </c:pt>
                <c:pt idx="14">
                  <c:v>399.79742639698992</c:v>
                </c:pt>
                <c:pt idx="15">
                  <c:v>463.33607707284466</c:v>
                </c:pt>
                <c:pt idx="16">
                  <c:v>507.23481667448664</c:v>
                </c:pt>
                <c:pt idx="17">
                  <c:v>520.57830179437542</c:v>
                </c:pt>
                <c:pt idx="18">
                  <c:v>521.88330624295781</c:v>
                </c:pt>
                <c:pt idx="19">
                  <c:v>528.72502350911657</c:v>
                </c:pt>
                <c:pt idx="20">
                  <c:v>529.58373161153588</c:v>
                </c:pt>
                <c:pt idx="21">
                  <c:v>564.24277839084095</c:v>
                </c:pt>
                <c:pt idx="22">
                  <c:v>564.69691069503381</c:v>
                </c:pt>
                <c:pt idx="23">
                  <c:v>731.15297673876682</c:v>
                </c:pt>
                <c:pt idx="24">
                  <c:v>760.28541826112621</c:v>
                </c:pt>
                <c:pt idx="25">
                  <c:v>911.86641983148104</c:v>
                </c:pt>
                <c:pt idx="26">
                  <c:v>1091.0822294686138</c:v>
                </c:pt>
                <c:pt idx="27">
                  <c:v>1380.564910160904</c:v>
                </c:pt>
                <c:pt idx="29">
                  <c:v>321.48362362259928</c:v>
                </c:pt>
              </c:numCache>
            </c:numRef>
          </c:val>
        </c:ser>
        <c:dLbls>
          <c:showLegendKey val="0"/>
          <c:showVal val="0"/>
          <c:showCatName val="0"/>
          <c:showSerName val="0"/>
          <c:showPercent val="0"/>
          <c:showBubbleSize val="0"/>
        </c:dLbls>
        <c:gapWidth val="150"/>
        <c:axId val="79886976"/>
        <c:axId val="82071936"/>
      </c:barChart>
      <c:catAx>
        <c:axId val="79886976"/>
        <c:scaling>
          <c:orientation val="minMax"/>
        </c:scaling>
        <c:delete val="0"/>
        <c:axPos val="l"/>
        <c:majorTickMark val="none"/>
        <c:minorTickMark val="none"/>
        <c:tickLblPos val="nextTo"/>
        <c:crossAx val="82071936"/>
        <c:crosses val="autoZero"/>
        <c:auto val="1"/>
        <c:lblAlgn val="ctr"/>
        <c:lblOffset val="100"/>
        <c:noMultiLvlLbl val="0"/>
      </c:catAx>
      <c:valAx>
        <c:axId val="82071936"/>
        <c:scaling>
          <c:orientation val="minMax"/>
        </c:scaling>
        <c:delete val="0"/>
        <c:axPos val="b"/>
        <c:majorGridlines/>
        <c:title>
          <c:tx>
            <c:rich>
              <a:bodyPr/>
              <a:lstStyle/>
              <a:p>
                <a:pPr>
                  <a:defRPr/>
                </a:pPr>
                <a:r>
                  <a:rPr lang="en-US"/>
                  <a:t>tonnes CO</a:t>
                </a:r>
                <a:r>
                  <a:rPr lang="en-US" baseline="-25000"/>
                  <a:t>2</a:t>
                </a:r>
                <a:r>
                  <a:rPr lang="en-US"/>
                  <a:t>-eq. / million Euro</a:t>
                </a:r>
              </a:p>
            </c:rich>
          </c:tx>
          <c:overlay val="0"/>
        </c:title>
        <c:numFmt formatCode="General" sourceLinked="1"/>
        <c:majorTickMark val="none"/>
        <c:minorTickMark val="none"/>
        <c:tickLblPos val="nextTo"/>
        <c:crossAx val="798869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'GHG per capita'!$B$3</c:f>
              <c:strCache>
                <c:ptCount val="1"/>
                <c:pt idx="0">
                  <c:v>1990</c:v>
                </c:pt>
              </c:strCache>
            </c:strRef>
          </c:tx>
          <c:invertIfNegative val="0"/>
          <c:cat>
            <c:strRef>
              <c:f>'GHG per capita'!$A$4:$A$33</c:f>
              <c:strCache>
                <c:ptCount val="30"/>
                <c:pt idx="0">
                  <c:v>Malta</c:v>
                </c:pt>
                <c:pt idx="1">
                  <c:v>Croatia</c:v>
                </c:pt>
                <c:pt idx="2">
                  <c:v>Sweden</c:v>
                </c:pt>
                <c:pt idx="3">
                  <c:v>Romania</c:v>
                </c:pt>
                <c:pt idx="4">
                  <c:v>Latvia</c:v>
                </c:pt>
                <c:pt idx="5">
                  <c:v>Hungary</c:v>
                </c:pt>
                <c:pt idx="6">
                  <c:v>Portugal</c:v>
                </c:pt>
                <c:pt idx="7">
                  <c:v>Lithuania</c:v>
                </c:pt>
                <c:pt idx="8">
                  <c:v>France</c:v>
                </c:pt>
                <c:pt idx="9">
                  <c:v>Spain</c:v>
                </c:pt>
                <c:pt idx="10">
                  <c:v>Italy</c:v>
                </c:pt>
                <c:pt idx="11">
                  <c:v>Slovakia</c:v>
                </c:pt>
                <c:pt idx="12">
                  <c:v>United Kingdom</c:v>
                </c:pt>
                <c:pt idx="13">
                  <c:v>Bulgaria</c:v>
                </c:pt>
                <c:pt idx="14">
                  <c:v>Slovenia</c:v>
                </c:pt>
                <c:pt idx="15">
                  <c:v>Greece</c:v>
                </c:pt>
                <c:pt idx="16">
                  <c:v>Denmark</c:v>
                </c:pt>
                <c:pt idx="17">
                  <c:v>Austria</c:v>
                </c:pt>
                <c:pt idx="18">
                  <c:v>Poland</c:v>
                </c:pt>
                <c:pt idx="19">
                  <c:v>Belgium</c:v>
                </c:pt>
                <c:pt idx="20">
                  <c:v>Finland</c:v>
                </c:pt>
                <c:pt idx="21">
                  <c:v>Cyprus</c:v>
                </c:pt>
                <c:pt idx="22">
                  <c:v>Germany</c:v>
                </c:pt>
                <c:pt idx="23">
                  <c:v>Czech Republic</c:v>
                </c:pt>
                <c:pt idx="24">
                  <c:v>Netherlands</c:v>
                </c:pt>
                <c:pt idx="25">
                  <c:v>Ireland</c:v>
                </c:pt>
                <c:pt idx="26">
                  <c:v>Estonia</c:v>
                </c:pt>
                <c:pt idx="27">
                  <c:v>Luxembourg</c:v>
                </c:pt>
                <c:pt idx="29">
                  <c:v>EU 28</c:v>
                </c:pt>
              </c:strCache>
            </c:strRef>
          </c:cat>
          <c:val>
            <c:numRef>
              <c:f>'GHG per capita'!$B$4:$B$33</c:f>
              <c:numCache>
                <c:formatCode>0.0</c:formatCode>
                <c:ptCount val="30"/>
                <c:pt idx="0">
                  <c:v>7.3342398305173475</c:v>
                </c:pt>
                <c:pt idx="1">
                  <c:v>6.6250526191745465</c:v>
                </c:pt>
                <c:pt idx="2">
                  <c:v>8.5258737895609134</c:v>
                </c:pt>
                <c:pt idx="3">
                  <c:v>10.648382541155009</c:v>
                </c:pt>
                <c:pt idx="4">
                  <c:v>9.9153243171490768</c:v>
                </c:pt>
                <c:pt idx="5">
                  <c:v>9.0989670848868478</c:v>
                </c:pt>
                <c:pt idx="6">
                  <c:v>6.121966758428945</c:v>
                </c:pt>
                <c:pt idx="7">
                  <c:v>13.099408057329125</c:v>
                </c:pt>
                <c:pt idx="8">
                  <c:v>9.5502030672019078</c:v>
                </c:pt>
                <c:pt idx="9">
                  <c:v>7.5488490598120874</c:v>
                </c:pt>
                <c:pt idx="10">
                  <c:v>9.2398658180218103</c:v>
                </c:pt>
                <c:pt idx="11">
                  <c:v>14.063934507026424</c:v>
                </c:pt>
                <c:pt idx="12">
                  <c:v>14.130443717090829</c:v>
                </c:pt>
                <c:pt idx="13">
                  <c:v>11.971026054353176</c:v>
                </c:pt>
                <c:pt idx="14">
                  <c:v>9.3301563094466733</c:v>
                </c:pt>
                <c:pt idx="15">
                  <c:v>10.351881743688125</c:v>
                </c:pt>
                <c:pt idx="16">
                  <c:v>14.022171539862887</c:v>
                </c:pt>
                <c:pt idx="17">
                  <c:v>10.379288843239102</c:v>
                </c:pt>
                <c:pt idx="18">
                  <c:v>12.29315631265651</c:v>
                </c:pt>
                <c:pt idx="19">
                  <c:v>14.926814736151682</c:v>
                </c:pt>
                <c:pt idx="20">
                  <c:v>14.499021654019939</c:v>
                </c:pt>
                <c:pt idx="21">
                  <c:v>10.958483626603989</c:v>
                </c:pt>
                <c:pt idx="22">
                  <c:v>15.898614387905788</c:v>
                </c:pt>
                <c:pt idx="23">
                  <c:v>19.206979948584546</c:v>
                </c:pt>
                <c:pt idx="24">
                  <c:v>15.116954671522638</c:v>
                </c:pt>
                <c:pt idx="25">
                  <c:v>16.269986113739424</c:v>
                </c:pt>
                <c:pt idx="26">
                  <c:v>25.815806753121748</c:v>
                </c:pt>
                <c:pt idx="27">
                  <c:v>34.39461547824996</c:v>
                </c:pt>
                <c:pt idx="29">
                  <c:v>12.007526214388712</c:v>
                </c:pt>
              </c:numCache>
            </c:numRef>
          </c:val>
        </c:ser>
        <c:ser>
          <c:idx val="1"/>
          <c:order val="1"/>
          <c:tx>
            <c:strRef>
              <c:f>'GHG per capita'!$C$3</c:f>
              <c:strCache>
                <c:ptCount val="1"/>
                <c:pt idx="0">
                  <c:v>2005</c:v>
                </c:pt>
              </c:strCache>
            </c:strRef>
          </c:tx>
          <c:invertIfNegative val="0"/>
          <c:cat>
            <c:strRef>
              <c:f>'GHG per capita'!$A$4:$A$33</c:f>
              <c:strCache>
                <c:ptCount val="30"/>
                <c:pt idx="0">
                  <c:v>Malta</c:v>
                </c:pt>
                <c:pt idx="1">
                  <c:v>Croatia</c:v>
                </c:pt>
                <c:pt idx="2">
                  <c:v>Sweden</c:v>
                </c:pt>
                <c:pt idx="3">
                  <c:v>Romania</c:v>
                </c:pt>
                <c:pt idx="4">
                  <c:v>Latvia</c:v>
                </c:pt>
                <c:pt idx="5">
                  <c:v>Hungary</c:v>
                </c:pt>
                <c:pt idx="6">
                  <c:v>Portugal</c:v>
                </c:pt>
                <c:pt idx="7">
                  <c:v>Lithuania</c:v>
                </c:pt>
                <c:pt idx="8">
                  <c:v>France</c:v>
                </c:pt>
                <c:pt idx="9">
                  <c:v>Spain</c:v>
                </c:pt>
                <c:pt idx="10">
                  <c:v>Italy</c:v>
                </c:pt>
                <c:pt idx="11">
                  <c:v>Slovakia</c:v>
                </c:pt>
                <c:pt idx="12">
                  <c:v>United Kingdom</c:v>
                </c:pt>
                <c:pt idx="13">
                  <c:v>Bulgaria</c:v>
                </c:pt>
                <c:pt idx="14">
                  <c:v>Slovenia</c:v>
                </c:pt>
                <c:pt idx="15">
                  <c:v>Greece</c:v>
                </c:pt>
                <c:pt idx="16">
                  <c:v>Denmark</c:v>
                </c:pt>
                <c:pt idx="17">
                  <c:v>Austria</c:v>
                </c:pt>
                <c:pt idx="18">
                  <c:v>Poland</c:v>
                </c:pt>
                <c:pt idx="19">
                  <c:v>Belgium</c:v>
                </c:pt>
                <c:pt idx="20">
                  <c:v>Finland</c:v>
                </c:pt>
                <c:pt idx="21">
                  <c:v>Cyprus</c:v>
                </c:pt>
                <c:pt idx="22">
                  <c:v>Germany</c:v>
                </c:pt>
                <c:pt idx="23">
                  <c:v>Czech Republic</c:v>
                </c:pt>
                <c:pt idx="24">
                  <c:v>Netherlands</c:v>
                </c:pt>
                <c:pt idx="25">
                  <c:v>Ireland</c:v>
                </c:pt>
                <c:pt idx="26">
                  <c:v>Estonia</c:v>
                </c:pt>
                <c:pt idx="27">
                  <c:v>Luxembourg</c:v>
                </c:pt>
                <c:pt idx="29">
                  <c:v>EU 28</c:v>
                </c:pt>
              </c:strCache>
            </c:strRef>
          </c:cat>
          <c:val>
            <c:numRef>
              <c:f>'GHG per capita'!$C$4:$C$33</c:f>
              <c:numCache>
                <c:formatCode>0.0</c:formatCode>
                <c:ptCount val="30"/>
                <c:pt idx="0">
                  <c:v>8.1354473056075332</c:v>
                </c:pt>
                <c:pt idx="1">
                  <c:v>6.8581558057103873</c:v>
                </c:pt>
                <c:pt idx="2">
                  <c:v>7.617416222321828</c:v>
                </c:pt>
                <c:pt idx="3">
                  <c:v>6.8871814285693009</c:v>
                </c:pt>
                <c:pt idx="4">
                  <c:v>5.1326889969804572</c:v>
                </c:pt>
                <c:pt idx="5">
                  <c:v>7.5922930346043644</c:v>
                </c:pt>
                <c:pt idx="6">
                  <c:v>8.434255284449403</c:v>
                </c:pt>
                <c:pt idx="7">
                  <c:v>6.9846680741135945</c:v>
                </c:pt>
                <c:pt idx="8">
                  <c:v>9.0312719412309033</c:v>
                </c:pt>
                <c:pt idx="9">
                  <c:v>10.34256136117278</c:v>
                </c:pt>
                <c:pt idx="10">
                  <c:v>10.147425284217999</c:v>
                </c:pt>
                <c:pt idx="11">
                  <c:v>9.5918317294235482</c:v>
                </c:pt>
                <c:pt idx="12">
                  <c:v>11.989271551020051</c:v>
                </c:pt>
                <c:pt idx="13">
                  <c:v>8.3898624291281738</c:v>
                </c:pt>
                <c:pt idx="14">
                  <c:v>10.276834769389263</c:v>
                </c:pt>
                <c:pt idx="15">
                  <c:v>12.63820843732705</c:v>
                </c:pt>
                <c:pt idx="16">
                  <c:v>12.714520148265279</c:v>
                </c:pt>
                <c:pt idx="17">
                  <c:v>11.497745865906566</c:v>
                </c:pt>
                <c:pt idx="18">
                  <c:v>10.476217270822987</c:v>
                </c:pt>
                <c:pt idx="19">
                  <c:v>14.187383963941661</c:v>
                </c:pt>
                <c:pt idx="20">
                  <c:v>13.508733886630116</c:v>
                </c:pt>
                <c:pt idx="21">
                  <c:v>13.746138642837003</c:v>
                </c:pt>
                <c:pt idx="22">
                  <c:v>12.303317384187736</c:v>
                </c:pt>
                <c:pt idx="23">
                  <c:v>14.550996978467165</c:v>
                </c:pt>
                <c:pt idx="24">
                  <c:v>13.803433144257427</c:v>
                </c:pt>
                <c:pt idx="25">
                  <c:v>17.424300801013946</c:v>
                </c:pt>
                <c:pt idx="26">
                  <c:v>14.246893157803873</c:v>
                </c:pt>
                <c:pt idx="27">
                  <c:v>30.712586864102242</c:v>
                </c:pt>
                <c:pt idx="29">
                  <c:v>10.784722332857598</c:v>
                </c:pt>
              </c:numCache>
            </c:numRef>
          </c:val>
        </c:ser>
        <c:ser>
          <c:idx val="2"/>
          <c:order val="2"/>
          <c:tx>
            <c:strRef>
              <c:f>'GHG per capita'!$D$3</c:f>
              <c:strCache>
                <c:ptCount val="1"/>
                <c:pt idx="0">
                  <c:v>2016</c:v>
                </c:pt>
              </c:strCache>
            </c:strRef>
          </c:tx>
          <c:invertIfNegative val="0"/>
          <c:dLbls>
            <c:txPr>
              <a:bodyPr rot="0" anchor="t" anchorCtr="0"/>
              <a:lstStyle/>
              <a:p>
                <a:pPr>
                  <a:defRPr/>
                </a:pPr>
                <a:endParaRPr lang="en-US"/>
              </a:p>
            </c:txPr>
            <c:dLblPos val="outEnd"/>
            <c:showLegendKey val="0"/>
            <c:showVal val="1"/>
            <c:showCatName val="0"/>
            <c:showSerName val="0"/>
            <c:showPercent val="0"/>
            <c:showBubbleSize val="0"/>
            <c:separator>, </c:separator>
            <c:showLeaderLines val="0"/>
          </c:dLbls>
          <c:cat>
            <c:strRef>
              <c:f>'GHG per capita'!$A$4:$A$33</c:f>
              <c:strCache>
                <c:ptCount val="30"/>
                <c:pt idx="0">
                  <c:v>Malta</c:v>
                </c:pt>
                <c:pt idx="1">
                  <c:v>Croatia</c:v>
                </c:pt>
                <c:pt idx="2">
                  <c:v>Sweden</c:v>
                </c:pt>
                <c:pt idx="3">
                  <c:v>Romania</c:v>
                </c:pt>
                <c:pt idx="4">
                  <c:v>Latvia</c:v>
                </c:pt>
                <c:pt idx="5">
                  <c:v>Hungary</c:v>
                </c:pt>
                <c:pt idx="6">
                  <c:v>Portugal</c:v>
                </c:pt>
                <c:pt idx="7">
                  <c:v>Lithuania</c:v>
                </c:pt>
                <c:pt idx="8">
                  <c:v>France</c:v>
                </c:pt>
                <c:pt idx="9">
                  <c:v>Spain</c:v>
                </c:pt>
                <c:pt idx="10">
                  <c:v>Italy</c:v>
                </c:pt>
                <c:pt idx="11">
                  <c:v>Slovakia</c:v>
                </c:pt>
                <c:pt idx="12">
                  <c:v>United Kingdom</c:v>
                </c:pt>
                <c:pt idx="13">
                  <c:v>Bulgaria</c:v>
                </c:pt>
                <c:pt idx="14">
                  <c:v>Slovenia</c:v>
                </c:pt>
                <c:pt idx="15">
                  <c:v>Greece</c:v>
                </c:pt>
                <c:pt idx="16">
                  <c:v>Denmark</c:v>
                </c:pt>
                <c:pt idx="17">
                  <c:v>Austria</c:v>
                </c:pt>
                <c:pt idx="18">
                  <c:v>Poland</c:v>
                </c:pt>
                <c:pt idx="19">
                  <c:v>Belgium</c:v>
                </c:pt>
                <c:pt idx="20">
                  <c:v>Finland</c:v>
                </c:pt>
                <c:pt idx="21">
                  <c:v>Cyprus</c:v>
                </c:pt>
                <c:pt idx="22">
                  <c:v>Germany</c:v>
                </c:pt>
                <c:pt idx="23">
                  <c:v>Czech Republic</c:v>
                </c:pt>
                <c:pt idx="24">
                  <c:v>Netherlands</c:v>
                </c:pt>
                <c:pt idx="25">
                  <c:v>Ireland</c:v>
                </c:pt>
                <c:pt idx="26">
                  <c:v>Estonia</c:v>
                </c:pt>
                <c:pt idx="27">
                  <c:v>Luxembourg</c:v>
                </c:pt>
                <c:pt idx="29">
                  <c:v>EU 28</c:v>
                </c:pt>
              </c:strCache>
            </c:strRef>
          </c:cat>
          <c:val>
            <c:numRef>
              <c:f>'GHG per capita'!$D$4:$D$33</c:f>
              <c:numCache>
                <c:formatCode>0.0</c:formatCode>
                <c:ptCount val="30"/>
                <c:pt idx="0">
                  <c:v>5.2643430709279473</c:v>
                </c:pt>
                <c:pt idx="1">
                  <c:v>5.496295489962483</c:v>
                </c:pt>
                <c:pt idx="2">
                  <c:v>5.6238000139341127</c:v>
                </c:pt>
                <c:pt idx="3">
                  <c:v>5.7842373482704126</c:v>
                </c:pt>
                <c:pt idx="4">
                  <c:v>5.8373267949154828</c:v>
                </c:pt>
                <c:pt idx="5">
                  <c:v>6.3283536803860505</c:v>
                </c:pt>
                <c:pt idx="6">
                  <c:v>6.7456134835166921</c:v>
                </c:pt>
                <c:pt idx="7">
                  <c:v>6.7701850776019352</c:v>
                </c:pt>
                <c:pt idx="8">
                  <c:v>7.1847972731265806</c:v>
                </c:pt>
                <c:pt idx="9">
                  <c:v>7.3025975218316281</c:v>
                </c:pt>
                <c:pt idx="10">
                  <c:v>7.3318396971055888</c:v>
                </c:pt>
                <c:pt idx="11">
                  <c:v>7.5777016941701305</c:v>
                </c:pt>
                <c:pt idx="12">
                  <c:v>7.7255975419137064</c:v>
                </c:pt>
                <c:pt idx="13">
                  <c:v>8.26943394090517</c:v>
                </c:pt>
                <c:pt idx="14">
                  <c:v>8.5202091886275699</c:v>
                </c:pt>
                <c:pt idx="15">
                  <c:v>8.917060445115327</c:v>
                </c:pt>
                <c:pt idx="16">
                  <c:v>9.1380702949911132</c:v>
                </c:pt>
                <c:pt idx="17">
                  <c:v>9.3415863332938294</c:v>
                </c:pt>
                <c:pt idx="18">
                  <c:v>10.352265820826718</c:v>
                </c:pt>
                <c:pt idx="19">
                  <c:v>10.794466476498135</c:v>
                </c:pt>
                <c:pt idx="20">
                  <c:v>11.05344611339906</c:v>
                </c:pt>
                <c:pt idx="21">
                  <c:v>11.272845591896312</c:v>
                </c:pt>
                <c:pt idx="22">
                  <c:v>11.275535279392246</c:v>
                </c:pt>
                <c:pt idx="23">
                  <c:v>11.983183391389558</c:v>
                </c:pt>
                <c:pt idx="24">
                  <c:v>12.233157040058058</c:v>
                </c:pt>
                <c:pt idx="25">
                  <c:v>13.649884645388925</c:v>
                </c:pt>
                <c:pt idx="26">
                  <c:v>14.716089630463344</c:v>
                </c:pt>
                <c:pt idx="27">
                  <c:v>19.643517607106151</c:v>
                </c:pt>
                <c:pt idx="29">
                  <c:v>8.6550318154327002</c:v>
                </c:pt>
              </c:numCache>
            </c:numRef>
          </c:val>
        </c:ser>
        <c:dLbls>
          <c:showLegendKey val="0"/>
          <c:showVal val="0"/>
          <c:showCatName val="0"/>
          <c:showSerName val="0"/>
          <c:showPercent val="0"/>
          <c:showBubbleSize val="0"/>
        </c:dLbls>
        <c:gapWidth val="177"/>
        <c:axId val="82107392"/>
        <c:axId val="82109184"/>
      </c:barChart>
      <c:catAx>
        <c:axId val="82107392"/>
        <c:scaling>
          <c:orientation val="minMax"/>
        </c:scaling>
        <c:delete val="0"/>
        <c:axPos val="l"/>
        <c:majorTickMark val="out"/>
        <c:minorTickMark val="none"/>
        <c:tickLblPos val="nextTo"/>
        <c:crossAx val="82109184"/>
        <c:crosses val="autoZero"/>
        <c:auto val="1"/>
        <c:lblAlgn val="ctr"/>
        <c:lblOffset val="100"/>
        <c:noMultiLvlLbl val="0"/>
      </c:catAx>
      <c:valAx>
        <c:axId val="82109184"/>
        <c:scaling>
          <c:orientation val="minMax"/>
        </c:scaling>
        <c:delete val="0"/>
        <c:axPos val="b"/>
        <c:majorGridlines/>
        <c:title>
          <c:tx>
            <c:rich>
              <a:bodyPr/>
              <a:lstStyle/>
              <a:p>
                <a:pPr>
                  <a:defRPr/>
                </a:pPr>
                <a:r>
                  <a:rPr lang="en-GB"/>
                  <a:t>tonnes CO</a:t>
                </a:r>
                <a:r>
                  <a:rPr lang="en-GB" baseline="-25000"/>
                  <a:t>2</a:t>
                </a:r>
                <a:r>
                  <a:rPr lang="en-GB"/>
                  <a:t>-eq. per capita</a:t>
                </a:r>
              </a:p>
            </c:rich>
          </c:tx>
          <c:overlay val="0"/>
        </c:title>
        <c:numFmt formatCode="0.0" sourceLinked="1"/>
        <c:majorTickMark val="out"/>
        <c:minorTickMark val="none"/>
        <c:tickLblPos val="nextTo"/>
        <c:crossAx val="821073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860d912c-537d-45a8-8150-6acaed830b3a">Not Started</EC_Collab_Status>
    <_Status xmlns="http://schemas.microsoft.com/sharepoint/v3/fields">Not Started</_Status>
    <EC_Collab_Reference xmlns="860d912c-537d-45a8-8150-6acaed830b3a" xsi:nil="true"/>
    <EC_Collab_DocumentLanguage xmlns="860d912c-537d-45a8-8150-6acaed830b3a">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6847E1B8AD23243ABCBDF4B7200F2DF" ma:contentTypeVersion="0" ma:contentTypeDescription="Create a new document in this library." ma:contentTypeScope="" ma:versionID="9a4cabf7f0ec1910422d457b83992ea6">
  <xsd:schema xmlns:xsd="http://www.w3.org/2001/XMLSchema" xmlns:xs="http://www.w3.org/2001/XMLSchema" xmlns:p="http://schemas.microsoft.com/office/2006/metadata/properties" xmlns:ns2="http://schemas.microsoft.com/sharepoint/v3/fields" xmlns:ns3="860d912c-537d-45a8-8150-6acaed830b3a" targetNamespace="http://schemas.microsoft.com/office/2006/metadata/properties" ma:root="true" ma:fieldsID="4e9f4e14874d6c160478bed546b860fb" ns2:_="" ns3:_="">
    <xsd:import namespace="http://schemas.microsoft.com/sharepoint/v3/fields"/>
    <xsd:import namespace="860d912c-537d-45a8-8150-6acaed830b3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60d912c-537d-45a8-8150-6acaed830b3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1958-0C70-4A78-9978-42995C6C5539}">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860d912c-537d-45a8-8150-6acaed830b3a"/>
    <ds:schemaRef ds:uri="http://schemas.microsoft.com/office/infopath/2007/PartnerControls"/>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3ACF0666-29A2-45EE-9021-712512904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60d912c-537d-45a8-8150-6acaed830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4695C-8ED8-4412-B563-CB506EF2C39F}">
  <ds:schemaRefs>
    <ds:schemaRef ds:uri="http://schemas.microsoft.com/sharepoint/v3/contenttype/forms"/>
  </ds:schemaRefs>
</ds:datastoreItem>
</file>

<file path=customXml/itemProps4.xml><?xml version="1.0" encoding="utf-8"?>
<ds:datastoreItem xmlns:ds="http://schemas.openxmlformats.org/officeDocument/2006/customXml" ds:itemID="{1D651A27-6175-4D0C-8996-3D0F4000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3693</Words>
  <Characters>18171</Characters>
  <Application>Microsoft Office Word</Application>
  <DocSecurity>0</DocSecurity>
  <Lines>3028</Lines>
  <Paragraphs>2186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2017-10-27T14:03:00Z</dcterms:created>
  <dcterms:modified xsi:type="dcterms:W3CDTF">2017-11-03T13:49:00Z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0x010100258AA79CEB83498886A3A0868112325000D6847E1B8AD23243ABCBDF4B7200F2DF</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