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0885FA50-34D5-4295-88AE-A1A57EBA1065" style="width:450.5pt;height:32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1. ВЪВЕДЕНИЕ</w:t>
      </w:r>
    </w:p>
    <w:p>
      <w:pPr>
        <w:jc w:val="both"/>
        <w:rPr>
          <w:rFonts w:ascii="Times New Roman" w:hAnsi="Times New Roman" w:cs="Times New Roman"/>
          <w:noProof/>
          <w:sz w:val="24"/>
          <w:szCs w:val="24"/>
        </w:rPr>
      </w:pPr>
      <w:r>
        <w:rPr>
          <w:rFonts w:ascii="Times New Roman" w:hAnsi="Times New Roman"/>
          <w:noProof/>
          <w:sz w:val="24"/>
        </w:rPr>
        <w:t>Директива 2013/30/ЕС</w:t>
      </w:r>
      <w:r>
        <w:rPr>
          <w:rStyle w:val="FootnoteReference"/>
          <w:rFonts w:ascii="Times New Roman" w:hAnsi="Times New Roman"/>
          <w:noProof/>
          <w:sz w:val="24"/>
        </w:rPr>
        <w:footnoteReference w:id="1"/>
      </w:r>
      <w:r>
        <w:rPr>
          <w:rFonts w:ascii="Times New Roman" w:hAnsi="Times New Roman"/>
          <w:noProof/>
          <w:sz w:val="24"/>
        </w:rPr>
        <w:t xml:space="preserve"> на Европейския парламент и на Съвета от 12 юни 2013 г.</w:t>
      </w:r>
      <w:r>
        <w:rPr>
          <w:noProof/>
        </w:rPr>
        <w:t xml:space="preserve"> </w:t>
      </w:r>
      <w:r>
        <w:rPr>
          <w:rFonts w:ascii="Times New Roman" w:hAnsi="Times New Roman"/>
          <w:noProof/>
          <w:sz w:val="24"/>
        </w:rPr>
        <w:t xml:space="preserve">относно безопасността на свързаните с нефт и газ дейности в крайбрежни води и за изменение на Директива 2004/35/ЕО („Директивата относно безопасността на нефтените и газовите дейности с морско разположение“) има за цел да се постигне високо равнище на безопасност при извършването на такива дейности. За здравето на работниците, за околната среда, както и за активите, които се експлоатират при дейностите с морско разположение и при други стопански дейности, като например риболов и туризъм, е необходимо да се осигурява </w:t>
      </w:r>
      <w:r>
        <w:rPr>
          <w:rFonts w:ascii="Times New Roman" w:hAnsi="Times New Roman" w:cs="Times New Roman"/>
          <w:noProof/>
          <w:sz w:val="24"/>
          <w:szCs w:val="24"/>
        </w:rPr>
        <w:t>безопасност на дейностите с морско разположение. Разпоредбите на директивата — както се прилагат от държавите членки — трябва да спомагат за предотвратяването на големи аварии и за намаляването на броя на инцидентите, както и за предприемането на ефективни последващи действия с цел да се ограничат последиците от аварии и инциденти.</w:t>
      </w:r>
    </w:p>
    <w:p>
      <w:pPr>
        <w:jc w:val="both"/>
        <w:rPr>
          <w:rFonts w:ascii="Times New Roman" w:hAnsi="Times New Roman" w:cs="Times New Roman"/>
          <w:noProof/>
          <w:sz w:val="24"/>
          <w:szCs w:val="24"/>
        </w:rPr>
      </w:pPr>
      <w:r>
        <w:rPr>
          <w:rFonts w:ascii="Times New Roman" w:hAnsi="Times New Roman"/>
          <w:noProof/>
          <w:sz w:val="24"/>
        </w:rPr>
        <w:t>С директивата се предоставя правомощие на Комисията да приема делегирани актове (вж. членове 35 и 36), за да адаптира приложения I, II, VI и VII с цел включване на допълнителна информация, която може да стане необходима предвид техническия прогрес. В тези приложения се определя:</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информацията, която трябва да бъде включена в документите, които се подават до компетентния орган, напр. при искане на разрешение за извършване на нефтени и газови дейности с морско разположение (приложение I);</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информацията, която трябва да бъде включена в докладите за сондажни дейности (приложение II);</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информацията относно приоритетите за сътрудничеството между операторите, собствениците и компетентните органи (напр. стандарти, указания за най-добри практики, приложение VI);</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rPr>
        <w:t>информацията, която се предоставя във външните планове за аварийно реагиране (приложение VII).</w:t>
      </w:r>
    </w:p>
    <w:p>
      <w:pPr>
        <w:jc w:val="both"/>
        <w:rPr>
          <w:rFonts w:ascii="Times New Roman" w:hAnsi="Times New Roman" w:cs="Times New Roman"/>
          <w:noProof/>
          <w:sz w:val="24"/>
          <w:szCs w:val="24"/>
        </w:rPr>
      </w:pPr>
      <w:r>
        <w:rPr>
          <w:rFonts w:ascii="Times New Roman" w:hAnsi="Times New Roman"/>
          <w:noProof/>
          <w:sz w:val="24"/>
        </w:rPr>
        <w:t>2. ПРАВНО ОСНОВАНИЕ</w:t>
      </w:r>
    </w:p>
    <w:p>
      <w:pPr>
        <w:jc w:val="both"/>
        <w:rPr>
          <w:rFonts w:ascii="Times New Roman" w:hAnsi="Times New Roman" w:cs="Times New Roman"/>
          <w:noProof/>
          <w:sz w:val="24"/>
          <w:szCs w:val="24"/>
        </w:rPr>
      </w:pPr>
      <w:r>
        <w:rPr>
          <w:rFonts w:ascii="Times New Roman" w:hAnsi="Times New Roman"/>
          <w:noProof/>
          <w:sz w:val="24"/>
        </w:rPr>
        <w:t>Настоящият доклад се изисква съгласно член 36, параграф 2 от Директива 2013/30/ЕС. Съгласно тази разпоредба правомощието да приема делегирани актове се предоставя на Комисията за срок от пет години, считано от 18 юли 2013 г. От Комисията се изисква да изготви доклад относно делегирането на правомощия най-късно 9 месеца преди изтичането на петгодишния срок. Делегирането на правомощия се продължава автоматично за срокове с еднаква продължителност, освен ако Европейският парламент или Съветът не възразят срещу подобно продължаване.</w:t>
      </w:r>
    </w:p>
    <w:p>
      <w:pPr>
        <w:jc w:val="both"/>
        <w:rPr>
          <w:rFonts w:ascii="Times New Roman" w:hAnsi="Times New Roman" w:cs="Times New Roman"/>
          <w:noProof/>
          <w:sz w:val="24"/>
          <w:szCs w:val="24"/>
        </w:rPr>
      </w:pPr>
      <w:r>
        <w:rPr>
          <w:rFonts w:ascii="Times New Roman" w:hAnsi="Times New Roman"/>
          <w:noProof/>
          <w:sz w:val="24"/>
        </w:rPr>
        <w:t>3. УПРАЖНЯВАНЕ НА ДЕЛЕГИРАНЕТО</w:t>
      </w:r>
    </w:p>
    <w:p>
      <w:pPr>
        <w:jc w:val="both"/>
        <w:rPr>
          <w:rFonts w:ascii="Times New Roman" w:hAnsi="Times New Roman" w:cs="Times New Roman"/>
          <w:noProof/>
          <w:sz w:val="24"/>
          <w:szCs w:val="24"/>
        </w:rPr>
      </w:pPr>
      <w:r>
        <w:rPr>
          <w:rFonts w:ascii="Times New Roman" w:hAnsi="Times New Roman"/>
          <w:noProof/>
          <w:sz w:val="24"/>
        </w:rPr>
        <w:lastRenderedPageBreak/>
        <w:t>В съответствие с Директивата относно безопасността на нефтените и газовите дейности с морско разположение беше счетено, че оправомощаването е необходимо, за да може в приложения I, II, VI и VII да се включва допълнителна информация с оглед на техническия прогрес.</w:t>
      </w:r>
    </w:p>
    <w:p>
      <w:pPr>
        <w:jc w:val="both"/>
        <w:rPr>
          <w:rFonts w:ascii="Times New Roman" w:hAnsi="Times New Roman" w:cs="Times New Roman"/>
          <w:noProof/>
          <w:sz w:val="24"/>
          <w:szCs w:val="24"/>
        </w:rPr>
      </w:pPr>
      <w:r>
        <w:rPr>
          <w:rFonts w:ascii="Times New Roman" w:hAnsi="Times New Roman"/>
          <w:noProof/>
          <w:sz w:val="24"/>
        </w:rPr>
        <w:t>Към днешна дата — като се има предвид, че Директивата относно безопасността на нефтените и газовите дейности с морско разположение започна да се прилага от 19 юли 2013 г., че държавите членки трябваше да я въведат в законодателството си до 19 юли 2015 г. и че има преходни периоди, с които нейното прилагане за определени инсталации се отлага до 19 юли 2018 г. (член 42, параграф 2) — Комисията все още не е счела за необходимо или целесъобразно да адаптира приложения I, II, VI и VII с оглед на техническия прогрес.</w:t>
      </w:r>
    </w:p>
    <w:p>
      <w:pPr>
        <w:jc w:val="both"/>
        <w:rPr>
          <w:rFonts w:ascii="Times New Roman" w:hAnsi="Times New Roman" w:cs="Times New Roman"/>
          <w:noProof/>
          <w:sz w:val="24"/>
          <w:szCs w:val="24"/>
        </w:rPr>
      </w:pPr>
      <w:r>
        <w:rPr>
          <w:rFonts w:ascii="Times New Roman" w:hAnsi="Times New Roman"/>
          <w:noProof/>
          <w:sz w:val="24"/>
        </w:rPr>
        <w:t>4. УДЪЛЖАВАНЕ НА СРОКА НА ДЕЛЕГИРАНЕ НА ПРАВОМОЩИЯ</w:t>
      </w:r>
    </w:p>
    <w:p>
      <w:pPr>
        <w:jc w:val="both"/>
        <w:rPr>
          <w:rFonts w:ascii="Times New Roman" w:hAnsi="Times New Roman" w:cs="Times New Roman"/>
          <w:noProof/>
          <w:sz w:val="24"/>
          <w:szCs w:val="24"/>
        </w:rPr>
      </w:pPr>
      <w:r>
        <w:rPr>
          <w:rFonts w:ascii="Times New Roman" w:hAnsi="Times New Roman"/>
          <w:noProof/>
          <w:sz w:val="24"/>
        </w:rPr>
        <w:t>Като има предвид динамичното техническо развитие в сектора на дейностите с морско разположение и изминалото ограничено време (отчасти поради прилагането на преходни периоди), което не е достатъчно за натрупването на практически опит във връзка с прилагането на гореспоменатите приложения, Комисията смята за необходимо правомощието да бъде продължено с пет години.</w:t>
      </w:r>
    </w:p>
    <w:p>
      <w:pPr>
        <w:jc w:val="both"/>
        <w:rPr>
          <w:rFonts w:ascii="Times New Roman" w:hAnsi="Times New Roman" w:cs="Times New Roman"/>
          <w:noProof/>
          <w:sz w:val="24"/>
          <w:szCs w:val="24"/>
        </w:rPr>
      </w:pPr>
      <w:r>
        <w:rPr>
          <w:rFonts w:ascii="Times New Roman" w:hAnsi="Times New Roman"/>
          <w:noProof/>
          <w:sz w:val="24"/>
        </w:rPr>
        <w:t>5. ЗАКЛЮЧЕНИЕ</w:t>
      </w:r>
    </w:p>
    <w:p>
      <w:pPr>
        <w:jc w:val="both"/>
        <w:rPr>
          <w:rFonts w:ascii="Times New Roman" w:hAnsi="Times New Roman" w:cs="Times New Roman"/>
          <w:noProof/>
          <w:sz w:val="24"/>
          <w:szCs w:val="24"/>
        </w:rPr>
      </w:pPr>
      <w:r>
        <w:rPr>
          <w:rFonts w:ascii="Times New Roman" w:hAnsi="Times New Roman"/>
          <w:noProof/>
          <w:sz w:val="24"/>
        </w:rPr>
        <w:t>През изминалите пет години Комисията не е упражнявала делегираните правомощия, предоставени ѝ съгласно Директива 2013/30/ЕС, но поради посочените по-горе причини смята за необходимо те да бъдат продължени. С настоящия доклад Комисията изпълнява задължението за докладване съгласно Директивата относно безопасността на нефтените и газовите дейности с морско разположение (член 36, параграф 2) и приканва Европейския парламент и Съвета да го вземат под внимание.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257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ОВ L 178, 28 юни 2013 г., стр.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885FA50-34D5-4295-88AE-A1A57EBA1065"/>
    <w:docVar w:name="LW_COVERPAGE_TYPE" w:val="1"/>
    <w:docVar w:name="LW_CROSSREFERENCE" w:val="&lt;UNUSED&gt;"/>
    <w:docVar w:name="LW_DocType" w:val="NORMAL"/>
    <w:docVar w:name="LW_EMISSION" w:val="8.11.2017"/>
    <w:docVar w:name="LW_EMISSION_ISODATE" w:val="2017-11-0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44?\u1080?\u1088?\u1077?\u1082?\u1090?\u1080?\u1074?\u1072? 2013/30/\u1045?\u1057? \u1086?\u1090?\u1085?\u1086?\u1089?\u1085?\u1086? \u1073?\u1077?\u1079?\u1086?\u1087?\u1072?\u1089?\u1085?\u1086?\u1089?\u1090?\u1090?\u1072? \u1085?\u1072? \u1089?\u1074?\u1098?\u1088?\u1079?\u1072?\u1085?\u1080?\u1090?\u1077? \u1089? \u1085?\u1077?\u1092?\u1090? \u1080? \u1075?\u1072?\u1079? \u1076?\u1077?\u1081?\u1085?\u1086?\u1089?\u1090?\u1080? \u1074? \u1082?\u1088?\u1072?\u1081?\u1073?\u1088?\u1077?\u1078?\u1085?\u1080? \u1074?\u1086?\u1076?\u1080?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5C178-337E-47C6-A183-1B352AE4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594</Words>
  <Characters>3469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2017-09-19T13:32:00Z</dcterms:created>
  <dcterms:modified xsi:type="dcterms:W3CDTF">2017-10-30T10:43:00Z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