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9D" w:rsidRDefault="009C4EA6" w:rsidP="009C4EA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6BF62F3-F956-4F00-B2F3-D4931A921C0B" style="width:450.8pt;height:361.6pt">
            <v:imagedata r:id="rId9" o:title=""/>
          </v:shape>
        </w:pict>
      </w:r>
    </w:p>
    <w:bookmarkEnd w:id="0"/>
    <w:p w:rsidR="009F159D" w:rsidRDefault="009F159D">
      <w:pPr>
        <w:rPr>
          <w:rFonts w:ascii="Times New Roman" w:hAnsi="Times New Roman" w:cs="Times New Roman"/>
          <w:noProof/>
        </w:rPr>
        <w:sectPr w:rsidR="009F159D" w:rsidSect="009C4EA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9F159D" w:rsidRDefault="009C4EA6">
      <w:pPr>
        <w:spacing w:after="240"/>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I.</w:t>
      </w:r>
      <w:r>
        <w:rPr>
          <w:noProof/>
        </w:rPr>
        <w:tab/>
      </w:r>
      <w:r>
        <w:rPr>
          <w:rFonts w:ascii="Times New Roman" w:hAnsi="Times New Roman"/>
          <w:b/>
          <w:smallCaps/>
          <w:noProof/>
          <w:sz w:val="24"/>
        </w:rPr>
        <w:t>По-обединен, по-силен и по-демократичен Съюз</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Европа видимо възвръща силата си. Европейският съюз е в петата си година на икономическо </w:t>
      </w:r>
      <w:r>
        <w:rPr>
          <w:rFonts w:ascii="Times New Roman" w:hAnsi="Times New Roman"/>
          <w:noProof/>
          <w:sz w:val="24"/>
        </w:rPr>
        <w:t>възстановяване, като това възстановяване може да се почувства във всяка отделна държава членка. С растеж над 2 % за ЕС като цяло и 2,2 % за еврозоната през последните две години европейската икономика нараства с по-бързи темпове, отколкото тази на Съединен</w:t>
      </w:r>
      <w:r>
        <w:rPr>
          <w:rFonts w:ascii="Times New Roman" w:hAnsi="Times New Roman"/>
          <w:noProof/>
          <w:sz w:val="24"/>
        </w:rPr>
        <w:t>ите щати. През настоящия мандат на Комисията бяха създадени близо 8 милиона работни места отчасти благодарение на работата на институциите на ЕС, приноса на Европейския фонд за стратегически инвестиции, инициативата „Гаранция за младежта“, европейските стр</w:t>
      </w:r>
      <w:r>
        <w:rPr>
          <w:rFonts w:ascii="Times New Roman" w:hAnsi="Times New Roman"/>
          <w:noProof/>
          <w:sz w:val="24"/>
        </w:rPr>
        <w:t>уктурни и инвестиционни фондове, както и на паричната политика на Европейската централна банка. Доверието в Европейския съюз се възвръща. През март в Рим лидерите заявиха волята си да направят Европейския съюз по-силен и по-устойчив чрез още повече единств</w:t>
      </w:r>
      <w:r>
        <w:rPr>
          <w:rFonts w:ascii="Times New Roman" w:hAnsi="Times New Roman"/>
          <w:noProof/>
          <w:sz w:val="24"/>
        </w:rPr>
        <w:t>о и солидарност и по-добро спазване на общите правила.</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Днес пред Европа се разкриват възможности — но трябва да се възползваме от тях, докато са още пред нас. За да се извлече максимална полза от набраната в момента скорост, Комисията внася своята работна </w:t>
      </w:r>
      <w:r>
        <w:rPr>
          <w:rFonts w:ascii="Times New Roman" w:hAnsi="Times New Roman"/>
          <w:noProof/>
          <w:sz w:val="24"/>
        </w:rPr>
        <w:t>програма за следващите 14 месеца до края на 2018 г. В основата на тази програма е залегнала Пътната карта за по-обединен, по-силен и по-демократичен Съюз, която председателят Юнкер представи успоредно с речта си за състоянието на Съюза на 13 септември 2017</w:t>
      </w:r>
      <w:r>
        <w:rPr>
          <w:rFonts w:ascii="Times New Roman" w:hAnsi="Times New Roman"/>
          <w:noProof/>
          <w:sz w:val="24"/>
        </w:rPr>
        <w:t> г. Тя ще спомогне за това Европа да запази темпото си, да продължи да постига резултати чрез положителната си програма и да остане твърдо съсредоточена върху важните неща, за които действията на европейско равнище имат ясна и видима добавена стойност.</w:t>
      </w:r>
    </w:p>
    <w:p w:rsidR="009F159D" w:rsidRDefault="009C4EA6">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Нас</w:t>
      </w:r>
      <w:r>
        <w:rPr>
          <w:rFonts w:ascii="Times New Roman" w:hAnsi="Times New Roman"/>
          <w:noProof/>
          <w:spacing w:val="-4"/>
          <w:sz w:val="24"/>
        </w:rPr>
        <w:t>тоящата Комисия вече е представила над 80 % от предложенията, които са от съществено значение за доизграждането на цифровия единен пазар, енергийния съюз, съюза на капиталовите пазари, банковия съюз, Съюза на сигурност и всеобхватната европейска политика в</w:t>
      </w:r>
      <w:r>
        <w:rPr>
          <w:rFonts w:ascii="Times New Roman" w:hAnsi="Times New Roman"/>
          <w:noProof/>
          <w:spacing w:val="-4"/>
          <w:sz w:val="24"/>
        </w:rPr>
        <w:t xml:space="preserve"> областта на миграцията</w:t>
      </w:r>
      <w:r>
        <w:rPr>
          <w:rStyle w:val="FootnoteReference"/>
          <w:rFonts w:ascii="Times New Roman" w:hAnsi="Times New Roman"/>
          <w:noProof/>
          <w:spacing w:val="-4"/>
          <w:sz w:val="24"/>
        </w:rPr>
        <w:footnoteReference w:id="1"/>
      </w:r>
      <w:r>
        <w:rPr>
          <w:rFonts w:ascii="Times New Roman" w:hAnsi="Times New Roman"/>
          <w:noProof/>
          <w:spacing w:val="-4"/>
          <w:sz w:val="24"/>
        </w:rPr>
        <w:t>. Приоритет сега става превръщането на предложенията в законодателство и прилагането на това законодателство. Колкото по-рано Европейският парламент и Съветът приключат законодателния процес, толкова по-скоро гражданите и предприяти</w:t>
      </w:r>
      <w:r>
        <w:rPr>
          <w:rFonts w:ascii="Times New Roman" w:hAnsi="Times New Roman"/>
          <w:noProof/>
          <w:spacing w:val="-4"/>
          <w:sz w:val="24"/>
        </w:rPr>
        <w:t>ята ще почувстват ползите от съвместната ни работа. Комисията ще удвои усилията си, за да подкрепи Парламента и Съвета на всеки етап от пътя.</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Работната програма за 2018 г. акцентира върху две неща. На първо място, в нея се определят ограничен брой целеви з</w:t>
      </w:r>
      <w:r>
        <w:rPr>
          <w:rFonts w:ascii="Times New Roman" w:hAnsi="Times New Roman"/>
          <w:noProof/>
          <w:sz w:val="24"/>
        </w:rPr>
        <w:t>аконодателни действия, които ще допълнят работата ни в приоритетните области на политиката през следващите месеци. Комисията ще представи всички законодателни предложения не по-късно от май 2018 г. Това ще даде на Европейския парламент и на Съвета необходи</w:t>
      </w:r>
      <w:r>
        <w:rPr>
          <w:rFonts w:ascii="Times New Roman" w:hAnsi="Times New Roman"/>
          <w:noProof/>
          <w:sz w:val="24"/>
        </w:rPr>
        <w:t xml:space="preserve">мите време и пространство да завършат законодателната си работа, преди европейските граждани да дадат своята демократична оценка на съвместната ни работа по време на изборите за Европейски парламент през юни 2019 г. </w:t>
      </w:r>
    </w:p>
    <w:p w:rsidR="009F159D" w:rsidRDefault="009C4EA6">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lastRenderedPageBreak/>
        <w:t>На второ място, работната програма пред</w:t>
      </w:r>
      <w:r>
        <w:rPr>
          <w:rFonts w:ascii="Times New Roman" w:hAnsi="Times New Roman"/>
          <w:noProof/>
          <w:spacing w:val="-4"/>
          <w:sz w:val="24"/>
        </w:rPr>
        <w:t>ставя също и редица инициативи с по-далечна перспектива, тъй като новият Съюз с 27 държави членки оформя бъдещето си за 2025 г. Тези инициативи отразяват разискванията, стартирани от Бялата книга на Комисията за бъдещето на Европа, и речта за състоянието н</w:t>
      </w:r>
      <w:r>
        <w:rPr>
          <w:rFonts w:ascii="Times New Roman" w:hAnsi="Times New Roman"/>
          <w:noProof/>
          <w:spacing w:val="-4"/>
          <w:sz w:val="24"/>
        </w:rPr>
        <w:t>а Съюза. Всички те могат да бъдат постигнати чрез пълноценното използване на неоползотворения потенциал на Договора от Лисабон</w:t>
      </w:r>
      <w:r>
        <w:rPr>
          <w:rStyle w:val="FootnoteReference"/>
          <w:rFonts w:ascii="Times New Roman" w:hAnsi="Times New Roman"/>
          <w:noProof/>
          <w:spacing w:val="-4"/>
          <w:sz w:val="24"/>
        </w:rPr>
        <w:footnoteReference w:id="2"/>
      </w:r>
      <w:r>
        <w:rPr>
          <w:noProof/>
          <w:spacing w:val="-4"/>
        </w:rPr>
        <w:t>.</w:t>
      </w:r>
      <w:r>
        <w:rPr>
          <w:rFonts w:ascii="Times New Roman" w:hAnsi="Times New Roman"/>
          <w:noProof/>
          <w:spacing w:val="-4"/>
          <w:sz w:val="24"/>
        </w:rPr>
        <w:t xml:space="preserve"> Ще предприемем работа по всички тези предложения преди края на мандата.</w:t>
      </w:r>
    </w:p>
    <w:p w:rsidR="009F159D" w:rsidRDefault="009C4EA6">
      <w:pPr>
        <w:tabs>
          <w:tab w:val="left" w:pos="284"/>
        </w:tabs>
        <w:spacing w:after="720"/>
        <w:jc w:val="both"/>
        <w:rPr>
          <w:rFonts w:ascii="Times New Roman" w:hAnsi="Times New Roman" w:cs="Times New Roman"/>
          <w:noProof/>
          <w:spacing w:val="-2"/>
          <w:sz w:val="24"/>
          <w:szCs w:val="24"/>
        </w:rPr>
      </w:pPr>
      <w:r>
        <w:rPr>
          <w:rFonts w:ascii="Times New Roman" w:hAnsi="Times New Roman"/>
          <w:noProof/>
          <w:spacing w:val="-2"/>
          <w:sz w:val="24"/>
        </w:rPr>
        <w:t>Както през предишни години, работната програма предлага</w:t>
      </w:r>
      <w:r>
        <w:rPr>
          <w:rFonts w:ascii="Times New Roman" w:hAnsi="Times New Roman"/>
          <w:noProof/>
          <w:spacing w:val="-2"/>
          <w:sz w:val="24"/>
        </w:rPr>
        <w:t xml:space="preserve"> и редица предложения, които произтичат от прегледа за пригодност и резултатност на регулаторната рамка (REFIT) на действащото законодателство и в които са взети предвид становищата на платформата REFIT. За да позволим на съзаконодателите да се съсредоточа</w:t>
      </w:r>
      <w:r>
        <w:rPr>
          <w:rFonts w:ascii="Times New Roman" w:hAnsi="Times New Roman"/>
          <w:noProof/>
          <w:spacing w:val="-2"/>
          <w:sz w:val="24"/>
        </w:rPr>
        <w:t>т върху предложенията, които са наистина от значение, настоящата работна програма съдържа значителен брой внесени предложения, които предлагаме да бъдат оттеглени, тъй като няма изгледи да се постигне съгласие в Европейския парламент и в Съвета или че те в</w:t>
      </w:r>
      <w:r>
        <w:rPr>
          <w:rFonts w:ascii="Times New Roman" w:hAnsi="Times New Roman"/>
          <w:noProof/>
          <w:spacing w:val="-2"/>
          <w:sz w:val="24"/>
        </w:rPr>
        <w:t>ече не изпълняват предназначението си или са технически остарели. Тази работна програма също така продължава процеса на отмяна на законодателни актове, които вече не са актуални</w:t>
      </w:r>
      <w:r>
        <w:rPr>
          <w:rStyle w:val="FootnoteReference"/>
          <w:rFonts w:ascii="Times New Roman" w:hAnsi="Times New Roman"/>
          <w:noProof/>
          <w:spacing w:val="-2"/>
          <w:sz w:val="24"/>
        </w:rPr>
        <w:footnoteReference w:id="3"/>
      </w:r>
      <w:r>
        <w:rPr>
          <w:noProof/>
          <w:spacing w:val="-2"/>
        </w:rPr>
        <w:t>.</w:t>
      </w:r>
      <w:r>
        <w:rPr>
          <w:rFonts w:ascii="Times New Roman" w:hAnsi="Times New Roman"/>
          <w:noProof/>
          <w:spacing w:val="-2"/>
          <w:sz w:val="24"/>
        </w:rPr>
        <w:t xml:space="preserve"> Успоредно с това ние публикуваме обзор на програмата на Комисията за по-добр</w:t>
      </w:r>
      <w:r>
        <w:rPr>
          <w:rFonts w:ascii="Times New Roman" w:hAnsi="Times New Roman"/>
          <w:noProof/>
          <w:spacing w:val="-2"/>
          <w:sz w:val="24"/>
        </w:rPr>
        <w:t>о регулиране и резултатите от нея</w:t>
      </w:r>
      <w:r>
        <w:rPr>
          <w:rStyle w:val="FootnoteReference"/>
          <w:rFonts w:ascii="Times New Roman" w:hAnsi="Times New Roman"/>
          <w:noProof/>
          <w:spacing w:val="-2"/>
          <w:sz w:val="24"/>
        </w:rPr>
        <w:footnoteReference w:id="4"/>
      </w:r>
      <w:r>
        <w:rPr>
          <w:rFonts w:ascii="Times New Roman" w:hAnsi="Times New Roman"/>
          <w:noProof/>
          <w:spacing w:val="-2"/>
          <w:sz w:val="24"/>
        </w:rPr>
        <w:t>, заедно с анализ по REFIT, в който подробно се описват начинът ни на проследяване на становищата на платформата REFIT и постоянните ни усилия за оценка и преглед на действащите нормативни актове.</w:t>
      </w:r>
    </w:p>
    <w:p w:rsidR="009F159D" w:rsidRDefault="009C4EA6">
      <w:pPr>
        <w:spacing w:after="240"/>
        <w:jc w:val="both"/>
        <w:rPr>
          <w:rFonts w:ascii="Times New Roman" w:hAnsi="Times New Roman" w:cs="Times New Roman"/>
          <w:b/>
          <w:smallCaps/>
          <w:noProof/>
          <w:sz w:val="24"/>
          <w:szCs w:val="24"/>
        </w:rPr>
      </w:pPr>
      <w:r>
        <w:rPr>
          <w:rFonts w:ascii="Times New Roman" w:hAnsi="Times New Roman"/>
          <w:b/>
          <w:smallCaps/>
          <w:noProof/>
          <w:sz w:val="24"/>
        </w:rPr>
        <w:t>II.</w:t>
      </w:r>
      <w:r>
        <w:rPr>
          <w:noProof/>
        </w:rPr>
        <w:tab/>
      </w:r>
      <w:r>
        <w:rPr>
          <w:rFonts w:ascii="Times New Roman" w:hAnsi="Times New Roman"/>
          <w:b/>
          <w:smallCaps/>
          <w:noProof/>
          <w:sz w:val="24"/>
        </w:rPr>
        <w:t>Приключване и изпълне</w:t>
      </w:r>
      <w:r>
        <w:rPr>
          <w:rFonts w:ascii="Times New Roman" w:hAnsi="Times New Roman"/>
          <w:b/>
          <w:smallCaps/>
          <w:noProof/>
          <w:sz w:val="24"/>
        </w:rPr>
        <w:t>ние на 10-те приоритета на Комисията под председателството на Юнкер</w:t>
      </w:r>
      <w:r>
        <w:rPr>
          <w:rStyle w:val="FootnoteReference"/>
          <w:rFonts w:ascii="Times New Roman" w:hAnsi="Times New Roman"/>
          <w:noProof/>
          <w:sz w:val="24"/>
        </w:rPr>
        <w:footnoteReference w:id="5"/>
      </w:r>
    </w:p>
    <w:p w:rsidR="009F159D" w:rsidRDefault="009C4EA6">
      <w:pPr>
        <w:tabs>
          <w:tab w:val="left" w:pos="284"/>
        </w:tabs>
        <w:spacing w:after="240"/>
        <w:jc w:val="both"/>
        <w:rPr>
          <w:rFonts w:ascii="Times New Roman" w:hAnsi="Times New Roman" w:cs="Times New Roman"/>
          <w:i/>
          <w:noProof/>
          <w:sz w:val="24"/>
          <w:szCs w:val="24"/>
        </w:rPr>
      </w:pPr>
      <w:r>
        <w:rPr>
          <w:rFonts w:ascii="Times New Roman" w:hAnsi="Times New Roman"/>
          <w:i/>
          <w:noProof/>
          <w:sz w:val="24"/>
        </w:rPr>
        <w:t>Нови стимули за работните места, растежа и инвестициите</w:t>
      </w:r>
    </w:p>
    <w:p w:rsidR="009F159D" w:rsidRDefault="009C4EA6">
      <w:pPr>
        <w:tabs>
          <w:tab w:val="left" w:pos="284"/>
        </w:tabs>
        <w:spacing w:after="240"/>
        <w:jc w:val="both"/>
        <w:rPr>
          <w:rFonts w:ascii="Times New Roman" w:hAnsi="Times New Roman" w:cs="Times New Roman"/>
          <w:noProof/>
          <w:spacing w:val="-2"/>
          <w:sz w:val="24"/>
          <w:szCs w:val="24"/>
        </w:rPr>
      </w:pPr>
      <w:r>
        <w:rPr>
          <w:rFonts w:ascii="Times New Roman" w:hAnsi="Times New Roman"/>
          <w:noProof/>
          <w:spacing w:val="-2"/>
          <w:sz w:val="24"/>
        </w:rPr>
        <w:t xml:space="preserve">Засилването на доверието и увеличаването на инвестициите в цяла Европа са от основно значение за подобряване на икономическите </w:t>
      </w:r>
      <w:r>
        <w:rPr>
          <w:rFonts w:ascii="Times New Roman" w:hAnsi="Times New Roman"/>
          <w:noProof/>
          <w:spacing w:val="-2"/>
          <w:sz w:val="24"/>
        </w:rPr>
        <w:t>перспективи. Те доведоха до нови работни места и растеж в цяла Европа, до подкрепа за нови инфраструктури — както физически, така и цифрови, и до подпомагане на по-бързия преход на Европа към чиста енергия. Сега трябва да продължим усилията си за укрепване</w:t>
      </w:r>
      <w:r>
        <w:rPr>
          <w:rFonts w:ascii="Times New Roman" w:hAnsi="Times New Roman"/>
          <w:noProof/>
          <w:spacing w:val="-2"/>
          <w:sz w:val="24"/>
        </w:rPr>
        <w:t xml:space="preserve"> на инвестициите. Планът за инвестиции за Европа играе важна роля за осъществяването на проекти, подкрепата за малките и средните предприятия и създаването на работни места. За да продължим в същия дух, сега трябва бързо да напреднем по предложенията „ЕФСИ</w:t>
      </w:r>
      <w:r>
        <w:rPr>
          <w:rFonts w:ascii="Times New Roman" w:hAnsi="Times New Roman"/>
          <w:noProof/>
          <w:spacing w:val="-2"/>
          <w:sz w:val="24"/>
        </w:rPr>
        <w:t xml:space="preserve"> 2.0“ и „Омнибус“</w:t>
      </w:r>
      <w:r>
        <w:rPr>
          <w:rStyle w:val="FootnoteReference"/>
          <w:rFonts w:ascii="Times New Roman" w:hAnsi="Times New Roman"/>
          <w:noProof/>
          <w:spacing w:val="-2"/>
          <w:sz w:val="24"/>
        </w:rPr>
        <w:footnoteReference w:id="6"/>
      </w:r>
      <w:r>
        <w:rPr>
          <w:rFonts w:ascii="Times New Roman" w:hAnsi="Times New Roman"/>
          <w:noProof/>
          <w:spacing w:val="-2"/>
          <w:sz w:val="24"/>
        </w:rPr>
        <w:t xml:space="preserve">, </w:t>
      </w:r>
      <w:r>
        <w:rPr>
          <w:rFonts w:ascii="Times New Roman" w:hAnsi="Times New Roman"/>
          <w:noProof/>
          <w:spacing w:val="-2"/>
          <w:sz w:val="24"/>
        </w:rPr>
        <w:lastRenderedPageBreak/>
        <w:t>за да се улесни комбинирането на европейските структурни и инвестиционни фондове с Европейския фонд за стратегически инвестиции. Стимулирането на инвестициите няма да бъде устойчиво без съпътстващи структурни реформи. Ние ще направим ан</w:t>
      </w:r>
      <w:r>
        <w:rPr>
          <w:rFonts w:ascii="Times New Roman" w:hAnsi="Times New Roman"/>
          <w:noProof/>
          <w:spacing w:val="-2"/>
          <w:sz w:val="24"/>
        </w:rPr>
        <w:t>ализ на тези реформи, насочени към осигуряването на инвестиции.</w:t>
      </w:r>
      <w:r>
        <w:rPr>
          <w:rFonts w:ascii="Arial" w:hAnsi="Arial"/>
          <w:noProof/>
          <w:color w:val="C00000"/>
          <w:spacing w:val="-2"/>
          <w:sz w:val="20"/>
        </w:rPr>
        <w:t xml:space="preserve"> </w:t>
      </w:r>
      <w:r>
        <w:rPr>
          <w:rFonts w:ascii="Times New Roman" w:hAnsi="Times New Roman"/>
          <w:noProof/>
          <w:spacing w:val="-2"/>
          <w:sz w:val="24"/>
        </w:rPr>
        <w:t>Комисията ще продължи да използва европейския семестър, за да координира икономическите политики и да насърчава следването на стратегия за растеж, която осигурява инвестиции, стабилни публични</w:t>
      </w:r>
      <w:r>
        <w:rPr>
          <w:rFonts w:ascii="Times New Roman" w:hAnsi="Times New Roman"/>
          <w:noProof/>
          <w:spacing w:val="-2"/>
          <w:sz w:val="24"/>
        </w:rPr>
        <w:t xml:space="preserve"> финанси и структурни реформи.</w:t>
      </w:r>
    </w:p>
    <w:p w:rsidR="009F159D" w:rsidRDefault="009C4EA6">
      <w:pPr>
        <w:jc w:val="both"/>
        <w:rPr>
          <w:rFonts w:ascii="Times New Roman" w:hAnsi="Times New Roman" w:cs="Times New Roman"/>
          <w:noProof/>
          <w:sz w:val="24"/>
          <w:szCs w:val="24"/>
        </w:rPr>
      </w:pPr>
      <w:r>
        <w:rPr>
          <w:rFonts w:ascii="Times New Roman" w:hAnsi="Times New Roman"/>
          <w:noProof/>
          <w:sz w:val="24"/>
        </w:rPr>
        <w:t>Икономиката на Европа зависи от нейната промишлена конкурентоспособност; ето защо, въз основа на становищата на заинтересованите страни, Европейската комисия представи обновена индустриална политика за Европа</w:t>
      </w:r>
      <w:r>
        <w:rPr>
          <w:rStyle w:val="FootnoteReference"/>
          <w:rFonts w:ascii="Times New Roman" w:hAnsi="Times New Roman"/>
          <w:noProof/>
          <w:sz w:val="24"/>
        </w:rPr>
        <w:footnoteReference w:id="7"/>
      </w:r>
      <w:r>
        <w:rPr>
          <w:rFonts w:ascii="Times New Roman" w:hAnsi="Times New Roman"/>
          <w:noProof/>
          <w:sz w:val="24"/>
        </w:rPr>
        <w:t xml:space="preserve">. Ще се стремим </w:t>
      </w:r>
      <w:r>
        <w:rPr>
          <w:rFonts w:ascii="Times New Roman" w:hAnsi="Times New Roman"/>
          <w:noProof/>
          <w:sz w:val="24"/>
        </w:rPr>
        <w:t>да подкрепяме иновациите, работните места и растежа чрез нашата Стратегия за кръговата икономика</w:t>
      </w:r>
      <w:r>
        <w:rPr>
          <w:rStyle w:val="FootnoteReference"/>
          <w:rFonts w:ascii="Times New Roman" w:hAnsi="Times New Roman"/>
          <w:noProof/>
          <w:sz w:val="24"/>
        </w:rPr>
        <w:footnoteReference w:id="8"/>
      </w:r>
      <w:r>
        <w:rPr>
          <w:rFonts w:ascii="Times New Roman" w:hAnsi="Times New Roman"/>
          <w:noProof/>
          <w:sz w:val="24"/>
        </w:rPr>
        <w:t>, която може да донесе огромни ползи за икономиката, конкурентоспособността и околната среда. Ще представим ограничен брой предложения за укрепване на работата</w:t>
      </w:r>
      <w:r>
        <w:rPr>
          <w:rFonts w:ascii="Times New Roman" w:hAnsi="Times New Roman"/>
          <w:noProof/>
          <w:sz w:val="24"/>
        </w:rPr>
        <w:t xml:space="preserve"> ни в тази област. Те ще бъдат съсредоточени по-конкретно върху начина, по който произвеждаме и използваме пластмаси, като целта е до 2030 г. всички пластмасови опаковки да бъдат годни за рециклиране, и върху начините за повторна употреба на водите и управ</w:t>
      </w:r>
      <w:r>
        <w:rPr>
          <w:rFonts w:ascii="Times New Roman" w:hAnsi="Times New Roman"/>
          <w:noProof/>
          <w:sz w:val="24"/>
        </w:rPr>
        <w:t>лението на питейната вода. Също така ще предложим рамка за мониторинг на напредъка в развитието на кръговата икономика. Като част от секторния ни подход за по-добро регулиране ще разгледаме правните, техническите и практическите пречки, които стоят пред за</w:t>
      </w:r>
      <w:r>
        <w:rPr>
          <w:rFonts w:ascii="Times New Roman" w:hAnsi="Times New Roman"/>
          <w:noProof/>
          <w:sz w:val="24"/>
        </w:rPr>
        <w:t>конодателството в допирната точка, в която се припокриват законовите разпоредби за химикалите, продуктите и отпадъците. Ще продължим да правим оценка на стратегията за биоикономика от 2012 г.</w:t>
      </w:r>
      <w:r>
        <w:rPr>
          <w:rStyle w:val="FootnoteReference"/>
          <w:rFonts w:ascii="Times New Roman" w:hAnsi="Times New Roman"/>
          <w:noProof/>
          <w:sz w:val="24"/>
        </w:rPr>
        <w:footnoteReference w:id="9"/>
      </w:r>
      <w:r>
        <w:rPr>
          <w:rFonts w:ascii="Times New Roman" w:hAnsi="Times New Roman"/>
          <w:noProof/>
          <w:sz w:val="24"/>
        </w:rPr>
        <w:t xml:space="preserve"> и ще разгледаме най-добрите начини за постигане на напредък в тази област, включително чрез разширяване на обхвата на стратегията.</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Макар общият икономически контекст да се подобрява значително, Европейският съюз все още трябва да се справи с наследството </w:t>
      </w:r>
      <w:r>
        <w:rPr>
          <w:rFonts w:ascii="Times New Roman" w:hAnsi="Times New Roman"/>
          <w:noProof/>
          <w:sz w:val="24"/>
        </w:rPr>
        <w:t>от кризата и да превърне по-високия растеж в нови работни места, справедливост и нови възможности за всички. Настоящата Комисия постави основите за справяне с това предизвикателство, например чрез Европейската програма за умения</w:t>
      </w:r>
      <w:r>
        <w:rPr>
          <w:rStyle w:val="FootnoteReference"/>
          <w:rFonts w:ascii="Times New Roman" w:hAnsi="Times New Roman"/>
          <w:noProof/>
          <w:sz w:val="24"/>
        </w:rPr>
        <w:footnoteReference w:id="10"/>
      </w:r>
      <w:r>
        <w:rPr>
          <w:rFonts w:ascii="Times New Roman" w:hAnsi="Times New Roman"/>
          <w:noProof/>
          <w:sz w:val="24"/>
        </w:rPr>
        <w:t>. Сега е необходимо да прид</w:t>
      </w:r>
      <w:r>
        <w:rPr>
          <w:rFonts w:ascii="Times New Roman" w:hAnsi="Times New Roman"/>
          <w:noProof/>
          <w:sz w:val="24"/>
        </w:rPr>
        <w:t>вижим тази програма напред на национално и на регионално равнище с подкрепата на Европейския социален фонд, като се обръща специално внимание на основните умения и уменията в областта на цифровите технологии.</w:t>
      </w:r>
    </w:p>
    <w:p w:rsidR="009F159D" w:rsidRDefault="009C4EA6">
      <w:pPr>
        <w:spacing w:after="240"/>
        <w:jc w:val="both"/>
        <w:rPr>
          <w:rFonts w:ascii="Times New Roman" w:hAnsi="Times New Roman" w:cs="Times New Roman"/>
          <w:i/>
          <w:noProof/>
          <w:sz w:val="24"/>
          <w:szCs w:val="24"/>
        </w:rPr>
      </w:pPr>
      <w:r>
        <w:rPr>
          <w:rFonts w:ascii="Times New Roman" w:hAnsi="Times New Roman"/>
          <w:i/>
          <w:noProof/>
          <w:sz w:val="24"/>
        </w:rPr>
        <w:t>Свързан цифров единен пазар</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Всеки ден 360 милио</w:t>
      </w:r>
      <w:r>
        <w:rPr>
          <w:rFonts w:ascii="Times New Roman" w:hAnsi="Times New Roman"/>
          <w:noProof/>
          <w:sz w:val="24"/>
        </w:rPr>
        <w:t>на европейци използват интернет, за да работят, да учат, да пазаруват или да бъдат непрекъснато свързани с мрежата. Ето защо Европа се нуждае от истински единен цифров пазар. За постигането на тази цел от май 2015 г. досега Комисията вече представи 24 зако</w:t>
      </w:r>
      <w:r>
        <w:rPr>
          <w:rFonts w:ascii="Times New Roman" w:hAnsi="Times New Roman"/>
          <w:noProof/>
          <w:sz w:val="24"/>
        </w:rPr>
        <w:t>нодателни предложения. До този момент съзаконодателите са приели само шест от тези предложения. Сега приоритетът следва да бъде Европейският парламент и Съветът да постигнат възможно най-бързо съгласие по внесените неприети предложения, по-специално Кодекс</w:t>
      </w:r>
      <w:r>
        <w:rPr>
          <w:rFonts w:ascii="Times New Roman" w:hAnsi="Times New Roman"/>
          <w:noProof/>
          <w:sz w:val="24"/>
        </w:rPr>
        <w:t>а за електронните съобщения, предложената реформа в областта на авторското право и Директивата за цифровото съдържание. Европа се нуждае от засилено сътрудничество в управлението на радиочестотния спектър, за да постигне изключително високоскоростни фиксир</w:t>
      </w:r>
      <w:r>
        <w:rPr>
          <w:rFonts w:ascii="Times New Roman" w:hAnsi="Times New Roman"/>
          <w:noProof/>
          <w:sz w:val="24"/>
        </w:rPr>
        <w:t>ани и мобилни мрежи (5G) на световно равнище и увеличаване на координираната наличност на радиочестотен спектър до 2020 г. при съгласувани регулаторни и икономически условия. За доизграждането на единния цифров пазар ще представим и предложение относно спр</w:t>
      </w:r>
      <w:r>
        <w:rPr>
          <w:rFonts w:ascii="Times New Roman" w:hAnsi="Times New Roman"/>
          <w:noProof/>
          <w:sz w:val="24"/>
        </w:rPr>
        <w:t>аведливостта в отношенията между платформите и предприятията, инициатива за противодействие на фалшивите новини и преработени насоки за значителна пазарна сила в сектора на електронните съобщения.</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Успехът на цифровия единен пазар зависи в крайна сметка от </w:t>
      </w:r>
      <w:r>
        <w:rPr>
          <w:rFonts w:ascii="Times New Roman" w:hAnsi="Times New Roman"/>
          <w:noProof/>
          <w:sz w:val="24"/>
        </w:rPr>
        <w:t>доверието на европейците. Броят на кибератаките се увеличава и понастоящем европейските граждани са изправени пред нови и разнообразни онлайн заплахи. В отговор на това Комисията още на 13 септември направи редица предложения за по-добра защита на граждани</w:t>
      </w:r>
      <w:r>
        <w:rPr>
          <w:rFonts w:ascii="Times New Roman" w:hAnsi="Times New Roman"/>
          <w:noProof/>
          <w:sz w:val="24"/>
        </w:rPr>
        <w:t>те от заплахи, които могат да възникнат в резултат на новите технологии</w:t>
      </w:r>
      <w:r>
        <w:rPr>
          <w:rStyle w:val="FootnoteReference"/>
          <w:rFonts w:ascii="Times New Roman" w:hAnsi="Times New Roman"/>
          <w:noProof/>
          <w:sz w:val="24"/>
        </w:rPr>
        <w:footnoteReference w:id="11"/>
      </w:r>
      <w:r>
        <w:rPr>
          <w:rFonts w:ascii="Times New Roman" w:hAnsi="Times New Roman"/>
          <w:noProof/>
          <w:sz w:val="24"/>
        </w:rPr>
        <w:t>. Ще допълним този пакет и ще защитим стабилността на нашите икономики и нашите демокрации по отношение на киберзаплахите чрез създаването на мрежа от центрове за компетентност в облас</w:t>
      </w:r>
      <w:r>
        <w:rPr>
          <w:rFonts w:ascii="Times New Roman" w:hAnsi="Times New Roman"/>
          <w:noProof/>
          <w:sz w:val="24"/>
        </w:rPr>
        <w:t>тта на киберсигурността. В същото време Комисията ще продължи да акцентира върху максималното оползотворяване на възможностите, произтичащи от новите технологии, като например високопроизводителни изчислителни технологии и автономни автомобили. Също така щ</w:t>
      </w:r>
      <w:r>
        <w:rPr>
          <w:rFonts w:ascii="Times New Roman" w:hAnsi="Times New Roman"/>
          <w:noProof/>
          <w:sz w:val="24"/>
        </w:rPr>
        <w:t>е работим по използването в максимална степен на изкуствения интелект, който ще има все по-голяма роля в нашите икономики и общества.</w:t>
      </w:r>
    </w:p>
    <w:p w:rsidR="009F159D" w:rsidRDefault="009C4EA6">
      <w:pPr>
        <w:tabs>
          <w:tab w:val="left" w:pos="284"/>
        </w:tabs>
        <w:spacing w:after="240"/>
        <w:jc w:val="both"/>
        <w:rPr>
          <w:rFonts w:ascii="Times New Roman" w:hAnsi="Times New Roman" w:cs="Times New Roman"/>
          <w:i/>
          <w:noProof/>
          <w:sz w:val="24"/>
          <w:szCs w:val="24"/>
        </w:rPr>
      </w:pPr>
      <w:r>
        <w:rPr>
          <w:rFonts w:ascii="Times New Roman" w:hAnsi="Times New Roman"/>
          <w:i/>
          <w:noProof/>
          <w:sz w:val="24"/>
        </w:rPr>
        <w:t>Устойчив енергиен съюз с ориентирана към бъдещето политика по въпросите на изменението на климата</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Постигнахме значителен н</w:t>
      </w:r>
      <w:r>
        <w:rPr>
          <w:rFonts w:ascii="Times New Roman" w:hAnsi="Times New Roman"/>
          <w:noProof/>
          <w:sz w:val="24"/>
        </w:rPr>
        <w:t>апредък в изграждането на енергийния съюз. Приемането на пакета „Чиста енергия за всички европейци“</w:t>
      </w:r>
      <w:r>
        <w:rPr>
          <w:rStyle w:val="FootnoteReference"/>
          <w:rFonts w:ascii="Times New Roman" w:hAnsi="Times New Roman"/>
          <w:noProof/>
          <w:sz w:val="24"/>
        </w:rPr>
        <w:footnoteReference w:id="12"/>
      </w:r>
      <w:r>
        <w:rPr>
          <w:rFonts w:ascii="Times New Roman" w:hAnsi="Times New Roman"/>
          <w:noProof/>
          <w:sz w:val="24"/>
        </w:rPr>
        <w:t xml:space="preserve">, представен през декември 2016 г., и на предложенията за осъвременяване на политиката ни по отношение на изменението на климата е понастоящем приоритетно. </w:t>
      </w:r>
      <w:r>
        <w:rPr>
          <w:rFonts w:ascii="Times New Roman" w:hAnsi="Times New Roman"/>
          <w:noProof/>
          <w:sz w:val="24"/>
        </w:rPr>
        <w:t>Комисията ще продължи да работи за подобряване на сигурността на енергийните доставки и на функционирането на вътрешния пазар. Ще предложим общи правила за газопроводи, навлизащи на европейския вътрешен пазар на газ. Ще започнем преговори с Русия относно о</w:t>
      </w:r>
      <w:r>
        <w:rPr>
          <w:rFonts w:ascii="Times New Roman" w:hAnsi="Times New Roman"/>
          <w:noProof/>
          <w:sz w:val="24"/>
        </w:rPr>
        <w:t>сновните принципи за експлоатация на проекта за газопровод „Северен поток 2“ веднага щом Съветът приеме препоръчания от нас силен мандат. В областта на транспорта Комисията ще съсредоточи усилията си върху нови стандарти за емисиите на CO</w:t>
      </w:r>
      <w:r>
        <w:rPr>
          <w:rFonts w:ascii="Times New Roman" w:hAnsi="Times New Roman"/>
          <w:noProof/>
          <w:sz w:val="24"/>
          <w:vertAlign w:val="superscript"/>
        </w:rPr>
        <w:t>2</w:t>
      </w:r>
      <w:r>
        <w:rPr>
          <w:rFonts w:ascii="Times New Roman" w:hAnsi="Times New Roman"/>
          <w:noProof/>
          <w:sz w:val="24"/>
        </w:rPr>
        <w:t xml:space="preserve"> от автомобили, м</w:t>
      </w:r>
      <w:r>
        <w:rPr>
          <w:rFonts w:ascii="Times New Roman" w:hAnsi="Times New Roman"/>
          <w:noProof/>
          <w:sz w:val="24"/>
        </w:rPr>
        <w:t>икробуси и тежкотоварни превозни средства. Ще напреднем в работата ни, свързана с батериите и инфраструктурата за алтернативни горива, като се признае тяхната стратегическа роля в прехода към чиста мобилност и чиста енергия.</w:t>
      </w:r>
    </w:p>
    <w:p w:rsidR="009F159D" w:rsidRDefault="009C4EA6">
      <w:pPr>
        <w:tabs>
          <w:tab w:val="left" w:pos="284"/>
        </w:tabs>
        <w:spacing w:after="240"/>
        <w:jc w:val="both"/>
        <w:rPr>
          <w:rFonts w:ascii="Times New Roman" w:hAnsi="Times New Roman" w:cs="Times New Roman"/>
          <w:i/>
          <w:noProof/>
          <w:sz w:val="24"/>
          <w:szCs w:val="24"/>
        </w:rPr>
      </w:pPr>
      <w:r>
        <w:rPr>
          <w:rFonts w:ascii="Times New Roman" w:hAnsi="Times New Roman"/>
          <w:i/>
          <w:noProof/>
          <w:sz w:val="24"/>
        </w:rPr>
        <w:t>По-задълбочен и по-справедлив в</w:t>
      </w:r>
      <w:r>
        <w:rPr>
          <w:rFonts w:ascii="Times New Roman" w:hAnsi="Times New Roman"/>
          <w:i/>
          <w:noProof/>
          <w:sz w:val="24"/>
        </w:rPr>
        <w:t>ътрешен пазар със засилена промишлена база</w:t>
      </w:r>
    </w:p>
    <w:p w:rsidR="009F159D" w:rsidRDefault="009C4EA6">
      <w:pPr>
        <w:jc w:val="both"/>
        <w:rPr>
          <w:rFonts w:ascii="Times New Roman" w:hAnsi="Times New Roman" w:cs="Times New Roman"/>
          <w:noProof/>
          <w:spacing w:val="-4"/>
          <w:sz w:val="24"/>
          <w:szCs w:val="24"/>
        </w:rPr>
      </w:pPr>
      <w:r>
        <w:rPr>
          <w:rFonts w:ascii="Times New Roman" w:hAnsi="Times New Roman"/>
          <w:noProof/>
          <w:spacing w:val="-4"/>
          <w:sz w:val="24"/>
        </w:rPr>
        <w:t>Добре функциониращият единен пазар е залегнал в основата на европейския проект. Той позволява по-свободното движение на хора, услуги, стоки и капитали, предлага възможности за специалистите и предприятията и предо</w:t>
      </w:r>
      <w:r>
        <w:rPr>
          <w:rFonts w:ascii="Times New Roman" w:hAnsi="Times New Roman"/>
          <w:noProof/>
          <w:spacing w:val="-4"/>
          <w:sz w:val="24"/>
        </w:rPr>
        <w:t>ставя по-голям избор и по-ниски цени за потребителите. През следващата година Комисията ще съсредоточи усилията си върху преразглеждането на дружественото право на ЕС за подкрепа на предприятията чрез ясни, модерни и ефикасни правила. Ще продължим да полаг</w:t>
      </w:r>
      <w:r>
        <w:rPr>
          <w:rFonts w:ascii="Times New Roman" w:hAnsi="Times New Roman"/>
          <w:noProof/>
          <w:spacing w:val="-4"/>
          <w:sz w:val="24"/>
        </w:rPr>
        <w:t>аме усилия за защита на националните бюджети от вредни данъчни практики. Това включва осъвременяване на правилата за определяне на ставките по ДДС, нови правила по отношение на административното сътрудничество между държавите членки в областта на ДДС, пред</w:t>
      </w:r>
      <w:r>
        <w:rPr>
          <w:rFonts w:ascii="Times New Roman" w:hAnsi="Times New Roman"/>
          <w:noProof/>
          <w:spacing w:val="-4"/>
          <w:sz w:val="24"/>
        </w:rPr>
        <w:t xml:space="preserve">ложение за опростяване на системата на ДДС за МСП и правила за данъчно облагане на печалбите, генерирани от многонационалните дружества в цифровата икономика. Освен това Комисията ще предложи мерки за подобряване на функционирането на веригата за доставки </w:t>
      </w:r>
      <w:r>
        <w:rPr>
          <w:rFonts w:ascii="Times New Roman" w:hAnsi="Times New Roman"/>
          <w:noProof/>
          <w:spacing w:val="-4"/>
          <w:sz w:val="24"/>
        </w:rPr>
        <w:t>на храни, за да се помогне на земеделските производители да утвърдят своите позиции на пазара и да се подобри защитата им от бъдещи сътресения.</w:t>
      </w:r>
    </w:p>
    <w:p w:rsidR="009F159D" w:rsidRDefault="009C4EA6">
      <w:pPr>
        <w:jc w:val="both"/>
        <w:rPr>
          <w:rFonts w:ascii="Times New Roman" w:hAnsi="Times New Roman" w:cs="Times New Roman"/>
          <w:noProof/>
          <w:sz w:val="24"/>
          <w:szCs w:val="24"/>
        </w:rPr>
      </w:pPr>
      <w:r>
        <w:rPr>
          <w:rFonts w:ascii="Times New Roman" w:hAnsi="Times New Roman"/>
          <w:noProof/>
          <w:sz w:val="24"/>
        </w:rPr>
        <w:t>С цел доизграждане на съюза на капиталовите пазари</w:t>
      </w:r>
      <w:r>
        <w:rPr>
          <w:rStyle w:val="FootnoteReference"/>
          <w:rFonts w:ascii="Times New Roman" w:hAnsi="Times New Roman"/>
          <w:noProof/>
          <w:sz w:val="24"/>
        </w:rPr>
        <w:footnoteReference w:id="13"/>
      </w:r>
      <w:r>
        <w:rPr>
          <w:rFonts w:ascii="Times New Roman" w:hAnsi="Times New Roman"/>
          <w:noProof/>
          <w:sz w:val="24"/>
        </w:rPr>
        <w:t xml:space="preserve"> ще направим предложения за подобряване на взаимодействието м</w:t>
      </w:r>
      <w:r>
        <w:rPr>
          <w:rFonts w:ascii="Times New Roman" w:hAnsi="Times New Roman"/>
          <w:noProof/>
          <w:sz w:val="24"/>
        </w:rPr>
        <w:t>ежду финансите и технологиите и ще предложим правила за колективно финсниране и кредитиране между физически лица. Ще улесним използването на обезпечени облигации и ще намалим пречките пред трансграничното предлагане на алтернативни инвестиционни фондове, а</w:t>
      </w:r>
      <w:r>
        <w:rPr>
          <w:rFonts w:ascii="Times New Roman" w:hAnsi="Times New Roman"/>
          <w:noProof/>
          <w:sz w:val="24"/>
        </w:rPr>
        <w:t xml:space="preserve"> също така ще представим инициатива за устойчиво финансиране. Ще предложим нови правила за трансграничните плащания, включващи валути, различни от еврото. Това ще спомогне да се гарантира, че всички европейци заплащат такси в намален размер, когато изпраща</w:t>
      </w:r>
      <w:r>
        <w:rPr>
          <w:rFonts w:ascii="Times New Roman" w:hAnsi="Times New Roman"/>
          <w:noProof/>
          <w:sz w:val="24"/>
        </w:rPr>
        <w:t>т пари в чужбина или теглят пари от банкомати по време на почивките си.</w:t>
      </w:r>
    </w:p>
    <w:p w:rsidR="009F159D" w:rsidRDefault="009C4EA6">
      <w:pPr>
        <w:jc w:val="both"/>
        <w:rPr>
          <w:rFonts w:ascii="Times New Roman" w:hAnsi="Times New Roman" w:cs="Times New Roman"/>
          <w:noProof/>
          <w:sz w:val="24"/>
          <w:szCs w:val="24"/>
        </w:rPr>
      </w:pPr>
      <w:r>
        <w:rPr>
          <w:rFonts w:ascii="Times New Roman" w:hAnsi="Times New Roman"/>
          <w:noProof/>
          <w:sz w:val="24"/>
        </w:rPr>
        <w:t>Все още ни предстои работа, ако искаме социалната справедливост и трудовите права да са отличителни белези на единния пазар. Комисията ще разгледа предизвикателствата пред трудовата мо</w:t>
      </w:r>
      <w:r>
        <w:rPr>
          <w:rFonts w:ascii="Times New Roman" w:hAnsi="Times New Roman"/>
          <w:noProof/>
          <w:sz w:val="24"/>
        </w:rPr>
        <w:t>билност и координацията на социалната сигурност, като предложи създаването на Европейски орган по въпросите на трудовия пазар и многофункционален европейски социалноосигурителен номер, който ще опрости взаимодействието на гражданите с администрацията в ред</w:t>
      </w:r>
      <w:r>
        <w:rPr>
          <w:rFonts w:ascii="Times New Roman" w:hAnsi="Times New Roman"/>
          <w:noProof/>
          <w:sz w:val="24"/>
        </w:rPr>
        <w:t xml:space="preserve">ица области. Ще предложим модернизиране на системите за социална сигурност, като бъдат взети предвид новите форми на труд, за да се запълнят пропуските, така че всеки, който работи, независимо от трудовия си статус, да може да прави вноски и да има достъп </w:t>
      </w:r>
      <w:r>
        <w:rPr>
          <w:rFonts w:ascii="Times New Roman" w:hAnsi="Times New Roman"/>
          <w:noProof/>
          <w:sz w:val="24"/>
        </w:rPr>
        <w:t>до социална закрила. За допълнително осигуряване и защита на работниците в рамките на единния пазар Комисията ще предложи по-големи задължения, за да се гарантира, че служителите са уведомени в писмен вид за техните условия на труд.</w:t>
      </w:r>
    </w:p>
    <w:p w:rsidR="009F159D" w:rsidRDefault="009C4EA6">
      <w:pPr>
        <w:spacing w:after="240"/>
        <w:jc w:val="both"/>
        <w:rPr>
          <w:rFonts w:ascii="Times New Roman" w:hAnsi="Times New Roman" w:cs="Times New Roman"/>
          <w:noProof/>
          <w:sz w:val="24"/>
          <w:szCs w:val="24"/>
        </w:rPr>
      </w:pPr>
      <w:r>
        <w:rPr>
          <w:rFonts w:ascii="Times New Roman" w:hAnsi="Times New Roman"/>
          <w:noProof/>
          <w:sz w:val="24"/>
        </w:rPr>
        <w:t>Също така е нужно гражд</w:t>
      </w:r>
      <w:r>
        <w:rPr>
          <w:rFonts w:ascii="Times New Roman" w:hAnsi="Times New Roman"/>
          <w:noProof/>
          <w:sz w:val="24"/>
        </w:rPr>
        <w:t>аните ни да бъдат по-добре защитени; с тази цел ще представим съвместен план за действие в областта на националните политики за ваксиниране. Това ще подпомогне държавите членки в изпълнението на програмите за ваксиниране, ще намали обществените колебания о</w:t>
      </w:r>
      <w:r>
        <w:rPr>
          <w:rFonts w:ascii="Times New Roman" w:hAnsi="Times New Roman"/>
          <w:noProof/>
          <w:sz w:val="24"/>
        </w:rPr>
        <w:t>тносно ваксините и ще увеличи предлагането на ваксини.</w:t>
      </w:r>
    </w:p>
    <w:p w:rsidR="009F159D" w:rsidRDefault="009C4EA6">
      <w:pPr>
        <w:spacing w:after="240"/>
        <w:jc w:val="both"/>
        <w:rPr>
          <w:rFonts w:ascii="Times New Roman" w:hAnsi="Times New Roman" w:cs="Times New Roman"/>
          <w:i/>
          <w:noProof/>
          <w:sz w:val="24"/>
          <w:szCs w:val="24"/>
        </w:rPr>
      </w:pPr>
      <w:r>
        <w:rPr>
          <w:rFonts w:ascii="Times New Roman" w:hAnsi="Times New Roman"/>
          <w:i/>
          <w:noProof/>
          <w:sz w:val="24"/>
        </w:rPr>
        <w:t>По-задълбочен и по-справедлив икономически и паричен съюз</w:t>
      </w:r>
    </w:p>
    <w:p w:rsidR="009F159D" w:rsidRDefault="009C4EA6">
      <w:pPr>
        <w:jc w:val="both"/>
        <w:rPr>
          <w:rFonts w:ascii="Times New Roman" w:hAnsi="Times New Roman" w:cs="Times New Roman"/>
          <w:noProof/>
          <w:sz w:val="24"/>
          <w:szCs w:val="24"/>
        </w:rPr>
      </w:pPr>
      <w:r>
        <w:rPr>
          <w:rFonts w:ascii="Times New Roman" w:hAnsi="Times New Roman"/>
          <w:noProof/>
          <w:sz w:val="24"/>
        </w:rPr>
        <w:t>С цел запазване на динамиката на възстановяване Комисията ще препоръча като цяло неутрална фискална позиция за еврозоната с постоянен акцент въ</w:t>
      </w:r>
      <w:r>
        <w:rPr>
          <w:rFonts w:ascii="Times New Roman" w:hAnsi="Times New Roman"/>
          <w:noProof/>
          <w:sz w:val="24"/>
        </w:rPr>
        <w:t>рху засилването на икономическото и социалното сближаване и устойчивостта. Също така ще продължим работата си по създаването на по-задълбочен и по-справедлив икономически и паричен съюз и повишаването на неговата демократична отчетност. Икономическият и па</w:t>
      </w:r>
      <w:r>
        <w:rPr>
          <w:rFonts w:ascii="Times New Roman" w:hAnsi="Times New Roman"/>
          <w:noProof/>
          <w:sz w:val="24"/>
        </w:rPr>
        <w:t>ричен съюз е най-добрият ни инструмент, за да стане Европа по-процъфтяваща и за защита на европейските граждани от бъдещи икономически сътресения. Комисията ще предложи важен пакет от мерки до края на 2017 г., за да продължи работата в тази насока.</w:t>
      </w:r>
    </w:p>
    <w:p w:rsidR="009F159D" w:rsidRDefault="009C4EA6">
      <w:pPr>
        <w:spacing w:before="120" w:after="240"/>
        <w:jc w:val="both"/>
        <w:rPr>
          <w:rFonts w:ascii="Times New Roman" w:hAnsi="Times New Roman" w:cs="Times New Roman"/>
          <w:noProof/>
          <w:sz w:val="24"/>
          <w:szCs w:val="24"/>
        </w:rPr>
      </w:pPr>
      <w:r>
        <w:rPr>
          <w:rFonts w:ascii="Times New Roman" w:hAnsi="Times New Roman"/>
          <w:noProof/>
          <w:sz w:val="24"/>
        </w:rPr>
        <w:t>Като ча</w:t>
      </w:r>
      <w:r>
        <w:rPr>
          <w:rFonts w:ascii="Times New Roman" w:hAnsi="Times New Roman"/>
          <w:noProof/>
          <w:sz w:val="24"/>
        </w:rPr>
        <w:t xml:space="preserve">ст от пакета ще предложим Европейския механизъм за стабилност да бъде включен в нормативната уредба на Европейския съюз, така че да се увеличи неговата демократична отчетност и да се засилят неговите роля и процедури </w:t>
      </w:r>
      <w:r>
        <w:rPr>
          <w:noProof/>
        </w:rPr>
        <w:tab/>
      </w:r>
      <w:r>
        <w:rPr>
          <w:rFonts w:ascii="Times New Roman" w:hAnsi="Times New Roman"/>
          <w:noProof/>
          <w:sz w:val="24"/>
        </w:rPr>
        <w:t xml:space="preserve"> за вземането на решения. Целта ни тря</w:t>
      </w:r>
      <w:r>
        <w:rPr>
          <w:rFonts w:ascii="Times New Roman" w:hAnsi="Times New Roman"/>
          <w:noProof/>
          <w:sz w:val="24"/>
        </w:rPr>
        <w:t>бва постигането на истински европейски валутен фонд, който е в състояние да реагира на кризи, като работи успоредно с установените инструменти за ежедневна координация на икономическите политики и за наблюдение. Също така ще предложим създаването на специа</w:t>
      </w:r>
      <w:r>
        <w:rPr>
          <w:rFonts w:ascii="Times New Roman" w:hAnsi="Times New Roman"/>
          <w:noProof/>
          <w:sz w:val="24"/>
        </w:rPr>
        <w:t>лен бюджет ред за еврозоната в рамките на бюджета на ЕС с четири функции: подпомагане на структурните реформи; функция за стабилизация; предпазен механизъм за банковия съюз; и инструмент за сближаване за предоставянето на предприсъединителна помощ на държа</w:t>
      </w:r>
      <w:r>
        <w:rPr>
          <w:rFonts w:ascii="Times New Roman" w:hAnsi="Times New Roman"/>
          <w:noProof/>
          <w:sz w:val="24"/>
        </w:rPr>
        <w:t>вите членки в подготовката им за присъединяване към еврозоната. Ще предложим и интегриране в рамката на законодателството на ЕС на същността на Договора за стабилност, координация и управление в икономическия и паричен съюз, както бе договорено през 2012 г</w:t>
      </w:r>
      <w:r>
        <w:rPr>
          <w:rFonts w:ascii="Times New Roman" w:hAnsi="Times New Roman"/>
          <w:noProof/>
          <w:sz w:val="24"/>
        </w:rPr>
        <w:t xml:space="preserve">., като същевременно се вземе предвид гъвкавостта, заложена в Пакта за стабилност и растеж и отчитана от Комисията от януари 2015 г. насам. Нашият икономически и паричен съюз ще бъде по-силен, ако солидарността и отговорността вървят ръка за ръка. </w:t>
      </w:r>
    </w:p>
    <w:p w:rsidR="009F159D" w:rsidRDefault="009C4EA6">
      <w:pPr>
        <w:spacing w:before="120" w:after="240"/>
        <w:jc w:val="both"/>
        <w:rPr>
          <w:rFonts w:ascii="Times New Roman" w:hAnsi="Times New Roman" w:cs="Times New Roman"/>
          <w:noProof/>
          <w:sz w:val="24"/>
          <w:szCs w:val="24"/>
        </w:rPr>
      </w:pPr>
      <w:r>
        <w:rPr>
          <w:rFonts w:ascii="Times New Roman" w:hAnsi="Times New Roman"/>
          <w:noProof/>
          <w:sz w:val="24"/>
        </w:rPr>
        <w:t>Доизгра</w:t>
      </w:r>
      <w:r>
        <w:rPr>
          <w:rFonts w:ascii="Times New Roman" w:hAnsi="Times New Roman"/>
          <w:noProof/>
          <w:sz w:val="24"/>
        </w:rPr>
        <w:t xml:space="preserve">ждането на банковия съюз, с което се постига едновременно намаляване на риска и споделяне на риска в банковия сектор, е друг основен стълб на тази работа. Наскоро Комисията посочи амбициозен, но реалистичен път към постигане на съгласие по всички оставащи </w:t>
      </w:r>
      <w:r>
        <w:rPr>
          <w:rFonts w:ascii="Times New Roman" w:hAnsi="Times New Roman"/>
          <w:noProof/>
          <w:sz w:val="24"/>
        </w:rPr>
        <w:t>елементи на банковия съюз — особено по отношение на европейската схема за застраховане на депозитите — въз основа на поетите от Съвета ангажименти</w:t>
      </w:r>
      <w:r>
        <w:rPr>
          <w:rStyle w:val="FootnoteReference"/>
          <w:rFonts w:ascii="Times New Roman" w:hAnsi="Times New Roman"/>
          <w:noProof/>
          <w:sz w:val="24"/>
        </w:rPr>
        <w:footnoteReference w:id="14"/>
      </w:r>
      <w:r>
        <w:rPr>
          <w:rFonts w:ascii="Times New Roman" w:hAnsi="Times New Roman"/>
          <w:noProof/>
          <w:sz w:val="24"/>
        </w:rPr>
        <w:t>. Ще направим допълнителни предложения за разрешаване на въпроса с необслужваните кредити, както и за разрабо</w:t>
      </w:r>
      <w:r>
        <w:rPr>
          <w:rFonts w:ascii="Times New Roman" w:hAnsi="Times New Roman"/>
          <w:noProof/>
          <w:sz w:val="24"/>
        </w:rPr>
        <w:t>тването на държавни дългови инструменти, обезпечени с облигации. Завършеният банков съюз, заедно със съюза на капиталовите пазари, ще спомогне за изграждането на стабилната и интегрирана финансова система, от която се нуждаят гражданите и предприятията.</w:t>
      </w:r>
    </w:p>
    <w:p w:rsidR="009F159D" w:rsidRDefault="009C4EA6">
      <w:pPr>
        <w:jc w:val="both"/>
        <w:rPr>
          <w:rFonts w:ascii="Times New Roman" w:hAnsi="Times New Roman" w:cs="Times New Roman"/>
          <w:noProof/>
          <w:spacing w:val="-2"/>
          <w:sz w:val="24"/>
          <w:szCs w:val="24"/>
        </w:rPr>
      </w:pPr>
      <w:r>
        <w:rPr>
          <w:rFonts w:ascii="Times New Roman" w:hAnsi="Times New Roman"/>
          <w:noProof/>
          <w:spacing w:val="-2"/>
          <w:sz w:val="24"/>
        </w:rPr>
        <w:t>Ев</w:t>
      </w:r>
      <w:r>
        <w:rPr>
          <w:rFonts w:ascii="Times New Roman" w:hAnsi="Times New Roman"/>
          <w:noProof/>
          <w:spacing w:val="-2"/>
          <w:sz w:val="24"/>
        </w:rPr>
        <w:t>ропейският стълб на социалните права</w:t>
      </w:r>
      <w:r>
        <w:rPr>
          <w:rStyle w:val="FootnoteReference"/>
          <w:rFonts w:ascii="Times New Roman" w:hAnsi="Times New Roman"/>
          <w:noProof/>
          <w:spacing w:val="-2"/>
          <w:sz w:val="24"/>
        </w:rPr>
        <w:footnoteReference w:id="15"/>
      </w:r>
      <w:r>
        <w:rPr>
          <w:rFonts w:ascii="Times New Roman" w:hAnsi="Times New Roman"/>
          <w:noProof/>
          <w:spacing w:val="-2"/>
          <w:sz w:val="24"/>
        </w:rPr>
        <w:t xml:space="preserve"> ще даде нов тласък на процеса на сближаване в посока към по-добри условия на живот и труд сред държавите членки. Той ще насърчи социалната програма на ЕС на всички равнища и ще ни помогне да преминем към общо разбиране за това кое е социално справедливо в</w:t>
      </w:r>
      <w:r>
        <w:rPr>
          <w:rFonts w:ascii="Times New Roman" w:hAnsi="Times New Roman"/>
          <w:noProof/>
          <w:spacing w:val="-2"/>
          <w:sz w:val="24"/>
        </w:rPr>
        <w:t xml:space="preserve"> нашия единен пазар — към „Съюз на социални стандарти“, както призова председателят на Комисията Юнкер в речта си за състоянието на Съюза от 2017 г. Очакваме официалното провъзгласяване на европейски стълб на социалните права по време на социалната среща н</w:t>
      </w:r>
      <w:r>
        <w:rPr>
          <w:rFonts w:ascii="Times New Roman" w:hAnsi="Times New Roman"/>
          <w:noProof/>
          <w:spacing w:val="-2"/>
          <w:sz w:val="24"/>
        </w:rPr>
        <w:t>а върха в Гьотеборг през ноември. Ще включим в процеса на Европейския семестър новите социални показатели, съпътстващи европейския стълб на социалните права, за да можем да следим напредъка по тези въпроси по подходящ начин.</w:t>
      </w:r>
    </w:p>
    <w:p w:rsidR="009F159D" w:rsidRDefault="009C4EA6">
      <w:pPr>
        <w:spacing w:after="240"/>
        <w:jc w:val="both"/>
        <w:rPr>
          <w:rFonts w:ascii="Times New Roman" w:hAnsi="Times New Roman" w:cs="Times New Roman"/>
          <w:i/>
          <w:noProof/>
          <w:sz w:val="24"/>
          <w:szCs w:val="24"/>
        </w:rPr>
      </w:pPr>
      <w:r>
        <w:rPr>
          <w:rFonts w:ascii="Times New Roman" w:hAnsi="Times New Roman"/>
          <w:i/>
          <w:noProof/>
          <w:sz w:val="24"/>
        </w:rPr>
        <w:t>Балансирана и прогресивна търго</w:t>
      </w:r>
      <w:r>
        <w:rPr>
          <w:rFonts w:ascii="Times New Roman" w:hAnsi="Times New Roman"/>
          <w:i/>
          <w:noProof/>
          <w:sz w:val="24"/>
        </w:rPr>
        <w:t>вска политика с цел извличане на ползи от глобализацията</w:t>
      </w:r>
    </w:p>
    <w:p w:rsidR="009F159D" w:rsidRDefault="009C4EA6">
      <w:pPr>
        <w:jc w:val="both"/>
        <w:rPr>
          <w:rFonts w:ascii="Times New Roman" w:hAnsi="Times New Roman" w:cs="Times New Roman"/>
          <w:noProof/>
          <w:sz w:val="24"/>
          <w:szCs w:val="24"/>
        </w:rPr>
      </w:pPr>
      <w:r>
        <w:rPr>
          <w:rFonts w:ascii="Times New Roman" w:hAnsi="Times New Roman"/>
          <w:noProof/>
          <w:sz w:val="24"/>
        </w:rPr>
        <w:t>В качеството си на най-голяма търговска сила в света Европа зависи от отворената и лоялна търговия с партньори от целия свят. Стремим се да осигурим прогресивна и амбициозна програма в областта на тъ</w:t>
      </w:r>
      <w:r>
        <w:rPr>
          <w:rFonts w:ascii="Times New Roman" w:hAnsi="Times New Roman"/>
          <w:noProof/>
          <w:sz w:val="24"/>
        </w:rPr>
        <w:t>рговията, постигайки баланс между откритостта и реципрочността и прилагането на социални и екологични стандарти. Търговските споразумения на ЕС създават работни места и водят до растеж; продължаваме преговорите с Меркосур и Мексико и работим съвместно с Ев</w:t>
      </w:r>
      <w:r>
        <w:rPr>
          <w:rFonts w:ascii="Times New Roman" w:hAnsi="Times New Roman"/>
          <w:noProof/>
          <w:sz w:val="24"/>
        </w:rPr>
        <w:t>ропейския парламент и държавите членки, за да гарантираме договарянето и правилното изпълнение на споразумения, в т.ч. с Япония, Сингапур и Виетнам, така че ползите от тях да бъдат почувствани. Искаме също така да постигнем напредък в търговските преговори</w:t>
      </w:r>
      <w:r>
        <w:rPr>
          <w:rFonts w:ascii="Times New Roman" w:hAnsi="Times New Roman"/>
          <w:noProof/>
          <w:sz w:val="24"/>
        </w:rPr>
        <w:t xml:space="preserve"> с Австралия и Нова Зеландия, след като Съветът одобри мандатите, препоръчани от Комисията. Но ние не сме наивни свободни търговци. И тази година ще продължим да работим за запазването и отстояването на високите европейски стандарти в трети страни, както и</w:t>
      </w:r>
      <w:r>
        <w:rPr>
          <w:rFonts w:ascii="Times New Roman" w:hAnsi="Times New Roman"/>
          <w:noProof/>
          <w:sz w:val="24"/>
        </w:rPr>
        <w:t xml:space="preserve"> за осигуряването на равни условия за европейските предприятия и работници. В този контекст е от съществено значение Европейският парламент и Съветът бързо да приемат внесените предложения за модернизиране на инструментите за търговска защита и преглед на </w:t>
      </w:r>
      <w:r>
        <w:rPr>
          <w:rFonts w:ascii="Times New Roman" w:hAnsi="Times New Roman"/>
          <w:noProof/>
          <w:sz w:val="24"/>
        </w:rPr>
        <w:t>преките чуждестранни инвестиции в ЕС</w:t>
      </w:r>
      <w:r>
        <w:rPr>
          <w:rStyle w:val="FootnoteReference"/>
          <w:rFonts w:ascii="Times New Roman" w:hAnsi="Times New Roman"/>
          <w:noProof/>
          <w:sz w:val="24"/>
        </w:rPr>
        <w:footnoteReference w:id="16"/>
      </w:r>
      <w:r>
        <w:rPr>
          <w:noProof/>
        </w:rPr>
        <w:t>.</w:t>
      </w:r>
    </w:p>
    <w:p w:rsidR="009F159D" w:rsidRDefault="009C4EA6">
      <w:pPr>
        <w:keepNext/>
        <w:jc w:val="both"/>
        <w:rPr>
          <w:rFonts w:ascii="Times New Roman" w:hAnsi="Times New Roman" w:cs="Times New Roman"/>
          <w:i/>
          <w:noProof/>
          <w:sz w:val="24"/>
          <w:szCs w:val="24"/>
        </w:rPr>
      </w:pPr>
      <w:r>
        <w:rPr>
          <w:rFonts w:ascii="Times New Roman" w:hAnsi="Times New Roman"/>
          <w:i/>
          <w:noProof/>
          <w:sz w:val="24"/>
        </w:rPr>
        <w:t>Пространство на правосъдие и основни права, изградено върху взаимно доверие</w:t>
      </w:r>
    </w:p>
    <w:p w:rsidR="009F159D" w:rsidRDefault="009C4EA6">
      <w:pPr>
        <w:jc w:val="both"/>
        <w:rPr>
          <w:rFonts w:ascii="Times New Roman" w:hAnsi="Times New Roman" w:cs="Times New Roman"/>
          <w:noProof/>
          <w:sz w:val="24"/>
          <w:szCs w:val="24"/>
        </w:rPr>
      </w:pPr>
      <w:r>
        <w:rPr>
          <w:rFonts w:ascii="Times New Roman" w:hAnsi="Times New Roman"/>
          <w:noProof/>
          <w:sz w:val="24"/>
        </w:rPr>
        <w:t>Успехът на вътрешния пазар зависи в крайна сметка от доверието. Това доверие може лесно да бъде загубено, ако потребителите чувстват, че в сл</w:t>
      </w:r>
      <w:r>
        <w:rPr>
          <w:rFonts w:ascii="Times New Roman" w:hAnsi="Times New Roman"/>
          <w:noProof/>
          <w:sz w:val="24"/>
        </w:rPr>
        <w:t>учай на проблеми не са налични средства за справяне с тях. Ето защо Комисията ще представи нов търговски механизъм за потребителите с цел да се подобри съдебната и извънсъдебната защита на правата на потребителите и да се улеснят координацията и ефективнит</w:t>
      </w:r>
      <w:r>
        <w:rPr>
          <w:rFonts w:ascii="Times New Roman" w:hAnsi="Times New Roman"/>
          <w:noProof/>
          <w:sz w:val="24"/>
        </w:rPr>
        <w:t>е действия от страна на националните органи за защита на потребителите. Също така продължаваме да работим за защита на лицата, подаващи сигнали за нередности.</w:t>
      </w:r>
    </w:p>
    <w:p w:rsidR="009F159D" w:rsidRDefault="009C4EA6">
      <w:pPr>
        <w:jc w:val="both"/>
        <w:rPr>
          <w:rFonts w:ascii="Times New Roman" w:hAnsi="Times New Roman" w:cs="Times New Roman"/>
          <w:noProof/>
          <w:sz w:val="24"/>
          <w:szCs w:val="24"/>
        </w:rPr>
      </w:pPr>
      <w:r>
        <w:rPr>
          <w:rFonts w:ascii="Times New Roman" w:hAnsi="Times New Roman"/>
          <w:noProof/>
          <w:sz w:val="24"/>
        </w:rPr>
        <w:t>Съюзът се стреми към постигането на по-голямо благоденствие на гражданите, което означава и да до</w:t>
      </w:r>
      <w:r>
        <w:rPr>
          <w:rFonts w:ascii="Times New Roman" w:hAnsi="Times New Roman"/>
          <w:noProof/>
          <w:sz w:val="24"/>
        </w:rPr>
        <w:t>принася за тяхната сигурност. През изминалата година ЕС изигра и продължава да играе ключова роля в защитата на гражданите срещу природни бедствия; така ще продължим и за в бъдеще. Механизмът за гражданска защита на Съюза е доказателство за европейската со</w:t>
      </w:r>
      <w:r>
        <w:rPr>
          <w:rFonts w:ascii="Times New Roman" w:hAnsi="Times New Roman"/>
          <w:noProof/>
          <w:sz w:val="24"/>
        </w:rPr>
        <w:t>лидарност както в границите на Съюза, така и извън тях. Ще предложим механизмът да бъде укрепен и да му се придаде собствен оперативен капацитет, за да се гарантира, че Съюзът е в състояние да осигури на гражданите си в кризисни и извънредни ситуации по-до</w:t>
      </w:r>
      <w:r>
        <w:rPr>
          <w:rFonts w:ascii="Times New Roman" w:hAnsi="Times New Roman"/>
          <w:noProof/>
          <w:sz w:val="24"/>
        </w:rPr>
        <w:t>бра и по-спешна подкрепа с максимална ефективност и минимална степен на бюрокрация.</w:t>
      </w:r>
    </w:p>
    <w:p w:rsidR="009F159D" w:rsidRDefault="009C4EA6">
      <w:pPr>
        <w:jc w:val="both"/>
        <w:rPr>
          <w:rFonts w:ascii="Times New Roman" w:hAnsi="Times New Roman" w:cs="Times New Roman"/>
          <w:noProof/>
          <w:sz w:val="24"/>
          <w:szCs w:val="24"/>
        </w:rPr>
      </w:pPr>
      <w:r>
        <w:rPr>
          <w:rFonts w:ascii="Times New Roman" w:hAnsi="Times New Roman"/>
          <w:noProof/>
          <w:sz w:val="24"/>
        </w:rPr>
        <w:t>Доизграждането на Съюза на сигурност е наш приоритет. Постигнахме реален напредък в борбата с тероризма; в допълнение ще представим предложения за подобряване на трансграни</w:t>
      </w:r>
      <w:r>
        <w:rPr>
          <w:rFonts w:ascii="Times New Roman" w:hAnsi="Times New Roman"/>
          <w:noProof/>
          <w:sz w:val="24"/>
        </w:rPr>
        <w:t>чния достъп на правоприлагащите органи до електронни доказателства и финансови данни и за по-нататъшно укрепване на правилата срещу прекурсорите на взривни вещества, които терористите използват за самоделни оръжия. Ще продължим да насърчаваме сътрудничеств</w:t>
      </w:r>
      <w:r>
        <w:rPr>
          <w:rFonts w:ascii="Times New Roman" w:hAnsi="Times New Roman"/>
          <w:noProof/>
          <w:sz w:val="24"/>
        </w:rPr>
        <w:t>ото с дружествата в областта на социалните медии за откриването и премахването на материали с терористично и друго незаконно съдържание онлайн и, ако е необходимо, ще предложим законодателство за премахване на терористично съдържание. Комисията ще продължи</w:t>
      </w:r>
      <w:r>
        <w:rPr>
          <w:rFonts w:ascii="Times New Roman" w:hAnsi="Times New Roman"/>
          <w:noProof/>
          <w:sz w:val="24"/>
        </w:rPr>
        <w:t xml:space="preserve"> да подкрепя държавите членки в борбата срещу радикализацията и в изпълнението на плана за действие за защитата на обществените пространства</w:t>
      </w:r>
      <w:r>
        <w:rPr>
          <w:rStyle w:val="FootnoteReference"/>
          <w:rFonts w:ascii="Times New Roman" w:hAnsi="Times New Roman"/>
          <w:noProof/>
          <w:sz w:val="24"/>
        </w:rPr>
        <w:footnoteReference w:id="17"/>
      </w:r>
      <w:r>
        <w:rPr>
          <w:rFonts w:ascii="Times New Roman" w:hAnsi="Times New Roman"/>
          <w:noProof/>
          <w:sz w:val="24"/>
        </w:rPr>
        <w:t xml:space="preserve"> и работи по създаване на допълнителни мерки за подобряване на сигурността на пътническия железопътен транспорт. Ще</w:t>
      </w:r>
      <w:r>
        <w:rPr>
          <w:rFonts w:ascii="Times New Roman" w:hAnsi="Times New Roman"/>
          <w:noProof/>
          <w:sz w:val="24"/>
        </w:rPr>
        <w:t xml:space="preserve"> увеличим усилията си за превръщане на Европейския съюз в зона на сигурност за обществото, при пълно спазване на основните права, чрез предложение за оперативна съвместимост на информационните системи.</w:t>
      </w:r>
    </w:p>
    <w:p w:rsidR="009F159D" w:rsidRDefault="009C4EA6">
      <w:pPr>
        <w:spacing w:after="240"/>
        <w:jc w:val="both"/>
        <w:rPr>
          <w:rFonts w:ascii="Times New Roman" w:hAnsi="Times New Roman" w:cs="Times New Roman"/>
          <w:noProof/>
          <w:sz w:val="24"/>
          <w:szCs w:val="24"/>
        </w:rPr>
      </w:pPr>
      <w:r>
        <w:rPr>
          <w:rFonts w:ascii="Times New Roman" w:hAnsi="Times New Roman"/>
          <w:noProof/>
          <w:sz w:val="24"/>
        </w:rPr>
        <w:t xml:space="preserve">Обменът на информация и данни е съществена </w:t>
      </w:r>
      <w:r>
        <w:rPr>
          <w:rFonts w:ascii="Times New Roman" w:hAnsi="Times New Roman"/>
          <w:noProof/>
          <w:sz w:val="24"/>
        </w:rPr>
        <w:t>характеристика на нашите общества и придобива все по-трансгранично измерение. Комисията ще финализира насоките си за бъдещата работа в областта на запазването на данни. В началото на 2018 г. Комисията цели да приеме и решение по отношение на Япония относно</w:t>
      </w:r>
      <w:r>
        <w:rPr>
          <w:rFonts w:ascii="Times New Roman" w:hAnsi="Times New Roman"/>
          <w:noProof/>
          <w:sz w:val="24"/>
        </w:rPr>
        <w:t xml:space="preserve"> адекватността на защитата на данните, за да се гарантира свободното движение на лични данни между ЕС и Япония като неразделна част от засиленото ни икономическо партньорство.</w:t>
      </w:r>
    </w:p>
    <w:p w:rsidR="009F159D" w:rsidRDefault="009C4EA6">
      <w:pPr>
        <w:spacing w:after="240"/>
        <w:jc w:val="both"/>
        <w:rPr>
          <w:rFonts w:ascii="Times New Roman" w:hAnsi="Times New Roman" w:cs="Times New Roman"/>
          <w:noProof/>
          <w:sz w:val="24"/>
          <w:szCs w:val="24"/>
        </w:rPr>
      </w:pPr>
      <w:r>
        <w:rPr>
          <w:rFonts w:ascii="Times New Roman" w:hAnsi="Times New Roman"/>
          <w:noProof/>
          <w:sz w:val="24"/>
        </w:rPr>
        <w:t>Комисията отново подчертава ангажимента си към Шенгенската система и изразява на</w:t>
      </w:r>
      <w:r>
        <w:rPr>
          <w:rFonts w:ascii="Times New Roman" w:hAnsi="Times New Roman"/>
          <w:noProof/>
          <w:sz w:val="24"/>
        </w:rPr>
        <w:t>мерението си за „завръщане към Шенгенската система“ възможно най-скоро, като същевременно взема предвид в пълна степен пропорционалните изисквания на държавите членки, свързани със сигурността. За тази цел е от съществено значение бързото приемане от Европ</w:t>
      </w:r>
      <w:r>
        <w:rPr>
          <w:rFonts w:ascii="Times New Roman" w:hAnsi="Times New Roman"/>
          <w:noProof/>
          <w:sz w:val="24"/>
        </w:rPr>
        <w:t>ейския парламент и Съвета на предложението на Комисията за преразглеждане на Кодекса на шенгенските граници.</w:t>
      </w:r>
    </w:p>
    <w:p w:rsidR="009F159D" w:rsidRDefault="009C4EA6">
      <w:pPr>
        <w:spacing w:after="240"/>
        <w:jc w:val="both"/>
        <w:rPr>
          <w:rFonts w:ascii="Times New Roman" w:hAnsi="Times New Roman" w:cs="Times New Roman"/>
          <w:i/>
          <w:noProof/>
          <w:sz w:val="24"/>
          <w:szCs w:val="24"/>
        </w:rPr>
      </w:pPr>
      <w:r>
        <w:rPr>
          <w:rFonts w:ascii="Times New Roman" w:hAnsi="Times New Roman"/>
          <w:i/>
          <w:noProof/>
          <w:sz w:val="24"/>
        </w:rPr>
        <w:t>Към нова политика в областта на миграцията</w:t>
      </w:r>
    </w:p>
    <w:p w:rsidR="009F159D" w:rsidRDefault="009C4EA6">
      <w:pPr>
        <w:jc w:val="both"/>
        <w:rPr>
          <w:rFonts w:ascii="Times New Roman" w:hAnsi="Times New Roman" w:cs="Times New Roman"/>
          <w:noProof/>
          <w:sz w:val="24"/>
          <w:szCs w:val="24"/>
        </w:rPr>
      </w:pPr>
      <w:r>
        <w:rPr>
          <w:rFonts w:ascii="Times New Roman" w:hAnsi="Times New Roman"/>
          <w:noProof/>
          <w:sz w:val="24"/>
        </w:rPr>
        <w:t xml:space="preserve">Следваме графика за изпълнение на Европейската програма за миграцията. Европейският парламент и Съветът </w:t>
      </w:r>
      <w:r>
        <w:rPr>
          <w:rFonts w:ascii="Times New Roman" w:hAnsi="Times New Roman"/>
          <w:noProof/>
          <w:sz w:val="24"/>
        </w:rPr>
        <w:t>трябва да отдадат приоритет на вече представените предложения. По-специално реформата на системата от Дъблин</w:t>
      </w:r>
      <w:r>
        <w:rPr>
          <w:rStyle w:val="FootnoteReference"/>
          <w:rFonts w:ascii="Times New Roman" w:hAnsi="Times New Roman"/>
          <w:noProof/>
          <w:sz w:val="24"/>
        </w:rPr>
        <w:footnoteReference w:id="18"/>
      </w:r>
      <w:r>
        <w:rPr>
          <w:rFonts w:ascii="Times New Roman" w:hAnsi="Times New Roman"/>
          <w:noProof/>
          <w:sz w:val="24"/>
        </w:rPr>
        <w:t xml:space="preserve"> е от ключово значение за създаването на обща европейска система за убежище, която се основава на солидарност и гарантира споделяне на отговорностт</w:t>
      </w:r>
      <w:r>
        <w:rPr>
          <w:rFonts w:ascii="Times New Roman" w:hAnsi="Times New Roman"/>
          <w:noProof/>
          <w:sz w:val="24"/>
        </w:rPr>
        <w:t>а. Подкрепяме усилията на Европейския парламент и на Съвета да завършат работата по реформата на общата европейска система за убежище до юни 2018 г.</w:t>
      </w:r>
    </w:p>
    <w:p w:rsidR="009F159D" w:rsidRDefault="009C4EA6">
      <w:pPr>
        <w:jc w:val="both"/>
        <w:rPr>
          <w:rFonts w:ascii="Times New Roman" w:hAnsi="Times New Roman" w:cs="Times New Roman"/>
          <w:noProof/>
          <w:sz w:val="24"/>
          <w:szCs w:val="24"/>
        </w:rPr>
      </w:pPr>
      <w:r>
        <w:rPr>
          <w:rFonts w:ascii="Times New Roman" w:hAnsi="Times New Roman"/>
          <w:noProof/>
          <w:sz w:val="24"/>
        </w:rPr>
        <w:t>Рамката за партньорство в областта на миграцията ще бъде от основно значение за постигането на резултати по</w:t>
      </w:r>
      <w:r>
        <w:rPr>
          <w:rFonts w:ascii="Times New Roman" w:hAnsi="Times New Roman"/>
          <w:noProof/>
          <w:sz w:val="24"/>
        </w:rPr>
        <w:t xml:space="preserve"> външния компонент на нашите политики в областта на миграцията. За да бъдат по-ефективни действията на ЕС за връщане на лицата, които нямат право да пребивават в ЕС, са нужни решителни усилия от страна на държавите членки, заедно с трети държави. Изработих</w:t>
      </w:r>
      <w:r>
        <w:rPr>
          <w:rFonts w:ascii="Times New Roman" w:hAnsi="Times New Roman"/>
          <w:noProof/>
          <w:sz w:val="24"/>
        </w:rPr>
        <w:t>ме план за външни инвестиции</w:t>
      </w:r>
      <w:r>
        <w:rPr>
          <w:rStyle w:val="FootnoteReference"/>
          <w:rFonts w:ascii="Times New Roman" w:hAnsi="Times New Roman"/>
          <w:noProof/>
          <w:sz w:val="24"/>
        </w:rPr>
        <w:footnoteReference w:id="19"/>
      </w:r>
      <w:r>
        <w:rPr>
          <w:rFonts w:ascii="Times New Roman" w:hAnsi="Times New Roman"/>
          <w:noProof/>
          <w:sz w:val="24"/>
        </w:rPr>
        <w:t>, който ще подкрепя ново поколение инвестиции в съседните държави и на африканския континент, като сега ще пристъпим към бързото му изпълнение в подкрепа на устойчиви местни проекти.</w:t>
      </w:r>
    </w:p>
    <w:p w:rsidR="009F159D" w:rsidRDefault="009C4EA6">
      <w:pPr>
        <w:spacing w:after="240"/>
        <w:jc w:val="both"/>
        <w:rPr>
          <w:rFonts w:ascii="Times New Roman" w:hAnsi="Times New Roman" w:cs="Times New Roman"/>
          <w:noProof/>
          <w:sz w:val="24"/>
          <w:szCs w:val="24"/>
        </w:rPr>
      </w:pPr>
      <w:r>
        <w:rPr>
          <w:rFonts w:ascii="Times New Roman" w:hAnsi="Times New Roman"/>
          <w:noProof/>
          <w:sz w:val="24"/>
        </w:rPr>
        <w:t>Европа се нуждае от ефективни законни възмож</w:t>
      </w:r>
      <w:r>
        <w:rPr>
          <w:rFonts w:ascii="Times New Roman" w:hAnsi="Times New Roman"/>
          <w:noProof/>
          <w:sz w:val="24"/>
        </w:rPr>
        <w:t>ности за миграция като алтернатива за хората, които рискуват живота си и стават жертва на мрежите за контрабанда. По-бързото презаселване ще даде надежден европейски отговор на тези, които се нуждаят от защита. Като континент със застаряващо население Евро</w:t>
      </w:r>
      <w:r>
        <w:rPr>
          <w:rFonts w:ascii="Times New Roman" w:hAnsi="Times New Roman"/>
          <w:noProof/>
          <w:sz w:val="24"/>
        </w:rPr>
        <w:t xml:space="preserve">па се нуждае и от законна миграция, за да преодолее недостига на умения и демографските предизвикателства. Това е област, в която ЕС, действащ съвместно, е по-силен от отделните държави членки, действащи самостоятелно. Следва бързо да се постигне съгласие </w:t>
      </w:r>
      <w:r>
        <w:rPr>
          <w:rFonts w:ascii="Times New Roman" w:hAnsi="Times New Roman"/>
          <w:noProof/>
          <w:sz w:val="24"/>
        </w:rPr>
        <w:t>по предложението относно условията за влизане и пребиваване на граждани на трети държави за целите на трудова заетост, изискваща висока степен на умения (предложението за „синя карта“</w:t>
      </w:r>
      <w:r>
        <w:rPr>
          <w:rStyle w:val="FootnoteReference"/>
          <w:rFonts w:ascii="Times New Roman" w:hAnsi="Times New Roman"/>
          <w:noProof/>
          <w:sz w:val="24"/>
        </w:rPr>
        <w:footnoteReference w:id="20"/>
      </w:r>
      <w:r>
        <w:rPr>
          <w:rFonts w:ascii="Times New Roman" w:hAnsi="Times New Roman"/>
          <w:noProof/>
          <w:sz w:val="24"/>
        </w:rPr>
        <w:t>). Освен това през 2018 г. Комисията ще представи необходимите предложен</w:t>
      </w:r>
      <w:r>
        <w:rPr>
          <w:rFonts w:ascii="Times New Roman" w:hAnsi="Times New Roman"/>
          <w:noProof/>
          <w:sz w:val="24"/>
        </w:rPr>
        <w:t>ия за преразглеждане на Визовия кодекс и актуализиране на Визовата информационна система и във връзка с това ще оттегли предложенията си за Визов кодекс и за създаване на виза за обиколно пътуване</w:t>
      </w:r>
      <w:r>
        <w:rPr>
          <w:rStyle w:val="FootnoteReference"/>
          <w:rFonts w:ascii="Times New Roman" w:hAnsi="Times New Roman"/>
          <w:noProof/>
          <w:sz w:val="24"/>
        </w:rPr>
        <w:footnoteReference w:id="21"/>
      </w:r>
      <w:r>
        <w:rPr>
          <w:rFonts w:ascii="Times New Roman" w:hAnsi="Times New Roman"/>
          <w:noProof/>
          <w:sz w:val="24"/>
        </w:rPr>
        <w:t>.</w:t>
      </w:r>
    </w:p>
    <w:p w:rsidR="009F159D" w:rsidRDefault="009C4EA6">
      <w:pPr>
        <w:spacing w:after="240"/>
        <w:jc w:val="both"/>
        <w:rPr>
          <w:rFonts w:ascii="Times New Roman" w:hAnsi="Times New Roman" w:cs="Times New Roman"/>
          <w:i/>
          <w:noProof/>
          <w:sz w:val="24"/>
          <w:szCs w:val="24"/>
        </w:rPr>
      </w:pPr>
      <w:r>
        <w:rPr>
          <w:rFonts w:ascii="Times New Roman" w:hAnsi="Times New Roman"/>
          <w:i/>
          <w:noProof/>
          <w:sz w:val="24"/>
        </w:rPr>
        <w:t>По-силен участник на световната сцена</w:t>
      </w:r>
    </w:p>
    <w:p w:rsidR="009F159D" w:rsidRDefault="009C4EA6">
      <w:pPr>
        <w:jc w:val="both"/>
        <w:rPr>
          <w:rFonts w:ascii="Times New Roman" w:hAnsi="Times New Roman" w:cs="Times New Roman"/>
          <w:noProof/>
          <w:sz w:val="24"/>
          <w:szCs w:val="24"/>
        </w:rPr>
      </w:pPr>
      <w:r>
        <w:rPr>
          <w:rFonts w:ascii="Times New Roman" w:hAnsi="Times New Roman"/>
          <w:noProof/>
          <w:sz w:val="24"/>
        </w:rPr>
        <w:t>Европа продължава д</w:t>
      </w:r>
      <w:r>
        <w:rPr>
          <w:rFonts w:ascii="Times New Roman" w:hAnsi="Times New Roman"/>
          <w:noProof/>
          <w:sz w:val="24"/>
        </w:rPr>
        <w:t xml:space="preserve">а бъде истински символ на мир и стабилност, но не трябва да приемаме собствената си сигурност за даденост. Трябва по-тясно да си сътрудничим в областта на отбраната, като мобилизираме всички средства на наше разположение, включително бюджета на ЕС. Налице </w:t>
      </w:r>
      <w:r>
        <w:rPr>
          <w:rFonts w:ascii="Times New Roman" w:hAnsi="Times New Roman"/>
          <w:noProof/>
          <w:sz w:val="24"/>
        </w:rPr>
        <w:t>са сериозни икономически и свързани със сигурността аргументи за необходимостта европейската отбранителна промишленост да е по-иновативна и да работи в дух на по-голямо сътрудничество. В тази връзка Европейският фонд за отбрана трябва да играе основна роля</w:t>
      </w:r>
      <w:r>
        <w:rPr>
          <w:rFonts w:ascii="Times New Roman" w:hAnsi="Times New Roman"/>
          <w:noProof/>
          <w:sz w:val="24"/>
        </w:rPr>
        <w:t>. Комисията ще отдаде приоритет на бързото разгръщане на Фонда, както и на предложението за програма за промишлено развитие в областта на отбраната</w:t>
      </w:r>
      <w:r>
        <w:rPr>
          <w:rStyle w:val="FootnoteReference"/>
          <w:rFonts w:ascii="Times New Roman" w:hAnsi="Times New Roman"/>
          <w:noProof/>
          <w:sz w:val="24"/>
        </w:rPr>
        <w:footnoteReference w:id="22"/>
      </w:r>
      <w:r>
        <w:rPr>
          <w:rFonts w:ascii="Times New Roman" w:hAnsi="Times New Roman"/>
          <w:noProof/>
          <w:sz w:val="24"/>
        </w:rPr>
        <w:t>.</w:t>
      </w:r>
    </w:p>
    <w:p w:rsidR="009F159D" w:rsidRDefault="009C4EA6">
      <w:pPr>
        <w:jc w:val="both"/>
        <w:rPr>
          <w:rFonts w:ascii="Times New Roman" w:hAnsi="Times New Roman" w:cs="Times New Roman"/>
          <w:noProof/>
          <w:spacing w:val="-6"/>
          <w:sz w:val="24"/>
          <w:szCs w:val="24"/>
        </w:rPr>
      </w:pPr>
      <w:r>
        <w:rPr>
          <w:rFonts w:ascii="Times New Roman" w:hAnsi="Times New Roman"/>
          <w:noProof/>
          <w:spacing w:val="-6"/>
          <w:sz w:val="24"/>
        </w:rPr>
        <w:t>Ще продължим и ще укрепим своите отношения с ключови партньори като Индия и Латинска Америка. За да се зас</w:t>
      </w:r>
      <w:r>
        <w:rPr>
          <w:rFonts w:ascii="Times New Roman" w:hAnsi="Times New Roman"/>
          <w:noProof/>
          <w:spacing w:val="-6"/>
          <w:sz w:val="24"/>
        </w:rPr>
        <w:t>илят връзките с Азия във всички области, ще предложим стратегия за по-голяма свързаност между нашите два континента. Дългогодишното ни партньорство със страните от Африка, Карибите и Тихоокеанския басейн е от голямо значение. Ще работим за подновяване на т</w:t>
      </w:r>
      <w:r>
        <w:rPr>
          <w:rFonts w:ascii="Times New Roman" w:hAnsi="Times New Roman"/>
          <w:noProof/>
          <w:spacing w:val="-6"/>
          <w:sz w:val="24"/>
        </w:rPr>
        <w:t>ова партньорство през 2020 г., за да може то да бъде адаптирано към бързо променящата се световна обстановка и да се превърне в стабилен и модерен политически съюз. Ще работим заедно за отстояване на нашите общи интереси и за укрепване на основания на прав</w:t>
      </w:r>
      <w:r>
        <w:rPr>
          <w:rFonts w:ascii="Times New Roman" w:hAnsi="Times New Roman"/>
          <w:noProof/>
          <w:spacing w:val="-6"/>
          <w:sz w:val="24"/>
        </w:rPr>
        <w:t>ила световен ред. Историческото споразумение с Иран относно ядрената му програма проправи пътя за подновяване на по-широките отношения между ЕС и Иран. Ще продължим да развиваме и отношенията си с Ирак.</w:t>
      </w:r>
    </w:p>
    <w:p w:rsidR="009F159D" w:rsidRDefault="009C4EA6">
      <w:pPr>
        <w:spacing w:after="240"/>
        <w:jc w:val="both"/>
        <w:rPr>
          <w:rFonts w:ascii="Times New Roman" w:hAnsi="Times New Roman" w:cs="Times New Roman"/>
          <w:i/>
          <w:noProof/>
          <w:sz w:val="24"/>
          <w:szCs w:val="24"/>
        </w:rPr>
      </w:pPr>
      <w:r>
        <w:rPr>
          <w:rFonts w:ascii="Times New Roman" w:hAnsi="Times New Roman"/>
          <w:i/>
          <w:noProof/>
          <w:sz w:val="24"/>
        </w:rPr>
        <w:t>Съюз на демократичната промяна</w:t>
      </w:r>
    </w:p>
    <w:p w:rsidR="009F159D" w:rsidRDefault="009C4EA6">
      <w:pPr>
        <w:jc w:val="both"/>
        <w:rPr>
          <w:rFonts w:ascii="Times New Roman" w:hAnsi="Times New Roman" w:cs="Times New Roman"/>
          <w:noProof/>
          <w:sz w:val="24"/>
          <w:szCs w:val="24"/>
        </w:rPr>
      </w:pPr>
      <w:r>
        <w:rPr>
          <w:rFonts w:ascii="Times New Roman" w:hAnsi="Times New Roman"/>
          <w:noProof/>
          <w:sz w:val="24"/>
        </w:rPr>
        <w:t>Изграждането на Съюз н</w:t>
      </w:r>
      <w:r>
        <w:rPr>
          <w:rFonts w:ascii="Times New Roman" w:hAnsi="Times New Roman"/>
          <w:noProof/>
          <w:sz w:val="24"/>
        </w:rPr>
        <w:t>а демократичната промяна е основен ангажимент на настоящата Комисия. Комисията увеличи значително своите усилия за достигане до гражданите чрез провеждането на 312 граждански диалога, чрез по-обширно допитване до всички заинтересовани страни като част от н</w:t>
      </w:r>
      <w:r>
        <w:rPr>
          <w:rFonts w:ascii="Times New Roman" w:hAnsi="Times New Roman"/>
          <w:noProof/>
          <w:sz w:val="24"/>
        </w:rPr>
        <w:t>ашата програма за по-добро регулиране и като предложи преразглеждане на Европейската гражданска инициатива</w:t>
      </w:r>
      <w:r>
        <w:rPr>
          <w:rStyle w:val="FootnoteReference"/>
          <w:rFonts w:ascii="Times New Roman" w:hAnsi="Times New Roman"/>
          <w:noProof/>
          <w:sz w:val="24"/>
        </w:rPr>
        <w:footnoteReference w:id="23"/>
      </w:r>
      <w:r>
        <w:rPr>
          <w:rFonts w:ascii="Times New Roman" w:hAnsi="Times New Roman"/>
          <w:noProof/>
          <w:sz w:val="24"/>
        </w:rPr>
        <w:t>, за да я направи по-достъпна и по-лесна. Преди по-малко от година създадохме Европейския корпус за солидарност</w:t>
      </w:r>
      <w:r>
        <w:rPr>
          <w:rStyle w:val="FootnoteReference"/>
          <w:rFonts w:ascii="Times New Roman" w:hAnsi="Times New Roman"/>
          <w:noProof/>
          <w:sz w:val="24"/>
        </w:rPr>
        <w:footnoteReference w:id="24"/>
      </w:r>
      <w:r>
        <w:rPr>
          <w:rFonts w:ascii="Times New Roman" w:hAnsi="Times New Roman"/>
          <w:noProof/>
          <w:sz w:val="24"/>
        </w:rPr>
        <w:t xml:space="preserve"> и днес той вече предлага нови възможности в целия Европейски съюз на хиляди млади хора. С негова помощ нашите младежи участват в обществото и развиват своите знания и умения в началото на кариерата си. Сега е необходима твърда законова основа до края на г</w:t>
      </w:r>
      <w:r>
        <w:rPr>
          <w:rFonts w:ascii="Times New Roman" w:hAnsi="Times New Roman"/>
          <w:noProof/>
          <w:sz w:val="24"/>
        </w:rPr>
        <w:t>одината.</w:t>
      </w:r>
    </w:p>
    <w:p w:rsidR="009F159D" w:rsidRDefault="009C4EA6">
      <w:pPr>
        <w:spacing w:after="720"/>
        <w:jc w:val="both"/>
        <w:rPr>
          <w:rFonts w:ascii="Times New Roman" w:hAnsi="Times New Roman" w:cs="Times New Roman"/>
          <w:noProof/>
          <w:spacing w:val="-4"/>
          <w:sz w:val="24"/>
          <w:szCs w:val="24"/>
        </w:rPr>
      </w:pPr>
      <w:r>
        <w:rPr>
          <w:rFonts w:ascii="Times New Roman" w:hAnsi="Times New Roman"/>
          <w:noProof/>
          <w:spacing w:val="-4"/>
          <w:sz w:val="24"/>
        </w:rPr>
        <w:t>Прозрачността и отчетността също са от ключово значение за демократичната легитимност. Комисията дава личен пример в отношенията си с представителите на интереси и насърчава Европейския парламент и Съвета бързо да постигнат съгласие по Междуинстит</w:t>
      </w:r>
      <w:r>
        <w:rPr>
          <w:rFonts w:ascii="Times New Roman" w:hAnsi="Times New Roman"/>
          <w:noProof/>
          <w:spacing w:val="-4"/>
          <w:sz w:val="24"/>
        </w:rPr>
        <w:t>уционалното споразумение за задължителен регистър за прозрачност</w:t>
      </w:r>
      <w:r>
        <w:rPr>
          <w:rStyle w:val="FootnoteReference"/>
          <w:rFonts w:ascii="Times New Roman" w:hAnsi="Times New Roman"/>
          <w:noProof/>
          <w:spacing w:val="-4"/>
          <w:sz w:val="24"/>
        </w:rPr>
        <w:footnoteReference w:id="25"/>
      </w:r>
      <w:r>
        <w:rPr>
          <w:rFonts w:ascii="Times New Roman" w:hAnsi="Times New Roman"/>
          <w:noProof/>
          <w:spacing w:val="-4"/>
          <w:sz w:val="24"/>
        </w:rPr>
        <w:t xml:space="preserve"> и за трите институции. Ще работим конструктивно с Европейския парламент и със Съвета за постигането на съгласие по предложените изменения на Регламента за комитологията</w:t>
      </w:r>
      <w:r>
        <w:rPr>
          <w:rStyle w:val="FootnoteReference"/>
          <w:rFonts w:ascii="Times New Roman" w:hAnsi="Times New Roman"/>
          <w:noProof/>
          <w:spacing w:val="-4"/>
          <w:sz w:val="24"/>
        </w:rPr>
        <w:footnoteReference w:id="26"/>
      </w:r>
      <w:r>
        <w:rPr>
          <w:rFonts w:ascii="Times New Roman" w:hAnsi="Times New Roman"/>
          <w:noProof/>
          <w:spacing w:val="-4"/>
          <w:sz w:val="24"/>
        </w:rPr>
        <w:t xml:space="preserve"> и относно статута и </w:t>
      </w:r>
      <w:r>
        <w:rPr>
          <w:rFonts w:ascii="Times New Roman" w:hAnsi="Times New Roman"/>
          <w:noProof/>
          <w:spacing w:val="-4"/>
          <w:sz w:val="24"/>
        </w:rPr>
        <w:t>финансирането на европейските политически партии и фондации</w:t>
      </w:r>
      <w:r>
        <w:rPr>
          <w:rStyle w:val="FootnoteReference"/>
          <w:rFonts w:ascii="Times New Roman" w:hAnsi="Times New Roman"/>
          <w:noProof/>
          <w:spacing w:val="-4"/>
          <w:sz w:val="24"/>
        </w:rPr>
        <w:footnoteReference w:id="27"/>
      </w:r>
      <w:r>
        <w:rPr>
          <w:rFonts w:ascii="Times New Roman" w:hAnsi="Times New Roman"/>
          <w:noProof/>
          <w:spacing w:val="-4"/>
          <w:sz w:val="24"/>
        </w:rPr>
        <w:t>.</w:t>
      </w:r>
    </w:p>
    <w:p w:rsidR="009F159D" w:rsidRDefault="009C4EA6">
      <w:pPr>
        <w:tabs>
          <w:tab w:val="left" w:pos="284"/>
        </w:tabs>
        <w:spacing w:after="240"/>
        <w:jc w:val="both"/>
        <w:rPr>
          <w:rFonts w:ascii="Times New Roman" w:hAnsi="Times New Roman" w:cs="Times New Roman"/>
          <w:b/>
          <w:smallCaps/>
          <w:noProof/>
          <w:spacing w:val="-6"/>
          <w:sz w:val="24"/>
          <w:szCs w:val="24"/>
        </w:rPr>
      </w:pPr>
      <w:r>
        <w:rPr>
          <w:rFonts w:ascii="Times New Roman" w:hAnsi="Times New Roman"/>
          <w:b/>
          <w:smallCaps/>
          <w:noProof/>
          <w:spacing w:val="-6"/>
          <w:sz w:val="24"/>
        </w:rPr>
        <w:t>III.</w:t>
      </w:r>
      <w:r>
        <w:rPr>
          <w:noProof/>
          <w:spacing w:val="-6"/>
        </w:rPr>
        <w:tab/>
      </w:r>
      <w:r>
        <w:rPr>
          <w:rFonts w:ascii="Times New Roman" w:hAnsi="Times New Roman"/>
          <w:b/>
          <w:smallCaps/>
          <w:noProof/>
          <w:spacing w:val="-6"/>
          <w:sz w:val="24"/>
        </w:rPr>
        <w:t>Постигане до 2025 г. на по-обединен, по-силен и по-демократичен Съюз</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Заедно с изпълнението на програмата ни в краткосрочен план трябва да подготвим и бъдещето на Съюза. В настоящата работна</w:t>
      </w:r>
      <w:r>
        <w:rPr>
          <w:rFonts w:ascii="Times New Roman" w:hAnsi="Times New Roman"/>
          <w:noProof/>
          <w:sz w:val="24"/>
        </w:rPr>
        <w:t xml:space="preserve"> програма се посочват съвместните ни действия през следващите четиринадесет месеца, но се предлагат и редица инициативи в по-дългосрочен план — до 2025 г. и след това. </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На 30 март 2019 г. ще бъде дадено началото на една нова Европа с 27 държави членки. Има</w:t>
      </w:r>
      <w:r>
        <w:rPr>
          <w:rFonts w:ascii="Times New Roman" w:hAnsi="Times New Roman"/>
          <w:noProof/>
          <w:sz w:val="24"/>
        </w:rPr>
        <w:t>ме възможност да зададем формата на тази нова Европа. Само няколко седмици по-късно, през юни 2019 г., ще се проведат избори за Европейски парламент. Работата ни дотогава трябва да гарантира, че когато европейците подават своя глас, тази нова Европа дава о</w:t>
      </w:r>
      <w:r>
        <w:rPr>
          <w:rFonts w:ascii="Times New Roman" w:hAnsi="Times New Roman"/>
          <w:noProof/>
          <w:sz w:val="24"/>
        </w:rPr>
        <w:t>тговор на техните очаквания и на въпросите, които най-много ги вълнуват. Това е целта, определена от Комисията в Пътната карта за по-обединен, по-силен и по-демократичен Съюз</w:t>
      </w:r>
      <w:r>
        <w:rPr>
          <w:rStyle w:val="FootnoteReference"/>
          <w:rFonts w:ascii="Times New Roman" w:hAnsi="Times New Roman"/>
          <w:noProof/>
          <w:sz w:val="24"/>
        </w:rPr>
        <w:footnoteReference w:id="28"/>
      </w:r>
      <w:r>
        <w:rPr>
          <w:rFonts w:ascii="Times New Roman" w:hAnsi="Times New Roman"/>
          <w:noProof/>
          <w:sz w:val="24"/>
        </w:rPr>
        <w:t xml:space="preserve"> и вече отразена в програмата, съгласувана от лидерите по време на срещата на Евр</w:t>
      </w:r>
      <w:r>
        <w:rPr>
          <w:rFonts w:ascii="Times New Roman" w:hAnsi="Times New Roman"/>
          <w:noProof/>
          <w:sz w:val="24"/>
        </w:rPr>
        <w:t xml:space="preserve">опейския съвет на 19 октомври, която се очаква да доведе до конкретни резултати на специална среща на върха в Сибиу, Румъния на 9 май 2019 г. В рамките на настоящата работна програма изпълняваме политическия принос на Комисията към тази пътна карта. Нужно </w:t>
      </w:r>
      <w:r>
        <w:rPr>
          <w:rFonts w:ascii="Times New Roman" w:hAnsi="Times New Roman"/>
          <w:noProof/>
          <w:sz w:val="24"/>
        </w:rPr>
        <w:t>е да се действа сега и ето защо тези дългосрочни инициативи ще бъдат представени в рамките на настоящия мандат, като се оползотвори неизползваният потенциал на действащите Договори, позволяващ ни да отбележим амбициозен и бърз напредък.</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Заедно с Европейски</w:t>
      </w:r>
      <w:r>
        <w:rPr>
          <w:rFonts w:ascii="Times New Roman" w:hAnsi="Times New Roman"/>
          <w:noProof/>
          <w:sz w:val="24"/>
        </w:rPr>
        <w:t xml:space="preserve">я парламент, Съвета и националните парламенти ще обсъдим и ще доразвием тази пътна карта и ще работим съвместно по тези инициативи. В рамките на този процес ще продължим да доразвиваме демократичния и приобщаващ дебат, стартиран с Бялата книга за бъдещето </w:t>
      </w:r>
      <w:r>
        <w:rPr>
          <w:rFonts w:ascii="Times New Roman" w:hAnsi="Times New Roman"/>
          <w:noProof/>
          <w:sz w:val="24"/>
        </w:rPr>
        <w:t>на Европа</w:t>
      </w:r>
      <w:r>
        <w:rPr>
          <w:rStyle w:val="FootnoteReference"/>
          <w:rFonts w:ascii="Times New Roman" w:hAnsi="Times New Roman"/>
          <w:noProof/>
          <w:sz w:val="24"/>
        </w:rPr>
        <w:footnoteReference w:id="29"/>
      </w:r>
      <w:r>
        <w:rPr>
          <w:rFonts w:ascii="Times New Roman" w:hAnsi="Times New Roman"/>
          <w:noProof/>
          <w:sz w:val="24"/>
        </w:rPr>
        <w:t xml:space="preserve"> и последвалите документи за размисъл в ключови области, които излагат различни варианти за действие</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Всеки гражданин има възможност да даде своя принос за бъдещето на Европа и пряко да изрази мнението си как да вървим заедно напред.</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По-обединен</w:t>
      </w:r>
      <w:r>
        <w:rPr>
          <w:rFonts w:ascii="Times New Roman" w:hAnsi="Times New Roman"/>
          <w:i/>
          <w:noProof/>
          <w:sz w:val="24"/>
        </w:rPr>
        <w:t xml:space="preserve"> Съюз</w:t>
      </w:r>
    </w:p>
    <w:p w:rsidR="009F159D" w:rsidRDefault="009C4EA6">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 xml:space="preserve">В рамките на настоящия мандат на Комисията ще предприемем всички необходими стъпки за присъединяването на България и Румъния към Шенгенското пространство на свободно движение, за да се разкрият пред тях същите възможности, от които се ползват други. </w:t>
      </w:r>
      <w:r>
        <w:rPr>
          <w:rFonts w:ascii="Times New Roman" w:hAnsi="Times New Roman"/>
          <w:noProof/>
          <w:spacing w:val="-4"/>
          <w:sz w:val="24"/>
        </w:rPr>
        <w:t xml:space="preserve">Освен това трябва да позволим на Хърватия да стане пълноправен член на Шенгенското пространство, след като изпълни всички критерии. В същия ред на мисли еврото е замислено като единна валута на Европейския съюз в неговата цялост. То трябва да обединява, а </w:t>
      </w:r>
      <w:r>
        <w:rPr>
          <w:rFonts w:ascii="Times New Roman" w:hAnsi="Times New Roman"/>
          <w:noProof/>
          <w:spacing w:val="-4"/>
          <w:sz w:val="24"/>
        </w:rPr>
        <w:t xml:space="preserve">не да разделя нашия континент. Трябва да е нещо повече от валутната единица на избрана група държави. Държавите членки, които желаят да се присъединят към еврозоната, трябва да могат да го направят, и ето защо ще предложим нов инструмент за присъединяване </w:t>
      </w:r>
      <w:r>
        <w:rPr>
          <w:rFonts w:ascii="Times New Roman" w:hAnsi="Times New Roman"/>
          <w:noProof/>
          <w:spacing w:val="-4"/>
          <w:sz w:val="24"/>
        </w:rPr>
        <w:t xml:space="preserve">към еврото, който ще предоставя техническа и финансова помощ. </w:t>
      </w:r>
    </w:p>
    <w:p w:rsidR="009F159D" w:rsidRDefault="009C4EA6">
      <w:pPr>
        <w:tabs>
          <w:tab w:val="left" w:pos="284"/>
        </w:tabs>
        <w:spacing w:after="240"/>
        <w:jc w:val="both"/>
        <w:rPr>
          <w:rFonts w:ascii="Times New Roman" w:hAnsi="Times New Roman" w:cs="Times New Roman"/>
          <w:i/>
          <w:noProof/>
          <w:sz w:val="24"/>
          <w:szCs w:val="24"/>
        </w:rPr>
      </w:pPr>
      <w:r>
        <w:rPr>
          <w:rFonts w:ascii="Times New Roman" w:hAnsi="Times New Roman"/>
          <w:noProof/>
          <w:sz w:val="24"/>
        </w:rPr>
        <w:t>Макар и да е ясно, че през настоящия мандат на Комисията и Европейския парламент няма да има по-нататъшно разширяване на ЕС, тъй като кандидатите все още не са готови, трябва да гарантираме над</w:t>
      </w:r>
      <w:r>
        <w:rPr>
          <w:rFonts w:ascii="Times New Roman" w:hAnsi="Times New Roman"/>
          <w:noProof/>
          <w:sz w:val="24"/>
        </w:rPr>
        <w:t>еждна европейска перспектива за всички страни от Западните Балкани. Перспективата за членство в ЕС е истински двигател за реформите и стабилността в региона. Във връзка с това Комисията ще представи стратегия за присъединяването към ЕС на Сърбия и Черна го</w:t>
      </w:r>
      <w:r>
        <w:rPr>
          <w:rFonts w:ascii="Times New Roman" w:hAnsi="Times New Roman"/>
          <w:noProof/>
          <w:sz w:val="24"/>
        </w:rPr>
        <w:t>ра като най-добре подготвените кандидати от Западните Балкани.</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По-силен съюз</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За да бъде по-силен, Съюзът трябва да разполага с достатъчно финансови средства, за да продължи да работи по изпълнението на своите политики. През последните години Съюзът се </w:t>
      </w:r>
      <w:r>
        <w:rPr>
          <w:rFonts w:ascii="Times New Roman" w:hAnsi="Times New Roman"/>
          <w:noProof/>
          <w:sz w:val="24"/>
        </w:rPr>
        <w:t>промени съществено, така както и предизвикателствата, пред които той е изправен. Съюзът ни се нуждае от бюджет, който да ни помогне да осъществим нашите амбиции. Многогодишната финансова рамка за периода след 2020 г. трябва да отразява това. Отвъд непосред</w:t>
      </w:r>
      <w:r>
        <w:rPr>
          <w:rFonts w:ascii="Times New Roman" w:hAnsi="Times New Roman"/>
          <w:noProof/>
          <w:sz w:val="24"/>
        </w:rPr>
        <w:t xml:space="preserve">ственото предизвикателство на излизането на Обединеното кралство от ЕС, Съюзът трябва да е подготвен да се възползва от предимствата на новите и нововъзникващите технологии, да пристъпи към създаването на пълноценен съюз за отбрана и да продължи да работи </w:t>
      </w:r>
      <w:r>
        <w:rPr>
          <w:rFonts w:ascii="Times New Roman" w:hAnsi="Times New Roman"/>
          <w:noProof/>
          <w:sz w:val="24"/>
        </w:rPr>
        <w:t>по въпросите на сигурността и миграцията. През месец май догодина, след провеждането на дебати за политическата посока в рамките на колегиума (януари 2018 г.) и между лидерите на ЕС (февруари 2018 г.), ще представим всеобхватно предложение за следващия мно</w:t>
      </w:r>
      <w:r>
        <w:rPr>
          <w:rFonts w:ascii="Times New Roman" w:hAnsi="Times New Roman"/>
          <w:noProof/>
          <w:sz w:val="24"/>
        </w:rPr>
        <w:t>гогодишен бюджет на ЕС, включително относно собствените ресурси, като бъдат взети предвид препоръките от доклада на Монти. Целта ни е да завършим преговорите по новата многогодишна финансова рамка по време на мандата на тази Комисия. Новият бюджет ще ни по</w:t>
      </w:r>
      <w:r>
        <w:rPr>
          <w:rFonts w:ascii="Times New Roman" w:hAnsi="Times New Roman"/>
          <w:noProof/>
          <w:sz w:val="24"/>
        </w:rPr>
        <w:t>зволи да посрещнем очакванията на гражданите за Съюз, който дава конкретни отговори на въпросите, които са най-важни и допринасят за дългосрочната устойчивост на ЕС.</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За да бъде по-силна, Европа трябва да е и по-ефективна. Съюзът трябва да е в състояние да </w:t>
      </w:r>
      <w:r>
        <w:rPr>
          <w:rFonts w:ascii="Times New Roman" w:hAnsi="Times New Roman"/>
          <w:noProof/>
          <w:sz w:val="24"/>
        </w:rPr>
        <w:t>действа по-бързо и решително в редица области на политиката, така че гражданите и предприятията да извличат по-големи ползи от правото на ЕС. Ето защо Комисията ще очертае начините за използване на клаузите за преход в действащите Договори, които дават въз</w:t>
      </w:r>
      <w:r>
        <w:rPr>
          <w:rFonts w:ascii="Times New Roman" w:hAnsi="Times New Roman"/>
          <w:noProof/>
          <w:sz w:val="24"/>
        </w:rPr>
        <w:t>можност да се премине от единодушно гласуване към гласуване с квалифицирано мнозинство в някои области, ако всички държавни и правителствени ръководители са съгласни за това. Ще разгледаме тази възможност за въпросите, свързани с вътрешния пазар, както и з</w:t>
      </w:r>
      <w:r>
        <w:rPr>
          <w:rFonts w:ascii="Times New Roman" w:hAnsi="Times New Roman"/>
          <w:noProof/>
          <w:sz w:val="24"/>
        </w:rPr>
        <w:t>а някои решения в областта на външната политика, за да се гарантира, че Съюзът е силен глобален участник с реално влияние в света, като същевременно се обърне специално внимание на съгласуваността и ефективността на тези решения.</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И накрая, една по-силна Ев</w:t>
      </w:r>
      <w:r>
        <w:rPr>
          <w:rFonts w:ascii="Times New Roman" w:hAnsi="Times New Roman"/>
          <w:noProof/>
          <w:sz w:val="24"/>
        </w:rPr>
        <w:t>ропа трябва да защитава своите граждани и да гарантира, че терористите се изправят пред съд. Ето защо, преди специално посветената на сигурността среща на лидерите във Виена през септември 2018 г., ще предложим сред задачите на новата Европейска прокуратур</w:t>
      </w:r>
      <w:r>
        <w:rPr>
          <w:rFonts w:ascii="Times New Roman" w:hAnsi="Times New Roman"/>
          <w:noProof/>
          <w:sz w:val="24"/>
        </w:rPr>
        <w:t>а да се включи борбата с тероризма.</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По-демократичен Съюз</w:t>
      </w:r>
    </w:p>
    <w:p w:rsidR="009F159D" w:rsidRDefault="009C4EA6">
      <w:pPr>
        <w:tabs>
          <w:tab w:val="left" w:pos="284"/>
        </w:tabs>
        <w:spacing w:after="240"/>
        <w:jc w:val="both"/>
        <w:rPr>
          <w:rFonts w:ascii="Times New Roman" w:hAnsi="Times New Roman" w:cs="Times New Roman"/>
          <w:noProof/>
          <w:spacing w:val="-2"/>
          <w:sz w:val="24"/>
          <w:szCs w:val="24"/>
        </w:rPr>
      </w:pPr>
      <w:r>
        <w:rPr>
          <w:rFonts w:ascii="Times New Roman" w:hAnsi="Times New Roman"/>
          <w:noProof/>
          <w:spacing w:val="-2"/>
          <w:sz w:val="24"/>
        </w:rPr>
        <w:t>Трябва значително да укрепим демократичната основа, за да отговорим на опасенията и очакванията на нашите граждани. Като първа стъпка, трябва да гарантираме, че изборите за Европейски парламент са не</w:t>
      </w:r>
      <w:r>
        <w:rPr>
          <w:rFonts w:ascii="Times New Roman" w:hAnsi="Times New Roman"/>
          <w:noProof/>
          <w:spacing w:val="-2"/>
          <w:sz w:val="24"/>
        </w:rPr>
        <w:t>що повече от сбор от национални кампании и избори в отделните държави членки. Посоченото по-горе предложение на Комисията да се даде възможност на европейските политически партии да станат по-ефективни е важна стъпка в тази посока и е отражение на нововъве</w:t>
      </w:r>
      <w:r>
        <w:rPr>
          <w:rFonts w:ascii="Times New Roman" w:hAnsi="Times New Roman"/>
          <w:noProof/>
          <w:spacing w:val="-2"/>
          <w:sz w:val="24"/>
        </w:rPr>
        <w:t>дението за водещ кандидат (Spitzenkandidaten), което доведе до сегашната Комисия и нейното ръководство. В средносрочен план трябва да продължим да обмисляме идеята за транснационални листи като начин за превръщане на европейските избори в още по-европейски</w:t>
      </w:r>
      <w:r>
        <w:rPr>
          <w:rFonts w:ascii="Times New Roman" w:hAnsi="Times New Roman"/>
          <w:noProof/>
          <w:spacing w:val="-2"/>
          <w:sz w:val="24"/>
        </w:rPr>
        <w:t xml:space="preserve"> и по-демократични. По подобен начин, когато размишляваме върху институционалните реформи, които могат да направят Съюза по-демократичен и по-ефективен, трябва да продължим да обмисляме идеята за един председател на Европейския съвет и на Комисията. Европе</w:t>
      </w:r>
      <w:r>
        <w:rPr>
          <w:rFonts w:ascii="Times New Roman" w:hAnsi="Times New Roman"/>
          <w:noProof/>
          <w:spacing w:val="-2"/>
          <w:sz w:val="24"/>
        </w:rPr>
        <w:t>йският съюз е едновременно съюз на държави и съюз на граждани. Обединяването на поста на председател би отразило тази двойна легитимност на нашия Съюз.</w:t>
      </w:r>
    </w:p>
    <w:p w:rsidR="009F159D" w:rsidRDefault="009C4EA6">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Комисията също така ще представи вижданията си за евентуалното създаване на постоянен европейски министъ</w:t>
      </w:r>
      <w:r>
        <w:rPr>
          <w:rFonts w:ascii="Times New Roman" w:hAnsi="Times New Roman"/>
          <w:noProof/>
          <w:spacing w:val="-4"/>
          <w:sz w:val="24"/>
        </w:rPr>
        <w:t>р на икономиката и финансите. С тази длъжност разработването на политики ще стане по-ефективно, тъй като едно и също лице ще координира икономическата политика и ключови бюджетни инструменти на равнището на ЕС и на еврозоната, като ще се увеличи и демократ</w:t>
      </w:r>
      <w:r>
        <w:rPr>
          <w:rFonts w:ascii="Times New Roman" w:hAnsi="Times New Roman"/>
          <w:noProof/>
          <w:spacing w:val="-4"/>
          <w:sz w:val="24"/>
        </w:rPr>
        <w:t>ичната отчетност, ако тази длъжност се съчетае с поста на заместник-председател на Комисията. Същевременно ще представим проучвателна работа за евентуалното разработване на сигурен актив за еврозоната.</w:t>
      </w:r>
    </w:p>
    <w:p w:rsidR="009F159D" w:rsidRDefault="009C4EA6">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 xml:space="preserve">Съюз, който е съсредоточен в по-голяма степен върху </w:t>
      </w:r>
      <w:r>
        <w:rPr>
          <w:rFonts w:ascii="Times New Roman" w:hAnsi="Times New Roman"/>
          <w:noProof/>
          <w:spacing w:val="-4"/>
          <w:sz w:val="24"/>
        </w:rPr>
        <w:t>важните въпроси, следва да разполага с подходящите инструменти, за да действа демократично и ефективно, когато и където е необходимо. Въз основа на работата, вече осъществена от настоящата Комисия, трябва да продължим да действаме мащабно по важните въпрос</w:t>
      </w:r>
      <w:r>
        <w:rPr>
          <w:rFonts w:ascii="Times New Roman" w:hAnsi="Times New Roman"/>
          <w:noProof/>
          <w:spacing w:val="-4"/>
          <w:sz w:val="24"/>
        </w:rPr>
        <w:t>и. Това означава да не регламентираме всеки аспект от ежедневието на гражданите. Трябва сериозно да обмислим как да правим по-малко и същевременно да сме по-ефективни и да отстъпим компетентността на държавите членки, когато това е целесъобразно. Въз основ</w:t>
      </w:r>
      <w:r>
        <w:rPr>
          <w:rFonts w:ascii="Times New Roman" w:hAnsi="Times New Roman"/>
          <w:noProof/>
          <w:spacing w:val="-4"/>
          <w:sz w:val="24"/>
        </w:rPr>
        <w:t>а на работата на работната група, ръководена от първия заместник-председател Тимерманс и обявена в речта за състоянието на Съюза, Комисията ще представи своите идеи за по-нататъшното укрепване на субсидиарността, пропорционалността и по-доброто регулиране,</w:t>
      </w:r>
      <w:r>
        <w:rPr>
          <w:rFonts w:ascii="Times New Roman" w:hAnsi="Times New Roman"/>
          <w:noProof/>
          <w:spacing w:val="-4"/>
          <w:sz w:val="24"/>
        </w:rPr>
        <w:t xml:space="preserve"> за да се гарантира, че ЕС действа само тогава, когато има добавена стойност.</w:t>
      </w:r>
    </w:p>
    <w:p w:rsidR="009F159D" w:rsidRDefault="009C4EA6">
      <w:pPr>
        <w:spacing w:after="0"/>
        <w:jc w:val="both"/>
        <w:rPr>
          <w:rFonts w:ascii="Times New Roman" w:hAnsi="Times New Roman" w:cs="Times New Roman"/>
          <w:noProof/>
          <w:sz w:val="24"/>
          <w:szCs w:val="24"/>
        </w:rPr>
      </w:pPr>
      <w:r>
        <w:rPr>
          <w:rFonts w:ascii="Times New Roman" w:hAnsi="Times New Roman"/>
          <w:noProof/>
          <w:sz w:val="24"/>
        </w:rPr>
        <w:t>Бъдещето на Европа зависи от способността да се отстояват общите ценности, които ни свързват — демокрация, върховенство на закона и основни свободи. Върховенството на закона пред</w:t>
      </w:r>
      <w:r>
        <w:rPr>
          <w:rFonts w:ascii="Times New Roman" w:hAnsi="Times New Roman"/>
          <w:noProof/>
          <w:sz w:val="24"/>
        </w:rPr>
        <w:t>полага наличието на независима съдебна система, която не е под политически контрол и е предпоставка за изграждането на общество, в което възтържествуват мирът, свободата, толерантността, солидарността и справедливостта. То е от основно значение и за постиг</w:t>
      </w:r>
      <w:r>
        <w:rPr>
          <w:rFonts w:ascii="Times New Roman" w:hAnsi="Times New Roman"/>
          <w:noProof/>
          <w:sz w:val="24"/>
        </w:rPr>
        <w:t>ането на устойчив и справедлив растеж и за запазване на доверието в Европа. За тази цел ще представим инициатива за по-добро отстояване на върховенството на закона в Европейския съюз.</w:t>
      </w:r>
    </w:p>
    <w:p w:rsidR="009F159D" w:rsidRDefault="009C4EA6">
      <w:pPr>
        <w:keepNext/>
        <w:tabs>
          <w:tab w:val="left" w:pos="284"/>
        </w:tabs>
        <w:spacing w:before="720" w:after="240"/>
        <w:jc w:val="both"/>
        <w:rPr>
          <w:rFonts w:ascii="Times New Roman" w:hAnsi="Times New Roman" w:cs="Times New Roman"/>
          <w:b/>
          <w:smallCaps/>
          <w:noProof/>
          <w:sz w:val="24"/>
          <w:szCs w:val="24"/>
        </w:rPr>
      </w:pPr>
      <w:r>
        <w:rPr>
          <w:rFonts w:ascii="Times New Roman" w:hAnsi="Times New Roman"/>
          <w:b/>
          <w:smallCaps/>
          <w:noProof/>
          <w:sz w:val="24"/>
        </w:rPr>
        <w:t>IV.</w:t>
      </w:r>
      <w:r>
        <w:rPr>
          <w:noProof/>
        </w:rPr>
        <w:tab/>
      </w:r>
      <w:r>
        <w:rPr>
          <w:rFonts w:ascii="Times New Roman" w:hAnsi="Times New Roman"/>
          <w:b/>
          <w:smallCaps/>
          <w:noProof/>
          <w:sz w:val="24"/>
        </w:rPr>
        <w:t>По-добро представяне на място — по-добро регулиране, изпълнение и пр</w:t>
      </w:r>
      <w:r>
        <w:rPr>
          <w:rFonts w:ascii="Times New Roman" w:hAnsi="Times New Roman"/>
          <w:b/>
          <w:smallCaps/>
          <w:noProof/>
          <w:sz w:val="24"/>
        </w:rPr>
        <w:t>авоприлагане</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Днес, повече от всякога, са необходими добра подготовка, оценяване и разработване на политики въз основа на факти. Всяко решение, всяко предложение трябва да взема предвид всички налични факти и доказателства по структуриран и всеобхватен начи</w:t>
      </w:r>
      <w:r>
        <w:rPr>
          <w:rFonts w:ascii="Times New Roman" w:hAnsi="Times New Roman"/>
          <w:noProof/>
          <w:sz w:val="24"/>
        </w:rPr>
        <w:t>н. Залогът е твърде висок, а предизвикателствата — прекалено сложни, за да си позволим да следваме какъвто и да било друг подход. Ето защо програмата за по-добро регулиране е в основата на цялата дейност на Комисията и продължава да гарантира, че предложен</w:t>
      </w:r>
      <w:r>
        <w:rPr>
          <w:rFonts w:ascii="Times New Roman" w:hAnsi="Times New Roman"/>
          <w:noProof/>
          <w:sz w:val="24"/>
        </w:rPr>
        <w:t xml:space="preserve">ията ни се изготвят въз основа на най-добрата налична информация. През последната година значително увеличихме усилията си за активна работа с гражданското общество, за да се подобри както легитимността, така и качеството на нашата работа. Продължаваме да </w:t>
      </w:r>
      <w:r>
        <w:rPr>
          <w:rFonts w:ascii="Times New Roman" w:hAnsi="Times New Roman"/>
          <w:noProof/>
          <w:sz w:val="24"/>
        </w:rPr>
        <w:t>предприемаме действия само тогава, когато те са необходими и носят добавена стойност.</w:t>
      </w:r>
    </w:p>
    <w:p w:rsidR="009F159D" w:rsidRDefault="009C4EA6">
      <w:pPr>
        <w:jc w:val="both"/>
        <w:rPr>
          <w:rFonts w:ascii="Times New Roman" w:hAnsi="Times New Roman" w:cs="Times New Roman"/>
          <w:noProof/>
          <w:spacing w:val="-4"/>
          <w:sz w:val="24"/>
          <w:szCs w:val="24"/>
        </w:rPr>
      </w:pPr>
      <w:r>
        <w:rPr>
          <w:rFonts w:ascii="Times New Roman" w:hAnsi="Times New Roman"/>
          <w:noProof/>
          <w:spacing w:val="-4"/>
          <w:sz w:val="24"/>
        </w:rPr>
        <w:t xml:space="preserve">Но и най-добрите предложения няма да имат ефект, ако държавите членки не ги транспонират в националното законодателство и не ги прилагат правилно и ефективно на място. В </w:t>
      </w:r>
      <w:r>
        <w:rPr>
          <w:rFonts w:ascii="Times New Roman" w:hAnsi="Times New Roman"/>
          <w:noProof/>
          <w:spacing w:val="-4"/>
          <w:sz w:val="24"/>
        </w:rPr>
        <w:t>качеството си на пазител на Договорите Комисията има основна роля за това. В края на 2016 г. Комисията представи по-стратегически подход към политиката по отношение на нарушенията с цел да се гарантира по-добро спазване на правото на ЕС</w:t>
      </w:r>
      <w:r>
        <w:rPr>
          <w:rStyle w:val="FootnoteReference"/>
          <w:rFonts w:ascii="Times New Roman" w:hAnsi="Times New Roman"/>
          <w:noProof/>
          <w:spacing w:val="-4"/>
          <w:sz w:val="24"/>
        </w:rPr>
        <w:footnoteReference w:id="31"/>
      </w:r>
      <w:r>
        <w:rPr>
          <w:rFonts w:ascii="Times New Roman" w:hAnsi="Times New Roman"/>
          <w:noProof/>
          <w:spacing w:val="-4"/>
          <w:sz w:val="24"/>
        </w:rPr>
        <w:t xml:space="preserve">. Тази политика ни </w:t>
      </w:r>
      <w:r>
        <w:rPr>
          <w:rFonts w:ascii="Times New Roman" w:hAnsi="Times New Roman"/>
          <w:noProof/>
          <w:spacing w:val="-4"/>
          <w:sz w:val="24"/>
        </w:rPr>
        <w:t>позволява да се съсредоточим върху системните проблеми, където действията за правоприлагане могат да доведат до реална промяна, за да се гарантира по-бързо съобразяване със законодателството в областите от значение. Ефективното прилагане на действащото зак</w:t>
      </w:r>
      <w:r>
        <w:rPr>
          <w:rFonts w:ascii="Times New Roman" w:hAnsi="Times New Roman"/>
          <w:noProof/>
          <w:spacing w:val="-4"/>
          <w:sz w:val="24"/>
        </w:rPr>
        <w:t>онодателство на ЕС е също толкова важно, колкото и разработването на нови закони. Държавите членки трябва да изпълняват задължението си да спазват и прилагат правилата, които самите те са приели съвместно. Поели сме ангажимент за пълното прилагане на Между</w:t>
      </w:r>
      <w:r>
        <w:rPr>
          <w:rFonts w:ascii="Times New Roman" w:hAnsi="Times New Roman"/>
          <w:noProof/>
          <w:spacing w:val="-4"/>
          <w:sz w:val="24"/>
        </w:rPr>
        <w:t>институционалното споразумение за по-добро законотворчество</w:t>
      </w:r>
      <w:r>
        <w:rPr>
          <w:rStyle w:val="FootnoteReference"/>
          <w:rFonts w:ascii="Times New Roman" w:hAnsi="Times New Roman"/>
          <w:noProof/>
          <w:spacing w:val="-4"/>
          <w:sz w:val="24"/>
        </w:rPr>
        <w:footnoteReference w:id="32"/>
      </w:r>
      <w:r>
        <w:rPr>
          <w:rFonts w:ascii="Times New Roman" w:hAnsi="Times New Roman"/>
          <w:noProof/>
          <w:spacing w:val="-4"/>
          <w:sz w:val="24"/>
        </w:rPr>
        <w:t>, договорено с Европейския парламент и Съвета през миналата година.</w:t>
      </w:r>
    </w:p>
    <w:p w:rsidR="009F159D" w:rsidRDefault="009C4EA6">
      <w:pPr>
        <w:jc w:val="both"/>
        <w:rPr>
          <w:noProof/>
          <w:color w:val="1F497D"/>
          <w:u w:val="single"/>
        </w:rPr>
      </w:pPr>
      <w:r>
        <w:rPr>
          <w:rFonts w:ascii="Times New Roman" w:hAnsi="Times New Roman"/>
          <w:noProof/>
          <w:sz w:val="24"/>
        </w:rPr>
        <w:t>Като част от своята политика по отношение на нарушенията Комисията ще продължи да подкрепя и да работи в партньорство с държавит</w:t>
      </w:r>
      <w:r>
        <w:rPr>
          <w:rFonts w:ascii="Times New Roman" w:hAnsi="Times New Roman"/>
          <w:noProof/>
          <w:sz w:val="24"/>
        </w:rPr>
        <w:t xml:space="preserve">е членки, за да гарантира ефективно и последователно прилагане на правилата на ЕС. В рамките на Европейския семестър, а когато е необходимо — и чрез специално законодателство, Комисията ще продължи да окуражава процеса на модернизиране на правоприлагащите </w:t>
      </w:r>
      <w:r>
        <w:rPr>
          <w:rFonts w:ascii="Times New Roman" w:hAnsi="Times New Roman"/>
          <w:noProof/>
          <w:sz w:val="24"/>
        </w:rPr>
        <w:t>органи. Освен това, пак в рамките на Европейския семестър, тя ще продължи да подпомага държавите членки да увеличат ефективността на своите национални съдебни системи и да се борят с корупцията и ще подкрепя съдебните реформи и съдебното обучение със средс</w:t>
      </w:r>
      <w:r>
        <w:rPr>
          <w:rFonts w:ascii="Times New Roman" w:hAnsi="Times New Roman"/>
          <w:noProof/>
          <w:sz w:val="24"/>
        </w:rPr>
        <w:t>тва на ЕС, включително с информационното табло на ЕС в областта на правосъдието. Службата за подкрепа на структурните реформи ще продължи да предоставя индивидуализирано съдействие, за да помага на държавите членки при изграждането на по-ефективни институц</w:t>
      </w:r>
      <w:r>
        <w:rPr>
          <w:rFonts w:ascii="Times New Roman" w:hAnsi="Times New Roman"/>
          <w:noProof/>
          <w:sz w:val="24"/>
        </w:rPr>
        <w:t>ии, по-силни рамки за управление и ефикасни публични администрации, като същевременно тя ще разшири своята дейност, за да обхване по-голям кръг сектори и повече държави членки.</w:t>
      </w:r>
    </w:p>
    <w:p w:rsidR="009F159D" w:rsidRDefault="009C4EA6">
      <w:pPr>
        <w:jc w:val="both"/>
        <w:rPr>
          <w:rFonts w:ascii="Times New Roman" w:hAnsi="Times New Roman" w:cs="Times New Roman"/>
          <w:noProof/>
          <w:sz w:val="24"/>
          <w:szCs w:val="24"/>
        </w:rPr>
      </w:pPr>
      <w:r>
        <w:rPr>
          <w:rFonts w:ascii="Times New Roman" w:hAnsi="Times New Roman"/>
          <w:noProof/>
          <w:sz w:val="24"/>
        </w:rPr>
        <w:t>Комисията ще обърне специално внимание на независимите административни органи и</w:t>
      </w:r>
      <w:r>
        <w:rPr>
          <w:rFonts w:ascii="Times New Roman" w:hAnsi="Times New Roman"/>
          <w:noProof/>
          <w:sz w:val="24"/>
        </w:rPr>
        <w:t>ли инспекторати, за които съгласно законодателството на ЕС се изисква да бъдат достатъчно и подходящо обезпечени с ресурси и да разполагат с необходимата независимост, за да изпълняват възложените им задачи. Те включват националните органи по конкуренцията</w:t>
      </w:r>
      <w:r>
        <w:rPr>
          <w:rFonts w:ascii="Times New Roman" w:hAnsi="Times New Roman"/>
          <w:noProof/>
          <w:sz w:val="24"/>
        </w:rPr>
        <w:t xml:space="preserve">, националните регулаторни органи в областта на електронните съобщителни услуги и сектора на енергетиката, както и регулаторните органи за железопътния транспорт, националните органи за финансов надзор и националните органи за защита на данните. </w:t>
      </w:r>
    </w:p>
    <w:p w:rsidR="009F159D" w:rsidRDefault="009C4EA6">
      <w:pPr>
        <w:jc w:val="both"/>
        <w:rPr>
          <w:rFonts w:ascii="Times New Roman" w:hAnsi="Times New Roman" w:cs="Times New Roman"/>
          <w:noProof/>
          <w:sz w:val="24"/>
          <w:szCs w:val="24"/>
        </w:rPr>
      </w:pPr>
      <w:r>
        <w:rPr>
          <w:rFonts w:ascii="Times New Roman" w:hAnsi="Times New Roman"/>
          <w:noProof/>
          <w:sz w:val="24"/>
        </w:rPr>
        <w:t>Продължав</w:t>
      </w:r>
      <w:r>
        <w:rPr>
          <w:rFonts w:ascii="Times New Roman" w:hAnsi="Times New Roman"/>
          <w:noProof/>
          <w:sz w:val="24"/>
        </w:rPr>
        <w:t>аме да работим в партньорство с националните органи и чрез редица мрежи. Сред тях е Органът на европейските регулатори в областта на електронните съобщения, който подпомага и съветва Комисията и националните регулаторни органи в прилагането на нормативната</w:t>
      </w:r>
      <w:r>
        <w:rPr>
          <w:rFonts w:ascii="Times New Roman" w:hAnsi="Times New Roman"/>
          <w:noProof/>
          <w:sz w:val="24"/>
        </w:rPr>
        <w:t xml:space="preserve"> уредба на ЕС за електронните съобщения. Също така ще си сътрудничим с Европейската мрежа по конкуренция, която допринася за ефективното и съгласувано прилагане на правилата за защита на конкуренцията. Ще работим и с Мрежата на Европейския съюз за прилаган</w:t>
      </w:r>
      <w:r>
        <w:rPr>
          <w:rFonts w:ascii="Times New Roman" w:hAnsi="Times New Roman"/>
          <w:noProof/>
          <w:sz w:val="24"/>
        </w:rPr>
        <w:t>е и спазване на правото в областта на околната среда, която играе ключова роля за улесняване на обмена на добри практики при прилагането на правото в областта на околната среда и зачитането на минималните изисквания за проверките. Неотдавнашният пакет за с</w:t>
      </w:r>
      <w:r>
        <w:rPr>
          <w:rFonts w:ascii="Times New Roman" w:hAnsi="Times New Roman"/>
          <w:noProof/>
          <w:sz w:val="24"/>
        </w:rPr>
        <w:t xml:space="preserve">пазване и подпомагане, и по-специално единният цифров портал, ще помогнат на гражданите и предприятията да се възползват в пълна степен от възможностите, които предлага единният пазар. </w:t>
      </w:r>
    </w:p>
    <w:p w:rsidR="009F159D" w:rsidRDefault="009C4EA6">
      <w:pPr>
        <w:jc w:val="both"/>
        <w:rPr>
          <w:rFonts w:ascii="Times New Roman" w:hAnsi="Times New Roman" w:cs="Times New Roman"/>
          <w:noProof/>
          <w:sz w:val="24"/>
          <w:szCs w:val="24"/>
        </w:rPr>
      </w:pPr>
      <w:r>
        <w:rPr>
          <w:rFonts w:ascii="Times New Roman" w:hAnsi="Times New Roman"/>
          <w:noProof/>
          <w:sz w:val="24"/>
        </w:rPr>
        <w:t xml:space="preserve">С новата уредба на ЕС за защита на данните ще бъдат установени високи </w:t>
      </w:r>
      <w:r>
        <w:rPr>
          <w:rFonts w:ascii="Times New Roman" w:hAnsi="Times New Roman"/>
          <w:noProof/>
          <w:sz w:val="24"/>
        </w:rPr>
        <w:t>общи стандарти за защита на данните, които са пригодни за цифровата ера. Гражданите и предприятията ще имат полза от правила, които едновременно осигуряват силна защита и създават възможности за иновации в цифровия единен пазар. Комисията ще предостави нас</w:t>
      </w:r>
      <w:r>
        <w:rPr>
          <w:rFonts w:ascii="Times New Roman" w:hAnsi="Times New Roman"/>
          <w:noProof/>
          <w:sz w:val="24"/>
        </w:rPr>
        <w:t>оки, с които да помогне на гражданите, предприятията и публичните администрации да се подготвят преди влизането в сила на новата уредба през май 2018 г. В тази връзка ще работим в тясно сътрудничество с новия Европейски комитет по защита на данните — съвме</w:t>
      </w:r>
      <w:r>
        <w:rPr>
          <w:rFonts w:ascii="Times New Roman" w:hAnsi="Times New Roman"/>
          <w:noProof/>
          <w:sz w:val="24"/>
        </w:rPr>
        <w:t>стния орган на националните органи за защита на данните, който ще поеме своите функции на 25 май 2018 г.</w:t>
      </w:r>
    </w:p>
    <w:p w:rsidR="009F159D" w:rsidRDefault="009C4EA6">
      <w:pPr>
        <w:tabs>
          <w:tab w:val="left" w:pos="284"/>
        </w:tabs>
        <w:spacing w:after="720"/>
        <w:jc w:val="both"/>
        <w:rPr>
          <w:rFonts w:ascii="Times New Roman" w:hAnsi="Times New Roman" w:cs="Times New Roman"/>
          <w:noProof/>
        </w:rPr>
      </w:pPr>
      <w:r>
        <w:rPr>
          <w:rFonts w:ascii="Times New Roman" w:hAnsi="Times New Roman"/>
          <w:noProof/>
          <w:sz w:val="24"/>
        </w:rPr>
        <w:t xml:space="preserve">Ще продължим да укрепваме сътрудничеството си с Европейската мрежа на омбудсманите, координирана от Европейския омбудсман. Тази мрежа обединява </w:t>
      </w:r>
      <w:r>
        <w:rPr>
          <w:rFonts w:ascii="Times New Roman" w:hAnsi="Times New Roman"/>
          <w:noProof/>
          <w:sz w:val="24"/>
        </w:rPr>
        <w:t>национални и регионални омбудсмани, като целта ѝ е да насърчава спазването на принципите на добра администрация при прилагането на правото на ЕС на национално равнище.</w:t>
      </w:r>
    </w:p>
    <w:p w:rsidR="009F159D" w:rsidRDefault="009C4EA6">
      <w:pPr>
        <w:tabs>
          <w:tab w:val="left" w:pos="284"/>
        </w:tabs>
        <w:spacing w:after="240"/>
        <w:jc w:val="both"/>
        <w:rPr>
          <w:rFonts w:ascii="Times New Roman" w:hAnsi="Times New Roman" w:cs="Times New Roman"/>
          <w:b/>
          <w:smallCaps/>
          <w:noProof/>
          <w:sz w:val="24"/>
          <w:szCs w:val="24"/>
        </w:rPr>
      </w:pPr>
      <w:r>
        <w:rPr>
          <w:rFonts w:ascii="Times New Roman" w:hAnsi="Times New Roman"/>
          <w:b/>
          <w:smallCaps/>
          <w:noProof/>
          <w:sz w:val="24"/>
        </w:rPr>
        <w:t>V.</w:t>
      </w:r>
      <w:r>
        <w:rPr>
          <w:noProof/>
        </w:rPr>
        <w:tab/>
      </w:r>
      <w:r>
        <w:rPr>
          <w:rFonts w:ascii="Times New Roman" w:hAnsi="Times New Roman"/>
          <w:b/>
          <w:smallCaps/>
          <w:noProof/>
          <w:sz w:val="24"/>
        </w:rPr>
        <w:t>Заключение</w:t>
      </w:r>
    </w:p>
    <w:p w:rsidR="009F159D" w:rsidRDefault="009C4EA6">
      <w:pPr>
        <w:jc w:val="both"/>
        <w:rPr>
          <w:rFonts w:ascii="Times New Roman" w:hAnsi="Times New Roman" w:cs="Times New Roman"/>
          <w:noProof/>
          <w:sz w:val="24"/>
          <w:szCs w:val="24"/>
        </w:rPr>
      </w:pPr>
      <w:r>
        <w:rPr>
          <w:rFonts w:ascii="Times New Roman" w:hAnsi="Times New Roman"/>
          <w:noProof/>
          <w:sz w:val="24"/>
        </w:rPr>
        <w:t>През следващите 16 месеца Европа има възможност да предприеме действия и д</w:t>
      </w:r>
      <w:r>
        <w:rPr>
          <w:rFonts w:ascii="Times New Roman" w:hAnsi="Times New Roman"/>
          <w:noProof/>
          <w:sz w:val="24"/>
        </w:rPr>
        <w:t>а постигне реална промяна. Работната програма на Комисията за 2018 г. използва настоящата динамика и определя целенасочен дневен ред за приключване на работата по десетте приоритета и стратегиите, които са в основата им. Следващата 2018 г. ще бъде решаваща</w:t>
      </w:r>
      <w:r>
        <w:rPr>
          <w:rFonts w:ascii="Times New Roman" w:hAnsi="Times New Roman"/>
          <w:noProof/>
          <w:sz w:val="24"/>
        </w:rPr>
        <w:t xml:space="preserve"> за Европа. Целта трябва да е постигането на конкретни резултати за нашите граждани. Върху това именно е съсредоточена нашата програма. Ще гарантираме, че резултатите от нашата дейност са ясни, лесни за разбиране и с добавена стойност, за да могат граждани</w:t>
      </w:r>
      <w:r>
        <w:rPr>
          <w:rFonts w:ascii="Times New Roman" w:hAnsi="Times New Roman"/>
          <w:noProof/>
          <w:sz w:val="24"/>
        </w:rPr>
        <w:t>те да почувстват разликата в своето ежедневие.</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Съвместната декларация относно законодателните приоритети на ЕС, подписана от председателите на трите институции през декември миналата година, изигра ценна роля за насърчаването на бърз напредък по най-важнит</w:t>
      </w:r>
      <w:r>
        <w:rPr>
          <w:rFonts w:ascii="Times New Roman" w:hAnsi="Times New Roman"/>
          <w:noProof/>
          <w:sz w:val="24"/>
        </w:rPr>
        <w:t>е и спешни законодателни досиета. Очакваме постигането на съгласие по нова съвместна декларация на председателите на трите институции, за да се гарантира, че Европейският парламент, държавите членки и Комисията гледат в една посока.</w:t>
      </w:r>
    </w:p>
    <w:p w:rsidR="009F159D" w:rsidRDefault="009C4EA6">
      <w:pPr>
        <w:tabs>
          <w:tab w:val="left" w:pos="284"/>
        </w:tabs>
        <w:spacing w:after="240"/>
        <w:jc w:val="both"/>
        <w:rPr>
          <w:rFonts w:ascii="Times New Roman" w:hAnsi="Times New Roman" w:cs="Times New Roman"/>
          <w:noProof/>
          <w:sz w:val="24"/>
          <w:szCs w:val="24"/>
        </w:rPr>
      </w:pPr>
      <w:r>
        <w:rPr>
          <w:rFonts w:ascii="Times New Roman" w:hAnsi="Times New Roman"/>
          <w:noProof/>
          <w:sz w:val="24"/>
        </w:rPr>
        <w:t>Комисията ще работи инт</w:t>
      </w:r>
      <w:r>
        <w:rPr>
          <w:rFonts w:ascii="Times New Roman" w:hAnsi="Times New Roman"/>
          <w:noProof/>
          <w:sz w:val="24"/>
        </w:rPr>
        <w:t>ензивно с Европейския парламент и Съвета, за да се гарантира, че до изборите през 2019 г. Съюзът е изпълнил целите, които си е поставил. Европа ще бъде оценявана не въз основа на броя на директивите и регламентите, които е приела, а според осезаемите резул</w:t>
      </w:r>
      <w:r>
        <w:rPr>
          <w:rFonts w:ascii="Times New Roman" w:hAnsi="Times New Roman"/>
          <w:noProof/>
          <w:sz w:val="24"/>
        </w:rPr>
        <w:t>тати за гражданите, постигнати от нашите политики. Настоящата работна програма е основата за това общо усилие.</w:t>
      </w:r>
    </w:p>
    <w:sectPr w:rsidR="009F159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9D" w:rsidRDefault="009C4EA6">
      <w:pPr>
        <w:spacing w:after="0" w:line="240" w:lineRule="auto"/>
      </w:pPr>
      <w:r>
        <w:separator/>
      </w:r>
    </w:p>
  </w:endnote>
  <w:endnote w:type="continuationSeparator" w:id="0">
    <w:p w:rsidR="009F159D" w:rsidRDefault="009C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A6" w:rsidRPr="009C4EA6" w:rsidRDefault="009C4EA6" w:rsidP="009C4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A6" w:rsidRPr="009C4EA6" w:rsidRDefault="009C4EA6" w:rsidP="009C4EA6">
    <w:pPr>
      <w:pStyle w:val="FooterCoverPage"/>
      <w:rPr>
        <w:rFonts w:ascii="Arial" w:hAnsi="Arial" w:cs="Arial"/>
        <w:b/>
        <w:sz w:val="48"/>
      </w:rPr>
    </w:pPr>
    <w:r w:rsidRPr="009C4EA6">
      <w:rPr>
        <w:rFonts w:ascii="Arial" w:hAnsi="Arial" w:cs="Arial"/>
        <w:b/>
        <w:sz w:val="48"/>
      </w:rPr>
      <w:t>BG</w:t>
    </w:r>
    <w:r w:rsidRPr="009C4EA6">
      <w:rPr>
        <w:rFonts w:ascii="Arial" w:hAnsi="Arial" w:cs="Arial"/>
        <w:b/>
        <w:sz w:val="48"/>
      </w:rPr>
      <w:tab/>
    </w:r>
    <w:r w:rsidRPr="009C4EA6">
      <w:rPr>
        <w:rFonts w:ascii="Arial" w:hAnsi="Arial" w:cs="Arial"/>
        <w:b/>
        <w:sz w:val="48"/>
      </w:rPr>
      <w:tab/>
    </w:r>
    <w:r w:rsidRPr="009C4EA6">
      <w:tab/>
    </w:r>
    <w:r w:rsidRPr="009C4EA6">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A6" w:rsidRPr="009C4EA6" w:rsidRDefault="009C4EA6" w:rsidP="009C4EA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9D" w:rsidRDefault="009F15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noProof/>
      </w:rPr>
    </w:sdtEndPr>
    <w:sdtContent>
      <w:p w:rsidR="009F159D" w:rsidRDefault="009C4E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9D" w:rsidRDefault="009F1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9D" w:rsidRDefault="009C4EA6">
      <w:pPr>
        <w:spacing w:after="0" w:line="240" w:lineRule="auto"/>
      </w:pPr>
      <w:r>
        <w:separator/>
      </w:r>
    </w:p>
  </w:footnote>
  <w:footnote w:type="continuationSeparator" w:id="0">
    <w:p w:rsidR="009F159D" w:rsidRDefault="009C4EA6">
      <w:pPr>
        <w:spacing w:after="0" w:line="240" w:lineRule="auto"/>
      </w:pPr>
      <w:r>
        <w:continuationSeparator/>
      </w:r>
    </w:p>
  </w:footnote>
  <w:footnote w:id="1">
    <w:p w:rsidR="009F159D" w:rsidRDefault="009C4EA6">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„Европейската комисия в средата на мандата си: актуално състояние на десетте приоритета на председателя </w:t>
      </w:r>
      <w:r>
        <w:rPr>
          <w:rFonts w:ascii="Times New Roman" w:hAnsi="Times New Roman"/>
        </w:rPr>
        <w:t>Юнкер“, доклад на Европейския парламент, 11 юли 2017 г.</w:t>
      </w:r>
    </w:p>
  </w:footnote>
  <w:footnote w:id="2">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приложение 1 (нови инициативи) и приложение 3 (приоритетни внесени предложения) е представен подробен списък на тези предложения.</w:t>
      </w:r>
    </w:p>
  </w:footnote>
  <w:footnote w:id="3">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4 съдържа подробен списък с предложения за оттегляне,</w:t>
      </w:r>
      <w:r>
        <w:rPr>
          <w:rFonts w:ascii="Times New Roman" w:hAnsi="Times New Roman"/>
        </w:rPr>
        <w:t xml:space="preserve"> а приложение 5 — списък на отменени актове.</w:t>
      </w:r>
    </w:p>
  </w:footnote>
  <w:footnote w:id="4">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COM(2017)651 Съобщение относно приключването на програмата за по-добро регулиране: по-добри решения за постигане на по-добри резултати.</w:t>
      </w:r>
    </w:p>
  </w:footnote>
  <w:footnote w:id="5">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Комисията ще съсредоточи дейностите си в областта на комуникацията през</w:t>
      </w:r>
      <w:r>
        <w:rPr>
          <w:rFonts w:ascii="Times New Roman" w:hAnsi="Times New Roman"/>
        </w:rPr>
        <w:t xml:space="preserve"> 2018 г. върху приоритетите на Комисията въз основа на действията за институционална комуникация през 2017—2018 г. по линия на многогодишната финансова рамка за периода 2014—2020 г. (С(2016) 6838 от 25.10.2016 г.), със специален акцент върху Пътната карта </w:t>
      </w:r>
      <w:r>
        <w:rPr>
          <w:rFonts w:ascii="Times New Roman" w:hAnsi="Times New Roman"/>
        </w:rPr>
        <w:t>от Сибиу.</w:t>
      </w:r>
    </w:p>
  </w:footnote>
  <w:footnote w:id="6">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COM(2016)597 „ЕФСИ 2.0“; COM(2016)605 предложение „Омнибус“.</w:t>
      </w:r>
    </w:p>
  </w:footnote>
  <w:footnote w:id="7">
    <w:p w:rsidR="009F159D" w:rsidRDefault="009C4EA6">
      <w:pPr>
        <w:pStyle w:val="FootnoteText"/>
      </w:pPr>
      <w:r>
        <w:rPr>
          <w:rStyle w:val="FootnoteReference"/>
          <w:rFonts w:ascii="Times New Roman" w:hAnsi="Times New Roman"/>
        </w:rPr>
        <w:footnoteRef/>
      </w:r>
      <w:r>
        <w:rPr>
          <w:rFonts w:ascii="Times New Roman" w:hAnsi="Times New Roman"/>
        </w:rPr>
        <w:t xml:space="preserve"> COM(2017)479 </w:t>
      </w:r>
      <w:r>
        <w:rPr>
          <w:rStyle w:val="iceouttxt38"/>
          <w:rFonts w:ascii="Times New Roman" w:hAnsi="Times New Roman"/>
          <w:sz w:val="20"/>
        </w:rPr>
        <w:t>Съобщение „Инвестиране в интелигентна, иновационна и устойчива промишленост. Обновена стратегия на ЕС за индустриалната политика“.</w:t>
      </w:r>
    </w:p>
  </w:footnote>
  <w:footnote w:id="8">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COM(2017)33 Доклад относно изпълнението на Плана за действие за кръговата икономика.</w:t>
      </w:r>
    </w:p>
  </w:footnote>
  <w:footnote w:id="9">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COM(2012)60 Съобщение „Иновации за устойчив растеж: биоикономика за Европа“.</w:t>
      </w:r>
    </w:p>
  </w:footnote>
  <w:footnote w:id="10">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COM(2016)381 Съобщение „Нова европейска програма за умения“.</w:t>
      </w:r>
    </w:p>
  </w:footnote>
  <w:footnote w:id="11">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JOIN(2017)450 Съобщение „У</w:t>
      </w:r>
      <w:r>
        <w:rPr>
          <w:rFonts w:ascii="Times New Roman" w:hAnsi="Times New Roman"/>
        </w:rPr>
        <w:t>стойчивост, възпиране и отбрана: укрепване на киберсигурността в ЕС“.</w:t>
      </w:r>
    </w:p>
  </w:footnote>
  <w:footnote w:id="12">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860 „Чиста енергия за всички европейци“.</w:t>
      </w:r>
    </w:p>
  </w:footnote>
  <w:footnote w:id="13">
    <w:p w:rsidR="009F159D" w:rsidRDefault="009C4EA6">
      <w:pPr>
        <w:pStyle w:val="Default"/>
        <w:jc w:val="both"/>
      </w:pPr>
      <w:r>
        <w:rPr>
          <w:rStyle w:val="FootnoteReference"/>
          <w:rFonts w:ascii="Times New Roman" w:hAnsi="Times New Roman"/>
          <w:sz w:val="20"/>
        </w:rPr>
        <w:footnoteRef/>
      </w:r>
      <w:r>
        <w:rPr>
          <w:rFonts w:ascii="Times New Roman" w:hAnsi="Times New Roman"/>
        </w:rPr>
        <w:t xml:space="preserve"> </w:t>
      </w:r>
      <w:r>
        <w:rPr>
          <w:rFonts w:ascii="Times New Roman" w:hAnsi="Times New Roman"/>
          <w:color w:val="auto"/>
          <w:sz w:val="20"/>
        </w:rPr>
        <w:t>Мерките, предвидени за доизграждането на съюза на капиталовите пазари, бяха обявени в междинния преглед от юни 2017 г. — вж. COM(20</w:t>
      </w:r>
      <w:r>
        <w:rPr>
          <w:rFonts w:ascii="Times New Roman" w:hAnsi="Times New Roman"/>
          <w:color w:val="auto"/>
          <w:sz w:val="20"/>
        </w:rPr>
        <w:t>17) 292.</w:t>
      </w:r>
    </w:p>
  </w:footnote>
  <w:footnote w:id="14">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COM(2017)592 Съобщение относно завършването на банковия съюз.</w:t>
      </w:r>
    </w:p>
  </w:footnote>
  <w:footnote w:id="15">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COM(2017)250 Съобщение относно създаване на европейски стълб на социалните права.</w:t>
      </w:r>
    </w:p>
  </w:footnote>
  <w:footnote w:id="16">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приложение 3 относно приоритетните внесени предложения.</w:t>
      </w:r>
    </w:p>
  </w:footnote>
  <w:footnote w:id="17">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hyperlink r:id="rId1">
        <w:r>
          <w:rPr>
            <w:rFonts w:ascii="Times New Roman" w:hAnsi="Times New Roman"/>
          </w:rPr>
          <w:t>COM(2017)612</w:t>
        </w:r>
      </w:hyperlink>
      <w:r>
        <w:t xml:space="preserve"> </w:t>
      </w:r>
      <w:r>
        <w:rPr>
          <w:rFonts w:ascii="Times New Roman" w:hAnsi="Times New Roman"/>
        </w:rPr>
        <w:t>План за действие за защитата на обществените пространства.</w:t>
      </w:r>
    </w:p>
  </w:footnote>
  <w:footnote w:id="18">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COM(2016)270 Предложение за регламент за установяване на критерии и механизми за определяне на държавата членка, компетентна за р</w:t>
      </w:r>
      <w:r>
        <w:rPr>
          <w:rFonts w:ascii="Times New Roman" w:hAnsi="Times New Roman"/>
        </w:rPr>
        <w:t>азглеждането на молба за международна закрила, която е подадена в една от държавите членки от гражданин на трета държава или от лице без гражданство.</w:t>
      </w:r>
    </w:p>
  </w:footnote>
  <w:footnote w:id="19">
    <w:p w:rsidR="009F159D" w:rsidRDefault="009C4EA6">
      <w:pPr>
        <w:pStyle w:val="FootnoteText"/>
        <w:spacing w:after="30"/>
        <w:jc w:val="both"/>
        <w:rPr>
          <w:rFonts w:ascii="Times New Roman" w:hAnsi="Times New Roman"/>
          <w:spacing w:val="-6"/>
        </w:rPr>
      </w:pPr>
      <w:r>
        <w:rPr>
          <w:rStyle w:val="FootnoteReference"/>
          <w:rFonts w:ascii="Times New Roman" w:hAnsi="Times New Roman"/>
          <w:spacing w:val="-6"/>
        </w:rPr>
        <w:footnoteRef/>
      </w:r>
      <w:r>
        <w:rPr>
          <w:rFonts w:ascii="Times New Roman" w:hAnsi="Times New Roman"/>
          <w:spacing w:val="-6"/>
        </w:rPr>
        <w:t xml:space="preserve"> COM(2016)581 Съобщение „Засилване на европейските инвестиции за създаване на заетост и растеж:</w:t>
      </w:r>
      <w:r>
        <w:rPr>
          <w:spacing w:val="-6"/>
        </w:rPr>
        <w:t xml:space="preserve"> </w:t>
      </w:r>
      <w:r>
        <w:rPr>
          <w:rFonts w:ascii="Times New Roman" w:hAnsi="Times New Roman"/>
          <w:spacing w:val="-6"/>
        </w:rPr>
        <w:t>към втора</w:t>
      </w:r>
      <w:r>
        <w:rPr>
          <w:rFonts w:ascii="Times New Roman" w:hAnsi="Times New Roman"/>
          <w:spacing w:val="-6"/>
        </w:rPr>
        <w:t xml:space="preserve"> фаза на Европейския фонд за стратегически инвестиции и нов Европейски план за външни инвестиции.</w:t>
      </w:r>
    </w:p>
  </w:footnote>
  <w:footnote w:id="20">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COM(2016)378 Предложение за директива относно условията за влизане и пребиваване на граждани на трети държави за целите на трудова заетост, изискваща висока</w:t>
      </w:r>
      <w:r>
        <w:rPr>
          <w:rFonts w:ascii="Times New Roman" w:hAnsi="Times New Roman"/>
        </w:rPr>
        <w:t xml:space="preserve"> степен на умения.</w:t>
      </w:r>
    </w:p>
  </w:footnote>
  <w:footnote w:id="21">
    <w:p w:rsidR="009F159D" w:rsidRDefault="009C4EA6">
      <w:pPr>
        <w:pStyle w:val="FootnoteText"/>
        <w:spacing w:after="30"/>
        <w:jc w:val="both"/>
        <w:rPr>
          <w:rFonts w:ascii="Times New Roman" w:hAnsi="Times New Roman" w:cs="Times New Roman"/>
          <w:spacing w:val="-4"/>
        </w:rPr>
      </w:pPr>
      <w:r>
        <w:rPr>
          <w:rStyle w:val="FootnoteReference"/>
          <w:rFonts w:ascii="Times New Roman" w:hAnsi="Times New Roman"/>
          <w:spacing w:val="-4"/>
        </w:rPr>
        <w:footnoteRef/>
      </w:r>
      <w:r>
        <w:rPr>
          <w:rFonts w:ascii="Times New Roman" w:hAnsi="Times New Roman"/>
          <w:spacing w:val="-4"/>
        </w:rPr>
        <w:t xml:space="preserve"> COM(2014)164 Предложение за регламент относно Визов кодекс на Съюза (Визов кодекс);</w:t>
      </w:r>
      <w:r>
        <w:rPr>
          <w:spacing w:val="-4"/>
        </w:rPr>
        <w:t xml:space="preserve"> </w:t>
      </w:r>
      <w:r>
        <w:rPr>
          <w:rFonts w:ascii="Times New Roman" w:hAnsi="Times New Roman"/>
          <w:spacing w:val="-4"/>
        </w:rPr>
        <w:t xml:space="preserve">COM(2014)163 Предложение за Регламент за създаване на виза за обиколно пътуване и за изменение на Конвенцията за прилагане на Шенгенското споразумение </w:t>
      </w:r>
      <w:r>
        <w:rPr>
          <w:rFonts w:ascii="Times New Roman" w:hAnsi="Times New Roman"/>
          <w:spacing w:val="-4"/>
        </w:rPr>
        <w:t>и на регламенти (EО) № 562/2006 и (EО) № 767/2008.</w:t>
      </w:r>
    </w:p>
  </w:footnote>
  <w:footnote w:id="22">
    <w:p w:rsidR="009F159D" w:rsidRDefault="009C4EA6">
      <w:pPr>
        <w:pStyle w:val="NormalWeb"/>
        <w:spacing w:before="0" w:beforeAutospacing="0" w:after="30" w:afterAutospacing="0"/>
        <w:jc w:val="both"/>
      </w:pPr>
      <w:r>
        <w:rPr>
          <w:rStyle w:val="FootnoteReference"/>
          <w:sz w:val="20"/>
        </w:rPr>
        <w:footnoteRef/>
      </w:r>
      <w:r>
        <w:rPr>
          <w:rStyle w:val="FootnoteReference"/>
          <w:sz w:val="20"/>
        </w:rPr>
        <w:t xml:space="preserve"> </w:t>
      </w:r>
      <w:r>
        <w:rPr>
          <w:sz w:val="20"/>
        </w:rPr>
        <w:t>COM(2017)294 Предложение за регламент за създаване на Европейска програма за промишлено развитие в областта на отбраната с цел подкрепа на конкурентоспособността и иновационния капацитет на отбранителнат</w:t>
      </w:r>
      <w:r>
        <w:rPr>
          <w:sz w:val="20"/>
        </w:rPr>
        <w:t>а промишленост на ЕС.</w:t>
      </w:r>
    </w:p>
  </w:footnote>
  <w:footnote w:id="23">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COM(2017)482 Предложение за Регламент относно Европейската гражданска инициатива.</w:t>
      </w:r>
    </w:p>
  </w:footnote>
  <w:footnote w:id="24">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COM(2017)262 Предложение за Регламент за определяне на правната рамка на Европейския корпус за солидарност.</w:t>
      </w:r>
    </w:p>
  </w:footnote>
  <w:footnote w:id="25">
    <w:p w:rsidR="009F159D" w:rsidRDefault="009C4EA6">
      <w:pPr>
        <w:pStyle w:val="FootnoteText"/>
        <w:spacing w:after="3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COM(2016)627 Предложение за Междуинсти</w:t>
      </w:r>
      <w:r>
        <w:rPr>
          <w:rFonts w:ascii="Times New Roman" w:hAnsi="Times New Roman"/>
        </w:rPr>
        <w:t>туционално споразумение за задължителен регистър за прозрачност.</w:t>
      </w:r>
    </w:p>
  </w:footnote>
  <w:footnote w:id="26">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COM(2017)085 Предложение за Регламент за установяване на правилата и общите принципи относно механизмите за контрол от страна на държавите членки върху упражняването на изпълнителните право</w:t>
      </w:r>
      <w:r>
        <w:rPr>
          <w:rFonts w:ascii="Times New Roman" w:hAnsi="Times New Roman"/>
        </w:rPr>
        <w:t>мощия от страна на Комисията.</w:t>
      </w:r>
    </w:p>
  </w:footnote>
  <w:footnote w:id="27">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COM(2017)481 Предложение за Регламент относно статута и финансирането на европейските политически партии и на европейските политически фондации.</w:t>
      </w:r>
    </w:p>
  </w:footnote>
  <w:footnote w:id="28">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Представена заедно с писмото за намерения на 13 септември 2017 г.</w:t>
      </w:r>
    </w:p>
  </w:footnote>
  <w:footnote w:id="29">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COM(2017)2025 Бяла книга за бъдещето на Европа.</w:t>
      </w:r>
    </w:p>
  </w:footnote>
  <w:footnote w:id="30">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COM(2017)206 Документ за размисъл относно социалното измерение на Европа, COM(2017)240 Документ за размисъл относно извличането на ползите от глобализацията, COM(2017)291 Документ за размисъл относно задъл</w:t>
      </w:r>
      <w:r>
        <w:rPr>
          <w:rFonts w:ascii="Times New Roman" w:hAnsi="Times New Roman"/>
        </w:rPr>
        <w:t>бочаването на икономическия и паричен съюз, COM(2017)315 Документ за размисъл относно бъдещето на европейската отбрана, COM(2017)358 Документ за размисъл относно бъдещето на финансите на ЕС.</w:t>
      </w:r>
    </w:p>
  </w:footnote>
  <w:footnote w:id="31">
    <w:p w:rsidR="009F159D" w:rsidRDefault="009C4EA6">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C(2016)8600 Съобщение „Правото на ЕС: по-добри резултати чрез п</w:t>
      </w:r>
      <w:r>
        <w:rPr>
          <w:rFonts w:ascii="Times New Roman" w:hAnsi="Times New Roman"/>
        </w:rPr>
        <w:t>о-добро прилагане“.</w:t>
      </w:r>
    </w:p>
  </w:footnote>
  <w:footnote w:id="32">
    <w:p w:rsidR="009F159D" w:rsidRDefault="009F159D">
      <w:pPr>
        <w:pStyle w:val="FootnoteText"/>
        <w:spacing w:after="30"/>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A6" w:rsidRPr="009C4EA6" w:rsidRDefault="009C4EA6" w:rsidP="009C4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A6" w:rsidRPr="009C4EA6" w:rsidRDefault="009C4EA6" w:rsidP="009C4EA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A6" w:rsidRPr="009C4EA6" w:rsidRDefault="009C4EA6" w:rsidP="009C4EA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9D" w:rsidRDefault="009F15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9D" w:rsidRDefault="009F15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9D" w:rsidRDefault="009F1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A56"/>
    <w:multiLevelType w:val="hybridMultilevel"/>
    <w:tmpl w:val="8B3A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05114D"/>
    <w:multiLevelType w:val="hybridMultilevel"/>
    <w:tmpl w:val="875E8E3A"/>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nsid w:val="194E0419"/>
    <w:multiLevelType w:val="hybridMultilevel"/>
    <w:tmpl w:val="6D527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B709C7"/>
    <w:multiLevelType w:val="hybridMultilevel"/>
    <w:tmpl w:val="603E8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F67D9"/>
    <w:multiLevelType w:val="multilevel"/>
    <w:tmpl w:val="6AE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82FA4"/>
    <w:multiLevelType w:val="hybridMultilevel"/>
    <w:tmpl w:val="CFB04C70"/>
    <w:lvl w:ilvl="0" w:tplc="5644E01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5174CD2"/>
    <w:multiLevelType w:val="hybridMultilevel"/>
    <w:tmpl w:val="A4D071B0"/>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nsid w:val="518B7A85"/>
    <w:multiLevelType w:val="hybridMultilevel"/>
    <w:tmpl w:val="36E08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A121D"/>
    <w:multiLevelType w:val="hybridMultilevel"/>
    <w:tmpl w:val="28547C20"/>
    <w:lvl w:ilvl="0" w:tplc="5644E0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CE6492"/>
    <w:multiLevelType w:val="hybridMultilevel"/>
    <w:tmpl w:val="F954A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1513CFE"/>
    <w:multiLevelType w:val="hybridMultilevel"/>
    <w:tmpl w:val="3118B2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6"/>
  </w:num>
  <w:num w:numId="6">
    <w:abstractNumId w:val="0"/>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BF62F3-F956-4F00-B2F3-D4931A921C0B"/>
    <w:docVar w:name="LW_COVERPAGE_TYPE" w:val="1"/>
    <w:docVar w:name="LW_CROSSREFERENCE" w:val="&lt;UNUSED&gt;"/>
    <w:docVar w:name="LW_DocType" w:val="NORMAL"/>
    <w:docVar w:name="LW_EMISSION" w:val="24.10.2017"/>
    <w:docVar w:name="LW_EMISSION_ISODATE" w:val="2017-10-24"/>
    <w:docVar w:name="LW_EMISSION_LOCATION" w:val="BRX"/>
    <w:docVar w:name="LW_EMISSION_PREFIX" w:val="\u1041?\u1088?\u1102?\u1082?\u1089?\u1077?\u1083?,"/>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7)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An agenda for a more united, stronger and more democratic Europe"/>
    <w:docVar w:name="LW_SOUS.TITRE.OBJ.CP" w:val="An agenda for a more united, stronger and more democratic Europe"/>
    <w:docVar w:name="LW_SUPERTITRE" w:val="&lt;UNUSED&gt;"/>
    <w:docVar w:name="LW_TITRE.OBJ.CP" w:val="_x000b_\u1056?\u1072?\u1073?\u1086?\u1090?\u1085?\u1072? \u1087?\u1088?\u1086?\u1075?\u1088?\u1072?\u1084?\u1072? \u1085?\u1072? \u1050?\u1086?\u1084?\u1080?\u1089?\u1080?\u1103?\u1090?\u1072? \u1079?\u1072? 2018 \u1075?._x000b__x000b_\u1055?\u1088?\u1086?\u1075?\u1088?\u1072?\u1084?\u1072? \u1079?\u1072? \u1087?\u1086?-\u1086?\u1073?\u1077?\u1076?\u1080?\u1085?\u1077?\u1085?\u1072?, \u1087?\u1086?-\u1089?\u1080?\u1083?\u1085?\u1072? \u1080? \u1087?\u1086?-\u1076?\u1077?\u1084?\u1086?\u1082?\u1088?\u1072?\u1090?\u1080?\u1095?\u1085?\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9F159D"/>
    <w:rsid w:val="009C4EA6"/>
    <w:rsid w:val="009F15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469">
      <w:bodyDiv w:val="1"/>
      <w:marLeft w:val="0"/>
      <w:marRight w:val="0"/>
      <w:marTop w:val="0"/>
      <w:marBottom w:val="0"/>
      <w:divBdr>
        <w:top w:val="none" w:sz="0" w:space="0" w:color="auto"/>
        <w:left w:val="none" w:sz="0" w:space="0" w:color="auto"/>
        <w:bottom w:val="none" w:sz="0" w:space="0" w:color="auto"/>
        <w:right w:val="none" w:sz="0" w:space="0" w:color="auto"/>
      </w:divBdr>
    </w:div>
    <w:div w:id="37320775">
      <w:bodyDiv w:val="1"/>
      <w:marLeft w:val="0"/>
      <w:marRight w:val="0"/>
      <w:marTop w:val="0"/>
      <w:marBottom w:val="0"/>
      <w:divBdr>
        <w:top w:val="none" w:sz="0" w:space="0" w:color="auto"/>
        <w:left w:val="none" w:sz="0" w:space="0" w:color="auto"/>
        <w:bottom w:val="none" w:sz="0" w:space="0" w:color="auto"/>
        <w:right w:val="none" w:sz="0" w:space="0" w:color="auto"/>
      </w:divBdr>
    </w:div>
    <w:div w:id="58868134">
      <w:bodyDiv w:val="1"/>
      <w:marLeft w:val="0"/>
      <w:marRight w:val="0"/>
      <w:marTop w:val="0"/>
      <w:marBottom w:val="0"/>
      <w:divBdr>
        <w:top w:val="none" w:sz="0" w:space="0" w:color="auto"/>
        <w:left w:val="none" w:sz="0" w:space="0" w:color="auto"/>
        <w:bottom w:val="none" w:sz="0" w:space="0" w:color="auto"/>
        <w:right w:val="none" w:sz="0" w:space="0" w:color="auto"/>
      </w:divBdr>
    </w:div>
    <w:div w:id="58984531">
      <w:bodyDiv w:val="1"/>
      <w:marLeft w:val="0"/>
      <w:marRight w:val="0"/>
      <w:marTop w:val="0"/>
      <w:marBottom w:val="0"/>
      <w:divBdr>
        <w:top w:val="none" w:sz="0" w:space="0" w:color="auto"/>
        <w:left w:val="none" w:sz="0" w:space="0" w:color="auto"/>
        <w:bottom w:val="none" w:sz="0" w:space="0" w:color="auto"/>
        <w:right w:val="none" w:sz="0" w:space="0" w:color="auto"/>
      </w:divBdr>
      <w:divsChild>
        <w:div w:id="1013410837">
          <w:marLeft w:val="0"/>
          <w:marRight w:val="0"/>
          <w:marTop w:val="0"/>
          <w:marBottom w:val="0"/>
          <w:divBdr>
            <w:top w:val="none" w:sz="0" w:space="0" w:color="auto"/>
            <w:left w:val="none" w:sz="0" w:space="0" w:color="auto"/>
            <w:bottom w:val="none" w:sz="0" w:space="0" w:color="auto"/>
            <w:right w:val="none" w:sz="0" w:space="0" w:color="auto"/>
          </w:divBdr>
          <w:divsChild>
            <w:div w:id="32314294">
              <w:marLeft w:val="0"/>
              <w:marRight w:val="0"/>
              <w:marTop w:val="0"/>
              <w:marBottom w:val="0"/>
              <w:divBdr>
                <w:top w:val="none" w:sz="0" w:space="0" w:color="auto"/>
                <w:left w:val="none" w:sz="0" w:space="0" w:color="auto"/>
                <w:bottom w:val="none" w:sz="0" w:space="0" w:color="auto"/>
                <w:right w:val="none" w:sz="0" w:space="0" w:color="auto"/>
              </w:divBdr>
              <w:divsChild>
                <w:div w:id="2012220253">
                  <w:marLeft w:val="0"/>
                  <w:marRight w:val="0"/>
                  <w:marTop w:val="0"/>
                  <w:marBottom w:val="0"/>
                  <w:divBdr>
                    <w:top w:val="none" w:sz="0" w:space="0" w:color="auto"/>
                    <w:left w:val="none" w:sz="0" w:space="0" w:color="auto"/>
                    <w:bottom w:val="none" w:sz="0" w:space="0" w:color="auto"/>
                    <w:right w:val="none" w:sz="0" w:space="0" w:color="auto"/>
                  </w:divBdr>
                  <w:divsChild>
                    <w:div w:id="336811300">
                      <w:marLeft w:val="1"/>
                      <w:marRight w:val="1"/>
                      <w:marTop w:val="0"/>
                      <w:marBottom w:val="0"/>
                      <w:divBdr>
                        <w:top w:val="none" w:sz="0" w:space="0" w:color="auto"/>
                        <w:left w:val="none" w:sz="0" w:space="0" w:color="auto"/>
                        <w:bottom w:val="none" w:sz="0" w:space="0" w:color="auto"/>
                        <w:right w:val="none" w:sz="0" w:space="0" w:color="auto"/>
                      </w:divBdr>
                      <w:divsChild>
                        <w:div w:id="412090629">
                          <w:marLeft w:val="0"/>
                          <w:marRight w:val="0"/>
                          <w:marTop w:val="0"/>
                          <w:marBottom w:val="0"/>
                          <w:divBdr>
                            <w:top w:val="none" w:sz="0" w:space="0" w:color="auto"/>
                            <w:left w:val="none" w:sz="0" w:space="0" w:color="auto"/>
                            <w:bottom w:val="none" w:sz="0" w:space="0" w:color="auto"/>
                            <w:right w:val="none" w:sz="0" w:space="0" w:color="auto"/>
                          </w:divBdr>
                          <w:divsChild>
                            <w:div w:id="1909537300">
                              <w:marLeft w:val="0"/>
                              <w:marRight w:val="0"/>
                              <w:marTop w:val="0"/>
                              <w:marBottom w:val="360"/>
                              <w:divBdr>
                                <w:top w:val="none" w:sz="0" w:space="0" w:color="auto"/>
                                <w:left w:val="none" w:sz="0" w:space="0" w:color="auto"/>
                                <w:bottom w:val="none" w:sz="0" w:space="0" w:color="auto"/>
                                <w:right w:val="none" w:sz="0" w:space="0" w:color="auto"/>
                              </w:divBdr>
                              <w:divsChild>
                                <w:div w:id="95059162">
                                  <w:marLeft w:val="0"/>
                                  <w:marRight w:val="0"/>
                                  <w:marTop w:val="0"/>
                                  <w:marBottom w:val="0"/>
                                  <w:divBdr>
                                    <w:top w:val="none" w:sz="0" w:space="0" w:color="auto"/>
                                    <w:left w:val="none" w:sz="0" w:space="0" w:color="auto"/>
                                    <w:bottom w:val="none" w:sz="0" w:space="0" w:color="auto"/>
                                    <w:right w:val="none" w:sz="0" w:space="0" w:color="auto"/>
                                  </w:divBdr>
                                  <w:divsChild>
                                    <w:div w:id="811800010">
                                      <w:marLeft w:val="0"/>
                                      <w:marRight w:val="0"/>
                                      <w:marTop w:val="0"/>
                                      <w:marBottom w:val="0"/>
                                      <w:divBdr>
                                        <w:top w:val="none" w:sz="0" w:space="0" w:color="auto"/>
                                        <w:left w:val="none" w:sz="0" w:space="0" w:color="auto"/>
                                        <w:bottom w:val="none" w:sz="0" w:space="0" w:color="auto"/>
                                        <w:right w:val="none" w:sz="0" w:space="0" w:color="auto"/>
                                      </w:divBdr>
                                      <w:divsChild>
                                        <w:div w:id="1905024551">
                                          <w:marLeft w:val="0"/>
                                          <w:marRight w:val="0"/>
                                          <w:marTop w:val="0"/>
                                          <w:marBottom w:val="0"/>
                                          <w:divBdr>
                                            <w:top w:val="none" w:sz="0" w:space="0" w:color="auto"/>
                                            <w:left w:val="none" w:sz="0" w:space="0" w:color="auto"/>
                                            <w:bottom w:val="none" w:sz="0" w:space="0" w:color="auto"/>
                                            <w:right w:val="none" w:sz="0" w:space="0" w:color="auto"/>
                                          </w:divBdr>
                                          <w:divsChild>
                                            <w:div w:id="906650017">
                                              <w:marLeft w:val="0"/>
                                              <w:marRight w:val="0"/>
                                              <w:marTop w:val="0"/>
                                              <w:marBottom w:val="0"/>
                                              <w:divBdr>
                                                <w:top w:val="none" w:sz="0" w:space="0" w:color="auto"/>
                                                <w:left w:val="none" w:sz="0" w:space="0" w:color="auto"/>
                                                <w:bottom w:val="none" w:sz="0" w:space="0" w:color="auto"/>
                                                <w:right w:val="none" w:sz="0" w:space="0" w:color="auto"/>
                                              </w:divBdr>
                                              <w:divsChild>
                                                <w:div w:id="12651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64515171">
      <w:bodyDiv w:val="1"/>
      <w:marLeft w:val="0"/>
      <w:marRight w:val="0"/>
      <w:marTop w:val="0"/>
      <w:marBottom w:val="0"/>
      <w:divBdr>
        <w:top w:val="none" w:sz="0" w:space="0" w:color="auto"/>
        <w:left w:val="none" w:sz="0" w:space="0" w:color="auto"/>
        <w:bottom w:val="none" w:sz="0" w:space="0" w:color="auto"/>
        <w:right w:val="none" w:sz="0" w:space="0" w:color="auto"/>
      </w:divBdr>
    </w:div>
    <w:div w:id="284384315">
      <w:bodyDiv w:val="1"/>
      <w:marLeft w:val="0"/>
      <w:marRight w:val="0"/>
      <w:marTop w:val="0"/>
      <w:marBottom w:val="0"/>
      <w:divBdr>
        <w:top w:val="none" w:sz="0" w:space="0" w:color="auto"/>
        <w:left w:val="none" w:sz="0" w:space="0" w:color="auto"/>
        <w:bottom w:val="none" w:sz="0" w:space="0" w:color="auto"/>
        <w:right w:val="none" w:sz="0" w:space="0" w:color="auto"/>
      </w:divBdr>
    </w:div>
    <w:div w:id="413556725">
      <w:bodyDiv w:val="1"/>
      <w:marLeft w:val="0"/>
      <w:marRight w:val="0"/>
      <w:marTop w:val="0"/>
      <w:marBottom w:val="0"/>
      <w:divBdr>
        <w:top w:val="none" w:sz="0" w:space="0" w:color="auto"/>
        <w:left w:val="none" w:sz="0" w:space="0" w:color="auto"/>
        <w:bottom w:val="none" w:sz="0" w:space="0" w:color="auto"/>
        <w:right w:val="none" w:sz="0" w:space="0" w:color="auto"/>
      </w:divBdr>
    </w:div>
    <w:div w:id="425928466">
      <w:bodyDiv w:val="1"/>
      <w:marLeft w:val="0"/>
      <w:marRight w:val="0"/>
      <w:marTop w:val="0"/>
      <w:marBottom w:val="0"/>
      <w:divBdr>
        <w:top w:val="none" w:sz="0" w:space="0" w:color="auto"/>
        <w:left w:val="none" w:sz="0" w:space="0" w:color="auto"/>
        <w:bottom w:val="none" w:sz="0" w:space="0" w:color="auto"/>
        <w:right w:val="none" w:sz="0" w:space="0" w:color="auto"/>
      </w:divBdr>
    </w:div>
    <w:div w:id="472721450">
      <w:bodyDiv w:val="1"/>
      <w:marLeft w:val="0"/>
      <w:marRight w:val="0"/>
      <w:marTop w:val="0"/>
      <w:marBottom w:val="0"/>
      <w:divBdr>
        <w:top w:val="none" w:sz="0" w:space="0" w:color="auto"/>
        <w:left w:val="none" w:sz="0" w:space="0" w:color="auto"/>
        <w:bottom w:val="none" w:sz="0" w:space="0" w:color="auto"/>
        <w:right w:val="none" w:sz="0" w:space="0" w:color="auto"/>
      </w:divBdr>
    </w:div>
    <w:div w:id="492916782">
      <w:bodyDiv w:val="1"/>
      <w:marLeft w:val="0"/>
      <w:marRight w:val="0"/>
      <w:marTop w:val="0"/>
      <w:marBottom w:val="0"/>
      <w:divBdr>
        <w:top w:val="none" w:sz="0" w:space="0" w:color="auto"/>
        <w:left w:val="none" w:sz="0" w:space="0" w:color="auto"/>
        <w:bottom w:val="none" w:sz="0" w:space="0" w:color="auto"/>
        <w:right w:val="none" w:sz="0" w:space="0" w:color="auto"/>
      </w:divBdr>
    </w:div>
    <w:div w:id="501161089">
      <w:bodyDiv w:val="1"/>
      <w:marLeft w:val="0"/>
      <w:marRight w:val="0"/>
      <w:marTop w:val="0"/>
      <w:marBottom w:val="0"/>
      <w:divBdr>
        <w:top w:val="none" w:sz="0" w:space="0" w:color="auto"/>
        <w:left w:val="none" w:sz="0" w:space="0" w:color="auto"/>
        <w:bottom w:val="none" w:sz="0" w:space="0" w:color="auto"/>
        <w:right w:val="none" w:sz="0" w:space="0" w:color="auto"/>
      </w:divBdr>
      <w:divsChild>
        <w:div w:id="15664686">
          <w:marLeft w:val="0"/>
          <w:marRight w:val="0"/>
          <w:marTop w:val="0"/>
          <w:marBottom w:val="0"/>
          <w:divBdr>
            <w:top w:val="single" w:sz="6" w:space="0" w:color="FFFFFF"/>
            <w:left w:val="single" w:sz="6" w:space="0" w:color="FFFFFF"/>
            <w:bottom w:val="single" w:sz="6" w:space="0" w:color="FFFFFF"/>
            <w:right w:val="single" w:sz="6" w:space="0" w:color="FFFFFF"/>
          </w:divBdr>
          <w:divsChild>
            <w:div w:id="957372659">
              <w:marLeft w:val="0"/>
              <w:marRight w:val="0"/>
              <w:marTop w:val="0"/>
              <w:marBottom w:val="0"/>
              <w:divBdr>
                <w:top w:val="none" w:sz="0" w:space="0" w:color="auto"/>
                <w:left w:val="none" w:sz="0" w:space="0" w:color="auto"/>
                <w:bottom w:val="none" w:sz="0" w:space="0" w:color="auto"/>
                <w:right w:val="none" w:sz="0" w:space="0" w:color="auto"/>
              </w:divBdr>
              <w:divsChild>
                <w:div w:id="1953243957">
                  <w:marLeft w:val="0"/>
                  <w:marRight w:val="0"/>
                  <w:marTop w:val="0"/>
                  <w:marBottom w:val="0"/>
                  <w:divBdr>
                    <w:top w:val="none" w:sz="0" w:space="0" w:color="auto"/>
                    <w:left w:val="none" w:sz="0" w:space="0" w:color="auto"/>
                    <w:bottom w:val="none" w:sz="0" w:space="0" w:color="auto"/>
                    <w:right w:val="none" w:sz="0" w:space="0" w:color="auto"/>
                  </w:divBdr>
                  <w:divsChild>
                    <w:div w:id="2027822372">
                      <w:marLeft w:val="0"/>
                      <w:marRight w:val="0"/>
                      <w:marTop w:val="0"/>
                      <w:marBottom w:val="0"/>
                      <w:divBdr>
                        <w:top w:val="none" w:sz="0" w:space="0" w:color="auto"/>
                        <w:left w:val="none" w:sz="0" w:space="0" w:color="auto"/>
                        <w:bottom w:val="none" w:sz="0" w:space="0" w:color="auto"/>
                        <w:right w:val="none" w:sz="0" w:space="0" w:color="auto"/>
                      </w:divBdr>
                      <w:divsChild>
                        <w:div w:id="1242789689">
                          <w:marLeft w:val="0"/>
                          <w:marRight w:val="0"/>
                          <w:marTop w:val="0"/>
                          <w:marBottom w:val="0"/>
                          <w:divBdr>
                            <w:top w:val="none" w:sz="0" w:space="0" w:color="auto"/>
                            <w:left w:val="none" w:sz="0" w:space="0" w:color="auto"/>
                            <w:bottom w:val="none" w:sz="0" w:space="0" w:color="auto"/>
                            <w:right w:val="none" w:sz="0" w:space="0" w:color="auto"/>
                          </w:divBdr>
                          <w:divsChild>
                            <w:div w:id="1048996420">
                              <w:marLeft w:val="0"/>
                              <w:marRight w:val="0"/>
                              <w:marTop w:val="0"/>
                              <w:marBottom w:val="0"/>
                              <w:divBdr>
                                <w:top w:val="none" w:sz="0" w:space="0" w:color="auto"/>
                                <w:left w:val="none" w:sz="0" w:space="0" w:color="auto"/>
                                <w:bottom w:val="none" w:sz="0" w:space="0" w:color="auto"/>
                                <w:right w:val="none" w:sz="0" w:space="0" w:color="auto"/>
                              </w:divBdr>
                              <w:divsChild>
                                <w:div w:id="235171406">
                                  <w:marLeft w:val="0"/>
                                  <w:marRight w:val="0"/>
                                  <w:marTop w:val="0"/>
                                  <w:marBottom w:val="0"/>
                                  <w:divBdr>
                                    <w:top w:val="none" w:sz="0" w:space="0" w:color="auto"/>
                                    <w:left w:val="none" w:sz="0" w:space="0" w:color="auto"/>
                                    <w:bottom w:val="none" w:sz="0" w:space="0" w:color="auto"/>
                                    <w:right w:val="none" w:sz="0" w:space="0" w:color="auto"/>
                                  </w:divBdr>
                                  <w:divsChild>
                                    <w:div w:id="11902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80531">
      <w:bodyDiv w:val="1"/>
      <w:marLeft w:val="0"/>
      <w:marRight w:val="0"/>
      <w:marTop w:val="0"/>
      <w:marBottom w:val="0"/>
      <w:divBdr>
        <w:top w:val="none" w:sz="0" w:space="0" w:color="auto"/>
        <w:left w:val="none" w:sz="0" w:space="0" w:color="auto"/>
        <w:bottom w:val="none" w:sz="0" w:space="0" w:color="auto"/>
        <w:right w:val="none" w:sz="0" w:space="0" w:color="auto"/>
      </w:divBdr>
    </w:div>
    <w:div w:id="572155423">
      <w:bodyDiv w:val="1"/>
      <w:marLeft w:val="0"/>
      <w:marRight w:val="0"/>
      <w:marTop w:val="0"/>
      <w:marBottom w:val="0"/>
      <w:divBdr>
        <w:top w:val="none" w:sz="0" w:space="0" w:color="auto"/>
        <w:left w:val="none" w:sz="0" w:space="0" w:color="auto"/>
        <w:bottom w:val="none" w:sz="0" w:space="0" w:color="auto"/>
        <w:right w:val="none" w:sz="0" w:space="0" w:color="auto"/>
      </w:divBdr>
    </w:div>
    <w:div w:id="657195555">
      <w:bodyDiv w:val="1"/>
      <w:marLeft w:val="0"/>
      <w:marRight w:val="0"/>
      <w:marTop w:val="0"/>
      <w:marBottom w:val="0"/>
      <w:divBdr>
        <w:top w:val="none" w:sz="0" w:space="0" w:color="auto"/>
        <w:left w:val="none" w:sz="0" w:space="0" w:color="auto"/>
        <w:bottom w:val="none" w:sz="0" w:space="0" w:color="auto"/>
        <w:right w:val="none" w:sz="0" w:space="0" w:color="auto"/>
      </w:divBdr>
      <w:divsChild>
        <w:div w:id="1966349845">
          <w:marLeft w:val="0"/>
          <w:marRight w:val="0"/>
          <w:marTop w:val="0"/>
          <w:marBottom w:val="0"/>
          <w:divBdr>
            <w:top w:val="none" w:sz="0" w:space="0" w:color="auto"/>
            <w:left w:val="none" w:sz="0" w:space="0" w:color="auto"/>
            <w:bottom w:val="none" w:sz="0" w:space="0" w:color="auto"/>
            <w:right w:val="none" w:sz="0" w:space="0" w:color="auto"/>
          </w:divBdr>
          <w:divsChild>
            <w:div w:id="1356736121">
              <w:marLeft w:val="0"/>
              <w:marRight w:val="0"/>
              <w:marTop w:val="0"/>
              <w:marBottom w:val="150"/>
              <w:divBdr>
                <w:top w:val="none" w:sz="0" w:space="0" w:color="auto"/>
                <w:left w:val="none" w:sz="0" w:space="0" w:color="auto"/>
                <w:bottom w:val="none" w:sz="0" w:space="0" w:color="auto"/>
                <w:right w:val="none" w:sz="0" w:space="0" w:color="auto"/>
              </w:divBdr>
              <w:divsChild>
                <w:div w:id="202716753">
                  <w:marLeft w:val="0"/>
                  <w:marRight w:val="0"/>
                  <w:marTop w:val="0"/>
                  <w:marBottom w:val="0"/>
                  <w:divBdr>
                    <w:top w:val="none" w:sz="0" w:space="0" w:color="auto"/>
                    <w:left w:val="none" w:sz="0" w:space="0" w:color="auto"/>
                    <w:bottom w:val="none" w:sz="0" w:space="0" w:color="auto"/>
                    <w:right w:val="none" w:sz="0" w:space="0" w:color="auto"/>
                  </w:divBdr>
                  <w:divsChild>
                    <w:div w:id="1509980289">
                      <w:marLeft w:val="0"/>
                      <w:marRight w:val="0"/>
                      <w:marTop w:val="0"/>
                      <w:marBottom w:val="0"/>
                      <w:divBdr>
                        <w:top w:val="none" w:sz="0" w:space="0" w:color="auto"/>
                        <w:left w:val="none" w:sz="0" w:space="0" w:color="auto"/>
                        <w:bottom w:val="none" w:sz="0" w:space="0" w:color="auto"/>
                        <w:right w:val="none" w:sz="0" w:space="0" w:color="auto"/>
                      </w:divBdr>
                      <w:divsChild>
                        <w:div w:id="1456800443">
                          <w:marLeft w:val="0"/>
                          <w:marRight w:val="0"/>
                          <w:marTop w:val="0"/>
                          <w:marBottom w:val="0"/>
                          <w:divBdr>
                            <w:top w:val="none" w:sz="0" w:space="0" w:color="auto"/>
                            <w:left w:val="none" w:sz="0" w:space="0" w:color="auto"/>
                            <w:bottom w:val="none" w:sz="0" w:space="0" w:color="auto"/>
                            <w:right w:val="none" w:sz="0" w:space="0" w:color="auto"/>
                          </w:divBdr>
                          <w:divsChild>
                            <w:div w:id="147793598">
                              <w:marLeft w:val="0"/>
                              <w:marRight w:val="0"/>
                              <w:marTop w:val="0"/>
                              <w:marBottom w:val="0"/>
                              <w:divBdr>
                                <w:top w:val="none" w:sz="0" w:space="0" w:color="auto"/>
                                <w:left w:val="none" w:sz="0" w:space="0" w:color="auto"/>
                                <w:bottom w:val="none" w:sz="0" w:space="0" w:color="auto"/>
                                <w:right w:val="none" w:sz="0" w:space="0" w:color="auto"/>
                              </w:divBdr>
                              <w:divsChild>
                                <w:div w:id="1867718858">
                                  <w:marLeft w:val="0"/>
                                  <w:marRight w:val="-3600"/>
                                  <w:marTop w:val="150"/>
                                  <w:marBottom w:val="0"/>
                                  <w:divBdr>
                                    <w:top w:val="none" w:sz="0" w:space="0" w:color="auto"/>
                                    <w:left w:val="none" w:sz="0" w:space="0" w:color="auto"/>
                                    <w:bottom w:val="none" w:sz="0" w:space="0" w:color="auto"/>
                                    <w:right w:val="none" w:sz="0" w:space="0" w:color="auto"/>
                                  </w:divBdr>
                                  <w:divsChild>
                                    <w:div w:id="19285026">
                                      <w:marLeft w:val="0"/>
                                      <w:marRight w:val="3600"/>
                                      <w:marTop w:val="0"/>
                                      <w:marBottom w:val="0"/>
                                      <w:divBdr>
                                        <w:top w:val="none" w:sz="0" w:space="0" w:color="auto"/>
                                        <w:left w:val="none" w:sz="0" w:space="0" w:color="auto"/>
                                        <w:bottom w:val="none" w:sz="0" w:space="0" w:color="auto"/>
                                        <w:right w:val="none" w:sz="0" w:space="0" w:color="auto"/>
                                      </w:divBdr>
                                      <w:divsChild>
                                        <w:div w:id="595283163">
                                          <w:marLeft w:val="0"/>
                                          <w:marRight w:val="0"/>
                                          <w:marTop w:val="0"/>
                                          <w:marBottom w:val="0"/>
                                          <w:divBdr>
                                            <w:top w:val="none" w:sz="0" w:space="0" w:color="auto"/>
                                            <w:left w:val="none" w:sz="0" w:space="0" w:color="auto"/>
                                            <w:bottom w:val="none" w:sz="0" w:space="0" w:color="auto"/>
                                            <w:right w:val="none" w:sz="0" w:space="0" w:color="auto"/>
                                          </w:divBdr>
                                          <w:divsChild>
                                            <w:div w:id="1880850332">
                                              <w:marLeft w:val="0"/>
                                              <w:marRight w:val="0"/>
                                              <w:marTop w:val="0"/>
                                              <w:marBottom w:val="0"/>
                                              <w:divBdr>
                                                <w:top w:val="none" w:sz="0" w:space="0" w:color="auto"/>
                                                <w:left w:val="none" w:sz="0" w:space="0" w:color="auto"/>
                                                <w:bottom w:val="none" w:sz="0" w:space="0" w:color="auto"/>
                                                <w:right w:val="none" w:sz="0" w:space="0" w:color="auto"/>
                                              </w:divBdr>
                                              <w:divsChild>
                                                <w:div w:id="1078865356">
                                                  <w:marLeft w:val="0"/>
                                                  <w:marRight w:val="0"/>
                                                  <w:marTop w:val="0"/>
                                                  <w:marBottom w:val="0"/>
                                                  <w:divBdr>
                                                    <w:top w:val="none" w:sz="0" w:space="0" w:color="auto"/>
                                                    <w:left w:val="none" w:sz="0" w:space="0" w:color="auto"/>
                                                    <w:bottom w:val="none" w:sz="0" w:space="0" w:color="auto"/>
                                                    <w:right w:val="none" w:sz="0" w:space="0" w:color="auto"/>
                                                  </w:divBdr>
                                                  <w:divsChild>
                                                    <w:div w:id="1073698130">
                                                      <w:marLeft w:val="0"/>
                                                      <w:marRight w:val="0"/>
                                                      <w:marTop w:val="0"/>
                                                      <w:marBottom w:val="0"/>
                                                      <w:divBdr>
                                                        <w:top w:val="none" w:sz="0" w:space="0" w:color="auto"/>
                                                        <w:left w:val="none" w:sz="0" w:space="0" w:color="auto"/>
                                                        <w:bottom w:val="none" w:sz="0" w:space="0" w:color="auto"/>
                                                        <w:right w:val="none" w:sz="0" w:space="0" w:color="auto"/>
                                                      </w:divBdr>
                                                      <w:divsChild>
                                                        <w:div w:id="969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82786">
      <w:bodyDiv w:val="1"/>
      <w:marLeft w:val="0"/>
      <w:marRight w:val="0"/>
      <w:marTop w:val="0"/>
      <w:marBottom w:val="0"/>
      <w:divBdr>
        <w:top w:val="none" w:sz="0" w:space="0" w:color="auto"/>
        <w:left w:val="none" w:sz="0" w:space="0" w:color="auto"/>
        <w:bottom w:val="none" w:sz="0" w:space="0" w:color="auto"/>
        <w:right w:val="none" w:sz="0" w:space="0" w:color="auto"/>
      </w:divBdr>
    </w:div>
    <w:div w:id="823198736">
      <w:bodyDiv w:val="1"/>
      <w:marLeft w:val="0"/>
      <w:marRight w:val="0"/>
      <w:marTop w:val="0"/>
      <w:marBottom w:val="0"/>
      <w:divBdr>
        <w:top w:val="none" w:sz="0" w:space="0" w:color="auto"/>
        <w:left w:val="none" w:sz="0" w:space="0" w:color="auto"/>
        <w:bottom w:val="none" w:sz="0" w:space="0" w:color="auto"/>
        <w:right w:val="none" w:sz="0" w:space="0" w:color="auto"/>
      </w:divBdr>
    </w:div>
    <w:div w:id="908224758">
      <w:bodyDiv w:val="1"/>
      <w:marLeft w:val="0"/>
      <w:marRight w:val="0"/>
      <w:marTop w:val="0"/>
      <w:marBottom w:val="0"/>
      <w:divBdr>
        <w:top w:val="none" w:sz="0" w:space="0" w:color="auto"/>
        <w:left w:val="none" w:sz="0" w:space="0" w:color="auto"/>
        <w:bottom w:val="none" w:sz="0" w:space="0" w:color="auto"/>
        <w:right w:val="none" w:sz="0" w:space="0" w:color="auto"/>
      </w:divBdr>
      <w:divsChild>
        <w:div w:id="1408264901">
          <w:marLeft w:val="0"/>
          <w:marRight w:val="0"/>
          <w:marTop w:val="0"/>
          <w:marBottom w:val="0"/>
          <w:divBdr>
            <w:top w:val="none" w:sz="0" w:space="0" w:color="auto"/>
            <w:left w:val="none" w:sz="0" w:space="0" w:color="auto"/>
            <w:bottom w:val="none" w:sz="0" w:space="0" w:color="auto"/>
            <w:right w:val="none" w:sz="0" w:space="0" w:color="auto"/>
          </w:divBdr>
          <w:divsChild>
            <w:div w:id="636958766">
              <w:marLeft w:val="0"/>
              <w:marRight w:val="0"/>
              <w:marTop w:val="0"/>
              <w:marBottom w:val="0"/>
              <w:divBdr>
                <w:top w:val="none" w:sz="0" w:space="0" w:color="auto"/>
                <w:left w:val="none" w:sz="0" w:space="0" w:color="auto"/>
                <w:bottom w:val="none" w:sz="0" w:space="0" w:color="auto"/>
                <w:right w:val="none" w:sz="0" w:space="0" w:color="auto"/>
              </w:divBdr>
              <w:divsChild>
                <w:div w:id="314652834">
                  <w:marLeft w:val="0"/>
                  <w:marRight w:val="0"/>
                  <w:marTop w:val="0"/>
                  <w:marBottom w:val="0"/>
                  <w:divBdr>
                    <w:top w:val="none" w:sz="0" w:space="0" w:color="auto"/>
                    <w:left w:val="none" w:sz="0" w:space="0" w:color="auto"/>
                    <w:bottom w:val="none" w:sz="0" w:space="0" w:color="auto"/>
                    <w:right w:val="none" w:sz="0" w:space="0" w:color="auto"/>
                  </w:divBdr>
                  <w:divsChild>
                    <w:div w:id="1614559797">
                      <w:marLeft w:val="0"/>
                      <w:marRight w:val="0"/>
                      <w:marTop w:val="0"/>
                      <w:marBottom w:val="0"/>
                      <w:divBdr>
                        <w:top w:val="none" w:sz="0" w:space="0" w:color="auto"/>
                        <w:left w:val="none" w:sz="0" w:space="0" w:color="auto"/>
                        <w:bottom w:val="none" w:sz="0" w:space="0" w:color="auto"/>
                        <w:right w:val="none" w:sz="0" w:space="0" w:color="auto"/>
                      </w:divBdr>
                      <w:divsChild>
                        <w:div w:id="1548490446">
                          <w:marLeft w:val="0"/>
                          <w:marRight w:val="0"/>
                          <w:marTop w:val="0"/>
                          <w:marBottom w:val="0"/>
                          <w:divBdr>
                            <w:top w:val="none" w:sz="0" w:space="0" w:color="auto"/>
                            <w:left w:val="none" w:sz="0" w:space="0" w:color="auto"/>
                            <w:bottom w:val="none" w:sz="0" w:space="0" w:color="auto"/>
                            <w:right w:val="none" w:sz="0" w:space="0" w:color="auto"/>
                          </w:divBdr>
                          <w:divsChild>
                            <w:div w:id="1382096500">
                              <w:marLeft w:val="-225"/>
                              <w:marRight w:val="-225"/>
                              <w:marTop w:val="0"/>
                              <w:marBottom w:val="0"/>
                              <w:divBdr>
                                <w:top w:val="none" w:sz="0" w:space="0" w:color="auto"/>
                                <w:left w:val="none" w:sz="0" w:space="0" w:color="auto"/>
                                <w:bottom w:val="none" w:sz="0" w:space="0" w:color="auto"/>
                                <w:right w:val="none" w:sz="0" w:space="0" w:color="auto"/>
                              </w:divBdr>
                              <w:divsChild>
                                <w:div w:id="1399015251">
                                  <w:marLeft w:val="0"/>
                                  <w:marRight w:val="0"/>
                                  <w:marTop w:val="0"/>
                                  <w:marBottom w:val="0"/>
                                  <w:divBdr>
                                    <w:top w:val="none" w:sz="0" w:space="0" w:color="auto"/>
                                    <w:left w:val="none" w:sz="0" w:space="0" w:color="auto"/>
                                    <w:bottom w:val="none" w:sz="0" w:space="0" w:color="auto"/>
                                    <w:right w:val="none" w:sz="0" w:space="0" w:color="auto"/>
                                  </w:divBdr>
                                  <w:divsChild>
                                    <w:div w:id="65494445">
                                      <w:marLeft w:val="0"/>
                                      <w:marRight w:val="0"/>
                                      <w:marTop w:val="0"/>
                                      <w:marBottom w:val="133"/>
                                      <w:divBdr>
                                        <w:top w:val="none" w:sz="0" w:space="0" w:color="auto"/>
                                        <w:left w:val="none" w:sz="0" w:space="0" w:color="auto"/>
                                        <w:bottom w:val="none" w:sz="0" w:space="0" w:color="auto"/>
                                        <w:right w:val="none" w:sz="0" w:space="0" w:color="auto"/>
                                      </w:divBdr>
                                      <w:divsChild>
                                        <w:div w:id="572161249">
                                          <w:marLeft w:val="0"/>
                                          <w:marRight w:val="0"/>
                                          <w:marTop w:val="0"/>
                                          <w:marBottom w:val="133"/>
                                          <w:divBdr>
                                            <w:top w:val="none" w:sz="0" w:space="0" w:color="auto"/>
                                            <w:left w:val="none" w:sz="0" w:space="0" w:color="auto"/>
                                            <w:bottom w:val="none" w:sz="0" w:space="0" w:color="auto"/>
                                            <w:right w:val="none" w:sz="0" w:space="0" w:color="auto"/>
                                          </w:divBdr>
                                          <w:divsChild>
                                            <w:div w:id="2352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92893">
      <w:bodyDiv w:val="1"/>
      <w:marLeft w:val="0"/>
      <w:marRight w:val="0"/>
      <w:marTop w:val="0"/>
      <w:marBottom w:val="0"/>
      <w:divBdr>
        <w:top w:val="none" w:sz="0" w:space="0" w:color="auto"/>
        <w:left w:val="none" w:sz="0" w:space="0" w:color="auto"/>
        <w:bottom w:val="none" w:sz="0" w:space="0" w:color="auto"/>
        <w:right w:val="none" w:sz="0" w:space="0" w:color="auto"/>
      </w:divBdr>
    </w:div>
    <w:div w:id="931427248">
      <w:bodyDiv w:val="1"/>
      <w:marLeft w:val="0"/>
      <w:marRight w:val="0"/>
      <w:marTop w:val="0"/>
      <w:marBottom w:val="0"/>
      <w:divBdr>
        <w:top w:val="none" w:sz="0" w:space="0" w:color="auto"/>
        <w:left w:val="none" w:sz="0" w:space="0" w:color="auto"/>
        <w:bottom w:val="none" w:sz="0" w:space="0" w:color="auto"/>
        <w:right w:val="none" w:sz="0" w:space="0" w:color="auto"/>
      </w:divBdr>
      <w:divsChild>
        <w:div w:id="645473894">
          <w:marLeft w:val="0"/>
          <w:marRight w:val="0"/>
          <w:marTop w:val="0"/>
          <w:marBottom w:val="0"/>
          <w:divBdr>
            <w:top w:val="none" w:sz="0" w:space="0" w:color="auto"/>
            <w:left w:val="none" w:sz="0" w:space="0" w:color="auto"/>
            <w:bottom w:val="none" w:sz="0" w:space="0" w:color="auto"/>
            <w:right w:val="none" w:sz="0" w:space="0" w:color="auto"/>
          </w:divBdr>
          <w:divsChild>
            <w:div w:id="1652054393">
              <w:marLeft w:val="0"/>
              <w:marRight w:val="0"/>
              <w:marTop w:val="0"/>
              <w:marBottom w:val="150"/>
              <w:divBdr>
                <w:top w:val="none" w:sz="0" w:space="0" w:color="auto"/>
                <w:left w:val="none" w:sz="0" w:space="0" w:color="auto"/>
                <w:bottom w:val="none" w:sz="0" w:space="0" w:color="auto"/>
                <w:right w:val="none" w:sz="0" w:space="0" w:color="auto"/>
              </w:divBdr>
              <w:divsChild>
                <w:div w:id="1058018051">
                  <w:marLeft w:val="0"/>
                  <w:marRight w:val="0"/>
                  <w:marTop w:val="0"/>
                  <w:marBottom w:val="0"/>
                  <w:divBdr>
                    <w:top w:val="none" w:sz="0" w:space="0" w:color="auto"/>
                    <w:left w:val="none" w:sz="0" w:space="0" w:color="auto"/>
                    <w:bottom w:val="none" w:sz="0" w:space="0" w:color="auto"/>
                    <w:right w:val="none" w:sz="0" w:space="0" w:color="auto"/>
                  </w:divBdr>
                  <w:divsChild>
                    <w:div w:id="272716754">
                      <w:marLeft w:val="0"/>
                      <w:marRight w:val="0"/>
                      <w:marTop w:val="0"/>
                      <w:marBottom w:val="0"/>
                      <w:divBdr>
                        <w:top w:val="none" w:sz="0" w:space="0" w:color="auto"/>
                        <w:left w:val="none" w:sz="0" w:space="0" w:color="auto"/>
                        <w:bottom w:val="none" w:sz="0" w:space="0" w:color="auto"/>
                        <w:right w:val="none" w:sz="0" w:space="0" w:color="auto"/>
                      </w:divBdr>
                      <w:divsChild>
                        <w:div w:id="1784156935">
                          <w:marLeft w:val="0"/>
                          <w:marRight w:val="0"/>
                          <w:marTop w:val="0"/>
                          <w:marBottom w:val="0"/>
                          <w:divBdr>
                            <w:top w:val="none" w:sz="0" w:space="0" w:color="auto"/>
                            <w:left w:val="none" w:sz="0" w:space="0" w:color="auto"/>
                            <w:bottom w:val="none" w:sz="0" w:space="0" w:color="auto"/>
                            <w:right w:val="none" w:sz="0" w:space="0" w:color="auto"/>
                          </w:divBdr>
                          <w:divsChild>
                            <w:div w:id="2037735550">
                              <w:marLeft w:val="0"/>
                              <w:marRight w:val="0"/>
                              <w:marTop w:val="0"/>
                              <w:marBottom w:val="0"/>
                              <w:divBdr>
                                <w:top w:val="none" w:sz="0" w:space="0" w:color="auto"/>
                                <w:left w:val="none" w:sz="0" w:space="0" w:color="auto"/>
                                <w:bottom w:val="none" w:sz="0" w:space="0" w:color="auto"/>
                                <w:right w:val="none" w:sz="0" w:space="0" w:color="auto"/>
                              </w:divBdr>
                              <w:divsChild>
                                <w:div w:id="856848876">
                                  <w:marLeft w:val="0"/>
                                  <w:marRight w:val="-3600"/>
                                  <w:marTop w:val="150"/>
                                  <w:marBottom w:val="0"/>
                                  <w:divBdr>
                                    <w:top w:val="none" w:sz="0" w:space="0" w:color="auto"/>
                                    <w:left w:val="none" w:sz="0" w:space="0" w:color="auto"/>
                                    <w:bottom w:val="none" w:sz="0" w:space="0" w:color="auto"/>
                                    <w:right w:val="none" w:sz="0" w:space="0" w:color="auto"/>
                                  </w:divBdr>
                                  <w:divsChild>
                                    <w:div w:id="12272479">
                                      <w:marLeft w:val="0"/>
                                      <w:marRight w:val="3600"/>
                                      <w:marTop w:val="0"/>
                                      <w:marBottom w:val="0"/>
                                      <w:divBdr>
                                        <w:top w:val="none" w:sz="0" w:space="0" w:color="auto"/>
                                        <w:left w:val="none" w:sz="0" w:space="0" w:color="auto"/>
                                        <w:bottom w:val="none" w:sz="0" w:space="0" w:color="auto"/>
                                        <w:right w:val="none" w:sz="0" w:space="0" w:color="auto"/>
                                      </w:divBdr>
                                      <w:divsChild>
                                        <w:div w:id="329136562">
                                          <w:marLeft w:val="0"/>
                                          <w:marRight w:val="0"/>
                                          <w:marTop w:val="0"/>
                                          <w:marBottom w:val="0"/>
                                          <w:divBdr>
                                            <w:top w:val="none" w:sz="0" w:space="0" w:color="auto"/>
                                            <w:left w:val="none" w:sz="0" w:space="0" w:color="auto"/>
                                            <w:bottom w:val="none" w:sz="0" w:space="0" w:color="auto"/>
                                            <w:right w:val="none" w:sz="0" w:space="0" w:color="auto"/>
                                          </w:divBdr>
                                          <w:divsChild>
                                            <w:div w:id="458499195">
                                              <w:marLeft w:val="0"/>
                                              <w:marRight w:val="0"/>
                                              <w:marTop w:val="0"/>
                                              <w:marBottom w:val="0"/>
                                              <w:divBdr>
                                                <w:top w:val="none" w:sz="0" w:space="0" w:color="auto"/>
                                                <w:left w:val="none" w:sz="0" w:space="0" w:color="auto"/>
                                                <w:bottom w:val="none" w:sz="0" w:space="0" w:color="auto"/>
                                                <w:right w:val="none" w:sz="0" w:space="0" w:color="auto"/>
                                              </w:divBdr>
                                              <w:divsChild>
                                                <w:div w:id="551817254">
                                                  <w:marLeft w:val="0"/>
                                                  <w:marRight w:val="0"/>
                                                  <w:marTop w:val="0"/>
                                                  <w:marBottom w:val="0"/>
                                                  <w:divBdr>
                                                    <w:top w:val="none" w:sz="0" w:space="0" w:color="auto"/>
                                                    <w:left w:val="none" w:sz="0" w:space="0" w:color="auto"/>
                                                    <w:bottom w:val="none" w:sz="0" w:space="0" w:color="auto"/>
                                                    <w:right w:val="none" w:sz="0" w:space="0" w:color="auto"/>
                                                  </w:divBdr>
                                                  <w:divsChild>
                                                    <w:div w:id="1510026354">
                                                      <w:marLeft w:val="0"/>
                                                      <w:marRight w:val="0"/>
                                                      <w:marTop w:val="0"/>
                                                      <w:marBottom w:val="0"/>
                                                      <w:divBdr>
                                                        <w:top w:val="none" w:sz="0" w:space="0" w:color="auto"/>
                                                        <w:left w:val="none" w:sz="0" w:space="0" w:color="auto"/>
                                                        <w:bottom w:val="none" w:sz="0" w:space="0" w:color="auto"/>
                                                        <w:right w:val="none" w:sz="0" w:space="0" w:color="auto"/>
                                                      </w:divBdr>
                                                      <w:divsChild>
                                                        <w:div w:id="470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785722">
      <w:bodyDiv w:val="1"/>
      <w:marLeft w:val="0"/>
      <w:marRight w:val="0"/>
      <w:marTop w:val="0"/>
      <w:marBottom w:val="0"/>
      <w:divBdr>
        <w:top w:val="none" w:sz="0" w:space="0" w:color="auto"/>
        <w:left w:val="none" w:sz="0" w:space="0" w:color="auto"/>
        <w:bottom w:val="none" w:sz="0" w:space="0" w:color="auto"/>
        <w:right w:val="none" w:sz="0" w:space="0" w:color="auto"/>
      </w:divBdr>
    </w:div>
    <w:div w:id="938564930">
      <w:bodyDiv w:val="1"/>
      <w:marLeft w:val="0"/>
      <w:marRight w:val="0"/>
      <w:marTop w:val="0"/>
      <w:marBottom w:val="0"/>
      <w:divBdr>
        <w:top w:val="none" w:sz="0" w:space="0" w:color="auto"/>
        <w:left w:val="none" w:sz="0" w:space="0" w:color="auto"/>
        <w:bottom w:val="none" w:sz="0" w:space="0" w:color="auto"/>
        <w:right w:val="none" w:sz="0" w:space="0" w:color="auto"/>
      </w:divBdr>
    </w:div>
    <w:div w:id="955793456">
      <w:bodyDiv w:val="1"/>
      <w:marLeft w:val="0"/>
      <w:marRight w:val="0"/>
      <w:marTop w:val="0"/>
      <w:marBottom w:val="0"/>
      <w:divBdr>
        <w:top w:val="none" w:sz="0" w:space="0" w:color="auto"/>
        <w:left w:val="none" w:sz="0" w:space="0" w:color="auto"/>
        <w:bottom w:val="none" w:sz="0" w:space="0" w:color="auto"/>
        <w:right w:val="none" w:sz="0" w:space="0" w:color="auto"/>
      </w:divBdr>
    </w:div>
    <w:div w:id="1070234825">
      <w:bodyDiv w:val="1"/>
      <w:marLeft w:val="0"/>
      <w:marRight w:val="0"/>
      <w:marTop w:val="0"/>
      <w:marBottom w:val="0"/>
      <w:divBdr>
        <w:top w:val="none" w:sz="0" w:space="0" w:color="auto"/>
        <w:left w:val="none" w:sz="0" w:space="0" w:color="auto"/>
        <w:bottom w:val="none" w:sz="0" w:space="0" w:color="auto"/>
        <w:right w:val="none" w:sz="0" w:space="0" w:color="auto"/>
      </w:divBdr>
    </w:div>
    <w:div w:id="1094207162">
      <w:bodyDiv w:val="1"/>
      <w:marLeft w:val="0"/>
      <w:marRight w:val="0"/>
      <w:marTop w:val="0"/>
      <w:marBottom w:val="0"/>
      <w:divBdr>
        <w:top w:val="none" w:sz="0" w:space="0" w:color="auto"/>
        <w:left w:val="none" w:sz="0" w:space="0" w:color="auto"/>
        <w:bottom w:val="none" w:sz="0" w:space="0" w:color="auto"/>
        <w:right w:val="none" w:sz="0" w:space="0" w:color="auto"/>
      </w:divBdr>
    </w:div>
    <w:div w:id="1173110901">
      <w:bodyDiv w:val="1"/>
      <w:marLeft w:val="0"/>
      <w:marRight w:val="0"/>
      <w:marTop w:val="0"/>
      <w:marBottom w:val="0"/>
      <w:divBdr>
        <w:top w:val="none" w:sz="0" w:space="0" w:color="auto"/>
        <w:left w:val="none" w:sz="0" w:space="0" w:color="auto"/>
        <w:bottom w:val="none" w:sz="0" w:space="0" w:color="auto"/>
        <w:right w:val="none" w:sz="0" w:space="0" w:color="auto"/>
      </w:divBdr>
    </w:div>
    <w:div w:id="1289431240">
      <w:bodyDiv w:val="1"/>
      <w:marLeft w:val="0"/>
      <w:marRight w:val="0"/>
      <w:marTop w:val="0"/>
      <w:marBottom w:val="0"/>
      <w:divBdr>
        <w:top w:val="none" w:sz="0" w:space="0" w:color="auto"/>
        <w:left w:val="none" w:sz="0" w:space="0" w:color="auto"/>
        <w:bottom w:val="none" w:sz="0" w:space="0" w:color="auto"/>
        <w:right w:val="none" w:sz="0" w:space="0" w:color="auto"/>
      </w:divBdr>
    </w:div>
    <w:div w:id="1304847464">
      <w:bodyDiv w:val="1"/>
      <w:marLeft w:val="0"/>
      <w:marRight w:val="0"/>
      <w:marTop w:val="0"/>
      <w:marBottom w:val="0"/>
      <w:divBdr>
        <w:top w:val="none" w:sz="0" w:space="0" w:color="auto"/>
        <w:left w:val="none" w:sz="0" w:space="0" w:color="auto"/>
        <w:bottom w:val="none" w:sz="0" w:space="0" w:color="auto"/>
        <w:right w:val="none" w:sz="0" w:space="0" w:color="auto"/>
      </w:divBdr>
    </w:div>
    <w:div w:id="1305740606">
      <w:bodyDiv w:val="1"/>
      <w:marLeft w:val="0"/>
      <w:marRight w:val="0"/>
      <w:marTop w:val="0"/>
      <w:marBottom w:val="0"/>
      <w:divBdr>
        <w:top w:val="none" w:sz="0" w:space="0" w:color="auto"/>
        <w:left w:val="none" w:sz="0" w:space="0" w:color="auto"/>
        <w:bottom w:val="none" w:sz="0" w:space="0" w:color="auto"/>
        <w:right w:val="none" w:sz="0" w:space="0" w:color="auto"/>
      </w:divBdr>
    </w:div>
    <w:div w:id="1432161892">
      <w:bodyDiv w:val="1"/>
      <w:marLeft w:val="0"/>
      <w:marRight w:val="0"/>
      <w:marTop w:val="0"/>
      <w:marBottom w:val="0"/>
      <w:divBdr>
        <w:top w:val="none" w:sz="0" w:space="0" w:color="auto"/>
        <w:left w:val="none" w:sz="0" w:space="0" w:color="auto"/>
        <w:bottom w:val="none" w:sz="0" w:space="0" w:color="auto"/>
        <w:right w:val="none" w:sz="0" w:space="0" w:color="auto"/>
      </w:divBdr>
    </w:div>
    <w:div w:id="1458914280">
      <w:bodyDiv w:val="1"/>
      <w:marLeft w:val="0"/>
      <w:marRight w:val="0"/>
      <w:marTop w:val="0"/>
      <w:marBottom w:val="0"/>
      <w:divBdr>
        <w:top w:val="none" w:sz="0" w:space="0" w:color="auto"/>
        <w:left w:val="none" w:sz="0" w:space="0" w:color="auto"/>
        <w:bottom w:val="none" w:sz="0" w:space="0" w:color="auto"/>
        <w:right w:val="none" w:sz="0" w:space="0" w:color="auto"/>
      </w:divBdr>
    </w:div>
    <w:div w:id="1460804940">
      <w:bodyDiv w:val="1"/>
      <w:marLeft w:val="0"/>
      <w:marRight w:val="0"/>
      <w:marTop w:val="0"/>
      <w:marBottom w:val="0"/>
      <w:divBdr>
        <w:top w:val="none" w:sz="0" w:space="0" w:color="auto"/>
        <w:left w:val="none" w:sz="0" w:space="0" w:color="auto"/>
        <w:bottom w:val="none" w:sz="0" w:space="0" w:color="auto"/>
        <w:right w:val="none" w:sz="0" w:space="0" w:color="auto"/>
      </w:divBdr>
    </w:div>
    <w:div w:id="1489207129">
      <w:bodyDiv w:val="1"/>
      <w:marLeft w:val="0"/>
      <w:marRight w:val="0"/>
      <w:marTop w:val="0"/>
      <w:marBottom w:val="0"/>
      <w:divBdr>
        <w:top w:val="none" w:sz="0" w:space="0" w:color="auto"/>
        <w:left w:val="none" w:sz="0" w:space="0" w:color="auto"/>
        <w:bottom w:val="none" w:sz="0" w:space="0" w:color="auto"/>
        <w:right w:val="none" w:sz="0" w:space="0" w:color="auto"/>
      </w:divBdr>
    </w:div>
    <w:div w:id="1499227510">
      <w:bodyDiv w:val="1"/>
      <w:marLeft w:val="0"/>
      <w:marRight w:val="0"/>
      <w:marTop w:val="0"/>
      <w:marBottom w:val="0"/>
      <w:divBdr>
        <w:top w:val="none" w:sz="0" w:space="0" w:color="auto"/>
        <w:left w:val="none" w:sz="0" w:space="0" w:color="auto"/>
        <w:bottom w:val="none" w:sz="0" w:space="0" w:color="auto"/>
        <w:right w:val="none" w:sz="0" w:space="0" w:color="auto"/>
      </w:divBdr>
    </w:div>
    <w:div w:id="1552157909">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 w:id="1715619359">
      <w:bodyDiv w:val="1"/>
      <w:marLeft w:val="0"/>
      <w:marRight w:val="0"/>
      <w:marTop w:val="0"/>
      <w:marBottom w:val="0"/>
      <w:divBdr>
        <w:top w:val="none" w:sz="0" w:space="0" w:color="auto"/>
        <w:left w:val="none" w:sz="0" w:space="0" w:color="auto"/>
        <w:bottom w:val="none" w:sz="0" w:space="0" w:color="auto"/>
        <w:right w:val="none" w:sz="0" w:space="0" w:color="auto"/>
      </w:divBdr>
    </w:div>
    <w:div w:id="1732607777">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765419558">
      <w:bodyDiv w:val="1"/>
      <w:marLeft w:val="0"/>
      <w:marRight w:val="0"/>
      <w:marTop w:val="0"/>
      <w:marBottom w:val="0"/>
      <w:divBdr>
        <w:top w:val="none" w:sz="0" w:space="0" w:color="auto"/>
        <w:left w:val="none" w:sz="0" w:space="0" w:color="auto"/>
        <w:bottom w:val="none" w:sz="0" w:space="0" w:color="auto"/>
        <w:right w:val="none" w:sz="0" w:space="0" w:color="auto"/>
      </w:divBdr>
    </w:div>
    <w:div w:id="1823739553">
      <w:bodyDiv w:val="1"/>
      <w:marLeft w:val="0"/>
      <w:marRight w:val="0"/>
      <w:marTop w:val="0"/>
      <w:marBottom w:val="0"/>
      <w:divBdr>
        <w:top w:val="none" w:sz="0" w:space="0" w:color="auto"/>
        <w:left w:val="none" w:sz="0" w:space="0" w:color="auto"/>
        <w:bottom w:val="none" w:sz="0" w:space="0" w:color="auto"/>
        <w:right w:val="none" w:sz="0" w:space="0" w:color="auto"/>
      </w:divBdr>
    </w:div>
    <w:div w:id="1852065625">
      <w:bodyDiv w:val="1"/>
      <w:marLeft w:val="0"/>
      <w:marRight w:val="0"/>
      <w:marTop w:val="0"/>
      <w:marBottom w:val="0"/>
      <w:divBdr>
        <w:top w:val="none" w:sz="0" w:space="0" w:color="auto"/>
        <w:left w:val="none" w:sz="0" w:space="0" w:color="auto"/>
        <w:bottom w:val="none" w:sz="0" w:space="0" w:color="auto"/>
        <w:right w:val="none" w:sz="0" w:space="0" w:color="auto"/>
      </w:divBdr>
    </w:div>
    <w:div w:id="1860778286">
      <w:bodyDiv w:val="1"/>
      <w:marLeft w:val="0"/>
      <w:marRight w:val="0"/>
      <w:marTop w:val="0"/>
      <w:marBottom w:val="0"/>
      <w:divBdr>
        <w:top w:val="none" w:sz="0" w:space="0" w:color="auto"/>
        <w:left w:val="none" w:sz="0" w:space="0" w:color="auto"/>
        <w:bottom w:val="none" w:sz="0" w:space="0" w:color="auto"/>
        <w:right w:val="none" w:sz="0" w:space="0" w:color="auto"/>
      </w:divBdr>
    </w:div>
    <w:div w:id="1916015270">
      <w:bodyDiv w:val="1"/>
      <w:marLeft w:val="0"/>
      <w:marRight w:val="0"/>
      <w:marTop w:val="0"/>
      <w:marBottom w:val="0"/>
      <w:divBdr>
        <w:top w:val="none" w:sz="0" w:space="0" w:color="auto"/>
        <w:left w:val="none" w:sz="0" w:space="0" w:color="auto"/>
        <w:bottom w:val="none" w:sz="0" w:space="0" w:color="auto"/>
        <w:right w:val="none" w:sz="0" w:space="0" w:color="auto"/>
      </w:divBdr>
    </w:div>
    <w:div w:id="2017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17/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ED83-B852-45CF-B226-494BED7C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6399</Words>
  <Characters>37279</Characters>
  <Application>Microsoft Office Word</Application>
  <DocSecurity>0</DocSecurity>
  <Lines>575</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2017-11-07T15:21:00Z</dcterms:created>
  <dcterms:modified xsi:type="dcterms:W3CDTF">2017-11-08T09:18:00Z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