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43B" w:rsidRDefault="00C34FF8" w:rsidP="00C34FF8">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8431C7C6-9837-49AC-BC8D-F25C5ED21498" style="width:450.9pt;height:361.45pt">
            <v:imagedata r:id="rId8" o:title=""/>
          </v:shape>
        </w:pict>
      </w:r>
    </w:p>
    <w:bookmarkEnd w:id="0"/>
    <w:p w:rsidR="00E1343B" w:rsidRDefault="00E1343B">
      <w:pPr>
        <w:rPr>
          <w:noProof/>
        </w:rPr>
        <w:sectPr w:rsidR="00E1343B" w:rsidSect="00C34FF8">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2"/>
          <w:cols w:space="720"/>
          <w:docGrid w:linePitch="326"/>
        </w:sectPr>
      </w:pPr>
    </w:p>
    <w:p w:rsidR="00E1343B" w:rsidRDefault="00E1343B">
      <w:pPr>
        <w:rPr>
          <w:noProof/>
        </w:rPr>
      </w:pPr>
      <w:bookmarkStart w:id="1" w:name="_GoBack"/>
      <w:bookmarkEnd w:id="1"/>
    </w:p>
    <w:bookmarkStart w:id="2" w:name="_Toc493510413"/>
    <w:p w:rsidR="00E1343B" w:rsidRDefault="00EB18D6">
      <w:pPr>
        <w:pStyle w:val="TOC1"/>
        <w:rPr>
          <w:rFonts w:asciiTheme="minorHAnsi" w:eastAsiaTheme="minorEastAsia" w:hAnsiTheme="minorHAnsi" w:cstheme="minorBidi"/>
          <w:caps w:val="0"/>
          <w:noProof/>
          <w:sz w:val="22"/>
          <w:szCs w:val="22"/>
          <w:lang w:bidi="ar-SA"/>
        </w:rPr>
      </w:pPr>
      <w:r>
        <w:rPr>
          <w:b/>
          <w:caps w:val="0"/>
          <w:smallCaps/>
          <w:noProof/>
        </w:rPr>
        <w:fldChar w:fldCharType="begin"/>
      </w:r>
      <w:r>
        <w:rPr>
          <w:b/>
          <w:caps w:val="0"/>
          <w:smallCaps/>
          <w:noProof/>
        </w:rPr>
        <w:instrText xml:space="preserve"> TOC \o "1-2" \h \z \u </w:instrText>
      </w:r>
      <w:r>
        <w:rPr>
          <w:b/>
          <w:caps w:val="0"/>
          <w:smallCaps/>
          <w:noProof/>
        </w:rPr>
        <w:fldChar w:fldCharType="separate"/>
      </w:r>
      <w:hyperlink w:anchor="_Toc497120770" w:history="1">
        <w:r>
          <w:rPr>
            <w:rStyle w:val="Hyperlink"/>
            <w:noProof/>
          </w:rPr>
          <w:t>1.</w:t>
        </w:r>
        <w:r>
          <w:rPr>
            <w:rFonts w:asciiTheme="minorHAnsi" w:eastAsiaTheme="minorEastAsia" w:hAnsiTheme="minorHAnsi" w:cstheme="minorBidi"/>
            <w:caps w:val="0"/>
            <w:noProof/>
            <w:sz w:val="22"/>
            <w:szCs w:val="22"/>
            <w:lang w:bidi="ar-SA"/>
          </w:rPr>
          <w:tab/>
        </w:r>
        <w:r>
          <w:rPr>
            <w:rStyle w:val="Hyperlink"/>
            <w:noProof/>
          </w:rPr>
          <w:t>Въведение</w:t>
        </w:r>
        <w:r>
          <w:rPr>
            <w:noProof/>
            <w:webHidden/>
          </w:rPr>
          <w:tab/>
        </w:r>
        <w:r>
          <w:rPr>
            <w:noProof/>
            <w:webHidden/>
          </w:rPr>
          <w:fldChar w:fldCharType="begin"/>
        </w:r>
        <w:r>
          <w:rPr>
            <w:noProof/>
            <w:webHidden/>
          </w:rPr>
          <w:instrText xml:space="preserve"> PAGEREF _Toc497120770 \h </w:instrText>
        </w:r>
        <w:r>
          <w:rPr>
            <w:noProof/>
            <w:webHidden/>
          </w:rPr>
        </w:r>
        <w:r>
          <w:rPr>
            <w:noProof/>
            <w:webHidden/>
          </w:rPr>
          <w:fldChar w:fldCharType="separate"/>
        </w:r>
        <w:r>
          <w:rPr>
            <w:noProof/>
            <w:webHidden/>
          </w:rPr>
          <w:t>4</w:t>
        </w:r>
        <w:r>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71" w:history="1">
        <w:r w:rsidR="00EB18D6">
          <w:rPr>
            <w:rStyle w:val="Hyperlink"/>
            <w:noProof/>
          </w:rPr>
          <w:t>1.1.</w:t>
        </w:r>
        <w:r w:rsidR="00EB18D6">
          <w:rPr>
            <w:rFonts w:asciiTheme="minorHAnsi" w:eastAsiaTheme="minorEastAsia" w:hAnsiTheme="minorHAnsi" w:cstheme="minorBidi"/>
            <w:noProof/>
            <w:sz w:val="22"/>
            <w:szCs w:val="22"/>
            <w:lang w:bidi="ar-SA"/>
          </w:rPr>
          <w:tab/>
        </w:r>
        <w:r w:rsidR="00EB18D6">
          <w:rPr>
            <w:rStyle w:val="Hyperlink"/>
            <w:noProof/>
          </w:rPr>
          <w:t>Ефективност, прозрачност, сътрудничество</w:t>
        </w:r>
        <w:r w:rsidR="00EB18D6">
          <w:rPr>
            <w:noProof/>
            <w:webHidden/>
          </w:rPr>
          <w:tab/>
        </w:r>
        <w:r w:rsidR="00EB18D6">
          <w:rPr>
            <w:noProof/>
            <w:webHidden/>
          </w:rPr>
          <w:fldChar w:fldCharType="begin"/>
        </w:r>
        <w:r w:rsidR="00EB18D6">
          <w:rPr>
            <w:noProof/>
            <w:webHidden/>
          </w:rPr>
          <w:instrText xml:space="preserve"> PAGEREF _Toc497120771 \h </w:instrText>
        </w:r>
        <w:r w:rsidR="00EB18D6">
          <w:rPr>
            <w:noProof/>
            <w:webHidden/>
          </w:rPr>
        </w:r>
        <w:r w:rsidR="00EB18D6">
          <w:rPr>
            <w:noProof/>
            <w:webHidden/>
          </w:rPr>
          <w:fldChar w:fldCharType="separate"/>
        </w:r>
        <w:r w:rsidR="00EB18D6">
          <w:rPr>
            <w:noProof/>
            <w:webHidden/>
          </w:rPr>
          <w:t>4</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72" w:history="1">
        <w:r w:rsidR="00EB18D6">
          <w:rPr>
            <w:rStyle w:val="Hyperlink"/>
            <w:noProof/>
          </w:rPr>
          <w:t>1.2.</w:t>
        </w:r>
        <w:r w:rsidR="00EB18D6">
          <w:rPr>
            <w:rFonts w:asciiTheme="minorHAnsi" w:eastAsiaTheme="minorEastAsia" w:hAnsiTheme="minorHAnsi" w:cstheme="minorBidi"/>
            <w:noProof/>
            <w:sz w:val="22"/>
            <w:szCs w:val="22"/>
            <w:lang w:bidi="ar-SA"/>
          </w:rPr>
          <w:tab/>
        </w:r>
        <w:r w:rsidR="00EB18D6">
          <w:rPr>
            <w:rStyle w:val="Hyperlink"/>
            <w:noProof/>
          </w:rPr>
          <w:t>Структура на доклада</w:t>
        </w:r>
        <w:r w:rsidR="00EB18D6">
          <w:rPr>
            <w:noProof/>
            <w:webHidden/>
          </w:rPr>
          <w:tab/>
        </w:r>
        <w:r w:rsidR="00EB18D6">
          <w:rPr>
            <w:noProof/>
            <w:webHidden/>
          </w:rPr>
          <w:fldChar w:fldCharType="begin"/>
        </w:r>
        <w:r w:rsidR="00EB18D6">
          <w:rPr>
            <w:noProof/>
            <w:webHidden/>
          </w:rPr>
          <w:instrText xml:space="preserve"> PAGEREF _Toc497120772 \h </w:instrText>
        </w:r>
        <w:r w:rsidR="00EB18D6">
          <w:rPr>
            <w:noProof/>
            <w:webHidden/>
          </w:rPr>
        </w:r>
        <w:r w:rsidR="00EB18D6">
          <w:rPr>
            <w:noProof/>
            <w:webHidden/>
          </w:rPr>
          <w:fldChar w:fldCharType="separate"/>
        </w:r>
        <w:r w:rsidR="00EB18D6">
          <w:rPr>
            <w:noProof/>
            <w:webHidden/>
          </w:rPr>
          <w:t>4</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773" w:history="1">
        <w:r w:rsidR="00EB18D6">
          <w:rPr>
            <w:rStyle w:val="Hyperlink"/>
            <w:noProof/>
          </w:rPr>
          <w:t>2.</w:t>
        </w:r>
        <w:r w:rsidR="00EB18D6">
          <w:rPr>
            <w:rFonts w:asciiTheme="minorHAnsi" w:eastAsiaTheme="minorEastAsia" w:hAnsiTheme="minorHAnsi" w:cstheme="minorBidi"/>
            <w:caps w:val="0"/>
            <w:noProof/>
            <w:sz w:val="22"/>
            <w:szCs w:val="22"/>
            <w:lang w:bidi="ar-SA"/>
          </w:rPr>
          <w:tab/>
        </w:r>
        <w:r w:rsidR="00EB18D6">
          <w:rPr>
            <w:rStyle w:val="Hyperlink"/>
            <w:noProof/>
          </w:rPr>
          <w:t>ССТ „от ново поколение“ – с Южна Корея, с Колумбия и Перу, с Централна Америка</w:t>
        </w:r>
        <w:r w:rsidR="00EB18D6">
          <w:rPr>
            <w:noProof/>
            <w:webHidden/>
          </w:rPr>
          <w:tab/>
        </w:r>
        <w:r w:rsidR="00EB18D6">
          <w:rPr>
            <w:noProof/>
            <w:webHidden/>
          </w:rPr>
          <w:fldChar w:fldCharType="begin"/>
        </w:r>
        <w:r w:rsidR="00EB18D6">
          <w:rPr>
            <w:noProof/>
            <w:webHidden/>
          </w:rPr>
          <w:instrText xml:space="preserve"> PAGEREF _Toc497120773 \h </w:instrText>
        </w:r>
        <w:r w:rsidR="00EB18D6">
          <w:rPr>
            <w:noProof/>
            <w:webHidden/>
          </w:rPr>
        </w:r>
        <w:r w:rsidR="00EB18D6">
          <w:rPr>
            <w:noProof/>
            <w:webHidden/>
          </w:rPr>
          <w:fldChar w:fldCharType="separate"/>
        </w:r>
        <w:r w:rsidR="00EB18D6">
          <w:rPr>
            <w:noProof/>
            <w:webHidden/>
          </w:rPr>
          <w:t>7</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74" w:history="1">
        <w:r w:rsidR="00EB18D6">
          <w:rPr>
            <w:rStyle w:val="Hyperlink"/>
            <w:noProof/>
          </w:rPr>
          <w:t>2.1.</w:t>
        </w:r>
        <w:r w:rsidR="00EB18D6">
          <w:rPr>
            <w:rFonts w:asciiTheme="minorHAnsi" w:eastAsiaTheme="minorEastAsia" w:hAnsiTheme="minorHAnsi" w:cstheme="minorBidi"/>
            <w:noProof/>
            <w:sz w:val="22"/>
            <w:szCs w:val="22"/>
            <w:lang w:bidi="ar-SA"/>
          </w:rPr>
          <w:tab/>
        </w:r>
        <w:r w:rsidR="00EB18D6">
          <w:rPr>
            <w:rStyle w:val="Hyperlink"/>
            <w:noProof/>
          </w:rPr>
          <w:t>Търговски потоци</w:t>
        </w:r>
        <w:r w:rsidR="00EB18D6">
          <w:rPr>
            <w:noProof/>
            <w:webHidden/>
          </w:rPr>
          <w:tab/>
        </w:r>
        <w:r w:rsidR="00EB18D6">
          <w:rPr>
            <w:noProof/>
            <w:webHidden/>
          </w:rPr>
          <w:fldChar w:fldCharType="begin"/>
        </w:r>
        <w:r w:rsidR="00EB18D6">
          <w:rPr>
            <w:noProof/>
            <w:webHidden/>
          </w:rPr>
          <w:instrText xml:space="preserve"> PAGEREF _Toc497120774 \h </w:instrText>
        </w:r>
        <w:r w:rsidR="00EB18D6">
          <w:rPr>
            <w:noProof/>
            <w:webHidden/>
          </w:rPr>
        </w:r>
        <w:r w:rsidR="00EB18D6">
          <w:rPr>
            <w:noProof/>
            <w:webHidden/>
          </w:rPr>
          <w:fldChar w:fldCharType="separate"/>
        </w:r>
        <w:r w:rsidR="00EB18D6">
          <w:rPr>
            <w:noProof/>
            <w:webHidden/>
          </w:rPr>
          <w:t>7</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75" w:history="1">
        <w:r w:rsidR="00EB18D6">
          <w:rPr>
            <w:rStyle w:val="Hyperlink"/>
            <w:noProof/>
          </w:rPr>
          <w:t>2.2.</w:t>
        </w:r>
        <w:r w:rsidR="00EB18D6">
          <w:rPr>
            <w:rFonts w:asciiTheme="minorHAnsi" w:eastAsiaTheme="minorEastAsia" w:hAnsiTheme="minorHAnsi" w:cstheme="minorBidi"/>
            <w:noProof/>
            <w:sz w:val="22"/>
            <w:szCs w:val="22"/>
            <w:lang w:bidi="ar-SA"/>
          </w:rPr>
          <w:tab/>
        </w:r>
        <w:r w:rsidR="00EB18D6">
          <w:rPr>
            <w:rStyle w:val="Hyperlink"/>
            <w:noProof/>
          </w:rPr>
          <w:t>Тарифни квоти</w:t>
        </w:r>
        <w:r w:rsidR="00EB18D6">
          <w:rPr>
            <w:noProof/>
            <w:webHidden/>
          </w:rPr>
          <w:tab/>
        </w:r>
        <w:r w:rsidR="00EB18D6">
          <w:rPr>
            <w:noProof/>
            <w:webHidden/>
          </w:rPr>
          <w:fldChar w:fldCharType="begin"/>
        </w:r>
        <w:r w:rsidR="00EB18D6">
          <w:rPr>
            <w:noProof/>
            <w:webHidden/>
          </w:rPr>
          <w:instrText xml:space="preserve"> PAGEREF _Toc497120775 \h </w:instrText>
        </w:r>
        <w:r w:rsidR="00EB18D6">
          <w:rPr>
            <w:noProof/>
            <w:webHidden/>
          </w:rPr>
        </w:r>
        <w:r w:rsidR="00EB18D6">
          <w:rPr>
            <w:noProof/>
            <w:webHidden/>
          </w:rPr>
          <w:fldChar w:fldCharType="separate"/>
        </w:r>
        <w:r w:rsidR="00EB18D6">
          <w:rPr>
            <w:noProof/>
            <w:webHidden/>
          </w:rPr>
          <w:t>10</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76" w:history="1">
        <w:r w:rsidR="00EB18D6">
          <w:rPr>
            <w:rStyle w:val="Hyperlink"/>
            <w:noProof/>
          </w:rPr>
          <w:t>2.3.</w:t>
        </w:r>
        <w:r w:rsidR="00EB18D6">
          <w:rPr>
            <w:rFonts w:asciiTheme="minorHAnsi" w:eastAsiaTheme="minorEastAsia" w:hAnsiTheme="minorHAnsi" w:cstheme="minorBidi"/>
            <w:noProof/>
            <w:sz w:val="22"/>
            <w:szCs w:val="22"/>
            <w:lang w:bidi="ar-SA"/>
          </w:rPr>
          <w:tab/>
        </w:r>
        <w:r w:rsidR="00EB18D6">
          <w:rPr>
            <w:rStyle w:val="Hyperlink"/>
            <w:noProof/>
          </w:rPr>
          <w:t>Степен на използване на преференциите</w:t>
        </w:r>
        <w:r w:rsidR="00EB18D6">
          <w:rPr>
            <w:noProof/>
            <w:webHidden/>
          </w:rPr>
          <w:tab/>
        </w:r>
        <w:r w:rsidR="00EB18D6">
          <w:rPr>
            <w:noProof/>
            <w:webHidden/>
          </w:rPr>
          <w:fldChar w:fldCharType="begin"/>
        </w:r>
        <w:r w:rsidR="00EB18D6">
          <w:rPr>
            <w:noProof/>
            <w:webHidden/>
          </w:rPr>
          <w:instrText xml:space="preserve"> PAGEREF _Toc497120776 \h </w:instrText>
        </w:r>
        <w:r w:rsidR="00EB18D6">
          <w:rPr>
            <w:noProof/>
            <w:webHidden/>
          </w:rPr>
        </w:r>
        <w:r w:rsidR="00EB18D6">
          <w:rPr>
            <w:noProof/>
            <w:webHidden/>
          </w:rPr>
          <w:fldChar w:fldCharType="separate"/>
        </w:r>
        <w:r w:rsidR="00EB18D6">
          <w:rPr>
            <w:noProof/>
            <w:webHidden/>
          </w:rPr>
          <w:t>11</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77" w:history="1">
        <w:r w:rsidR="00EB18D6">
          <w:rPr>
            <w:rStyle w:val="Hyperlink"/>
            <w:noProof/>
          </w:rPr>
          <w:t>2.4.</w:t>
        </w:r>
        <w:r w:rsidR="00EB18D6">
          <w:rPr>
            <w:rFonts w:asciiTheme="minorHAnsi" w:eastAsiaTheme="minorEastAsia" w:hAnsiTheme="minorHAnsi" w:cstheme="minorBidi"/>
            <w:noProof/>
            <w:sz w:val="22"/>
            <w:szCs w:val="22"/>
            <w:lang w:bidi="ar-SA"/>
          </w:rPr>
          <w:tab/>
        </w:r>
        <w:r w:rsidR="00EB18D6">
          <w:rPr>
            <w:rStyle w:val="Hyperlink"/>
            <w:noProof/>
          </w:rPr>
          <w:t>Услуги и инвестиции</w:t>
        </w:r>
        <w:r w:rsidR="00EB18D6">
          <w:rPr>
            <w:noProof/>
            <w:webHidden/>
          </w:rPr>
          <w:tab/>
        </w:r>
        <w:r w:rsidR="00EB18D6">
          <w:rPr>
            <w:noProof/>
            <w:webHidden/>
          </w:rPr>
          <w:fldChar w:fldCharType="begin"/>
        </w:r>
        <w:r w:rsidR="00EB18D6">
          <w:rPr>
            <w:noProof/>
            <w:webHidden/>
          </w:rPr>
          <w:instrText xml:space="preserve"> PAGEREF _Toc497120777 \h </w:instrText>
        </w:r>
        <w:r w:rsidR="00EB18D6">
          <w:rPr>
            <w:noProof/>
            <w:webHidden/>
          </w:rPr>
        </w:r>
        <w:r w:rsidR="00EB18D6">
          <w:rPr>
            <w:noProof/>
            <w:webHidden/>
          </w:rPr>
          <w:fldChar w:fldCharType="separate"/>
        </w:r>
        <w:r w:rsidR="00EB18D6">
          <w:rPr>
            <w:noProof/>
            <w:webHidden/>
          </w:rPr>
          <w:t>12</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78" w:history="1">
        <w:r w:rsidR="00EB18D6">
          <w:rPr>
            <w:rStyle w:val="Hyperlink"/>
            <w:noProof/>
          </w:rPr>
          <w:t>2.5.</w:t>
        </w:r>
        <w:r w:rsidR="00EB18D6">
          <w:rPr>
            <w:rFonts w:asciiTheme="minorHAnsi" w:eastAsiaTheme="minorEastAsia" w:hAnsiTheme="minorHAnsi" w:cstheme="minorBidi"/>
            <w:noProof/>
            <w:sz w:val="22"/>
            <w:szCs w:val="22"/>
            <w:lang w:bidi="ar-SA"/>
          </w:rPr>
          <w:tab/>
        </w:r>
        <w:r w:rsidR="00EB18D6">
          <w:rPr>
            <w:rStyle w:val="Hyperlink"/>
            <w:noProof/>
          </w:rPr>
          <w:t>Органи по изпълнението</w:t>
        </w:r>
        <w:r w:rsidR="00EB18D6">
          <w:rPr>
            <w:noProof/>
            <w:webHidden/>
          </w:rPr>
          <w:tab/>
        </w:r>
        <w:r w:rsidR="00EB18D6">
          <w:rPr>
            <w:noProof/>
            <w:webHidden/>
          </w:rPr>
          <w:fldChar w:fldCharType="begin"/>
        </w:r>
        <w:r w:rsidR="00EB18D6">
          <w:rPr>
            <w:noProof/>
            <w:webHidden/>
          </w:rPr>
          <w:instrText xml:space="preserve"> PAGEREF _Toc497120778 \h </w:instrText>
        </w:r>
        <w:r w:rsidR="00EB18D6">
          <w:rPr>
            <w:noProof/>
            <w:webHidden/>
          </w:rPr>
        </w:r>
        <w:r w:rsidR="00EB18D6">
          <w:rPr>
            <w:noProof/>
            <w:webHidden/>
          </w:rPr>
          <w:fldChar w:fldCharType="separate"/>
        </w:r>
        <w:r w:rsidR="00EB18D6">
          <w:rPr>
            <w:noProof/>
            <w:webHidden/>
          </w:rPr>
          <w:t>12</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779" w:history="1">
        <w:r w:rsidR="00EB18D6">
          <w:rPr>
            <w:rStyle w:val="Hyperlink"/>
            <w:noProof/>
          </w:rPr>
          <w:t>3.</w:t>
        </w:r>
        <w:r w:rsidR="00EB18D6">
          <w:rPr>
            <w:rFonts w:asciiTheme="minorHAnsi" w:eastAsiaTheme="minorEastAsia" w:hAnsiTheme="minorHAnsi" w:cstheme="minorBidi"/>
            <w:caps w:val="0"/>
            <w:noProof/>
            <w:sz w:val="22"/>
            <w:szCs w:val="22"/>
            <w:lang w:bidi="ar-SA"/>
          </w:rPr>
          <w:tab/>
        </w:r>
        <w:r w:rsidR="00EB18D6">
          <w:rPr>
            <w:rStyle w:val="Hyperlink"/>
            <w:noProof/>
          </w:rPr>
          <w:t>Задълбочени и всеобхватни зони за свободна търговия — Украйна, Молдова, Грузия</w:t>
        </w:r>
        <w:r w:rsidR="00EB18D6">
          <w:rPr>
            <w:noProof/>
            <w:webHidden/>
          </w:rPr>
          <w:tab/>
        </w:r>
        <w:r w:rsidR="00EB18D6">
          <w:rPr>
            <w:noProof/>
            <w:webHidden/>
          </w:rPr>
          <w:fldChar w:fldCharType="begin"/>
        </w:r>
        <w:r w:rsidR="00EB18D6">
          <w:rPr>
            <w:noProof/>
            <w:webHidden/>
          </w:rPr>
          <w:instrText xml:space="preserve"> PAGEREF _Toc497120779 \h </w:instrText>
        </w:r>
        <w:r w:rsidR="00EB18D6">
          <w:rPr>
            <w:noProof/>
            <w:webHidden/>
          </w:rPr>
        </w:r>
        <w:r w:rsidR="00EB18D6">
          <w:rPr>
            <w:noProof/>
            <w:webHidden/>
          </w:rPr>
          <w:fldChar w:fldCharType="separate"/>
        </w:r>
        <w:r w:rsidR="00EB18D6">
          <w:rPr>
            <w:noProof/>
            <w:webHidden/>
          </w:rPr>
          <w:t>15</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80" w:history="1">
        <w:r w:rsidR="00EB18D6">
          <w:rPr>
            <w:rStyle w:val="Hyperlink"/>
            <w:noProof/>
          </w:rPr>
          <w:t>3.1.</w:t>
        </w:r>
        <w:r w:rsidR="00EB18D6">
          <w:rPr>
            <w:rFonts w:asciiTheme="minorHAnsi" w:eastAsiaTheme="minorEastAsia" w:hAnsiTheme="minorHAnsi" w:cstheme="minorBidi"/>
            <w:noProof/>
            <w:sz w:val="22"/>
            <w:szCs w:val="22"/>
            <w:lang w:bidi="ar-SA"/>
          </w:rPr>
          <w:tab/>
        </w:r>
        <w:r w:rsidR="00EB18D6">
          <w:rPr>
            <w:rStyle w:val="Hyperlink"/>
            <w:noProof/>
          </w:rPr>
          <w:t>Търговски потоци</w:t>
        </w:r>
        <w:r w:rsidR="00EB18D6">
          <w:rPr>
            <w:noProof/>
            <w:webHidden/>
          </w:rPr>
          <w:tab/>
        </w:r>
        <w:r w:rsidR="00EB18D6">
          <w:rPr>
            <w:noProof/>
            <w:webHidden/>
          </w:rPr>
          <w:fldChar w:fldCharType="begin"/>
        </w:r>
        <w:r w:rsidR="00EB18D6">
          <w:rPr>
            <w:noProof/>
            <w:webHidden/>
          </w:rPr>
          <w:instrText xml:space="preserve"> PAGEREF _Toc497120780 \h </w:instrText>
        </w:r>
        <w:r w:rsidR="00EB18D6">
          <w:rPr>
            <w:noProof/>
            <w:webHidden/>
          </w:rPr>
        </w:r>
        <w:r w:rsidR="00EB18D6">
          <w:rPr>
            <w:noProof/>
            <w:webHidden/>
          </w:rPr>
          <w:fldChar w:fldCharType="separate"/>
        </w:r>
        <w:r w:rsidR="00EB18D6">
          <w:rPr>
            <w:noProof/>
            <w:webHidden/>
          </w:rPr>
          <w:t>15</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81" w:history="1">
        <w:r w:rsidR="00EB18D6">
          <w:rPr>
            <w:rStyle w:val="Hyperlink"/>
            <w:noProof/>
          </w:rPr>
          <w:t>3.2.</w:t>
        </w:r>
        <w:r w:rsidR="00EB18D6">
          <w:rPr>
            <w:rFonts w:asciiTheme="minorHAnsi" w:eastAsiaTheme="minorEastAsia" w:hAnsiTheme="minorHAnsi" w:cstheme="minorBidi"/>
            <w:noProof/>
            <w:sz w:val="22"/>
            <w:szCs w:val="22"/>
            <w:lang w:bidi="ar-SA"/>
          </w:rPr>
          <w:tab/>
        </w:r>
        <w:r w:rsidR="00EB18D6">
          <w:rPr>
            <w:rStyle w:val="Hyperlink"/>
            <w:noProof/>
          </w:rPr>
          <w:t>Тарифни квоти</w:t>
        </w:r>
        <w:r w:rsidR="00EB18D6">
          <w:rPr>
            <w:noProof/>
            <w:webHidden/>
          </w:rPr>
          <w:tab/>
        </w:r>
        <w:r w:rsidR="00EB18D6">
          <w:rPr>
            <w:noProof/>
            <w:webHidden/>
          </w:rPr>
          <w:fldChar w:fldCharType="begin"/>
        </w:r>
        <w:r w:rsidR="00EB18D6">
          <w:rPr>
            <w:noProof/>
            <w:webHidden/>
          </w:rPr>
          <w:instrText xml:space="preserve"> PAGEREF _Toc497120781 \h </w:instrText>
        </w:r>
        <w:r w:rsidR="00EB18D6">
          <w:rPr>
            <w:noProof/>
            <w:webHidden/>
          </w:rPr>
        </w:r>
        <w:r w:rsidR="00EB18D6">
          <w:rPr>
            <w:noProof/>
            <w:webHidden/>
          </w:rPr>
          <w:fldChar w:fldCharType="separate"/>
        </w:r>
        <w:r w:rsidR="00EB18D6">
          <w:rPr>
            <w:noProof/>
            <w:webHidden/>
          </w:rPr>
          <w:t>16</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82" w:history="1">
        <w:r w:rsidR="00EB18D6">
          <w:rPr>
            <w:rStyle w:val="Hyperlink"/>
            <w:noProof/>
          </w:rPr>
          <w:t>3.3.</w:t>
        </w:r>
        <w:r w:rsidR="00EB18D6">
          <w:rPr>
            <w:rFonts w:asciiTheme="minorHAnsi" w:eastAsiaTheme="minorEastAsia" w:hAnsiTheme="minorHAnsi" w:cstheme="minorBidi"/>
            <w:noProof/>
            <w:sz w:val="22"/>
            <w:szCs w:val="22"/>
            <w:lang w:bidi="ar-SA"/>
          </w:rPr>
          <w:tab/>
        </w:r>
        <w:r w:rsidR="00EB18D6">
          <w:rPr>
            <w:rStyle w:val="Hyperlink"/>
            <w:noProof/>
          </w:rPr>
          <w:t>Степен на използване на преференциите</w:t>
        </w:r>
        <w:r w:rsidR="00EB18D6">
          <w:rPr>
            <w:noProof/>
            <w:webHidden/>
          </w:rPr>
          <w:tab/>
        </w:r>
        <w:r w:rsidR="00EB18D6">
          <w:rPr>
            <w:noProof/>
            <w:webHidden/>
          </w:rPr>
          <w:fldChar w:fldCharType="begin"/>
        </w:r>
        <w:r w:rsidR="00EB18D6">
          <w:rPr>
            <w:noProof/>
            <w:webHidden/>
          </w:rPr>
          <w:instrText xml:space="preserve"> PAGEREF _Toc497120782 \h </w:instrText>
        </w:r>
        <w:r w:rsidR="00EB18D6">
          <w:rPr>
            <w:noProof/>
            <w:webHidden/>
          </w:rPr>
        </w:r>
        <w:r w:rsidR="00EB18D6">
          <w:rPr>
            <w:noProof/>
            <w:webHidden/>
          </w:rPr>
          <w:fldChar w:fldCharType="separate"/>
        </w:r>
        <w:r w:rsidR="00EB18D6">
          <w:rPr>
            <w:noProof/>
            <w:webHidden/>
          </w:rPr>
          <w:t>17</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83" w:history="1">
        <w:r w:rsidR="00EB18D6">
          <w:rPr>
            <w:rStyle w:val="Hyperlink"/>
            <w:noProof/>
          </w:rPr>
          <w:t>3.4.</w:t>
        </w:r>
        <w:r w:rsidR="00EB18D6">
          <w:rPr>
            <w:rFonts w:asciiTheme="minorHAnsi" w:eastAsiaTheme="minorEastAsia" w:hAnsiTheme="minorHAnsi" w:cstheme="minorBidi"/>
            <w:noProof/>
            <w:sz w:val="22"/>
            <w:szCs w:val="22"/>
            <w:lang w:bidi="ar-SA"/>
          </w:rPr>
          <w:tab/>
        </w:r>
        <w:r w:rsidR="00EB18D6">
          <w:rPr>
            <w:rStyle w:val="Hyperlink"/>
            <w:noProof/>
          </w:rPr>
          <w:t>Услуги и инвестиции</w:t>
        </w:r>
        <w:r w:rsidR="00EB18D6">
          <w:rPr>
            <w:noProof/>
            <w:webHidden/>
          </w:rPr>
          <w:tab/>
        </w:r>
        <w:r w:rsidR="00EB18D6">
          <w:rPr>
            <w:noProof/>
            <w:webHidden/>
          </w:rPr>
          <w:fldChar w:fldCharType="begin"/>
        </w:r>
        <w:r w:rsidR="00EB18D6">
          <w:rPr>
            <w:noProof/>
            <w:webHidden/>
          </w:rPr>
          <w:instrText xml:space="preserve"> PAGEREF _Toc497120783 \h </w:instrText>
        </w:r>
        <w:r w:rsidR="00EB18D6">
          <w:rPr>
            <w:noProof/>
            <w:webHidden/>
          </w:rPr>
        </w:r>
        <w:r w:rsidR="00EB18D6">
          <w:rPr>
            <w:noProof/>
            <w:webHidden/>
          </w:rPr>
          <w:fldChar w:fldCharType="separate"/>
        </w:r>
        <w:r w:rsidR="00EB18D6">
          <w:rPr>
            <w:noProof/>
            <w:webHidden/>
          </w:rPr>
          <w:t>17</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84" w:history="1">
        <w:r w:rsidR="00EB18D6">
          <w:rPr>
            <w:rStyle w:val="Hyperlink"/>
            <w:noProof/>
          </w:rPr>
          <w:t>3.5.</w:t>
        </w:r>
        <w:r w:rsidR="00EB18D6">
          <w:rPr>
            <w:rFonts w:asciiTheme="minorHAnsi" w:eastAsiaTheme="minorEastAsia" w:hAnsiTheme="minorHAnsi" w:cstheme="minorBidi"/>
            <w:noProof/>
            <w:sz w:val="22"/>
            <w:szCs w:val="22"/>
            <w:lang w:bidi="ar-SA"/>
          </w:rPr>
          <w:tab/>
        </w:r>
        <w:r w:rsidR="00EB18D6">
          <w:rPr>
            <w:rStyle w:val="Hyperlink"/>
            <w:noProof/>
          </w:rPr>
          <w:t>Органи по изпълнението</w:t>
        </w:r>
        <w:r w:rsidR="00EB18D6">
          <w:rPr>
            <w:noProof/>
            <w:webHidden/>
          </w:rPr>
          <w:tab/>
        </w:r>
        <w:r w:rsidR="00EB18D6">
          <w:rPr>
            <w:noProof/>
            <w:webHidden/>
          </w:rPr>
          <w:fldChar w:fldCharType="begin"/>
        </w:r>
        <w:r w:rsidR="00EB18D6">
          <w:rPr>
            <w:noProof/>
            <w:webHidden/>
          </w:rPr>
          <w:instrText xml:space="preserve"> PAGEREF _Toc497120784 \h </w:instrText>
        </w:r>
        <w:r w:rsidR="00EB18D6">
          <w:rPr>
            <w:noProof/>
            <w:webHidden/>
          </w:rPr>
        </w:r>
        <w:r w:rsidR="00EB18D6">
          <w:rPr>
            <w:noProof/>
            <w:webHidden/>
          </w:rPr>
          <w:fldChar w:fldCharType="separate"/>
        </w:r>
        <w:r w:rsidR="00EB18D6">
          <w:rPr>
            <w:noProof/>
            <w:webHidden/>
          </w:rPr>
          <w:t>17</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785" w:history="1">
        <w:r w:rsidR="00EB18D6">
          <w:rPr>
            <w:rStyle w:val="Hyperlink"/>
            <w:noProof/>
          </w:rPr>
          <w:t>4.</w:t>
        </w:r>
        <w:r w:rsidR="00EB18D6">
          <w:rPr>
            <w:rFonts w:asciiTheme="minorHAnsi" w:eastAsiaTheme="minorEastAsia" w:hAnsiTheme="minorHAnsi" w:cstheme="minorBidi"/>
            <w:caps w:val="0"/>
            <w:noProof/>
            <w:sz w:val="22"/>
            <w:szCs w:val="22"/>
            <w:lang w:bidi="ar-SA"/>
          </w:rPr>
          <w:tab/>
        </w:r>
        <w:r w:rsidR="00EB18D6">
          <w:rPr>
            <w:rStyle w:val="Hyperlink"/>
            <w:noProof/>
          </w:rPr>
          <w:t>Споразумения за икономическо партньорство — държавите от Африка, Карибите и Тихоокеанския басейн (АКТБ)</w:t>
        </w:r>
        <w:r w:rsidR="00EB18D6">
          <w:rPr>
            <w:noProof/>
            <w:webHidden/>
          </w:rPr>
          <w:tab/>
        </w:r>
        <w:r w:rsidR="00EB18D6">
          <w:rPr>
            <w:noProof/>
            <w:webHidden/>
          </w:rPr>
          <w:fldChar w:fldCharType="begin"/>
        </w:r>
        <w:r w:rsidR="00EB18D6">
          <w:rPr>
            <w:noProof/>
            <w:webHidden/>
          </w:rPr>
          <w:instrText xml:space="preserve"> PAGEREF _Toc497120785 \h </w:instrText>
        </w:r>
        <w:r w:rsidR="00EB18D6">
          <w:rPr>
            <w:noProof/>
            <w:webHidden/>
          </w:rPr>
        </w:r>
        <w:r w:rsidR="00EB18D6">
          <w:rPr>
            <w:noProof/>
            <w:webHidden/>
          </w:rPr>
          <w:fldChar w:fldCharType="separate"/>
        </w:r>
        <w:r w:rsidR="00EB18D6">
          <w:rPr>
            <w:noProof/>
            <w:webHidden/>
          </w:rPr>
          <w:t>19</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86" w:history="1">
        <w:r w:rsidR="00EB18D6">
          <w:rPr>
            <w:rStyle w:val="Hyperlink"/>
            <w:noProof/>
          </w:rPr>
          <w:t>4.1.</w:t>
        </w:r>
        <w:r w:rsidR="00EB18D6">
          <w:rPr>
            <w:rFonts w:asciiTheme="minorHAnsi" w:eastAsiaTheme="minorEastAsia" w:hAnsiTheme="minorHAnsi" w:cstheme="minorBidi"/>
            <w:noProof/>
            <w:sz w:val="22"/>
            <w:szCs w:val="22"/>
            <w:lang w:bidi="ar-SA"/>
          </w:rPr>
          <w:tab/>
        </w:r>
        <w:r w:rsidR="00EB18D6">
          <w:rPr>
            <w:rStyle w:val="Hyperlink"/>
            <w:noProof/>
          </w:rPr>
          <w:t>Състояние на напредък по споразуменията</w:t>
        </w:r>
        <w:r w:rsidR="00EB18D6">
          <w:rPr>
            <w:noProof/>
            <w:webHidden/>
          </w:rPr>
          <w:tab/>
        </w:r>
        <w:r w:rsidR="00EB18D6">
          <w:rPr>
            <w:noProof/>
            <w:webHidden/>
          </w:rPr>
          <w:fldChar w:fldCharType="begin"/>
        </w:r>
        <w:r w:rsidR="00EB18D6">
          <w:rPr>
            <w:noProof/>
            <w:webHidden/>
          </w:rPr>
          <w:instrText xml:space="preserve"> PAGEREF _Toc497120786 \h </w:instrText>
        </w:r>
        <w:r w:rsidR="00EB18D6">
          <w:rPr>
            <w:noProof/>
            <w:webHidden/>
          </w:rPr>
        </w:r>
        <w:r w:rsidR="00EB18D6">
          <w:rPr>
            <w:noProof/>
            <w:webHidden/>
          </w:rPr>
          <w:fldChar w:fldCharType="separate"/>
        </w:r>
        <w:r w:rsidR="00EB18D6">
          <w:rPr>
            <w:noProof/>
            <w:webHidden/>
          </w:rPr>
          <w:t>19</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87" w:history="1">
        <w:r w:rsidR="00EB18D6">
          <w:rPr>
            <w:rStyle w:val="Hyperlink"/>
            <w:noProof/>
          </w:rPr>
          <w:t>4.2.</w:t>
        </w:r>
        <w:r w:rsidR="00EB18D6">
          <w:rPr>
            <w:rFonts w:asciiTheme="minorHAnsi" w:eastAsiaTheme="minorEastAsia" w:hAnsiTheme="minorHAnsi" w:cstheme="minorBidi"/>
            <w:noProof/>
            <w:sz w:val="22"/>
            <w:szCs w:val="22"/>
            <w:lang w:bidi="ar-SA"/>
          </w:rPr>
          <w:tab/>
        </w:r>
        <w:r w:rsidR="00EB18D6">
          <w:rPr>
            <w:rStyle w:val="Hyperlink"/>
            <w:noProof/>
          </w:rPr>
          <w:t>Търговски потоци</w:t>
        </w:r>
        <w:r w:rsidR="00EB18D6">
          <w:rPr>
            <w:noProof/>
            <w:webHidden/>
          </w:rPr>
          <w:tab/>
        </w:r>
        <w:r w:rsidR="00EB18D6">
          <w:rPr>
            <w:noProof/>
            <w:webHidden/>
          </w:rPr>
          <w:fldChar w:fldCharType="begin"/>
        </w:r>
        <w:r w:rsidR="00EB18D6">
          <w:rPr>
            <w:noProof/>
            <w:webHidden/>
          </w:rPr>
          <w:instrText xml:space="preserve"> PAGEREF _Toc497120787 \h </w:instrText>
        </w:r>
        <w:r w:rsidR="00EB18D6">
          <w:rPr>
            <w:noProof/>
            <w:webHidden/>
          </w:rPr>
        </w:r>
        <w:r w:rsidR="00EB18D6">
          <w:rPr>
            <w:noProof/>
            <w:webHidden/>
          </w:rPr>
          <w:fldChar w:fldCharType="separate"/>
        </w:r>
        <w:r w:rsidR="00EB18D6">
          <w:rPr>
            <w:noProof/>
            <w:webHidden/>
          </w:rPr>
          <w:t>19</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88" w:history="1">
        <w:r w:rsidR="00EB18D6">
          <w:rPr>
            <w:rStyle w:val="Hyperlink"/>
            <w:noProof/>
          </w:rPr>
          <w:t>4.3.</w:t>
        </w:r>
        <w:r w:rsidR="00EB18D6">
          <w:rPr>
            <w:rFonts w:asciiTheme="minorHAnsi" w:eastAsiaTheme="minorEastAsia" w:hAnsiTheme="minorHAnsi" w:cstheme="minorBidi"/>
            <w:noProof/>
            <w:sz w:val="22"/>
            <w:szCs w:val="22"/>
            <w:lang w:bidi="ar-SA"/>
          </w:rPr>
          <w:tab/>
        </w:r>
        <w:r w:rsidR="00EB18D6">
          <w:rPr>
            <w:rStyle w:val="Hyperlink"/>
            <w:noProof/>
          </w:rPr>
          <w:t>Инвестиции</w:t>
        </w:r>
        <w:r w:rsidR="00EB18D6">
          <w:rPr>
            <w:noProof/>
            <w:webHidden/>
          </w:rPr>
          <w:tab/>
        </w:r>
        <w:r w:rsidR="00EB18D6">
          <w:rPr>
            <w:noProof/>
            <w:webHidden/>
          </w:rPr>
          <w:fldChar w:fldCharType="begin"/>
        </w:r>
        <w:r w:rsidR="00EB18D6">
          <w:rPr>
            <w:noProof/>
            <w:webHidden/>
          </w:rPr>
          <w:instrText xml:space="preserve"> PAGEREF _Toc497120788 \h </w:instrText>
        </w:r>
        <w:r w:rsidR="00EB18D6">
          <w:rPr>
            <w:noProof/>
            <w:webHidden/>
          </w:rPr>
        </w:r>
        <w:r w:rsidR="00EB18D6">
          <w:rPr>
            <w:noProof/>
            <w:webHidden/>
          </w:rPr>
          <w:fldChar w:fldCharType="separate"/>
        </w:r>
        <w:r w:rsidR="00EB18D6">
          <w:rPr>
            <w:noProof/>
            <w:webHidden/>
          </w:rPr>
          <w:t>22</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89" w:history="1">
        <w:r w:rsidR="00EB18D6">
          <w:rPr>
            <w:rStyle w:val="Hyperlink"/>
            <w:noProof/>
          </w:rPr>
          <w:t>4.4.</w:t>
        </w:r>
        <w:r w:rsidR="00EB18D6">
          <w:rPr>
            <w:rFonts w:asciiTheme="minorHAnsi" w:eastAsiaTheme="minorEastAsia" w:hAnsiTheme="minorHAnsi" w:cstheme="minorBidi"/>
            <w:noProof/>
            <w:sz w:val="22"/>
            <w:szCs w:val="22"/>
            <w:lang w:bidi="ar-SA"/>
          </w:rPr>
          <w:tab/>
        </w:r>
        <w:r w:rsidR="00EB18D6">
          <w:rPr>
            <w:rStyle w:val="Hyperlink"/>
            <w:noProof/>
          </w:rPr>
          <w:t>Подкрепа от ЕС за изпълнението на СИП</w:t>
        </w:r>
        <w:r w:rsidR="00EB18D6">
          <w:rPr>
            <w:noProof/>
            <w:webHidden/>
          </w:rPr>
          <w:tab/>
        </w:r>
        <w:r w:rsidR="00EB18D6">
          <w:rPr>
            <w:noProof/>
            <w:webHidden/>
          </w:rPr>
          <w:fldChar w:fldCharType="begin"/>
        </w:r>
        <w:r w:rsidR="00EB18D6">
          <w:rPr>
            <w:noProof/>
            <w:webHidden/>
          </w:rPr>
          <w:instrText xml:space="preserve"> PAGEREF _Toc497120789 \h </w:instrText>
        </w:r>
        <w:r w:rsidR="00EB18D6">
          <w:rPr>
            <w:noProof/>
            <w:webHidden/>
          </w:rPr>
        </w:r>
        <w:r w:rsidR="00EB18D6">
          <w:rPr>
            <w:noProof/>
            <w:webHidden/>
          </w:rPr>
          <w:fldChar w:fldCharType="separate"/>
        </w:r>
        <w:r w:rsidR="00EB18D6">
          <w:rPr>
            <w:noProof/>
            <w:webHidden/>
          </w:rPr>
          <w:t>22</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90" w:history="1">
        <w:r w:rsidR="00EB18D6">
          <w:rPr>
            <w:rStyle w:val="Hyperlink"/>
            <w:noProof/>
          </w:rPr>
          <w:t>4.5.</w:t>
        </w:r>
        <w:r w:rsidR="00EB18D6">
          <w:rPr>
            <w:rFonts w:asciiTheme="minorHAnsi" w:eastAsiaTheme="minorEastAsia" w:hAnsiTheme="minorHAnsi" w:cstheme="minorBidi"/>
            <w:noProof/>
            <w:sz w:val="22"/>
            <w:szCs w:val="22"/>
            <w:lang w:bidi="ar-SA"/>
          </w:rPr>
          <w:tab/>
        </w:r>
        <w:r w:rsidR="00EB18D6">
          <w:rPr>
            <w:rStyle w:val="Hyperlink"/>
            <w:noProof/>
          </w:rPr>
          <w:t>Помощ за развитие</w:t>
        </w:r>
        <w:r w:rsidR="00EB18D6">
          <w:rPr>
            <w:noProof/>
            <w:webHidden/>
          </w:rPr>
          <w:tab/>
        </w:r>
        <w:r w:rsidR="00EB18D6">
          <w:rPr>
            <w:noProof/>
            <w:webHidden/>
          </w:rPr>
          <w:fldChar w:fldCharType="begin"/>
        </w:r>
        <w:r w:rsidR="00EB18D6">
          <w:rPr>
            <w:noProof/>
            <w:webHidden/>
          </w:rPr>
          <w:instrText xml:space="preserve"> PAGEREF _Toc497120790 \h </w:instrText>
        </w:r>
        <w:r w:rsidR="00EB18D6">
          <w:rPr>
            <w:noProof/>
            <w:webHidden/>
          </w:rPr>
        </w:r>
        <w:r w:rsidR="00EB18D6">
          <w:rPr>
            <w:noProof/>
            <w:webHidden/>
          </w:rPr>
          <w:fldChar w:fldCharType="separate"/>
        </w:r>
        <w:r w:rsidR="00EB18D6">
          <w:rPr>
            <w:noProof/>
            <w:webHidden/>
          </w:rPr>
          <w:t>23</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91" w:history="1">
        <w:r w:rsidR="00EB18D6">
          <w:rPr>
            <w:rStyle w:val="Hyperlink"/>
            <w:noProof/>
          </w:rPr>
          <w:t>4.6.</w:t>
        </w:r>
        <w:r w:rsidR="00EB18D6">
          <w:rPr>
            <w:rFonts w:asciiTheme="minorHAnsi" w:eastAsiaTheme="minorEastAsia" w:hAnsiTheme="minorHAnsi" w:cstheme="minorBidi"/>
            <w:noProof/>
            <w:sz w:val="22"/>
            <w:szCs w:val="22"/>
            <w:lang w:bidi="ar-SA"/>
          </w:rPr>
          <w:tab/>
        </w:r>
        <w:r w:rsidR="00EB18D6">
          <w:rPr>
            <w:rStyle w:val="Hyperlink"/>
            <w:noProof/>
          </w:rPr>
          <w:t>Институционална дейност</w:t>
        </w:r>
        <w:r w:rsidR="00EB18D6">
          <w:rPr>
            <w:noProof/>
            <w:webHidden/>
          </w:rPr>
          <w:tab/>
        </w:r>
        <w:r w:rsidR="00EB18D6">
          <w:rPr>
            <w:noProof/>
            <w:webHidden/>
          </w:rPr>
          <w:fldChar w:fldCharType="begin"/>
        </w:r>
        <w:r w:rsidR="00EB18D6">
          <w:rPr>
            <w:noProof/>
            <w:webHidden/>
          </w:rPr>
          <w:instrText xml:space="preserve"> PAGEREF _Toc497120791 \h </w:instrText>
        </w:r>
        <w:r w:rsidR="00EB18D6">
          <w:rPr>
            <w:noProof/>
            <w:webHidden/>
          </w:rPr>
        </w:r>
        <w:r w:rsidR="00EB18D6">
          <w:rPr>
            <w:noProof/>
            <w:webHidden/>
          </w:rPr>
          <w:fldChar w:fldCharType="separate"/>
        </w:r>
        <w:r w:rsidR="00EB18D6">
          <w:rPr>
            <w:noProof/>
            <w:webHidden/>
          </w:rPr>
          <w:t>24</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792" w:history="1">
        <w:r w:rsidR="00EB18D6">
          <w:rPr>
            <w:rStyle w:val="Hyperlink"/>
            <w:noProof/>
          </w:rPr>
          <w:t>5.</w:t>
        </w:r>
        <w:r w:rsidR="00EB18D6">
          <w:rPr>
            <w:rFonts w:asciiTheme="minorHAnsi" w:eastAsiaTheme="minorEastAsia" w:hAnsiTheme="minorHAnsi" w:cstheme="minorBidi"/>
            <w:caps w:val="0"/>
            <w:noProof/>
            <w:sz w:val="22"/>
            <w:szCs w:val="22"/>
            <w:lang w:bidi="ar-SA"/>
          </w:rPr>
          <w:tab/>
        </w:r>
        <w:r w:rsidR="00EB18D6">
          <w:rPr>
            <w:rStyle w:val="Hyperlink"/>
            <w:noProof/>
          </w:rPr>
          <w:t>ССТ „от първо поколение“</w:t>
        </w:r>
        <w:r w:rsidR="00EB18D6">
          <w:rPr>
            <w:noProof/>
            <w:webHidden/>
          </w:rPr>
          <w:tab/>
        </w:r>
        <w:r w:rsidR="00EB18D6">
          <w:rPr>
            <w:noProof/>
            <w:webHidden/>
          </w:rPr>
          <w:fldChar w:fldCharType="begin"/>
        </w:r>
        <w:r w:rsidR="00EB18D6">
          <w:rPr>
            <w:noProof/>
            <w:webHidden/>
          </w:rPr>
          <w:instrText xml:space="preserve"> PAGEREF _Toc497120792 \h </w:instrText>
        </w:r>
        <w:r w:rsidR="00EB18D6">
          <w:rPr>
            <w:noProof/>
            <w:webHidden/>
          </w:rPr>
        </w:r>
        <w:r w:rsidR="00EB18D6">
          <w:rPr>
            <w:noProof/>
            <w:webHidden/>
          </w:rPr>
          <w:fldChar w:fldCharType="separate"/>
        </w:r>
        <w:r w:rsidR="00EB18D6">
          <w:rPr>
            <w:noProof/>
            <w:webHidden/>
          </w:rPr>
          <w:t>24</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93" w:history="1">
        <w:r w:rsidR="00EB18D6">
          <w:rPr>
            <w:rStyle w:val="Hyperlink"/>
            <w:noProof/>
          </w:rPr>
          <w:t>5.1.</w:t>
        </w:r>
        <w:r w:rsidR="00EB18D6">
          <w:rPr>
            <w:rFonts w:asciiTheme="minorHAnsi" w:eastAsiaTheme="minorEastAsia" w:hAnsiTheme="minorHAnsi" w:cstheme="minorBidi"/>
            <w:noProof/>
            <w:sz w:val="22"/>
            <w:szCs w:val="22"/>
            <w:lang w:bidi="ar-SA"/>
          </w:rPr>
          <w:tab/>
        </w:r>
        <w:r w:rsidR="00EB18D6">
          <w:rPr>
            <w:rStyle w:val="Hyperlink"/>
            <w:noProof/>
          </w:rPr>
          <w:t>Търговски потоци</w:t>
        </w:r>
        <w:r w:rsidR="00EB18D6">
          <w:rPr>
            <w:noProof/>
            <w:webHidden/>
          </w:rPr>
          <w:tab/>
        </w:r>
        <w:r w:rsidR="00EB18D6">
          <w:rPr>
            <w:noProof/>
            <w:webHidden/>
          </w:rPr>
          <w:fldChar w:fldCharType="begin"/>
        </w:r>
        <w:r w:rsidR="00EB18D6">
          <w:rPr>
            <w:noProof/>
            <w:webHidden/>
          </w:rPr>
          <w:instrText xml:space="preserve"> PAGEREF _Toc497120793 \h </w:instrText>
        </w:r>
        <w:r w:rsidR="00EB18D6">
          <w:rPr>
            <w:noProof/>
            <w:webHidden/>
          </w:rPr>
        </w:r>
        <w:r w:rsidR="00EB18D6">
          <w:rPr>
            <w:noProof/>
            <w:webHidden/>
          </w:rPr>
          <w:fldChar w:fldCharType="separate"/>
        </w:r>
        <w:r w:rsidR="00EB18D6">
          <w:rPr>
            <w:noProof/>
            <w:webHidden/>
          </w:rPr>
          <w:t>25</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94" w:history="1">
        <w:r w:rsidR="00EB18D6">
          <w:rPr>
            <w:rStyle w:val="Hyperlink"/>
            <w:noProof/>
          </w:rPr>
          <w:t>5.2.</w:t>
        </w:r>
        <w:r w:rsidR="00EB18D6">
          <w:rPr>
            <w:rFonts w:asciiTheme="minorHAnsi" w:eastAsiaTheme="minorEastAsia" w:hAnsiTheme="minorHAnsi" w:cstheme="minorBidi"/>
            <w:noProof/>
            <w:sz w:val="22"/>
            <w:szCs w:val="22"/>
            <w:lang w:bidi="ar-SA"/>
          </w:rPr>
          <w:tab/>
        </w:r>
        <w:r w:rsidR="00EB18D6">
          <w:rPr>
            <w:rStyle w:val="Hyperlink"/>
            <w:noProof/>
          </w:rPr>
          <w:t>Тарифни квоти</w:t>
        </w:r>
        <w:r w:rsidR="00EB18D6">
          <w:rPr>
            <w:noProof/>
            <w:webHidden/>
          </w:rPr>
          <w:tab/>
        </w:r>
        <w:r w:rsidR="00EB18D6">
          <w:rPr>
            <w:noProof/>
            <w:webHidden/>
          </w:rPr>
          <w:fldChar w:fldCharType="begin"/>
        </w:r>
        <w:r w:rsidR="00EB18D6">
          <w:rPr>
            <w:noProof/>
            <w:webHidden/>
          </w:rPr>
          <w:instrText xml:space="preserve"> PAGEREF _Toc497120794 \h </w:instrText>
        </w:r>
        <w:r w:rsidR="00EB18D6">
          <w:rPr>
            <w:noProof/>
            <w:webHidden/>
          </w:rPr>
        </w:r>
        <w:r w:rsidR="00EB18D6">
          <w:rPr>
            <w:noProof/>
            <w:webHidden/>
          </w:rPr>
          <w:fldChar w:fldCharType="separate"/>
        </w:r>
        <w:r w:rsidR="00EB18D6">
          <w:rPr>
            <w:noProof/>
            <w:webHidden/>
          </w:rPr>
          <w:t>26</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95" w:history="1">
        <w:r w:rsidR="00EB18D6">
          <w:rPr>
            <w:rStyle w:val="Hyperlink"/>
            <w:noProof/>
          </w:rPr>
          <w:t>5.3.</w:t>
        </w:r>
        <w:r w:rsidR="00EB18D6">
          <w:rPr>
            <w:rFonts w:asciiTheme="minorHAnsi" w:eastAsiaTheme="minorEastAsia" w:hAnsiTheme="minorHAnsi" w:cstheme="minorBidi"/>
            <w:noProof/>
            <w:sz w:val="22"/>
            <w:szCs w:val="22"/>
            <w:lang w:bidi="ar-SA"/>
          </w:rPr>
          <w:tab/>
        </w:r>
        <w:r w:rsidR="00EB18D6">
          <w:rPr>
            <w:rStyle w:val="Hyperlink"/>
            <w:noProof/>
          </w:rPr>
          <w:t>Степен на използване на преференциите</w:t>
        </w:r>
        <w:r w:rsidR="00EB18D6">
          <w:rPr>
            <w:noProof/>
            <w:webHidden/>
          </w:rPr>
          <w:tab/>
        </w:r>
        <w:r w:rsidR="00EB18D6">
          <w:rPr>
            <w:noProof/>
            <w:webHidden/>
          </w:rPr>
          <w:fldChar w:fldCharType="begin"/>
        </w:r>
        <w:r w:rsidR="00EB18D6">
          <w:rPr>
            <w:noProof/>
            <w:webHidden/>
          </w:rPr>
          <w:instrText xml:space="preserve"> PAGEREF _Toc497120795 \h </w:instrText>
        </w:r>
        <w:r w:rsidR="00EB18D6">
          <w:rPr>
            <w:noProof/>
            <w:webHidden/>
          </w:rPr>
        </w:r>
        <w:r w:rsidR="00EB18D6">
          <w:rPr>
            <w:noProof/>
            <w:webHidden/>
          </w:rPr>
          <w:fldChar w:fldCharType="separate"/>
        </w:r>
        <w:r w:rsidR="00EB18D6">
          <w:rPr>
            <w:noProof/>
            <w:webHidden/>
          </w:rPr>
          <w:t>27</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96" w:history="1">
        <w:r w:rsidR="00EB18D6">
          <w:rPr>
            <w:rStyle w:val="Hyperlink"/>
            <w:noProof/>
          </w:rPr>
          <w:t>5.4.</w:t>
        </w:r>
        <w:r w:rsidR="00EB18D6">
          <w:rPr>
            <w:rFonts w:asciiTheme="minorHAnsi" w:eastAsiaTheme="minorEastAsia" w:hAnsiTheme="minorHAnsi" w:cstheme="minorBidi"/>
            <w:noProof/>
            <w:sz w:val="22"/>
            <w:szCs w:val="22"/>
            <w:lang w:bidi="ar-SA"/>
          </w:rPr>
          <w:tab/>
        </w:r>
        <w:r w:rsidR="00EB18D6">
          <w:rPr>
            <w:rStyle w:val="Hyperlink"/>
            <w:noProof/>
          </w:rPr>
          <w:t>Услуги и инвестиции</w:t>
        </w:r>
        <w:r w:rsidR="00EB18D6">
          <w:rPr>
            <w:noProof/>
            <w:webHidden/>
          </w:rPr>
          <w:tab/>
        </w:r>
        <w:r w:rsidR="00EB18D6">
          <w:rPr>
            <w:noProof/>
            <w:webHidden/>
          </w:rPr>
          <w:fldChar w:fldCharType="begin"/>
        </w:r>
        <w:r w:rsidR="00EB18D6">
          <w:rPr>
            <w:noProof/>
            <w:webHidden/>
          </w:rPr>
          <w:instrText xml:space="preserve"> PAGEREF _Toc497120796 \h </w:instrText>
        </w:r>
        <w:r w:rsidR="00EB18D6">
          <w:rPr>
            <w:noProof/>
            <w:webHidden/>
          </w:rPr>
        </w:r>
        <w:r w:rsidR="00EB18D6">
          <w:rPr>
            <w:noProof/>
            <w:webHidden/>
          </w:rPr>
          <w:fldChar w:fldCharType="separate"/>
        </w:r>
        <w:r w:rsidR="00EB18D6">
          <w:rPr>
            <w:noProof/>
            <w:webHidden/>
          </w:rPr>
          <w:t>27</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97" w:history="1">
        <w:r w:rsidR="00EB18D6">
          <w:rPr>
            <w:rStyle w:val="Hyperlink"/>
            <w:rFonts w:eastAsia="Calibri"/>
            <w:noProof/>
          </w:rPr>
          <w:t>5.5.</w:t>
        </w:r>
        <w:r w:rsidR="00EB18D6">
          <w:rPr>
            <w:rFonts w:asciiTheme="minorHAnsi" w:eastAsiaTheme="minorEastAsia" w:hAnsiTheme="minorHAnsi" w:cstheme="minorBidi"/>
            <w:noProof/>
            <w:sz w:val="22"/>
            <w:szCs w:val="22"/>
            <w:lang w:bidi="ar-SA"/>
          </w:rPr>
          <w:tab/>
        </w:r>
        <w:r w:rsidR="00EB18D6">
          <w:rPr>
            <w:rStyle w:val="Hyperlink"/>
            <w:noProof/>
          </w:rPr>
          <w:t>Органи по изпълнението</w:t>
        </w:r>
        <w:r w:rsidR="00EB18D6">
          <w:rPr>
            <w:noProof/>
            <w:webHidden/>
          </w:rPr>
          <w:tab/>
        </w:r>
        <w:r w:rsidR="00EB18D6">
          <w:rPr>
            <w:noProof/>
            <w:webHidden/>
          </w:rPr>
          <w:fldChar w:fldCharType="begin"/>
        </w:r>
        <w:r w:rsidR="00EB18D6">
          <w:rPr>
            <w:noProof/>
            <w:webHidden/>
          </w:rPr>
          <w:instrText xml:space="preserve"> PAGEREF _Toc497120797 \h </w:instrText>
        </w:r>
        <w:r w:rsidR="00EB18D6">
          <w:rPr>
            <w:noProof/>
            <w:webHidden/>
          </w:rPr>
        </w:r>
        <w:r w:rsidR="00EB18D6">
          <w:rPr>
            <w:noProof/>
            <w:webHidden/>
          </w:rPr>
          <w:fldChar w:fldCharType="separate"/>
        </w:r>
        <w:r w:rsidR="00EB18D6">
          <w:rPr>
            <w:noProof/>
            <w:webHidden/>
          </w:rPr>
          <w:t>28</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798" w:history="1">
        <w:r w:rsidR="00EB18D6">
          <w:rPr>
            <w:rStyle w:val="Hyperlink"/>
            <w:noProof/>
          </w:rPr>
          <w:t>6.</w:t>
        </w:r>
        <w:r w:rsidR="00EB18D6">
          <w:rPr>
            <w:rFonts w:asciiTheme="minorHAnsi" w:eastAsiaTheme="minorEastAsia" w:hAnsiTheme="minorHAnsi" w:cstheme="minorBidi"/>
            <w:caps w:val="0"/>
            <w:noProof/>
            <w:sz w:val="22"/>
            <w:szCs w:val="22"/>
            <w:lang w:bidi="ar-SA"/>
          </w:rPr>
          <w:tab/>
        </w:r>
        <w:r w:rsidR="00EB18D6">
          <w:rPr>
            <w:rStyle w:val="Hyperlink"/>
            <w:noProof/>
          </w:rPr>
          <w:t>На фокус: главите относно търговията и устойчивото развитие</w:t>
        </w:r>
        <w:r w:rsidR="00EB18D6">
          <w:rPr>
            <w:noProof/>
            <w:webHidden/>
          </w:rPr>
          <w:tab/>
        </w:r>
        <w:r w:rsidR="00EB18D6">
          <w:rPr>
            <w:noProof/>
            <w:webHidden/>
          </w:rPr>
          <w:fldChar w:fldCharType="begin"/>
        </w:r>
        <w:r w:rsidR="00EB18D6">
          <w:rPr>
            <w:noProof/>
            <w:webHidden/>
          </w:rPr>
          <w:instrText xml:space="preserve"> PAGEREF _Toc497120798 \h </w:instrText>
        </w:r>
        <w:r w:rsidR="00EB18D6">
          <w:rPr>
            <w:noProof/>
            <w:webHidden/>
          </w:rPr>
        </w:r>
        <w:r w:rsidR="00EB18D6">
          <w:rPr>
            <w:noProof/>
            <w:webHidden/>
          </w:rPr>
          <w:fldChar w:fldCharType="separate"/>
        </w:r>
        <w:r w:rsidR="00EB18D6">
          <w:rPr>
            <w:noProof/>
            <w:webHidden/>
          </w:rPr>
          <w:t>29</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799" w:history="1">
        <w:r w:rsidR="00EB18D6">
          <w:rPr>
            <w:rStyle w:val="Hyperlink"/>
            <w:noProof/>
          </w:rPr>
          <w:t>6.1.</w:t>
        </w:r>
        <w:r w:rsidR="00EB18D6">
          <w:rPr>
            <w:rFonts w:asciiTheme="minorHAnsi" w:eastAsiaTheme="minorEastAsia" w:hAnsiTheme="minorHAnsi" w:cstheme="minorBidi"/>
            <w:noProof/>
            <w:sz w:val="22"/>
            <w:szCs w:val="22"/>
            <w:lang w:bidi="ar-SA"/>
          </w:rPr>
          <w:tab/>
        </w:r>
        <w:r w:rsidR="00EB18D6">
          <w:rPr>
            <w:rStyle w:val="Hyperlink"/>
            <w:noProof/>
          </w:rPr>
          <w:t>Дейности по ССТ от „ново поколение“</w:t>
        </w:r>
        <w:r w:rsidR="00EB18D6">
          <w:rPr>
            <w:noProof/>
            <w:webHidden/>
          </w:rPr>
          <w:tab/>
        </w:r>
        <w:r w:rsidR="00EB18D6">
          <w:rPr>
            <w:noProof/>
            <w:webHidden/>
          </w:rPr>
          <w:fldChar w:fldCharType="begin"/>
        </w:r>
        <w:r w:rsidR="00EB18D6">
          <w:rPr>
            <w:noProof/>
            <w:webHidden/>
          </w:rPr>
          <w:instrText xml:space="preserve"> PAGEREF _Toc497120799 \h </w:instrText>
        </w:r>
        <w:r w:rsidR="00EB18D6">
          <w:rPr>
            <w:noProof/>
            <w:webHidden/>
          </w:rPr>
        </w:r>
        <w:r w:rsidR="00EB18D6">
          <w:rPr>
            <w:noProof/>
            <w:webHidden/>
          </w:rPr>
          <w:fldChar w:fldCharType="separate"/>
        </w:r>
        <w:r w:rsidR="00EB18D6">
          <w:rPr>
            <w:noProof/>
            <w:webHidden/>
          </w:rPr>
          <w:t>29</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800" w:history="1">
        <w:r w:rsidR="00EB18D6">
          <w:rPr>
            <w:rStyle w:val="Hyperlink"/>
            <w:noProof/>
          </w:rPr>
          <w:t>6.2.</w:t>
        </w:r>
        <w:r w:rsidR="00EB18D6">
          <w:rPr>
            <w:rFonts w:asciiTheme="minorHAnsi" w:eastAsiaTheme="minorEastAsia" w:hAnsiTheme="minorHAnsi" w:cstheme="minorBidi"/>
            <w:noProof/>
            <w:sz w:val="22"/>
            <w:szCs w:val="22"/>
            <w:lang w:bidi="ar-SA"/>
          </w:rPr>
          <w:tab/>
        </w:r>
        <w:r w:rsidR="00EB18D6">
          <w:rPr>
            <w:rStyle w:val="Hyperlink"/>
            <w:noProof/>
          </w:rPr>
          <w:t>Междуправителствени срещи, посветени на търговията и устойчивото развитие</w:t>
        </w:r>
        <w:r w:rsidR="00EB18D6">
          <w:rPr>
            <w:noProof/>
            <w:webHidden/>
          </w:rPr>
          <w:tab/>
        </w:r>
        <w:r w:rsidR="00EB18D6">
          <w:rPr>
            <w:noProof/>
            <w:webHidden/>
          </w:rPr>
          <w:fldChar w:fldCharType="begin"/>
        </w:r>
        <w:r w:rsidR="00EB18D6">
          <w:rPr>
            <w:noProof/>
            <w:webHidden/>
          </w:rPr>
          <w:instrText xml:space="preserve"> PAGEREF _Toc497120800 \h </w:instrText>
        </w:r>
        <w:r w:rsidR="00EB18D6">
          <w:rPr>
            <w:noProof/>
            <w:webHidden/>
          </w:rPr>
        </w:r>
        <w:r w:rsidR="00EB18D6">
          <w:rPr>
            <w:noProof/>
            <w:webHidden/>
          </w:rPr>
          <w:fldChar w:fldCharType="separate"/>
        </w:r>
        <w:r w:rsidR="00EB18D6">
          <w:rPr>
            <w:noProof/>
            <w:webHidden/>
          </w:rPr>
          <w:t>29</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801" w:history="1">
        <w:r w:rsidR="00EB18D6">
          <w:rPr>
            <w:rStyle w:val="Hyperlink"/>
            <w:noProof/>
          </w:rPr>
          <w:t>6.3.</w:t>
        </w:r>
        <w:r w:rsidR="00EB18D6">
          <w:rPr>
            <w:rFonts w:asciiTheme="minorHAnsi" w:eastAsiaTheme="minorEastAsia" w:hAnsiTheme="minorHAnsi" w:cstheme="minorBidi"/>
            <w:noProof/>
            <w:sz w:val="22"/>
            <w:szCs w:val="22"/>
            <w:lang w:bidi="ar-SA"/>
          </w:rPr>
          <w:tab/>
        </w:r>
        <w:r w:rsidR="00EB18D6">
          <w:rPr>
            <w:rStyle w:val="Hyperlink"/>
            <w:noProof/>
          </w:rPr>
          <w:t>Други срещи</w:t>
        </w:r>
        <w:r w:rsidR="00EB18D6">
          <w:rPr>
            <w:noProof/>
            <w:webHidden/>
          </w:rPr>
          <w:tab/>
        </w:r>
        <w:r w:rsidR="00EB18D6">
          <w:rPr>
            <w:noProof/>
            <w:webHidden/>
          </w:rPr>
          <w:fldChar w:fldCharType="begin"/>
        </w:r>
        <w:r w:rsidR="00EB18D6">
          <w:rPr>
            <w:noProof/>
            <w:webHidden/>
          </w:rPr>
          <w:instrText xml:space="preserve"> PAGEREF _Toc497120801 \h </w:instrText>
        </w:r>
        <w:r w:rsidR="00EB18D6">
          <w:rPr>
            <w:noProof/>
            <w:webHidden/>
          </w:rPr>
        </w:r>
        <w:r w:rsidR="00EB18D6">
          <w:rPr>
            <w:noProof/>
            <w:webHidden/>
          </w:rPr>
          <w:fldChar w:fldCharType="separate"/>
        </w:r>
        <w:r w:rsidR="00EB18D6">
          <w:rPr>
            <w:noProof/>
            <w:webHidden/>
          </w:rPr>
          <w:t>30</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802" w:history="1">
        <w:r w:rsidR="00EB18D6">
          <w:rPr>
            <w:rStyle w:val="Hyperlink"/>
            <w:noProof/>
          </w:rPr>
          <w:t>6.4.</w:t>
        </w:r>
        <w:r w:rsidR="00EB18D6">
          <w:rPr>
            <w:rFonts w:asciiTheme="minorHAnsi" w:eastAsiaTheme="minorEastAsia" w:hAnsiTheme="minorHAnsi" w:cstheme="minorBidi"/>
            <w:noProof/>
            <w:sz w:val="22"/>
            <w:szCs w:val="22"/>
            <w:lang w:bidi="ar-SA"/>
          </w:rPr>
          <w:tab/>
        </w:r>
        <w:r w:rsidR="00EB18D6">
          <w:rPr>
            <w:rStyle w:val="Hyperlink"/>
            <w:noProof/>
          </w:rPr>
          <w:t>Актуално състояние и предизвикателства</w:t>
        </w:r>
        <w:r w:rsidR="00EB18D6">
          <w:rPr>
            <w:noProof/>
            <w:webHidden/>
          </w:rPr>
          <w:tab/>
        </w:r>
        <w:r w:rsidR="00EB18D6">
          <w:rPr>
            <w:noProof/>
            <w:webHidden/>
          </w:rPr>
          <w:fldChar w:fldCharType="begin"/>
        </w:r>
        <w:r w:rsidR="00EB18D6">
          <w:rPr>
            <w:noProof/>
            <w:webHidden/>
          </w:rPr>
          <w:instrText xml:space="preserve"> PAGEREF _Toc497120802 \h </w:instrText>
        </w:r>
        <w:r w:rsidR="00EB18D6">
          <w:rPr>
            <w:noProof/>
            <w:webHidden/>
          </w:rPr>
        </w:r>
        <w:r w:rsidR="00EB18D6">
          <w:rPr>
            <w:noProof/>
            <w:webHidden/>
          </w:rPr>
          <w:fldChar w:fldCharType="separate"/>
        </w:r>
        <w:r w:rsidR="00EB18D6">
          <w:rPr>
            <w:noProof/>
            <w:webHidden/>
          </w:rPr>
          <w:t>30</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803" w:history="1">
        <w:r w:rsidR="00EB18D6">
          <w:rPr>
            <w:rStyle w:val="Hyperlink"/>
            <w:noProof/>
          </w:rPr>
          <w:t>7.</w:t>
        </w:r>
        <w:r w:rsidR="00EB18D6">
          <w:rPr>
            <w:rFonts w:asciiTheme="minorHAnsi" w:eastAsiaTheme="minorEastAsia" w:hAnsiTheme="minorHAnsi" w:cstheme="minorBidi"/>
            <w:caps w:val="0"/>
            <w:noProof/>
            <w:sz w:val="22"/>
            <w:szCs w:val="22"/>
            <w:lang w:bidi="ar-SA"/>
          </w:rPr>
          <w:tab/>
        </w:r>
        <w:r w:rsidR="00EB18D6">
          <w:rPr>
            <w:rStyle w:val="Hyperlink"/>
            <w:noProof/>
          </w:rPr>
          <w:t>Последваща оценка на въздействието на ССТ — Чили и Мексико</w:t>
        </w:r>
        <w:r w:rsidR="00EB18D6">
          <w:rPr>
            <w:noProof/>
            <w:webHidden/>
          </w:rPr>
          <w:tab/>
        </w:r>
        <w:r w:rsidR="00EB18D6">
          <w:rPr>
            <w:noProof/>
            <w:webHidden/>
          </w:rPr>
          <w:fldChar w:fldCharType="begin"/>
        </w:r>
        <w:r w:rsidR="00EB18D6">
          <w:rPr>
            <w:noProof/>
            <w:webHidden/>
          </w:rPr>
          <w:instrText xml:space="preserve"> PAGEREF _Toc497120803 \h </w:instrText>
        </w:r>
        <w:r w:rsidR="00EB18D6">
          <w:rPr>
            <w:noProof/>
            <w:webHidden/>
          </w:rPr>
        </w:r>
        <w:r w:rsidR="00EB18D6">
          <w:rPr>
            <w:noProof/>
            <w:webHidden/>
          </w:rPr>
          <w:fldChar w:fldCharType="separate"/>
        </w:r>
        <w:r w:rsidR="00EB18D6">
          <w:rPr>
            <w:noProof/>
            <w:webHidden/>
          </w:rPr>
          <w:t>32</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804" w:history="1">
        <w:r w:rsidR="00EB18D6">
          <w:rPr>
            <w:rStyle w:val="Hyperlink"/>
            <w:noProof/>
          </w:rPr>
          <w:t>7.1.</w:t>
        </w:r>
        <w:r w:rsidR="00EB18D6">
          <w:rPr>
            <w:rFonts w:asciiTheme="minorHAnsi" w:eastAsiaTheme="minorEastAsia" w:hAnsiTheme="minorHAnsi" w:cstheme="minorBidi"/>
            <w:noProof/>
            <w:sz w:val="22"/>
            <w:szCs w:val="22"/>
            <w:lang w:bidi="ar-SA"/>
          </w:rPr>
          <w:tab/>
        </w:r>
        <w:r w:rsidR="00EB18D6">
          <w:rPr>
            <w:rStyle w:val="Hyperlink"/>
            <w:noProof/>
          </w:rPr>
          <w:t>Чили</w:t>
        </w:r>
        <w:r w:rsidR="00EB18D6">
          <w:rPr>
            <w:noProof/>
            <w:webHidden/>
          </w:rPr>
          <w:tab/>
        </w:r>
        <w:r w:rsidR="00EB18D6">
          <w:rPr>
            <w:noProof/>
            <w:webHidden/>
          </w:rPr>
          <w:fldChar w:fldCharType="begin"/>
        </w:r>
        <w:r w:rsidR="00EB18D6">
          <w:rPr>
            <w:noProof/>
            <w:webHidden/>
          </w:rPr>
          <w:instrText xml:space="preserve"> PAGEREF _Toc497120804 \h </w:instrText>
        </w:r>
        <w:r w:rsidR="00EB18D6">
          <w:rPr>
            <w:noProof/>
            <w:webHidden/>
          </w:rPr>
        </w:r>
        <w:r w:rsidR="00EB18D6">
          <w:rPr>
            <w:noProof/>
            <w:webHidden/>
          </w:rPr>
          <w:fldChar w:fldCharType="separate"/>
        </w:r>
        <w:r w:rsidR="00EB18D6">
          <w:rPr>
            <w:noProof/>
            <w:webHidden/>
          </w:rPr>
          <w:t>32</w:t>
        </w:r>
        <w:r w:rsidR="00EB18D6">
          <w:rPr>
            <w:noProof/>
            <w:webHidden/>
          </w:rPr>
          <w:fldChar w:fldCharType="end"/>
        </w:r>
      </w:hyperlink>
    </w:p>
    <w:p w:rsidR="00E1343B" w:rsidRDefault="00C34FF8">
      <w:pPr>
        <w:pStyle w:val="TOC2"/>
        <w:tabs>
          <w:tab w:val="left" w:pos="1077"/>
        </w:tabs>
        <w:rPr>
          <w:rFonts w:asciiTheme="minorHAnsi" w:eastAsiaTheme="minorEastAsia" w:hAnsiTheme="minorHAnsi" w:cstheme="minorBidi"/>
          <w:noProof/>
          <w:sz w:val="22"/>
          <w:szCs w:val="22"/>
          <w:lang w:bidi="ar-SA"/>
        </w:rPr>
      </w:pPr>
      <w:hyperlink w:anchor="_Toc497120805" w:history="1">
        <w:r w:rsidR="00EB18D6">
          <w:rPr>
            <w:rStyle w:val="Hyperlink"/>
            <w:noProof/>
          </w:rPr>
          <w:t>7.2.</w:t>
        </w:r>
        <w:r w:rsidR="00EB18D6">
          <w:rPr>
            <w:rFonts w:asciiTheme="minorHAnsi" w:eastAsiaTheme="minorEastAsia" w:hAnsiTheme="minorHAnsi" w:cstheme="minorBidi"/>
            <w:noProof/>
            <w:sz w:val="22"/>
            <w:szCs w:val="22"/>
            <w:lang w:bidi="ar-SA"/>
          </w:rPr>
          <w:tab/>
        </w:r>
        <w:r w:rsidR="00EB18D6">
          <w:rPr>
            <w:rStyle w:val="Hyperlink"/>
            <w:noProof/>
          </w:rPr>
          <w:t>Мексико</w:t>
        </w:r>
        <w:r w:rsidR="00EB18D6">
          <w:rPr>
            <w:noProof/>
            <w:webHidden/>
          </w:rPr>
          <w:tab/>
        </w:r>
        <w:r w:rsidR="00EB18D6">
          <w:rPr>
            <w:noProof/>
            <w:webHidden/>
          </w:rPr>
          <w:fldChar w:fldCharType="begin"/>
        </w:r>
        <w:r w:rsidR="00EB18D6">
          <w:rPr>
            <w:noProof/>
            <w:webHidden/>
          </w:rPr>
          <w:instrText xml:space="preserve"> PAGEREF _Toc497120805 \h </w:instrText>
        </w:r>
        <w:r w:rsidR="00EB18D6">
          <w:rPr>
            <w:noProof/>
            <w:webHidden/>
          </w:rPr>
        </w:r>
        <w:r w:rsidR="00EB18D6">
          <w:rPr>
            <w:noProof/>
            <w:webHidden/>
          </w:rPr>
          <w:fldChar w:fldCharType="separate"/>
        </w:r>
        <w:r w:rsidR="00EB18D6">
          <w:rPr>
            <w:noProof/>
            <w:webHidden/>
          </w:rPr>
          <w:t>33</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806" w:history="1">
        <w:r w:rsidR="00EB18D6">
          <w:rPr>
            <w:rStyle w:val="Hyperlink"/>
            <w:noProof/>
          </w:rPr>
          <w:t>8.</w:t>
        </w:r>
        <w:r w:rsidR="00EB18D6">
          <w:rPr>
            <w:rFonts w:asciiTheme="minorHAnsi" w:eastAsiaTheme="minorEastAsia" w:hAnsiTheme="minorHAnsi" w:cstheme="minorBidi"/>
            <w:caps w:val="0"/>
            <w:noProof/>
            <w:sz w:val="22"/>
            <w:szCs w:val="22"/>
            <w:lang w:bidi="ar-SA"/>
          </w:rPr>
          <w:tab/>
        </w:r>
        <w:r w:rsidR="00EB18D6">
          <w:rPr>
            <w:rStyle w:val="Hyperlink"/>
            <w:noProof/>
          </w:rPr>
          <w:t>Подготовка за ефективно изпълнение на ССТ</w:t>
        </w:r>
        <w:r w:rsidR="00EB18D6">
          <w:rPr>
            <w:noProof/>
            <w:webHidden/>
          </w:rPr>
          <w:tab/>
        </w:r>
        <w:r w:rsidR="00EB18D6">
          <w:rPr>
            <w:noProof/>
            <w:webHidden/>
          </w:rPr>
          <w:fldChar w:fldCharType="begin"/>
        </w:r>
        <w:r w:rsidR="00EB18D6">
          <w:rPr>
            <w:noProof/>
            <w:webHidden/>
          </w:rPr>
          <w:instrText xml:space="preserve"> PAGEREF _Toc497120806 \h </w:instrText>
        </w:r>
        <w:r w:rsidR="00EB18D6">
          <w:rPr>
            <w:noProof/>
            <w:webHidden/>
          </w:rPr>
        </w:r>
        <w:r w:rsidR="00EB18D6">
          <w:rPr>
            <w:noProof/>
            <w:webHidden/>
          </w:rPr>
          <w:fldChar w:fldCharType="separate"/>
        </w:r>
        <w:r w:rsidR="00EB18D6">
          <w:rPr>
            <w:noProof/>
            <w:webHidden/>
          </w:rPr>
          <w:t>34</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807" w:history="1">
        <w:r w:rsidR="00EB18D6">
          <w:rPr>
            <w:rStyle w:val="Hyperlink"/>
            <w:noProof/>
          </w:rPr>
          <w:t>9.</w:t>
        </w:r>
        <w:r w:rsidR="00EB18D6">
          <w:rPr>
            <w:rFonts w:asciiTheme="minorHAnsi" w:eastAsiaTheme="minorEastAsia" w:hAnsiTheme="minorHAnsi" w:cstheme="minorBidi"/>
            <w:caps w:val="0"/>
            <w:noProof/>
            <w:sz w:val="22"/>
            <w:szCs w:val="22"/>
            <w:lang w:bidi="ar-SA"/>
          </w:rPr>
          <w:tab/>
        </w:r>
        <w:r w:rsidR="00EB18D6">
          <w:rPr>
            <w:rStyle w:val="Hyperlink"/>
            <w:noProof/>
          </w:rPr>
          <w:t>Активизиране на дейностите по осведомяване</w:t>
        </w:r>
        <w:r w:rsidR="00EB18D6">
          <w:rPr>
            <w:noProof/>
            <w:webHidden/>
          </w:rPr>
          <w:tab/>
        </w:r>
        <w:r w:rsidR="00EB18D6">
          <w:rPr>
            <w:noProof/>
            <w:webHidden/>
          </w:rPr>
          <w:fldChar w:fldCharType="begin"/>
        </w:r>
        <w:r w:rsidR="00EB18D6">
          <w:rPr>
            <w:noProof/>
            <w:webHidden/>
          </w:rPr>
          <w:instrText xml:space="preserve"> PAGEREF _Toc497120807 \h </w:instrText>
        </w:r>
        <w:r w:rsidR="00EB18D6">
          <w:rPr>
            <w:noProof/>
            <w:webHidden/>
          </w:rPr>
        </w:r>
        <w:r w:rsidR="00EB18D6">
          <w:rPr>
            <w:noProof/>
            <w:webHidden/>
          </w:rPr>
          <w:fldChar w:fldCharType="separate"/>
        </w:r>
        <w:r w:rsidR="00EB18D6">
          <w:rPr>
            <w:noProof/>
            <w:webHidden/>
          </w:rPr>
          <w:t>35</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808" w:history="1">
        <w:r w:rsidR="00EB18D6">
          <w:rPr>
            <w:rStyle w:val="Hyperlink"/>
            <w:noProof/>
          </w:rPr>
          <w:t>10.</w:t>
        </w:r>
        <w:r w:rsidR="00EB18D6">
          <w:rPr>
            <w:rFonts w:asciiTheme="minorHAnsi" w:eastAsiaTheme="minorEastAsia" w:hAnsiTheme="minorHAnsi" w:cstheme="minorBidi"/>
            <w:caps w:val="0"/>
            <w:noProof/>
            <w:sz w:val="22"/>
            <w:szCs w:val="22"/>
            <w:lang w:bidi="ar-SA"/>
          </w:rPr>
          <w:tab/>
        </w:r>
        <w:r w:rsidR="00EB18D6">
          <w:rPr>
            <w:rStyle w:val="Hyperlink"/>
            <w:noProof/>
          </w:rPr>
          <w:t>Заключение</w:t>
        </w:r>
        <w:r w:rsidR="00EB18D6">
          <w:rPr>
            <w:noProof/>
            <w:webHidden/>
          </w:rPr>
          <w:tab/>
        </w:r>
        <w:r w:rsidR="00EB18D6">
          <w:rPr>
            <w:noProof/>
            <w:webHidden/>
          </w:rPr>
          <w:fldChar w:fldCharType="begin"/>
        </w:r>
        <w:r w:rsidR="00EB18D6">
          <w:rPr>
            <w:noProof/>
            <w:webHidden/>
          </w:rPr>
          <w:instrText xml:space="preserve"> PAGEREF _Toc497120808 \h </w:instrText>
        </w:r>
        <w:r w:rsidR="00EB18D6">
          <w:rPr>
            <w:noProof/>
            <w:webHidden/>
          </w:rPr>
        </w:r>
        <w:r w:rsidR="00EB18D6">
          <w:rPr>
            <w:noProof/>
            <w:webHidden/>
          </w:rPr>
          <w:fldChar w:fldCharType="separate"/>
        </w:r>
        <w:r w:rsidR="00EB18D6">
          <w:rPr>
            <w:noProof/>
            <w:webHidden/>
          </w:rPr>
          <w:t>36</w:t>
        </w:r>
        <w:r w:rsidR="00EB18D6">
          <w:rPr>
            <w:noProof/>
            <w:webHidden/>
          </w:rPr>
          <w:fldChar w:fldCharType="end"/>
        </w:r>
      </w:hyperlink>
    </w:p>
    <w:p w:rsidR="00E1343B" w:rsidRDefault="00C34FF8">
      <w:pPr>
        <w:pStyle w:val="TOC2"/>
        <w:tabs>
          <w:tab w:val="left" w:pos="1916"/>
        </w:tabs>
        <w:rPr>
          <w:rFonts w:asciiTheme="minorHAnsi" w:eastAsiaTheme="minorEastAsia" w:hAnsiTheme="minorHAnsi" w:cstheme="minorBidi"/>
          <w:noProof/>
          <w:sz w:val="22"/>
          <w:szCs w:val="22"/>
          <w:lang w:bidi="ar-SA"/>
        </w:rPr>
      </w:pPr>
      <w:hyperlink w:anchor="_Toc497120809" w:history="1">
        <w:r w:rsidR="00EB18D6">
          <w:rPr>
            <w:rStyle w:val="Hyperlink"/>
            <w:noProof/>
          </w:rPr>
          <w:t>10.1.</w:t>
        </w:r>
        <w:r w:rsidR="00EB18D6">
          <w:rPr>
            <w:rFonts w:asciiTheme="minorHAnsi" w:eastAsiaTheme="minorEastAsia" w:hAnsiTheme="minorHAnsi" w:cstheme="minorBidi"/>
            <w:noProof/>
            <w:sz w:val="22"/>
            <w:szCs w:val="22"/>
            <w:lang w:bidi="ar-SA"/>
          </w:rPr>
          <w:tab/>
        </w:r>
        <w:r w:rsidR="00EB18D6">
          <w:rPr>
            <w:rStyle w:val="Hyperlink"/>
            <w:noProof/>
          </w:rPr>
          <w:t>Търговски потоци</w:t>
        </w:r>
        <w:r w:rsidR="00EB18D6">
          <w:rPr>
            <w:noProof/>
            <w:webHidden/>
          </w:rPr>
          <w:tab/>
        </w:r>
        <w:r w:rsidR="00EB18D6">
          <w:rPr>
            <w:noProof/>
            <w:webHidden/>
          </w:rPr>
          <w:fldChar w:fldCharType="begin"/>
        </w:r>
        <w:r w:rsidR="00EB18D6">
          <w:rPr>
            <w:noProof/>
            <w:webHidden/>
          </w:rPr>
          <w:instrText xml:space="preserve"> PAGEREF _Toc497120809 \h </w:instrText>
        </w:r>
        <w:r w:rsidR="00EB18D6">
          <w:rPr>
            <w:noProof/>
            <w:webHidden/>
          </w:rPr>
        </w:r>
        <w:r w:rsidR="00EB18D6">
          <w:rPr>
            <w:noProof/>
            <w:webHidden/>
          </w:rPr>
          <w:fldChar w:fldCharType="separate"/>
        </w:r>
        <w:r w:rsidR="00EB18D6">
          <w:rPr>
            <w:noProof/>
            <w:webHidden/>
          </w:rPr>
          <w:t>36</w:t>
        </w:r>
        <w:r w:rsidR="00EB18D6">
          <w:rPr>
            <w:noProof/>
            <w:webHidden/>
          </w:rPr>
          <w:fldChar w:fldCharType="end"/>
        </w:r>
      </w:hyperlink>
    </w:p>
    <w:p w:rsidR="00E1343B" w:rsidRDefault="00C34FF8">
      <w:pPr>
        <w:pStyle w:val="TOC2"/>
        <w:tabs>
          <w:tab w:val="left" w:pos="1916"/>
        </w:tabs>
        <w:rPr>
          <w:rFonts w:asciiTheme="minorHAnsi" w:eastAsiaTheme="minorEastAsia" w:hAnsiTheme="minorHAnsi" w:cstheme="minorBidi"/>
          <w:noProof/>
          <w:sz w:val="22"/>
          <w:szCs w:val="22"/>
          <w:lang w:bidi="ar-SA"/>
        </w:rPr>
      </w:pPr>
      <w:hyperlink w:anchor="_Toc497120810" w:history="1">
        <w:r w:rsidR="00EB18D6">
          <w:rPr>
            <w:rStyle w:val="Hyperlink"/>
            <w:noProof/>
          </w:rPr>
          <w:t>10.2.</w:t>
        </w:r>
        <w:r w:rsidR="00EB18D6">
          <w:rPr>
            <w:rFonts w:asciiTheme="minorHAnsi" w:eastAsiaTheme="minorEastAsia" w:hAnsiTheme="minorHAnsi" w:cstheme="minorBidi"/>
            <w:noProof/>
            <w:sz w:val="22"/>
            <w:szCs w:val="22"/>
            <w:lang w:bidi="ar-SA"/>
          </w:rPr>
          <w:tab/>
        </w:r>
        <w:r w:rsidR="00EB18D6">
          <w:rPr>
            <w:rStyle w:val="Hyperlink"/>
            <w:noProof/>
          </w:rPr>
          <w:t>Тарифни квоти</w:t>
        </w:r>
        <w:r w:rsidR="00EB18D6">
          <w:rPr>
            <w:noProof/>
            <w:webHidden/>
          </w:rPr>
          <w:tab/>
        </w:r>
        <w:r w:rsidR="00EB18D6">
          <w:rPr>
            <w:noProof/>
            <w:webHidden/>
          </w:rPr>
          <w:fldChar w:fldCharType="begin"/>
        </w:r>
        <w:r w:rsidR="00EB18D6">
          <w:rPr>
            <w:noProof/>
            <w:webHidden/>
          </w:rPr>
          <w:instrText xml:space="preserve"> PAGEREF _Toc497120810 \h </w:instrText>
        </w:r>
        <w:r w:rsidR="00EB18D6">
          <w:rPr>
            <w:noProof/>
            <w:webHidden/>
          </w:rPr>
        </w:r>
        <w:r w:rsidR="00EB18D6">
          <w:rPr>
            <w:noProof/>
            <w:webHidden/>
          </w:rPr>
          <w:fldChar w:fldCharType="separate"/>
        </w:r>
        <w:r w:rsidR="00EB18D6">
          <w:rPr>
            <w:noProof/>
            <w:webHidden/>
          </w:rPr>
          <w:t>36</w:t>
        </w:r>
        <w:r w:rsidR="00EB18D6">
          <w:rPr>
            <w:noProof/>
            <w:webHidden/>
          </w:rPr>
          <w:fldChar w:fldCharType="end"/>
        </w:r>
      </w:hyperlink>
    </w:p>
    <w:p w:rsidR="00E1343B" w:rsidRDefault="00C34FF8">
      <w:pPr>
        <w:pStyle w:val="TOC2"/>
        <w:tabs>
          <w:tab w:val="left" w:pos="1916"/>
        </w:tabs>
        <w:rPr>
          <w:rFonts w:asciiTheme="minorHAnsi" w:eastAsiaTheme="minorEastAsia" w:hAnsiTheme="minorHAnsi" w:cstheme="minorBidi"/>
          <w:noProof/>
          <w:sz w:val="22"/>
          <w:szCs w:val="22"/>
          <w:lang w:bidi="ar-SA"/>
        </w:rPr>
      </w:pPr>
      <w:hyperlink w:anchor="_Toc497120811" w:history="1">
        <w:r w:rsidR="00EB18D6">
          <w:rPr>
            <w:rStyle w:val="Hyperlink"/>
            <w:noProof/>
          </w:rPr>
          <w:t>10.3.</w:t>
        </w:r>
        <w:r w:rsidR="00EB18D6">
          <w:rPr>
            <w:rFonts w:asciiTheme="minorHAnsi" w:eastAsiaTheme="minorEastAsia" w:hAnsiTheme="minorHAnsi" w:cstheme="minorBidi"/>
            <w:noProof/>
            <w:sz w:val="22"/>
            <w:szCs w:val="22"/>
            <w:lang w:bidi="ar-SA"/>
          </w:rPr>
          <w:tab/>
        </w:r>
        <w:r w:rsidR="00EB18D6">
          <w:rPr>
            <w:rStyle w:val="Hyperlink"/>
            <w:noProof/>
          </w:rPr>
          <w:t>Степени на използване на преференциите</w:t>
        </w:r>
        <w:r w:rsidR="00EB18D6">
          <w:rPr>
            <w:noProof/>
            <w:webHidden/>
          </w:rPr>
          <w:tab/>
        </w:r>
        <w:r w:rsidR="00EB18D6">
          <w:rPr>
            <w:noProof/>
            <w:webHidden/>
          </w:rPr>
          <w:fldChar w:fldCharType="begin"/>
        </w:r>
        <w:r w:rsidR="00EB18D6">
          <w:rPr>
            <w:noProof/>
            <w:webHidden/>
          </w:rPr>
          <w:instrText xml:space="preserve"> PAGEREF _Toc497120811 \h </w:instrText>
        </w:r>
        <w:r w:rsidR="00EB18D6">
          <w:rPr>
            <w:noProof/>
            <w:webHidden/>
          </w:rPr>
        </w:r>
        <w:r w:rsidR="00EB18D6">
          <w:rPr>
            <w:noProof/>
            <w:webHidden/>
          </w:rPr>
          <w:fldChar w:fldCharType="separate"/>
        </w:r>
        <w:r w:rsidR="00EB18D6">
          <w:rPr>
            <w:noProof/>
            <w:webHidden/>
          </w:rPr>
          <w:t>36</w:t>
        </w:r>
        <w:r w:rsidR="00EB18D6">
          <w:rPr>
            <w:noProof/>
            <w:webHidden/>
          </w:rPr>
          <w:fldChar w:fldCharType="end"/>
        </w:r>
      </w:hyperlink>
    </w:p>
    <w:p w:rsidR="00E1343B" w:rsidRDefault="00C34FF8">
      <w:pPr>
        <w:pStyle w:val="TOC2"/>
        <w:tabs>
          <w:tab w:val="left" w:pos="1916"/>
        </w:tabs>
        <w:rPr>
          <w:rFonts w:asciiTheme="minorHAnsi" w:eastAsiaTheme="minorEastAsia" w:hAnsiTheme="minorHAnsi" w:cstheme="minorBidi"/>
          <w:noProof/>
          <w:sz w:val="22"/>
          <w:szCs w:val="22"/>
          <w:lang w:bidi="ar-SA"/>
        </w:rPr>
      </w:pPr>
      <w:hyperlink w:anchor="_Toc497120812" w:history="1">
        <w:r w:rsidR="00EB18D6">
          <w:rPr>
            <w:rStyle w:val="Hyperlink"/>
            <w:noProof/>
          </w:rPr>
          <w:t>10.4.</w:t>
        </w:r>
        <w:r w:rsidR="00EB18D6">
          <w:rPr>
            <w:rFonts w:asciiTheme="minorHAnsi" w:eastAsiaTheme="minorEastAsia" w:hAnsiTheme="minorHAnsi" w:cstheme="minorBidi"/>
            <w:noProof/>
            <w:sz w:val="22"/>
            <w:szCs w:val="22"/>
            <w:lang w:bidi="ar-SA"/>
          </w:rPr>
          <w:tab/>
        </w:r>
        <w:r w:rsidR="00EB18D6">
          <w:rPr>
            <w:rStyle w:val="Hyperlink"/>
            <w:noProof/>
          </w:rPr>
          <w:t>Услуги и инвестиции</w:t>
        </w:r>
        <w:r w:rsidR="00EB18D6">
          <w:rPr>
            <w:noProof/>
            <w:webHidden/>
          </w:rPr>
          <w:tab/>
        </w:r>
        <w:r w:rsidR="00EB18D6">
          <w:rPr>
            <w:noProof/>
            <w:webHidden/>
          </w:rPr>
          <w:fldChar w:fldCharType="begin"/>
        </w:r>
        <w:r w:rsidR="00EB18D6">
          <w:rPr>
            <w:noProof/>
            <w:webHidden/>
          </w:rPr>
          <w:instrText xml:space="preserve"> PAGEREF _Toc497120812 \h </w:instrText>
        </w:r>
        <w:r w:rsidR="00EB18D6">
          <w:rPr>
            <w:noProof/>
            <w:webHidden/>
          </w:rPr>
        </w:r>
        <w:r w:rsidR="00EB18D6">
          <w:rPr>
            <w:noProof/>
            <w:webHidden/>
          </w:rPr>
          <w:fldChar w:fldCharType="separate"/>
        </w:r>
        <w:r w:rsidR="00EB18D6">
          <w:rPr>
            <w:noProof/>
            <w:webHidden/>
          </w:rPr>
          <w:t>37</w:t>
        </w:r>
        <w:r w:rsidR="00EB18D6">
          <w:rPr>
            <w:noProof/>
            <w:webHidden/>
          </w:rPr>
          <w:fldChar w:fldCharType="end"/>
        </w:r>
      </w:hyperlink>
    </w:p>
    <w:p w:rsidR="00E1343B" w:rsidRDefault="00C34FF8">
      <w:pPr>
        <w:pStyle w:val="TOC2"/>
        <w:tabs>
          <w:tab w:val="left" w:pos="1916"/>
        </w:tabs>
        <w:rPr>
          <w:rFonts w:asciiTheme="minorHAnsi" w:eastAsiaTheme="minorEastAsia" w:hAnsiTheme="minorHAnsi" w:cstheme="minorBidi"/>
          <w:noProof/>
          <w:sz w:val="22"/>
          <w:szCs w:val="22"/>
          <w:lang w:bidi="ar-SA"/>
        </w:rPr>
      </w:pPr>
      <w:hyperlink w:anchor="_Toc497120813" w:history="1">
        <w:r w:rsidR="00EB18D6">
          <w:rPr>
            <w:rStyle w:val="Hyperlink"/>
            <w:noProof/>
          </w:rPr>
          <w:t>10.5.</w:t>
        </w:r>
        <w:r w:rsidR="00EB18D6">
          <w:rPr>
            <w:rFonts w:asciiTheme="minorHAnsi" w:eastAsiaTheme="minorEastAsia" w:hAnsiTheme="minorHAnsi" w:cstheme="minorBidi"/>
            <w:noProof/>
            <w:sz w:val="22"/>
            <w:szCs w:val="22"/>
            <w:lang w:bidi="ar-SA"/>
          </w:rPr>
          <w:tab/>
        </w:r>
        <w:r w:rsidR="00EB18D6">
          <w:rPr>
            <w:rStyle w:val="Hyperlink"/>
            <w:noProof/>
          </w:rPr>
          <w:t>Търговия и устойчиво развитие</w:t>
        </w:r>
        <w:r w:rsidR="00EB18D6">
          <w:rPr>
            <w:noProof/>
            <w:webHidden/>
          </w:rPr>
          <w:tab/>
        </w:r>
        <w:r w:rsidR="00EB18D6">
          <w:rPr>
            <w:noProof/>
            <w:webHidden/>
          </w:rPr>
          <w:fldChar w:fldCharType="begin"/>
        </w:r>
        <w:r w:rsidR="00EB18D6">
          <w:rPr>
            <w:noProof/>
            <w:webHidden/>
          </w:rPr>
          <w:instrText xml:space="preserve"> PAGEREF _Toc497120813 \h </w:instrText>
        </w:r>
        <w:r w:rsidR="00EB18D6">
          <w:rPr>
            <w:noProof/>
            <w:webHidden/>
          </w:rPr>
        </w:r>
        <w:r w:rsidR="00EB18D6">
          <w:rPr>
            <w:noProof/>
            <w:webHidden/>
          </w:rPr>
          <w:fldChar w:fldCharType="separate"/>
        </w:r>
        <w:r w:rsidR="00EB18D6">
          <w:rPr>
            <w:noProof/>
            <w:webHidden/>
          </w:rPr>
          <w:t>37</w:t>
        </w:r>
        <w:r w:rsidR="00EB18D6">
          <w:rPr>
            <w:noProof/>
            <w:webHidden/>
          </w:rPr>
          <w:fldChar w:fldCharType="end"/>
        </w:r>
      </w:hyperlink>
    </w:p>
    <w:p w:rsidR="00E1343B" w:rsidRDefault="00C34FF8">
      <w:pPr>
        <w:pStyle w:val="TOC2"/>
        <w:tabs>
          <w:tab w:val="left" w:pos="1916"/>
        </w:tabs>
        <w:rPr>
          <w:rFonts w:asciiTheme="minorHAnsi" w:eastAsiaTheme="minorEastAsia" w:hAnsiTheme="minorHAnsi" w:cstheme="minorBidi"/>
          <w:noProof/>
          <w:sz w:val="22"/>
          <w:szCs w:val="22"/>
          <w:lang w:bidi="ar-SA"/>
        </w:rPr>
      </w:pPr>
      <w:hyperlink w:anchor="_Toc497120814" w:history="1">
        <w:r w:rsidR="00EB18D6">
          <w:rPr>
            <w:rStyle w:val="Hyperlink"/>
            <w:noProof/>
          </w:rPr>
          <w:t>10.6.</w:t>
        </w:r>
        <w:r w:rsidR="00EB18D6">
          <w:rPr>
            <w:rFonts w:asciiTheme="minorHAnsi" w:eastAsiaTheme="minorEastAsia" w:hAnsiTheme="minorHAnsi" w:cstheme="minorBidi"/>
            <w:noProof/>
            <w:sz w:val="22"/>
            <w:szCs w:val="22"/>
            <w:lang w:bidi="ar-SA"/>
          </w:rPr>
          <w:tab/>
        </w:r>
        <w:r w:rsidR="00EB18D6">
          <w:rPr>
            <w:rStyle w:val="Hyperlink"/>
            <w:noProof/>
          </w:rPr>
          <w:t>Висящи въпроси</w:t>
        </w:r>
        <w:r w:rsidR="00EB18D6">
          <w:rPr>
            <w:noProof/>
            <w:webHidden/>
          </w:rPr>
          <w:tab/>
        </w:r>
        <w:r w:rsidR="00EB18D6">
          <w:rPr>
            <w:noProof/>
            <w:webHidden/>
          </w:rPr>
          <w:fldChar w:fldCharType="begin"/>
        </w:r>
        <w:r w:rsidR="00EB18D6">
          <w:rPr>
            <w:noProof/>
            <w:webHidden/>
          </w:rPr>
          <w:instrText xml:space="preserve"> PAGEREF _Toc497120814 \h </w:instrText>
        </w:r>
        <w:r w:rsidR="00EB18D6">
          <w:rPr>
            <w:noProof/>
            <w:webHidden/>
          </w:rPr>
        </w:r>
        <w:r w:rsidR="00EB18D6">
          <w:rPr>
            <w:noProof/>
            <w:webHidden/>
          </w:rPr>
          <w:fldChar w:fldCharType="separate"/>
        </w:r>
        <w:r w:rsidR="00EB18D6">
          <w:rPr>
            <w:noProof/>
            <w:webHidden/>
          </w:rPr>
          <w:t>37</w:t>
        </w:r>
        <w:r w:rsidR="00EB18D6">
          <w:rPr>
            <w:noProof/>
            <w:webHidden/>
          </w:rPr>
          <w:fldChar w:fldCharType="end"/>
        </w:r>
      </w:hyperlink>
    </w:p>
    <w:p w:rsidR="00E1343B" w:rsidRDefault="00C34FF8">
      <w:pPr>
        <w:pStyle w:val="TOC2"/>
        <w:tabs>
          <w:tab w:val="left" w:pos="1916"/>
        </w:tabs>
        <w:rPr>
          <w:rFonts w:asciiTheme="minorHAnsi" w:eastAsiaTheme="minorEastAsia" w:hAnsiTheme="minorHAnsi" w:cstheme="minorBidi"/>
          <w:noProof/>
          <w:sz w:val="22"/>
          <w:szCs w:val="22"/>
          <w:lang w:bidi="ar-SA"/>
        </w:rPr>
      </w:pPr>
      <w:hyperlink w:anchor="_Toc497120815" w:history="1">
        <w:r w:rsidR="00EB18D6">
          <w:rPr>
            <w:rStyle w:val="Hyperlink"/>
            <w:noProof/>
          </w:rPr>
          <w:t>10.7.</w:t>
        </w:r>
        <w:r w:rsidR="00EB18D6">
          <w:rPr>
            <w:rFonts w:asciiTheme="minorHAnsi" w:eastAsiaTheme="minorEastAsia" w:hAnsiTheme="minorHAnsi" w:cstheme="minorBidi"/>
            <w:noProof/>
            <w:sz w:val="22"/>
            <w:szCs w:val="22"/>
            <w:lang w:bidi="ar-SA"/>
          </w:rPr>
          <w:tab/>
        </w:r>
        <w:r w:rsidR="00EB18D6">
          <w:rPr>
            <w:rStyle w:val="Hyperlink"/>
            <w:noProof/>
          </w:rPr>
          <w:t>Правоприлагане</w:t>
        </w:r>
        <w:r w:rsidR="00EB18D6">
          <w:rPr>
            <w:noProof/>
            <w:webHidden/>
          </w:rPr>
          <w:tab/>
        </w:r>
        <w:r w:rsidR="00EB18D6">
          <w:rPr>
            <w:noProof/>
            <w:webHidden/>
          </w:rPr>
          <w:fldChar w:fldCharType="begin"/>
        </w:r>
        <w:r w:rsidR="00EB18D6">
          <w:rPr>
            <w:noProof/>
            <w:webHidden/>
          </w:rPr>
          <w:instrText xml:space="preserve"> PAGEREF _Toc497120815 \h </w:instrText>
        </w:r>
        <w:r w:rsidR="00EB18D6">
          <w:rPr>
            <w:noProof/>
            <w:webHidden/>
          </w:rPr>
        </w:r>
        <w:r w:rsidR="00EB18D6">
          <w:rPr>
            <w:noProof/>
            <w:webHidden/>
          </w:rPr>
          <w:fldChar w:fldCharType="separate"/>
        </w:r>
        <w:r w:rsidR="00EB18D6">
          <w:rPr>
            <w:noProof/>
            <w:webHidden/>
          </w:rPr>
          <w:t>38</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816" w:history="1">
        <w:r w:rsidR="00EB18D6">
          <w:rPr>
            <w:rStyle w:val="Hyperlink"/>
            <w:noProof/>
          </w:rPr>
          <w:t>Приложение 1 — Обхват на доклада и използвани данни</w:t>
        </w:r>
        <w:r w:rsidR="00EB18D6">
          <w:rPr>
            <w:noProof/>
            <w:webHidden/>
          </w:rPr>
          <w:tab/>
        </w:r>
        <w:r w:rsidR="00EB18D6">
          <w:rPr>
            <w:noProof/>
            <w:webHidden/>
          </w:rPr>
          <w:fldChar w:fldCharType="begin"/>
        </w:r>
        <w:r w:rsidR="00EB18D6">
          <w:rPr>
            <w:noProof/>
            <w:webHidden/>
          </w:rPr>
          <w:instrText xml:space="preserve"> PAGEREF _Toc497120816 \h </w:instrText>
        </w:r>
        <w:r w:rsidR="00EB18D6">
          <w:rPr>
            <w:noProof/>
            <w:webHidden/>
          </w:rPr>
        </w:r>
        <w:r w:rsidR="00EB18D6">
          <w:rPr>
            <w:noProof/>
            <w:webHidden/>
          </w:rPr>
          <w:fldChar w:fldCharType="separate"/>
        </w:r>
        <w:r w:rsidR="00EB18D6">
          <w:rPr>
            <w:noProof/>
            <w:webHidden/>
          </w:rPr>
          <w:t>39</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817" w:history="1">
        <w:r w:rsidR="00EB18D6">
          <w:rPr>
            <w:rStyle w:val="Hyperlink"/>
            <w:noProof/>
          </w:rPr>
          <w:t>Приложение 2 — Преглед на ССТ, обхванати от настоящия доклад</w:t>
        </w:r>
        <w:r w:rsidR="00EB18D6">
          <w:rPr>
            <w:noProof/>
            <w:webHidden/>
          </w:rPr>
          <w:tab/>
        </w:r>
        <w:r w:rsidR="00EB18D6">
          <w:rPr>
            <w:noProof/>
            <w:webHidden/>
          </w:rPr>
          <w:fldChar w:fldCharType="begin"/>
        </w:r>
        <w:r w:rsidR="00EB18D6">
          <w:rPr>
            <w:noProof/>
            <w:webHidden/>
          </w:rPr>
          <w:instrText xml:space="preserve"> PAGEREF _Toc497120817 \h </w:instrText>
        </w:r>
        <w:r w:rsidR="00EB18D6">
          <w:rPr>
            <w:noProof/>
            <w:webHidden/>
          </w:rPr>
        </w:r>
        <w:r w:rsidR="00EB18D6">
          <w:rPr>
            <w:noProof/>
            <w:webHidden/>
          </w:rPr>
          <w:fldChar w:fldCharType="separate"/>
        </w:r>
        <w:r w:rsidR="00EB18D6">
          <w:rPr>
            <w:noProof/>
            <w:webHidden/>
          </w:rPr>
          <w:t>40</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818" w:history="1">
        <w:r w:rsidR="00EB18D6">
          <w:rPr>
            <w:rStyle w:val="Hyperlink"/>
            <w:noProof/>
          </w:rPr>
          <w:t>Приложение 3 — Статистически данни относно използването на преференции</w:t>
        </w:r>
        <w:r w:rsidR="00EB18D6">
          <w:rPr>
            <w:noProof/>
            <w:webHidden/>
          </w:rPr>
          <w:tab/>
        </w:r>
        <w:r w:rsidR="00EB18D6">
          <w:rPr>
            <w:noProof/>
            <w:webHidden/>
          </w:rPr>
          <w:fldChar w:fldCharType="begin"/>
        </w:r>
        <w:r w:rsidR="00EB18D6">
          <w:rPr>
            <w:noProof/>
            <w:webHidden/>
          </w:rPr>
          <w:instrText xml:space="preserve"> PAGEREF _Toc497120818 \h </w:instrText>
        </w:r>
        <w:r w:rsidR="00EB18D6">
          <w:rPr>
            <w:noProof/>
            <w:webHidden/>
          </w:rPr>
        </w:r>
        <w:r w:rsidR="00EB18D6">
          <w:rPr>
            <w:noProof/>
            <w:webHidden/>
          </w:rPr>
          <w:fldChar w:fldCharType="separate"/>
        </w:r>
        <w:r w:rsidR="00EB18D6">
          <w:rPr>
            <w:noProof/>
            <w:webHidden/>
          </w:rPr>
          <w:t>42</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819" w:history="1">
        <w:r w:rsidR="00EB18D6">
          <w:rPr>
            <w:rStyle w:val="Hyperlink"/>
            <w:noProof/>
          </w:rPr>
          <w:t>Приложение 4 — Използване на преференции върху вноса в ЕС</w:t>
        </w:r>
        <w:r w:rsidR="00EB18D6">
          <w:rPr>
            <w:noProof/>
            <w:webHidden/>
          </w:rPr>
          <w:tab/>
        </w:r>
        <w:r w:rsidR="00EB18D6">
          <w:rPr>
            <w:noProof/>
            <w:webHidden/>
          </w:rPr>
          <w:fldChar w:fldCharType="begin"/>
        </w:r>
        <w:r w:rsidR="00EB18D6">
          <w:rPr>
            <w:noProof/>
            <w:webHidden/>
          </w:rPr>
          <w:instrText xml:space="preserve"> PAGEREF _Toc497120819 \h </w:instrText>
        </w:r>
        <w:r w:rsidR="00EB18D6">
          <w:rPr>
            <w:noProof/>
            <w:webHidden/>
          </w:rPr>
        </w:r>
        <w:r w:rsidR="00EB18D6">
          <w:rPr>
            <w:noProof/>
            <w:webHidden/>
          </w:rPr>
          <w:fldChar w:fldCharType="separate"/>
        </w:r>
        <w:r w:rsidR="00EB18D6">
          <w:rPr>
            <w:noProof/>
            <w:webHidden/>
          </w:rPr>
          <w:t>44</w:t>
        </w:r>
        <w:r w:rsidR="00EB18D6">
          <w:rPr>
            <w:noProof/>
            <w:webHidden/>
          </w:rPr>
          <w:fldChar w:fldCharType="end"/>
        </w:r>
      </w:hyperlink>
    </w:p>
    <w:p w:rsidR="00E1343B" w:rsidRDefault="00C34FF8">
      <w:pPr>
        <w:pStyle w:val="TOC1"/>
        <w:rPr>
          <w:rFonts w:asciiTheme="minorHAnsi" w:eastAsiaTheme="minorEastAsia" w:hAnsiTheme="minorHAnsi" w:cstheme="minorBidi"/>
          <w:caps w:val="0"/>
          <w:noProof/>
          <w:sz w:val="22"/>
          <w:szCs w:val="22"/>
          <w:lang w:bidi="ar-SA"/>
        </w:rPr>
      </w:pPr>
      <w:hyperlink w:anchor="_Toc497120820" w:history="1">
        <w:r w:rsidR="00EB18D6">
          <w:rPr>
            <w:rStyle w:val="Hyperlink"/>
            <w:noProof/>
          </w:rPr>
          <w:t>Приложение 5 — Използване на преференции върху износа от ЕС</w:t>
        </w:r>
        <w:r w:rsidR="00EB18D6">
          <w:rPr>
            <w:noProof/>
            <w:webHidden/>
          </w:rPr>
          <w:tab/>
        </w:r>
        <w:r w:rsidR="00EB18D6">
          <w:rPr>
            <w:noProof/>
            <w:webHidden/>
          </w:rPr>
          <w:fldChar w:fldCharType="begin"/>
        </w:r>
        <w:r w:rsidR="00EB18D6">
          <w:rPr>
            <w:noProof/>
            <w:webHidden/>
          </w:rPr>
          <w:instrText xml:space="preserve"> PAGEREF _Toc497120820 \h </w:instrText>
        </w:r>
        <w:r w:rsidR="00EB18D6">
          <w:rPr>
            <w:noProof/>
            <w:webHidden/>
          </w:rPr>
        </w:r>
        <w:r w:rsidR="00EB18D6">
          <w:rPr>
            <w:noProof/>
            <w:webHidden/>
          </w:rPr>
          <w:fldChar w:fldCharType="separate"/>
        </w:r>
        <w:r w:rsidR="00EB18D6">
          <w:rPr>
            <w:noProof/>
            <w:webHidden/>
          </w:rPr>
          <w:t>45</w:t>
        </w:r>
        <w:r w:rsidR="00EB18D6">
          <w:rPr>
            <w:noProof/>
            <w:webHidden/>
          </w:rPr>
          <w:fldChar w:fldCharType="end"/>
        </w:r>
      </w:hyperlink>
    </w:p>
    <w:p w:rsidR="00E1343B" w:rsidRDefault="00EB18D6">
      <w:pPr>
        <w:pStyle w:val="TOC1"/>
        <w:rPr>
          <w:rFonts w:asciiTheme="minorHAnsi" w:eastAsiaTheme="minorEastAsia" w:hAnsiTheme="minorHAnsi" w:cstheme="minorBidi"/>
          <w:caps w:val="0"/>
          <w:noProof/>
          <w:sz w:val="22"/>
          <w:szCs w:val="22"/>
        </w:rPr>
      </w:pPr>
      <w:r>
        <w:rPr>
          <w:noProof/>
        </w:rPr>
        <w:fldChar w:fldCharType="end"/>
      </w:r>
    </w:p>
    <w:p w:rsidR="00E1343B" w:rsidRDefault="00EB18D6">
      <w:pPr>
        <w:rPr>
          <w:noProof/>
        </w:rPr>
      </w:pPr>
      <w:r>
        <w:rPr>
          <w:noProof/>
        </w:rPr>
        <w:br w:type="page"/>
      </w:r>
    </w:p>
    <w:p w:rsidR="00E1343B" w:rsidRDefault="00EB18D6">
      <w:pPr>
        <w:pStyle w:val="Heading1"/>
        <w:rPr>
          <w:noProof/>
        </w:rPr>
      </w:pPr>
      <w:bookmarkStart w:id="3" w:name="_Toc493510792"/>
      <w:bookmarkStart w:id="4" w:name="_Toc494126114"/>
      <w:bookmarkStart w:id="5" w:name="_Toc497120770"/>
      <w:r>
        <w:rPr>
          <w:noProof/>
        </w:rPr>
        <w:lastRenderedPageBreak/>
        <w:t>Въведение</w:t>
      </w:r>
      <w:bookmarkEnd w:id="2"/>
      <w:bookmarkEnd w:id="3"/>
      <w:bookmarkEnd w:id="4"/>
      <w:bookmarkEnd w:id="5"/>
    </w:p>
    <w:p w:rsidR="00E1343B" w:rsidRDefault="00EB18D6">
      <w:pPr>
        <w:pStyle w:val="Heading2"/>
        <w:rPr>
          <w:noProof/>
        </w:rPr>
      </w:pPr>
      <w:bookmarkStart w:id="6" w:name="_Toc494126115"/>
      <w:bookmarkStart w:id="7" w:name="_Toc497120771"/>
      <w:r>
        <w:rPr>
          <w:noProof/>
        </w:rPr>
        <w:t>Ефективност, прозрачност, сътрудничество</w:t>
      </w:r>
      <w:bookmarkEnd w:id="6"/>
      <w:bookmarkEnd w:id="7"/>
    </w:p>
    <w:p w:rsidR="00E1343B" w:rsidRDefault="00EB18D6">
      <w:pPr>
        <w:autoSpaceDE w:val="0"/>
        <w:autoSpaceDN w:val="0"/>
        <w:adjustRightInd w:val="0"/>
        <w:rPr>
          <w:noProof/>
        </w:rPr>
      </w:pPr>
      <w:r>
        <w:rPr>
          <w:noProof/>
        </w:rPr>
        <w:t xml:space="preserve">В последно време мнозина поставяха под съмнение способността на търговската политика да се възползва от глобализацията и да подкрепя хората и предприятията в рамките на ЕС и извън него. Ето защо извличането на </w:t>
      </w:r>
      <w:r>
        <w:rPr>
          <w:b/>
          <w:noProof/>
        </w:rPr>
        <w:t>максимална полза</w:t>
      </w:r>
      <w:r>
        <w:rPr>
          <w:noProof/>
        </w:rPr>
        <w:t xml:space="preserve"> от споразуменията за свободна търговия (ССТ) на ЕС е една от ключовите цели на Комисията. </w:t>
      </w:r>
    </w:p>
    <w:p w:rsidR="00E1343B" w:rsidRDefault="00EB18D6">
      <w:pPr>
        <w:autoSpaceDE w:val="0"/>
        <w:autoSpaceDN w:val="0"/>
        <w:adjustRightInd w:val="0"/>
        <w:rPr>
          <w:noProof/>
        </w:rPr>
      </w:pPr>
      <w:r>
        <w:rPr>
          <w:noProof/>
        </w:rPr>
        <w:t>С тази идея в съобщението относно търговията „</w:t>
      </w:r>
      <w:r>
        <w:rPr>
          <w:i/>
          <w:noProof/>
        </w:rPr>
        <w:t>Търговията — за всички</w:t>
      </w:r>
      <w:r>
        <w:rPr>
          <w:noProof/>
        </w:rPr>
        <w:t>“</w:t>
      </w:r>
      <w:r>
        <w:rPr>
          <w:rStyle w:val="FootnoteReference"/>
          <w:noProof/>
        </w:rPr>
        <w:footnoteReference w:id="1"/>
      </w:r>
      <w:r>
        <w:rPr>
          <w:noProof/>
        </w:rPr>
        <w:t xml:space="preserve"> беше подчертано значението на ефективното прилагане и правоприлагане по отношение на споразуменията за свободна търговия. В съобщението Комисията се ангажира да изготвя ежегоден доклад относно изпълнението на ССТ, като настоящият документ е неговото първо издание.</w:t>
      </w:r>
    </w:p>
    <w:p w:rsidR="00E1343B" w:rsidRDefault="00EB18D6">
      <w:pPr>
        <w:autoSpaceDE w:val="0"/>
        <w:autoSpaceDN w:val="0"/>
        <w:adjustRightInd w:val="0"/>
        <w:rPr>
          <w:noProof/>
        </w:rPr>
      </w:pPr>
      <w:r>
        <w:rPr>
          <w:noProof/>
        </w:rPr>
        <w:t xml:space="preserve">Основната цел на настоящия доклад е да се гарантира </w:t>
      </w:r>
      <w:r>
        <w:rPr>
          <w:b/>
          <w:noProof/>
        </w:rPr>
        <w:t>прозрачност</w:t>
      </w:r>
      <w:r>
        <w:rPr>
          <w:noProof/>
        </w:rPr>
        <w:t>. В него се очертават напредъкът, както и проблемите и пропуските. Така чрез него трябва да се даде възможност на другите институции на ЕС, на гражданското общество и на всички, които имат интереси в търговската политика на ЕС, да следят отблизо и да обсъждат начина, по който ЕС прилага на практика своите ССТ.</w:t>
      </w:r>
    </w:p>
    <w:p w:rsidR="00E1343B" w:rsidRDefault="00EB18D6">
      <w:pPr>
        <w:autoSpaceDE w:val="0"/>
        <w:autoSpaceDN w:val="0"/>
        <w:adjustRightInd w:val="0"/>
        <w:rPr>
          <w:noProof/>
        </w:rPr>
      </w:pPr>
      <w:r>
        <w:rPr>
          <w:noProof/>
        </w:rPr>
        <w:t xml:space="preserve">Комисията също така се стреми </w:t>
      </w:r>
      <w:r>
        <w:rPr>
          <w:b/>
          <w:noProof/>
        </w:rPr>
        <w:t>да работи в по-тясно сътрудничество</w:t>
      </w:r>
      <w:r>
        <w:rPr>
          <w:noProof/>
        </w:rPr>
        <w:t xml:space="preserve"> с останалите институции на ЕС, с държавите членки, с предприятията и неправителствените организации за събирането на още идеи за това как ССТ да станат по-ефективни. Друга нейна цел е да се намерят начини да се помогне на предприятията в ЕС и в държавите партньори да се възползват по-добре от тях.</w:t>
      </w:r>
    </w:p>
    <w:p w:rsidR="00E1343B" w:rsidRDefault="00EB18D6">
      <w:pPr>
        <w:autoSpaceDE w:val="0"/>
        <w:autoSpaceDN w:val="0"/>
        <w:adjustRightInd w:val="0"/>
        <w:rPr>
          <w:noProof/>
        </w:rPr>
      </w:pPr>
      <w:r>
        <w:rPr>
          <w:noProof/>
        </w:rPr>
        <w:t>В момента не съществува цялостен преглед на изпълнението на всички ССТ на ЕС. За някои от тях обаче се представят годишни доклади</w:t>
      </w:r>
      <w:r>
        <w:rPr>
          <w:rStyle w:val="FootnoteReference"/>
          <w:noProof/>
        </w:rPr>
        <w:footnoteReference w:id="2"/>
      </w:r>
      <w:r>
        <w:rPr>
          <w:noProof/>
        </w:rPr>
        <w:t>. Настоящият доклад е изготвен въз основа на съществуващите практики. Стремежът е той да бъде изчерпателен и с него да продължи наблюдението и споделянето на информация относно работата на ЕС по прилагане на неговите ССТ.</w:t>
      </w:r>
    </w:p>
    <w:p w:rsidR="00E1343B" w:rsidRDefault="00EB18D6">
      <w:pPr>
        <w:pStyle w:val="Heading2"/>
        <w:rPr>
          <w:noProof/>
        </w:rPr>
      </w:pPr>
      <w:bookmarkStart w:id="8" w:name="_Toc494126116"/>
      <w:bookmarkStart w:id="9" w:name="_Toc497120772"/>
      <w:r>
        <w:rPr>
          <w:noProof/>
        </w:rPr>
        <w:t>Структура на доклада</w:t>
      </w:r>
      <w:bookmarkEnd w:id="8"/>
      <w:bookmarkEnd w:id="9"/>
      <w:r>
        <w:rPr>
          <w:noProof/>
        </w:rPr>
        <w:t xml:space="preserve"> </w:t>
      </w:r>
    </w:p>
    <w:p w:rsidR="00E1343B" w:rsidRDefault="00EB18D6">
      <w:pPr>
        <w:spacing w:after="0"/>
        <w:rPr>
          <w:noProof/>
        </w:rPr>
      </w:pPr>
      <w:r>
        <w:rPr>
          <w:noProof/>
        </w:rPr>
        <w:t>В доклада е представен кратък преглед на основните заключения, свързани със ССТ, които ЕС прилага. Те са групирани по следния начин:</w:t>
      </w:r>
    </w:p>
    <w:p w:rsidR="00E1343B" w:rsidRDefault="00EB18D6">
      <w:pPr>
        <w:pStyle w:val="ListParagraph"/>
        <w:numPr>
          <w:ilvl w:val="0"/>
          <w:numId w:val="44"/>
        </w:numPr>
        <w:spacing w:after="0" w:line="240" w:lineRule="auto"/>
        <w:rPr>
          <w:noProof/>
          <w:szCs w:val="24"/>
        </w:rPr>
      </w:pPr>
      <w:r>
        <w:rPr>
          <w:noProof/>
        </w:rPr>
        <w:t>ССТ „от ново поколение“;</w:t>
      </w:r>
    </w:p>
    <w:p w:rsidR="00E1343B" w:rsidRDefault="00EB18D6">
      <w:pPr>
        <w:pStyle w:val="ListParagraph"/>
        <w:numPr>
          <w:ilvl w:val="0"/>
          <w:numId w:val="44"/>
        </w:numPr>
        <w:spacing w:after="0" w:line="240" w:lineRule="auto"/>
        <w:rPr>
          <w:noProof/>
          <w:szCs w:val="24"/>
        </w:rPr>
      </w:pPr>
      <w:r>
        <w:rPr>
          <w:noProof/>
        </w:rPr>
        <w:t>задълбочени и всеобхватни зони за свободна търговия (ЗВЗСТ);</w:t>
      </w:r>
    </w:p>
    <w:p w:rsidR="00E1343B" w:rsidRDefault="00EB18D6">
      <w:pPr>
        <w:pStyle w:val="ListParagraph"/>
        <w:numPr>
          <w:ilvl w:val="0"/>
          <w:numId w:val="44"/>
        </w:numPr>
        <w:spacing w:after="0" w:line="240" w:lineRule="auto"/>
        <w:rPr>
          <w:noProof/>
          <w:szCs w:val="24"/>
        </w:rPr>
      </w:pPr>
      <w:r>
        <w:rPr>
          <w:noProof/>
        </w:rPr>
        <w:t>споразумения за икономическо партньорство (СИП);</w:t>
      </w:r>
    </w:p>
    <w:p w:rsidR="00E1343B" w:rsidRDefault="00EB18D6">
      <w:pPr>
        <w:pStyle w:val="ListParagraph"/>
        <w:numPr>
          <w:ilvl w:val="0"/>
          <w:numId w:val="44"/>
        </w:numPr>
        <w:spacing w:after="0" w:line="240" w:lineRule="auto"/>
        <w:rPr>
          <w:noProof/>
          <w:szCs w:val="24"/>
        </w:rPr>
      </w:pPr>
      <w:r>
        <w:rPr>
          <w:noProof/>
        </w:rPr>
        <w:t xml:space="preserve">ССТ „от първо поколение“. </w:t>
      </w:r>
    </w:p>
    <w:p w:rsidR="00E1343B" w:rsidRDefault="00E1343B">
      <w:pPr>
        <w:pStyle w:val="ListParagraph"/>
        <w:spacing w:after="0" w:line="240" w:lineRule="auto"/>
        <w:ind w:left="360"/>
        <w:rPr>
          <w:noProof/>
          <w:szCs w:val="24"/>
        </w:rPr>
      </w:pPr>
    </w:p>
    <w:p w:rsidR="00E1343B" w:rsidRDefault="00EB18D6">
      <w:pPr>
        <w:spacing w:after="0"/>
        <w:rPr>
          <w:noProof/>
          <w:szCs w:val="24"/>
        </w:rPr>
      </w:pPr>
      <w:r>
        <w:rPr>
          <w:noProof/>
        </w:rPr>
        <w:t>В доклада са включени също:</w:t>
      </w:r>
    </w:p>
    <w:p w:rsidR="00E1343B" w:rsidRDefault="00EB18D6">
      <w:pPr>
        <w:pStyle w:val="ListParagraph"/>
        <w:numPr>
          <w:ilvl w:val="0"/>
          <w:numId w:val="45"/>
        </w:numPr>
        <w:spacing w:after="0" w:line="240" w:lineRule="auto"/>
        <w:rPr>
          <w:noProof/>
          <w:szCs w:val="24"/>
        </w:rPr>
      </w:pPr>
      <w:r>
        <w:rPr>
          <w:noProof/>
        </w:rPr>
        <w:t>свидетелства от страна на предприятия, преди всичко на малкия бизнес, в които се изтъкват ползите от ССТ на ЕС;</w:t>
      </w:r>
    </w:p>
    <w:p w:rsidR="00E1343B" w:rsidRDefault="00EB18D6">
      <w:pPr>
        <w:pStyle w:val="ListParagraph"/>
        <w:numPr>
          <w:ilvl w:val="0"/>
          <w:numId w:val="45"/>
        </w:numPr>
        <w:spacing w:after="0" w:line="240" w:lineRule="auto"/>
        <w:rPr>
          <w:noProof/>
          <w:szCs w:val="24"/>
        </w:rPr>
      </w:pPr>
      <w:r>
        <w:rPr>
          <w:noProof/>
        </w:rPr>
        <w:t>раздел относно прилагането на разпоредбите относно търговията и устойчивото развитие в ССТ на ЕС;</w:t>
      </w:r>
    </w:p>
    <w:p w:rsidR="00E1343B" w:rsidRDefault="00EB18D6">
      <w:pPr>
        <w:pStyle w:val="ListParagraph"/>
        <w:numPr>
          <w:ilvl w:val="0"/>
          <w:numId w:val="45"/>
        </w:numPr>
        <w:spacing w:after="0" w:line="240" w:lineRule="auto"/>
        <w:rPr>
          <w:noProof/>
          <w:szCs w:val="24"/>
        </w:rPr>
      </w:pPr>
      <w:r>
        <w:rPr>
          <w:noProof/>
        </w:rPr>
        <w:t>разяснение на последващите оценки на въздействието на ССТ, изготвяни от Комисията; и</w:t>
      </w:r>
    </w:p>
    <w:p w:rsidR="00E1343B" w:rsidRDefault="00EB18D6">
      <w:pPr>
        <w:pStyle w:val="ListParagraph"/>
        <w:numPr>
          <w:ilvl w:val="0"/>
          <w:numId w:val="45"/>
        </w:numPr>
        <w:spacing w:after="0" w:line="240" w:lineRule="auto"/>
        <w:rPr>
          <w:noProof/>
          <w:szCs w:val="24"/>
        </w:rPr>
      </w:pPr>
      <w:r>
        <w:rPr>
          <w:noProof/>
        </w:rPr>
        <w:t>раздел относно подготовката за предстоящата работа по изпълнение на новите ССТ.</w:t>
      </w:r>
    </w:p>
    <w:p w:rsidR="00E1343B" w:rsidRDefault="00EB18D6">
      <w:pPr>
        <w:rPr>
          <w:noProof/>
        </w:rPr>
      </w:pPr>
      <w:r>
        <w:rPr>
          <w:noProof/>
        </w:rPr>
        <w:t>В работен документ на службите на Комисията, придружаващ настоящия доклад, са представени по-подробни отделни годишни доклади относно ЗВЗСТ с Грузия, с Молдова и с Украйна, както и информационни документи относно въпросните ССТ „от първо поколение“ и СИП.</w:t>
      </w:r>
    </w:p>
    <w:p w:rsidR="00E1343B" w:rsidRDefault="00EB18D6">
      <w:pPr>
        <w:rPr>
          <w:noProof/>
        </w:rPr>
      </w:pPr>
      <w:r>
        <w:rPr>
          <w:noProof/>
        </w:rPr>
        <w:t>Комисията очаква с голям интерес обсъждането на заключенията от настоящия доклад и приканва всички заинтересовани лица да дадат своя принос.</w:t>
      </w:r>
    </w:p>
    <w:p w:rsidR="00E1343B" w:rsidRDefault="00EB18D6">
      <w:pPr>
        <w:spacing w:after="0"/>
        <w:jc w:val="left"/>
        <w:rPr>
          <w:noProof/>
        </w:rPr>
      </w:pPr>
      <w:r>
        <w:rPr>
          <w:noProof/>
        </w:rPr>
        <w:br w:type="page"/>
      </w:r>
    </w:p>
    <w:p w:rsidR="00E1343B" w:rsidRDefault="00E1343B">
      <w:pPr>
        <w:rPr>
          <w:noProof/>
        </w:rPr>
        <w:sectPr w:rsidR="00E1343B">
          <w:headerReference w:type="even" r:id="rId15"/>
          <w:headerReference w:type="default" r:id="rId16"/>
          <w:footerReference w:type="even" r:id="rId17"/>
          <w:footerReference w:type="default" r:id="rId18"/>
          <w:headerReference w:type="first" r:id="rId19"/>
          <w:footerReference w:type="first" r:id="rId20"/>
          <w:pgSz w:w="11906" w:h="16838"/>
          <w:pgMar w:top="1021" w:right="1701" w:bottom="1021" w:left="1588" w:header="601" w:footer="1077" w:gutter="0"/>
          <w:pgNumType w:start="2"/>
          <w:cols w:space="720"/>
          <w:titlePg/>
        </w:sectPr>
      </w:pPr>
    </w:p>
    <w:p w:rsidR="00E1343B" w:rsidRDefault="00EB18D6">
      <w:pPr>
        <w:rPr>
          <w:noProof/>
        </w:rPr>
        <w:sectPr w:rsidR="00E1343B">
          <w:headerReference w:type="even" r:id="rId21"/>
          <w:headerReference w:type="default" r:id="rId22"/>
          <w:footerReference w:type="even" r:id="rId23"/>
          <w:footerReference w:type="default" r:id="rId24"/>
          <w:headerReference w:type="first" r:id="rId25"/>
          <w:footerReference w:type="first" r:id="rId26"/>
          <w:pgSz w:w="16838" w:h="11906" w:orient="landscape"/>
          <w:pgMar w:top="1588" w:right="1021" w:bottom="1701" w:left="1021" w:header="601" w:footer="1077" w:gutter="0"/>
          <w:cols w:space="720"/>
          <w:titlePg/>
        </w:sectPr>
      </w:pPr>
      <w:bookmarkStart w:id="10" w:name="_Toc493510414"/>
      <w:bookmarkStart w:id="11" w:name="_Toc493510793"/>
      <w:r>
        <w:rPr>
          <w:noProof/>
          <w:lang w:val="en-GB" w:eastAsia="en-GB" w:bidi="ar-SA"/>
        </w:rPr>
        <w:drawing>
          <wp:inline distT="0" distB="0" distL="0" distR="0" wp14:anchorId="4A7363E6" wp14:editId="47CC4984">
            <wp:extent cx="9377045" cy="5012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77045" cy="5012055"/>
                    </a:xfrm>
                    <a:prstGeom prst="rect">
                      <a:avLst/>
                    </a:prstGeom>
                    <a:noFill/>
                    <a:ln>
                      <a:noFill/>
                    </a:ln>
                  </pic:spPr>
                </pic:pic>
              </a:graphicData>
            </a:graphic>
          </wp:inline>
        </w:drawing>
      </w:r>
    </w:p>
    <w:p w:rsidR="00E1343B" w:rsidRDefault="00EB18D6">
      <w:pPr>
        <w:pStyle w:val="Heading1"/>
        <w:ind w:left="482" w:hanging="482"/>
        <w:rPr>
          <w:noProof/>
        </w:rPr>
      </w:pPr>
      <w:bookmarkStart w:id="12" w:name="_Toc494126117"/>
      <w:bookmarkStart w:id="13" w:name="_Toc497120773"/>
      <w:r>
        <w:rPr>
          <w:noProof/>
        </w:rPr>
        <w:t>ССТ „от ново поколение“</w:t>
      </w:r>
      <w:bookmarkEnd w:id="10"/>
      <w:bookmarkEnd w:id="11"/>
      <w:r>
        <w:rPr>
          <w:noProof/>
        </w:rPr>
        <w:t xml:space="preserve"> – с Южна Корея, с Колумбия и Перу, с Централна Америка</w:t>
      </w:r>
      <w:bookmarkEnd w:id="12"/>
      <w:bookmarkEnd w:id="13"/>
    </w:p>
    <w:p w:rsidR="00E1343B" w:rsidRDefault="00EB18D6">
      <w:pPr>
        <w:rPr>
          <w:noProof/>
        </w:rPr>
      </w:pPr>
      <w:r>
        <w:rPr>
          <w:noProof/>
        </w:rPr>
        <w:t>За целите на настоящия доклад „ССТ от ново поколение“ означава споразумения за свободна търговия, договорени след 2006 г., когато Комисията обяви в своето съобщение „Глобална Европа“</w:t>
      </w:r>
      <w:r>
        <w:rPr>
          <w:rStyle w:val="FootnoteReference"/>
          <w:noProof/>
        </w:rPr>
        <w:footnoteReference w:id="3"/>
      </w:r>
      <w:r>
        <w:rPr>
          <w:noProof/>
        </w:rPr>
        <w:t>, че ще започне преговори по всеобхватни ССТ с избрани трети държави. От споразуменията, които се прилагат, към тази категория принадлежат ССТ с Южна Корея (Корея), с Колумбия и Перу и с Централна Америка (ЦА).</w:t>
      </w:r>
    </w:p>
    <w:p w:rsidR="00E1343B" w:rsidRDefault="00EB18D6">
      <w:pPr>
        <w:pStyle w:val="Heading2"/>
        <w:ind w:left="1202"/>
        <w:rPr>
          <w:noProof/>
        </w:rPr>
      </w:pPr>
      <w:bookmarkStart w:id="14" w:name="_Toc493510415"/>
      <w:bookmarkStart w:id="15" w:name="_Toc493510794"/>
      <w:bookmarkStart w:id="16" w:name="_Toc494126118"/>
      <w:bookmarkStart w:id="17" w:name="_Toc497120774"/>
      <w:r>
        <w:rPr>
          <w:noProof/>
        </w:rPr>
        <w:t>Търговски потоци</w:t>
      </w:r>
      <w:bookmarkEnd w:id="14"/>
      <w:bookmarkEnd w:id="15"/>
      <w:bookmarkEnd w:id="16"/>
      <w:bookmarkEnd w:id="17"/>
      <w:r>
        <w:rPr>
          <w:noProof/>
        </w:rPr>
        <w:t xml:space="preserve"> </w:t>
      </w:r>
    </w:p>
    <w:p w:rsidR="00E1343B" w:rsidRDefault="00EB18D6">
      <w:pPr>
        <w:rPr>
          <w:noProof/>
        </w:rPr>
      </w:pPr>
      <w:r>
        <w:rPr>
          <w:noProof/>
        </w:rPr>
        <w:t xml:space="preserve">Прегледът на тенденциите в търговията показва, че ССТ с Корея е било успешно за европейския износ. </w:t>
      </w:r>
    </w:p>
    <w:p w:rsidR="00E1343B" w:rsidRDefault="00EB18D6">
      <w:pPr>
        <w:pStyle w:val="Heading3"/>
        <w:ind w:left="1922"/>
        <w:rPr>
          <w:noProof/>
        </w:rPr>
      </w:pPr>
      <w:r>
        <w:rPr>
          <w:noProof/>
        </w:rPr>
        <w:t xml:space="preserve">Южна Корея </w:t>
      </w:r>
    </w:p>
    <w:p w:rsidR="00E1343B" w:rsidRDefault="00EB18D6">
      <w:pPr>
        <w:rPr>
          <w:noProof/>
        </w:rPr>
      </w:pPr>
      <w:r>
        <w:rPr>
          <w:noProof/>
        </w:rPr>
        <w:t xml:space="preserve">Износът на ЕС за Корея се е </w:t>
      </w:r>
      <w:r>
        <w:rPr>
          <w:b/>
          <w:noProof/>
        </w:rPr>
        <w:t>увеличил</w:t>
      </w:r>
      <w:r>
        <w:rPr>
          <w:noProof/>
        </w:rPr>
        <w:t xml:space="preserve"> с 59,2 % след началото на прилагането на ССТ</w:t>
      </w:r>
      <w:r>
        <w:rPr>
          <w:rStyle w:val="FootnoteReference"/>
          <w:noProof/>
        </w:rPr>
        <w:footnoteReference w:id="4"/>
      </w:r>
      <w:r>
        <w:rPr>
          <w:noProof/>
        </w:rPr>
        <w:t xml:space="preserve">. Търговският дефицит на ЕС в размер на 11,6 милиарда евро през 2010 г. се е превърнал в </w:t>
      </w:r>
      <w:r>
        <w:rPr>
          <w:b/>
          <w:noProof/>
        </w:rPr>
        <w:t>излишък</w:t>
      </w:r>
      <w:r>
        <w:rPr>
          <w:noProof/>
        </w:rPr>
        <w:t xml:space="preserve"> на стойност 3,1 милиарда евро през 2016 г. </w:t>
      </w:r>
    </w:p>
    <w:p w:rsidR="00E1343B" w:rsidRDefault="00EB18D6">
      <w:pPr>
        <w:rPr>
          <w:noProof/>
        </w:rPr>
      </w:pPr>
      <w:r>
        <w:rPr>
          <w:noProof/>
        </w:rPr>
        <w:t xml:space="preserve">През 2016 г. обаче износът на ЕС е намалял с 6,9 %, за първи път по време на прилагането на ССТ. Износът на ЕС е намалял по-специално по отношение на </w:t>
      </w:r>
      <w:r>
        <w:rPr>
          <w:b/>
          <w:noProof/>
        </w:rPr>
        <w:t>машините и уредите</w:t>
      </w:r>
      <w:r>
        <w:rPr>
          <w:noProof/>
        </w:rPr>
        <w:t xml:space="preserve"> (с 8,2 %) и на </w:t>
      </w:r>
      <w:r>
        <w:rPr>
          <w:b/>
          <w:noProof/>
        </w:rPr>
        <w:t>транспортното оборудване</w:t>
      </w:r>
      <w:r>
        <w:rPr>
          <w:noProof/>
        </w:rPr>
        <w:t xml:space="preserve"> (с 6,4 %). Тези два сектора представляват над 50 % от износа на ЕС за Корея. </w:t>
      </w:r>
    </w:p>
    <w:p w:rsidR="00E1343B" w:rsidRDefault="00EB18D6">
      <w:pPr>
        <w:rPr>
          <w:noProof/>
        </w:rPr>
      </w:pPr>
      <w:r>
        <w:rPr>
          <w:noProof/>
        </w:rPr>
        <w:t xml:space="preserve">Вносът от Корея като цяло се е запазил относително </w:t>
      </w:r>
      <w:r>
        <w:rPr>
          <w:b/>
          <w:noProof/>
        </w:rPr>
        <w:t>стабилен</w:t>
      </w:r>
      <w:r>
        <w:rPr>
          <w:noProof/>
        </w:rPr>
        <w:t xml:space="preserve">, като през 2016 г. също е намалял — с 2,2 %. Отбелязан е и спад от 4,9 % на вноса от Корея в секторите на </w:t>
      </w:r>
      <w:r>
        <w:rPr>
          <w:b/>
          <w:noProof/>
        </w:rPr>
        <w:t>машините и уредите</w:t>
      </w:r>
      <w:r>
        <w:rPr>
          <w:noProof/>
        </w:rPr>
        <w:t xml:space="preserve"> и на </w:t>
      </w:r>
      <w:r>
        <w:rPr>
          <w:b/>
          <w:noProof/>
        </w:rPr>
        <w:t>транспортното оборудване</w:t>
      </w:r>
      <w:r>
        <w:rPr>
          <w:noProof/>
        </w:rPr>
        <w:t>.</w:t>
      </w:r>
    </w:p>
    <w:p w:rsidR="00E1343B" w:rsidRDefault="00EB18D6">
      <w:pPr>
        <w:rPr>
          <w:noProof/>
        </w:rPr>
      </w:pPr>
      <w:r>
        <w:rPr>
          <w:noProof/>
        </w:rPr>
        <w:t xml:space="preserve">Секторът на </w:t>
      </w:r>
      <w:r>
        <w:rPr>
          <w:b/>
          <w:noProof/>
        </w:rPr>
        <w:t>моторните превозни средства</w:t>
      </w:r>
      <w:r>
        <w:rPr>
          <w:noProof/>
        </w:rPr>
        <w:t xml:space="preserve"> е от особен интерес в случая на ССТ между ЕС и Корея, като и в тази област износът на ЕС е постигнал </w:t>
      </w:r>
      <w:r>
        <w:rPr>
          <w:b/>
          <w:noProof/>
        </w:rPr>
        <w:t>изключително добри резултати</w:t>
      </w:r>
      <w:r>
        <w:rPr>
          <w:noProof/>
        </w:rPr>
        <w:t xml:space="preserve">. </w:t>
      </w:r>
    </w:p>
    <w:p w:rsidR="00E1343B" w:rsidRDefault="00EB18D6">
      <w:pPr>
        <w:rPr>
          <w:noProof/>
        </w:rPr>
      </w:pPr>
      <w:r>
        <w:rPr>
          <w:b/>
          <w:noProof/>
        </w:rPr>
        <w:t>Износът</w:t>
      </w:r>
      <w:r>
        <w:rPr>
          <w:noProof/>
        </w:rPr>
        <w:t xml:space="preserve"> на ЕС на моторни превозни средства се е увеличил с 244 % от началото на прилагането на ССТ и формира 13 % от общия износ на ЕС за Корея. </w:t>
      </w:r>
    </w:p>
    <w:p w:rsidR="00E1343B" w:rsidRDefault="00EB18D6">
      <w:pPr>
        <w:rPr>
          <w:noProof/>
        </w:rPr>
      </w:pPr>
      <w:r>
        <w:rPr>
          <w:b/>
          <w:noProof/>
        </w:rPr>
        <w:t>Вносът</w:t>
      </w:r>
      <w:r>
        <w:rPr>
          <w:noProof/>
        </w:rPr>
        <w:t xml:space="preserve"> на ЕС от Корея в сектора е нараснал с 53 % и представлява 10 % от общия внос на ЕС от Корея.</w:t>
      </w:r>
    </w:p>
    <w:p w:rsidR="00E1343B" w:rsidRDefault="00EB18D6">
      <w:pPr>
        <w:rPr>
          <w:noProof/>
        </w:rPr>
      </w:pPr>
      <w:r>
        <w:rPr>
          <w:noProof/>
        </w:rPr>
        <w:t>През 2016 г. обаче износът на ЕС на моторни превозни средства е намалял със 7,5 % (отчасти поради скандала с дизеловите двигатели), а вносът е намалял с 9 %.</w:t>
      </w:r>
    </w:p>
    <w:p w:rsidR="00E1343B" w:rsidRDefault="00EB18D6">
      <w:pPr>
        <w:rPr>
          <w:noProof/>
        </w:rPr>
      </w:pPr>
      <w:r>
        <w:rPr>
          <w:noProof/>
        </w:rPr>
        <w:t xml:space="preserve">Други причини за спада на общия износ на ЕС са намалението на </w:t>
      </w:r>
      <w:r>
        <w:rPr>
          <w:b/>
          <w:noProof/>
        </w:rPr>
        <w:t>износа на петрол от Обединеното кралство</w:t>
      </w:r>
      <w:r>
        <w:rPr>
          <w:noProof/>
        </w:rPr>
        <w:t xml:space="preserve"> (вследствие прекратяването на санкциите срещу Иран), както и намалението на доставките на </w:t>
      </w:r>
      <w:r>
        <w:rPr>
          <w:b/>
          <w:noProof/>
        </w:rPr>
        <w:t>въздухоплавателни средства</w:t>
      </w:r>
      <w:r>
        <w:rPr>
          <w:noProof/>
        </w:rPr>
        <w:t xml:space="preserve"> (като повече доставки са планирани за следващите години).</w:t>
      </w:r>
    </w:p>
    <w:tbl>
      <w:tblPr>
        <w:tblStyle w:val="TableGrid"/>
        <w:tblW w:w="0" w:type="auto"/>
        <w:tblInd w:w="108" w:type="dxa"/>
        <w:tblBorders>
          <w:insideH w:val="none" w:sz="0" w:space="0" w:color="auto"/>
        </w:tblBorders>
        <w:tblLook w:val="04A0" w:firstRow="1" w:lastRow="0" w:firstColumn="1" w:lastColumn="0" w:noHBand="0" w:noVBand="1"/>
      </w:tblPr>
      <w:tblGrid>
        <w:gridCol w:w="8647"/>
      </w:tblGrid>
      <w:tr w:rsidR="00E1343B">
        <w:tc>
          <w:tcPr>
            <w:tcW w:w="8647" w:type="dxa"/>
          </w:tcPr>
          <w:p w:rsidR="00E1343B" w:rsidRDefault="00EB18D6">
            <w:pPr>
              <w:rPr>
                <w:rFonts w:ascii="Times New Roman" w:hAnsi="Times New Roman" w:cs="Times New Roman"/>
                <w:b/>
                <w:bCs/>
                <w:noProof/>
                <w:sz w:val="27"/>
                <w:szCs w:val="27"/>
              </w:rPr>
            </w:pPr>
            <w:r>
              <w:rPr>
                <w:b/>
                <w:noProof/>
              </w:rPr>
              <w:t>Износът помага на австрийски производител на екипировка за катерене да достигне върха</w:t>
            </w:r>
          </w:p>
        </w:tc>
      </w:tr>
      <w:tr w:rsidR="00E1343B">
        <w:tc>
          <w:tcPr>
            <w:tcW w:w="8647" w:type="dxa"/>
          </w:tcPr>
          <w:p w:rsidR="00E1343B" w:rsidRDefault="00EB18D6">
            <w:pPr>
              <w:rPr>
                <w:noProof/>
              </w:rPr>
            </w:pPr>
            <w:r>
              <w:rPr>
                <w:noProof/>
              </w:rPr>
              <w:t>Като е премахнало митата, търговското споразумение между ЕС и Корея е помогнало на AustriAlpin да стъпи на пазара в Южна Корея и да укрепи позициите си на азиатските и световните пазари. Днес производителят на екипировка за катерене изнася около 80 % от своите продукти, което до голяма степен е благодарение на търговските споразумения на ЕС.</w:t>
            </w:r>
          </w:p>
          <w:p w:rsidR="00E1343B" w:rsidRDefault="00EB18D6">
            <w:pPr>
              <w:rPr>
                <w:rFonts w:ascii="Times New Roman" w:hAnsi="Times New Roman" w:cs="Times New Roman"/>
                <w:noProof/>
              </w:rPr>
            </w:pPr>
            <w:r>
              <w:rPr>
                <w:noProof/>
              </w:rPr>
              <w:t>Макар че в предприятието са заети по-малко от 100 души, през 2015 г. общите продажби на AustriAlpin възлизат на 8,5 милиона евро, от които 7,1 милиона евро — от износ.</w:t>
            </w:r>
          </w:p>
        </w:tc>
      </w:tr>
    </w:tbl>
    <w:p w:rsidR="00E1343B" w:rsidRDefault="00E1343B">
      <w:pPr>
        <w:spacing w:after="0" w:line="276" w:lineRule="auto"/>
        <w:rPr>
          <w:rFonts w:eastAsiaTheme="minorHAnsi"/>
          <w:noProof/>
          <w:sz w:val="22"/>
          <w:szCs w:val="22"/>
        </w:rPr>
      </w:pPr>
    </w:p>
    <w:tbl>
      <w:tblPr>
        <w:tblStyle w:val="TableGrid"/>
        <w:tblW w:w="0" w:type="auto"/>
        <w:tblInd w:w="108" w:type="dxa"/>
        <w:tblBorders>
          <w:insideH w:val="none" w:sz="0" w:space="0" w:color="auto"/>
        </w:tblBorders>
        <w:tblLook w:val="04A0" w:firstRow="1" w:lastRow="0" w:firstColumn="1" w:lastColumn="0" w:noHBand="0" w:noVBand="1"/>
      </w:tblPr>
      <w:tblGrid>
        <w:gridCol w:w="8647"/>
      </w:tblGrid>
      <w:tr w:rsidR="00E1343B">
        <w:tc>
          <w:tcPr>
            <w:tcW w:w="8647" w:type="dxa"/>
          </w:tcPr>
          <w:p w:rsidR="00E1343B" w:rsidRDefault="00EB18D6">
            <w:pPr>
              <w:rPr>
                <w:rFonts w:ascii="Times New Roman" w:hAnsi="Times New Roman" w:cs="Times New Roman"/>
                <w:b/>
                <w:bCs/>
                <w:noProof/>
                <w:sz w:val="27"/>
                <w:szCs w:val="27"/>
              </w:rPr>
            </w:pPr>
            <w:r>
              <w:rPr>
                <w:b/>
                <w:noProof/>
              </w:rPr>
              <w:t>Френски производител на биологична козметика постига успех в Южна Корея</w:t>
            </w:r>
          </w:p>
        </w:tc>
      </w:tr>
      <w:tr w:rsidR="00E1343B">
        <w:tc>
          <w:tcPr>
            <w:tcW w:w="8647" w:type="dxa"/>
          </w:tcPr>
          <w:p w:rsidR="00E1343B" w:rsidRDefault="00EB18D6">
            <w:pPr>
              <w:rPr>
                <w:rFonts w:ascii="Times New Roman" w:hAnsi="Times New Roman" w:cs="Times New Roman"/>
                <w:noProof/>
              </w:rPr>
            </w:pPr>
            <w:r>
              <w:rPr>
                <w:noProof/>
              </w:rPr>
              <w:t xml:space="preserve">Laboratoire Soniam произвежда растителни екстракти за козметичната индустрия. Малкото предприятие се е възползвало от споразумението за търговия между ЕС и Корея, тъй като намалените митнически тарифи са му позволили да предлага своите продукти на по-атрактивни цени. </w:t>
            </w:r>
          </w:p>
          <w:p w:rsidR="00E1343B" w:rsidRDefault="00EB18D6">
            <w:pPr>
              <w:rPr>
                <w:rFonts w:ascii="Times New Roman" w:hAnsi="Times New Roman" w:cs="Times New Roman"/>
                <w:noProof/>
              </w:rPr>
            </w:pPr>
            <w:r>
              <w:rPr>
                <w:noProof/>
              </w:rPr>
              <w:t xml:space="preserve">Благодарение на сертификата Ecocert за биологични продукти и на етикета „произведено във Франция“, износът на Laboratoire Soniam за Корея се е увеличил с 20 % в рамките на 2016 г. </w:t>
            </w:r>
          </w:p>
        </w:tc>
      </w:tr>
    </w:tbl>
    <w:p w:rsidR="00E1343B" w:rsidRDefault="00EB18D6">
      <w:pPr>
        <w:pStyle w:val="Heading3"/>
        <w:spacing w:before="240"/>
        <w:ind w:left="1922"/>
        <w:rPr>
          <w:noProof/>
        </w:rPr>
      </w:pPr>
      <w:r>
        <w:rPr>
          <w:noProof/>
        </w:rPr>
        <w:t xml:space="preserve">Колумбия и Перу </w:t>
      </w:r>
    </w:p>
    <w:p w:rsidR="00E1343B" w:rsidRDefault="00EB18D6">
      <w:pPr>
        <w:rPr>
          <w:noProof/>
        </w:rPr>
      </w:pPr>
      <w:r>
        <w:rPr>
          <w:noProof/>
        </w:rPr>
        <w:t xml:space="preserve">ЕС е вторият по големина търговски партньор за Колумбия и третият — за Перу. </w:t>
      </w:r>
      <w:r>
        <w:rPr>
          <w:b/>
          <w:noProof/>
        </w:rPr>
        <w:t>Двустранната търговия</w:t>
      </w:r>
      <w:r>
        <w:rPr>
          <w:noProof/>
        </w:rPr>
        <w:t xml:space="preserve"> между ЕС и Колумбия е намаляла с 23,5 %, а между ЕС и Перу — с 11 %, след като е започнало прилагането на ССТ</w:t>
      </w:r>
      <w:r>
        <w:rPr>
          <w:rStyle w:val="FootnoteReference"/>
          <w:noProof/>
        </w:rPr>
        <w:footnoteReference w:id="5"/>
      </w:r>
      <w:r>
        <w:rPr>
          <w:noProof/>
        </w:rPr>
        <w:t xml:space="preserve">. Това може да се обясни главно с </w:t>
      </w:r>
      <w:r>
        <w:rPr>
          <w:b/>
          <w:noProof/>
        </w:rPr>
        <w:t>икономическия спад</w:t>
      </w:r>
      <w:r>
        <w:rPr>
          <w:noProof/>
        </w:rPr>
        <w:t xml:space="preserve"> в Латинска Америка и със </w:t>
      </w:r>
      <w:r>
        <w:rPr>
          <w:b/>
          <w:noProof/>
        </w:rPr>
        <w:t>спада на цените на основните стоки</w:t>
      </w:r>
      <w:r>
        <w:rPr>
          <w:noProof/>
        </w:rPr>
        <w:t xml:space="preserve"> на световния пазар, което се е отразило върху износа и на двете държави. </w:t>
      </w:r>
    </w:p>
    <w:p w:rsidR="00E1343B" w:rsidRDefault="00EB18D6">
      <w:pPr>
        <w:rPr>
          <w:noProof/>
        </w:rPr>
      </w:pPr>
      <w:r>
        <w:rPr>
          <w:noProof/>
        </w:rPr>
        <w:t xml:space="preserve">Въпреки това ССТ е оказало </w:t>
      </w:r>
      <w:r>
        <w:rPr>
          <w:b/>
          <w:noProof/>
        </w:rPr>
        <w:t>стабилизиращо въздействие</w:t>
      </w:r>
      <w:r>
        <w:rPr>
          <w:noProof/>
        </w:rPr>
        <w:t>: общият спад в търговията на тези две държави със света през същия период (приблизително 36 % за Колумбия и 18 % за Перу) е по-голям от спада в търговията с ЕС. С основание може да се приеме, че без ССТ спадът в търговията с ЕС вероятно е щял да бъде още по-голям.</w:t>
      </w:r>
    </w:p>
    <w:p w:rsidR="00E1343B" w:rsidRDefault="00EB18D6">
      <w:pPr>
        <w:rPr>
          <w:noProof/>
        </w:rPr>
      </w:pPr>
      <w:r>
        <w:rPr>
          <w:noProof/>
        </w:rPr>
        <w:t xml:space="preserve">Износът на ЕС за </w:t>
      </w:r>
      <w:r>
        <w:rPr>
          <w:b/>
          <w:noProof/>
        </w:rPr>
        <w:t>Колумбия</w:t>
      </w:r>
      <w:r>
        <w:rPr>
          <w:noProof/>
        </w:rPr>
        <w:t xml:space="preserve"> се е увеличил с 18 % през първите две години от прилагането на ССТ, но през 2016 г. е спаднал със 17 % поради застой в търсенето. Вносът на ЕС от Колумбия е намалял с 37,5 % от началото на прилагането на ССТ. </w:t>
      </w:r>
    </w:p>
    <w:p w:rsidR="00E1343B" w:rsidRDefault="00EB18D6">
      <w:pPr>
        <w:rPr>
          <w:noProof/>
        </w:rPr>
      </w:pPr>
      <w:r>
        <w:rPr>
          <w:noProof/>
        </w:rPr>
        <w:t xml:space="preserve">В случая на </w:t>
      </w:r>
      <w:r>
        <w:rPr>
          <w:b/>
          <w:noProof/>
        </w:rPr>
        <w:t>Перу</w:t>
      </w:r>
      <w:r>
        <w:rPr>
          <w:noProof/>
        </w:rPr>
        <w:t xml:space="preserve"> износът на ЕС се е увеличил с 4 % в сравнение с 2012 г., докато вносът е спаднал също с 4 % до края на 2016 г.</w:t>
      </w:r>
    </w:p>
    <w:p w:rsidR="00E1343B" w:rsidRDefault="00EB18D6">
      <w:pPr>
        <w:rPr>
          <w:noProof/>
        </w:rPr>
      </w:pPr>
      <w:r>
        <w:rPr>
          <w:noProof/>
        </w:rPr>
        <w:t xml:space="preserve">Въпреки това, независимо от скромното развитие на търговията като цяло, износът на ЕС на </w:t>
      </w:r>
      <w:r>
        <w:rPr>
          <w:b/>
          <w:noProof/>
        </w:rPr>
        <w:t>селскостопански продукти се е увеличил</w:t>
      </w:r>
      <w:r>
        <w:rPr>
          <w:noProof/>
        </w:rPr>
        <w:t xml:space="preserve"> значително и за двата пазара, като увеличението за Колумбия е с 82 %, а за Перу — със 73 %. Същото е валидно и за вноса на ЕС от Колумбия и Перу, като ръстът за вноса от Колумбия е 33 % (45 % за кафето), а за вноса от Перу — 19 % (120 % за плодовете, 30 % за рибата и мекотелите и 226 % за какаото).</w:t>
      </w:r>
    </w:p>
    <w:p w:rsidR="00E1343B" w:rsidRDefault="00EB18D6">
      <w:pPr>
        <w:rPr>
          <w:noProof/>
        </w:rPr>
      </w:pPr>
      <w:r>
        <w:rPr>
          <w:noProof/>
        </w:rPr>
        <w:t xml:space="preserve">През същия период вносът на </w:t>
      </w:r>
      <w:r>
        <w:rPr>
          <w:b/>
          <w:noProof/>
        </w:rPr>
        <w:t>суровини и минерали</w:t>
      </w:r>
      <w:r>
        <w:rPr>
          <w:noProof/>
        </w:rPr>
        <w:t xml:space="preserve"> от тези две държави </w:t>
      </w:r>
      <w:r>
        <w:rPr>
          <w:b/>
          <w:noProof/>
        </w:rPr>
        <w:t>е спаднал</w:t>
      </w:r>
      <w:r>
        <w:rPr>
          <w:noProof/>
        </w:rPr>
        <w:t>.</w:t>
      </w:r>
    </w:p>
    <w:tbl>
      <w:tblPr>
        <w:tblStyle w:val="TableGrid"/>
        <w:tblW w:w="0" w:type="auto"/>
        <w:tblBorders>
          <w:insideH w:val="none" w:sz="0" w:space="0" w:color="auto"/>
        </w:tblBorders>
        <w:tblLook w:val="04A0" w:firstRow="1" w:lastRow="0" w:firstColumn="1" w:lastColumn="0" w:noHBand="0" w:noVBand="1"/>
      </w:tblPr>
      <w:tblGrid>
        <w:gridCol w:w="8833"/>
      </w:tblGrid>
      <w:tr w:rsidR="00E1343B">
        <w:tc>
          <w:tcPr>
            <w:tcW w:w="8833" w:type="dxa"/>
          </w:tcPr>
          <w:p w:rsidR="00E1343B" w:rsidRDefault="00EB18D6">
            <w:pPr>
              <w:rPr>
                <w:rFonts w:ascii="Times New Roman" w:hAnsi="Times New Roman" w:cs="Times New Roman"/>
                <w:b/>
                <w:noProof/>
                <w:sz w:val="27"/>
                <w:szCs w:val="27"/>
              </w:rPr>
            </w:pPr>
            <w:r>
              <w:rPr>
                <w:b/>
                <w:noProof/>
              </w:rPr>
              <w:t>Люксембургска бира в колумбийските барове</w:t>
            </w:r>
          </w:p>
        </w:tc>
      </w:tr>
      <w:tr w:rsidR="00E1343B">
        <w:tc>
          <w:tcPr>
            <w:tcW w:w="8833" w:type="dxa"/>
          </w:tcPr>
          <w:p w:rsidR="00E1343B" w:rsidRDefault="00EB18D6">
            <w:pPr>
              <w:rPr>
                <w:noProof/>
              </w:rPr>
            </w:pPr>
            <w:r>
              <w:rPr>
                <w:noProof/>
              </w:rPr>
              <w:t>Търговското споразумение на ЕС с Колумбия и Перу е помогнало на люксембургската пивоварна „Brasserie Nationale“, известна с бирата си Bofferding, да започне износ за Колумбия — пазар, който е 100 пъти по-голям от люксембургския. Благодарение на споразумението предприятието се справя с всички изисквания за износа директно, без да се налага да се обръща към експерти или да води преговори с посредници всеки път, когато изпраща контейнер в Колумбия.</w:t>
            </w:r>
          </w:p>
          <w:p w:rsidR="00E1343B" w:rsidRDefault="00EB18D6">
            <w:pPr>
              <w:rPr>
                <w:rFonts w:ascii="Times New Roman" w:hAnsi="Times New Roman" w:cs="Times New Roman"/>
                <w:noProof/>
                <w:sz w:val="22"/>
              </w:rPr>
            </w:pPr>
            <w:r>
              <w:rPr>
                <w:noProof/>
              </w:rPr>
              <w:t xml:space="preserve">Значителният износ за Колумбия е засилил растежа на пивоварната и сега тя изнася общо 34 000 хектолитра бира годишно. </w:t>
            </w:r>
          </w:p>
        </w:tc>
      </w:tr>
    </w:tbl>
    <w:p w:rsidR="00E1343B" w:rsidRDefault="00E1343B">
      <w:pPr>
        <w:spacing w:after="0" w:line="276" w:lineRule="auto"/>
        <w:rPr>
          <w:rFonts w:eastAsiaTheme="minorHAnsi"/>
          <w:noProof/>
          <w:sz w:val="22"/>
          <w:szCs w:val="22"/>
        </w:rPr>
      </w:pPr>
    </w:p>
    <w:tbl>
      <w:tblPr>
        <w:tblStyle w:val="TableGrid"/>
        <w:tblW w:w="0" w:type="auto"/>
        <w:tblBorders>
          <w:insideH w:val="none" w:sz="0" w:space="0" w:color="auto"/>
        </w:tblBorders>
        <w:tblLook w:val="04A0" w:firstRow="1" w:lastRow="0" w:firstColumn="1" w:lastColumn="0" w:noHBand="0" w:noVBand="1"/>
      </w:tblPr>
      <w:tblGrid>
        <w:gridCol w:w="8833"/>
      </w:tblGrid>
      <w:tr w:rsidR="00E1343B">
        <w:tc>
          <w:tcPr>
            <w:tcW w:w="8833" w:type="dxa"/>
          </w:tcPr>
          <w:p w:rsidR="00E1343B" w:rsidRDefault="00EB18D6">
            <w:pPr>
              <w:rPr>
                <w:rFonts w:ascii="Times New Roman" w:hAnsi="Times New Roman" w:cs="Times New Roman"/>
                <w:b/>
                <w:noProof/>
              </w:rPr>
            </w:pPr>
            <w:r>
              <w:rPr>
                <w:b/>
                <w:noProof/>
              </w:rPr>
              <w:t>Австрийско вино прави сензация в Андите</w:t>
            </w:r>
          </w:p>
        </w:tc>
      </w:tr>
      <w:tr w:rsidR="00E1343B">
        <w:tc>
          <w:tcPr>
            <w:tcW w:w="8833" w:type="dxa"/>
          </w:tcPr>
          <w:p w:rsidR="00E1343B" w:rsidRDefault="00EB18D6">
            <w:pPr>
              <w:rPr>
                <w:rFonts w:ascii="Times New Roman" w:hAnsi="Times New Roman" w:cs="Times New Roman"/>
                <w:noProof/>
              </w:rPr>
            </w:pPr>
            <w:r>
              <w:rPr>
                <w:noProof/>
              </w:rPr>
              <w:t xml:space="preserve">Винарната Rainer Wess е разположена в долината Вахау в Австрия. Тя се занимава с винопроизводство от 2003 г. насам и изнася 65 % от продукцията си в повече от двадесет държави. </w:t>
            </w:r>
          </w:p>
          <w:p w:rsidR="00E1343B" w:rsidRDefault="00EB18D6">
            <w:pPr>
              <w:rPr>
                <w:rFonts w:ascii="Times New Roman" w:hAnsi="Times New Roman" w:cs="Times New Roman"/>
                <w:noProof/>
                <w:sz w:val="22"/>
              </w:rPr>
            </w:pPr>
            <w:r>
              <w:rPr>
                <w:noProof/>
              </w:rPr>
              <w:t>Търговското споразумение на ЕС с Колумбия и Перу е дало възможност на предприятието да се възползва от по-ниските търговски мита и по-малката административна тежест. Неговото вино вече печели популярност в някои от най-добрите ресторанти в Лима, столицата на Перу.</w:t>
            </w:r>
          </w:p>
        </w:tc>
      </w:tr>
    </w:tbl>
    <w:p w:rsidR="00E1343B" w:rsidRDefault="00EB18D6">
      <w:pPr>
        <w:pStyle w:val="Heading3"/>
        <w:spacing w:before="240"/>
        <w:ind w:left="1922"/>
        <w:rPr>
          <w:noProof/>
        </w:rPr>
      </w:pPr>
      <w:r>
        <w:rPr>
          <w:noProof/>
        </w:rPr>
        <w:t xml:space="preserve">Централна Америка </w:t>
      </w:r>
    </w:p>
    <w:p w:rsidR="00E1343B" w:rsidRDefault="00EB18D6">
      <w:pPr>
        <w:rPr>
          <w:noProof/>
        </w:rPr>
      </w:pPr>
      <w:r>
        <w:rPr>
          <w:noProof/>
        </w:rPr>
        <w:t>Що се отнася до ССТ с Централна Америка</w:t>
      </w:r>
      <w:r>
        <w:rPr>
          <w:rStyle w:val="FootnoteReference"/>
          <w:b/>
          <w:noProof/>
        </w:rPr>
        <w:footnoteReference w:id="6"/>
      </w:r>
      <w:r>
        <w:rPr>
          <w:noProof/>
        </w:rPr>
        <w:t xml:space="preserve">, </w:t>
      </w:r>
      <w:r>
        <w:rPr>
          <w:b/>
          <w:noProof/>
        </w:rPr>
        <w:t>търговията е в подем</w:t>
      </w:r>
      <w:r>
        <w:rPr>
          <w:noProof/>
        </w:rPr>
        <w:t xml:space="preserve">. Износът на ЕС е нараснал с 22 %, докато вносът от пет държави от Централна Америка се е увеличил с 18,3 %. </w:t>
      </w:r>
    </w:p>
    <w:p w:rsidR="00E1343B" w:rsidRDefault="00EB18D6">
      <w:pPr>
        <w:rPr>
          <w:noProof/>
        </w:rPr>
      </w:pPr>
      <w:r>
        <w:rPr>
          <w:noProof/>
        </w:rPr>
        <w:t xml:space="preserve">Единственото </w:t>
      </w:r>
      <w:r>
        <w:rPr>
          <w:b/>
          <w:noProof/>
        </w:rPr>
        <w:t>изключение е Коста Рика</w:t>
      </w:r>
      <w:r>
        <w:rPr>
          <w:noProof/>
        </w:rPr>
        <w:t>, която е засегната от преместването в Азия на своя по-рано основен износител на компоненти за информационни технологии. Вследствие на това през 2015 г. износът на офис и телекомуникационно оборудване на Коста Рика е намалял с почти 94 %. През същата година износът ѝ за ЕС е намалял с 40 %, което също така е довело до намаляване на общите търговски потоци между ЕС и Централна Америка с 0,78 %.</w:t>
      </w:r>
    </w:p>
    <w:p w:rsidR="00E1343B" w:rsidRDefault="00EB18D6">
      <w:pPr>
        <w:rPr>
          <w:noProof/>
        </w:rPr>
      </w:pPr>
      <w:r>
        <w:rPr>
          <w:noProof/>
        </w:rPr>
        <w:t>Основното местоназначение на износа от ЕС за Централна Америка е била Коста Рика (25 %), следвана от Панама (24 %) и Гватемала (22 %).</w:t>
      </w:r>
    </w:p>
    <w:tbl>
      <w:tblPr>
        <w:tblStyle w:val="TableGrid"/>
        <w:tblW w:w="0" w:type="auto"/>
        <w:tblBorders>
          <w:insideH w:val="none" w:sz="0" w:space="0" w:color="auto"/>
        </w:tblBorders>
        <w:tblLook w:val="04A0" w:firstRow="1" w:lastRow="0" w:firstColumn="1" w:lastColumn="0" w:noHBand="0" w:noVBand="1"/>
      </w:tblPr>
      <w:tblGrid>
        <w:gridCol w:w="8833"/>
      </w:tblGrid>
      <w:tr w:rsidR="00E1343B">
        <w:tc>
          <w:tcPr>
            <w:tcW w:w="8833" w:type="dxa"/>
          </w:tcPr>
          <w:p w:rsidR="00E1343B" w:rsidRDefault="00EB18D6">
            <w:pPr>
              <w:rPr>
                <w:rFonts w:ascii="Times New Roman" w:hAnsi="Times New Roman" w:cs="Times New Roman"/>
                <w:b/>
                <w:noProof/>
              </w:rPr>
            </w:pPr>
            <w:r>
              <w:rPr>
                <w:b/>
                <w:noProof/>
              </w:rPr>
              <w:t>Белгийско предприятие за печене на кафе създава партньорства по целия свят</w:t>
            </w:r>
          </w:p>
        </w:tc>
      </w:tr>
      <w:tr w:rsidR="00E1343B">
        <w:tc>
          <w:tcPr>
            <w:tcW w:w="8833" w:type="dxa"/>
          </w:tcPr>
          <w:p w:rsidR="00E1343B" w:rsidRDefault="00EB18D6">
            <w:pPr>
              <w:rPr>
                <w:rFonts w:ascii="Times New Roman" w:hAnsi="Times New Roman" w:cs="Times New Roman"/>
                <w:noProof/>
              </w:rPr>
            </w:pPr>
            <w:r>
              <w:rPr>
                <w:noProof/>
              </w:rPr>
              <w:t xml:space="preserve">Създадено през 2001 г., белгийското предприятие за печене на кафе OR вече е навлязло на международните пазари, водено от разбирането, че най-доброто кафе на зърна идва директно от земеделските стопани. </w:t>
            </w:r>
          </w:p>
          <w:p w:rsidR="00E1343B" w:rsidRDefault="00EB18D6">
            <w:pPr>
              <w:rPr>
                <w:rFonts w:ascii="Times New Roman" w:hAnsi="Times New Roman" w:cs="Times New Roman"/>
                <w:noProof/>
              </w:rPr>
            </w:pPr>
            <w:r>
              <w:rPr>
                <w:noProof/>
              </w:rPr>
              <w:t xml:space="preserve">Търговските споразумения на ЕС с държави от Централна и Южна Америка са улеснили снабдяването на европейските дружества с кафе от този регион. Освен това, задължавайки износителите от тези държави да спазват стандартите на ЕС относно условията на труд и опазването на околната среда, споразуменията са осигурили ползи и за местните хора. </w:t>
            </w:r>
          </w:p>
        </w:tc>
      </w:tr>
    </w:tbl>
    <w:p w:rsidR="00E1343B" w:rsidRDefault="00EB18D6">
      <w:pPr>
        <w:pStyle w:val="Heading2"/>
        <w:spacing w:before="360"/>
        <w:ind w:left="1202"/>
        <w:rPr>
          <w:noProof/>
        </w:rPr>
      </w:pPr>
      <w:bookmarkStart w:id="18" w:name="_Toc493510416"/>
      <w:bookmarkStart w:id="19" w:name="_Toc493510795"/>
      <w:bookmarkStart w:id="20" w:name="_Toc494126119"/>
      <w:bookmarkStart w:id="21" w:name="_Toc497120775"/>
      <w:r>
        <w:rPr>
          <w:noProof/>
        </w:rPr>
        <w:t>Тарифни квоти</w:t>
      </w:r>
      <w:bookmarkEnd w:id="18"/>
      <w:bookmarkEnd w:id="19"/>
      <w:bookmarkEnd w:id="20"/>
      <w:bookmarkEnd w:id="21"/>
    </w:p>
    <w:p w:rsidR="00E1343B" w:rsidRDefault="00EB18D6">
      <w:pPr>
        <w:rPr>
          <w:noProof/>
        </w:rPr>
      </w:pPr>
      <w:r>
        <w:rPr>
          <w:noProof/>
        </w:rPr>
        <w:t>Вносът на стоки, подлежащи на тарифни квоти, се облага с по-ниски вносни мита в рамките на договорените количества. При надхвърляне на тези количества вносните мита са по-високи.</w:t>
      </w:r>
    </w:p>
    <w:p w:rsidR="00E1343B" w:rsidRDefault="00EB18D6">
      <w:pPr>
        <w:pStyle w:val="Heading3"/>
        <w:rPr>
          <w:noProof/>
        </w:rPr>
      </w:pPr>
      <w:r>
        <w:rPr>
          <w:noProof/>
        </w:rPr>
        <w:t xml:space="preserve">Колумбия и Перу </w:t>
      </w:r>
    </w:p>
    <w:p w:rsidR="00E1343B" w:rsidRDefault="00EB18D6">
      <w:pPr>
        <w:rPr>
          <w:noProof/>
        </w:rPr>
      </w:pPr>
      <w:r>
        <w:rPr>
          <w:noProof/>
        </w:rPr>
        <w:t xml:space="preserve">И </w:t>
      </w:r>
      <w:r>
        <w:rPr>
          <w:b/>
          <w:noProof/>
        </w:rPr>
        <w:t>Колумбия</w:t>
      </w:r>
      <w:r>
        <w:rPr>
          <w:noProof/>
        </w:rPr>
        <w:t xml:space="preserve">, и </w:t>
      </w:r>
      <w:r>
        <w:rPr>
          <w:b/>
          <w:noProof/>
        </w:rPr>
        <w:t>Перу</w:t>
      </w:r>
      <w:r>
        <w:rPr>
          <w:noProof/>
        </w:rPr>
        <w:t xml:space="preserve"> използват своите тарифни квоти за </w:t>
      </w:r>
      <w:r>
        <w:rPr>
          <w:b/>
          <w:noProof/>
        </w:rPr>
        <w:t>захар</w:t>
      </w:r>
      <w:r>
        <w:rPr>
          <w:noProof/>
        </w:rPr>
        <w:t xml:space="preserve">. Перу също все повече използва квотите за сладка царевица и за чесън, докато тарифните квоти за други продукти са слабо използвани. </w:t>
      </w:r>
    </w:p>
    <w:p w:rsidR="00E1343B" w:rsidRDefault="00EB18D6">
      <w:pPr>
        <w:rPr>
          <w:noProof/>
        </w:rPr>
      </w:pPr>
      <w:r>
        <w:rPr>
          <w:noProof/>
        </w:rPr>
        <w:t xml:space="preserve">Като цяло </w:t>
      </w:r>
      <w:r>
        <w:rPr>
          <w:b/>
          <w:noProof/>
        </w:rPr>
        <w:t>ЕС</w:t>
      </w:r>
      <w:r>
        <w:rPr>
          <w:noProof/>
        </w:rPr>
        <w:t xml:space="preserve"> е използвал до голяма степен своите тарифни квоти, определени в споразумението. За някои продукти обаче степента на използване е много ниска, например от общата квота за износ на </w:t>
      </w:r>
      <w:r>
        <w:rPr>
          <w:b/>
          <w:noProof/>
        </w:rPr>
        <w:t>сирене</w:t>
      </w:r>
      <w:r>
        <w:rPr>
          <w:noProof/>
        </w:rPr>
        <w:t xml:space="preserve"> за Колумбия са били използвани едва 7,9 %, а за Перу — едва 4,3%; използвани са и едва 3,8 % от общата квота за износ на </w:t>
      </w:r>
      <w:r>
        <w:rPr>
          <w:b/>
          <w:noProof/>
        </w:rPr>
        <w:t>захарни изделия</w:t>
      </w:r>
      <w:r>
        <w:rPr>
          <w:noProof/>
        </w:rPr>
        <w:t xml:space="preserve"> за Колумбия. </w:t>
      </w:r>
    </w:p>
    <w:p w:rsidR="00E1343B" w:rsidRDefault="00EB18D6">
      <w:pPr>
        <w:pStyle w:val="Heading3"/>
        <w:rPr>
          <w:noProof/>
        </w:rPr>
      </w:pPr>
      <w:r>
        <w:rPr>
          <w:noProof/>
        </w:rPr>
        <w:t xml:space="preserve">Централна Америка </w:t>
      </w:r>
    </w:p>
    <w:p w:rsidR="00E1343B" w:rsidRDefault="00EB18D6">
      <w:pPr>
        <w:rPr>
          <w:noProof/>
        </w:rPr>
      </w:pPr>
      <w:r>
        <w:rPr>
          <w:noProof/>
        </w:rPr>
        <w:t xml:space="preserve">Централна Америка е използвала само своите тарифни квоти за </w:t>
      </w:r>
      <w:r>
        <w:rPr>
          <w:b/>
          <w:noProof/>
        </w:rPr>
        <w:t>захар</w:t>
      </w:r>
      <w:r>
        <w:rPr>
          <w:noProof/>
        </w:rPr>
        <w:t xml:space="preserve"> и за </w:t>
      </w:r>
      <w:r>
        <w:rPr>
          <w:b/>
          <w:noProof/>
        </w:rPr>
        <w:t>ром</w:t>
      </w:r>
      <w:r>
        <w:rPr>
          <w:noProof/>
        </w:rPr>
        <w:t xml:space="preserve">, докато другите тарифни квоти са останали неизползвани. </w:t>
      </w:r>
    </w:p>
    <w:p w:rsidR="00E1343B" w:rsidRDefault="00EB18D6">
      <w:pPr>
        <w:rPr>
          <w:noProof/>
        </w:rPr>
      </w:pPr>
      <w:r>
        <w:rPr>
          <w:noProof/>
        </w:rPr>
        <w:t xml:space="preserve">На </w:t>
      </w:r>
      <w:r>
        <w:rPr>
          <w:b/>
          <w:noProof/>
        </w:rPr>
        <w:t>ЕС</w:t>
      </w:r>
      <w:r>
        <w:rPr>
          <w:noProof/>
        </w:rPr>
        <w:t xml:space="preserve"> бяха предоставени тарифни квоти за четири продукта, но тяхното </w:t>
      </w:r>
      <w:r>
        <w:rPr>
          <w:b/>
          <w:noProof/>
        </w:rPr>
        <w:t>използване остава ограничено</w:t>
      </w:r>
      <w:r>
        <w:rPr>
          <w:noProof/>
        </w:rPr>
        <w:t xml:space="preserve">: използвани са 26 % от общата квота за пушена шунка, 14 % за мляко на прах, 44 % за сирене и едва 4,9 % за преработено свинско месо. </w:t>
      </w:r>
    </w:p>
    <w:p w:rsidR="00E1343B" w:rsidRDefault="00EB18D6">
      <w:pPr>
        <w:pStyle w:val="Heading2"/>
        <w:rPr>
          <w:noProof/>
        </w:rPr>
      </w:pPr>
      <w:bookmarkStart w:id="22" w:name="_Toc493510417"/>
      <w:bookmarkStart w:id="23" w:name="_Toc493510796"/>
      <w:bookmarkStart w:id="24" w:name="_Toc494126120"/>
      <w:bookmarkStart w:id="25" w:name="_Toc497120776"/>
      <w:r>
        <w:rPr>
          <w:noProof/>
        </w:rPr>
        <w:t>Степен на използване на преференциите</w:t>
      </w:r>
      <w:bookmarkEnd w:id="22"/>
      <w:bookmarkEnd w:id="23"/>
      <w:bookmarkEnd w:id="24"/>
      <w:bookmarkEnd w:id="25"/>
      <w:r>
        <w:rPr>
          <w:noProof/>
        </w:rPr>
        <w:t xml:space="preserve"> </w:t>
      </w:r>
    </w:p>
    <w:p w:rsidR="00E1343B" w:rsidRDefault="00EB18D6">
      <w:pPr>
        <w:rPr>
          <w:noProof/>
        </w:rPr>
      </w:pPr>
      <w:r>
        <w:rPr>
          <w:noProof/>
        </w:rPr>
        <w:t xml:space="preserve">Степента на използване на преференциите показва доколко предприятията използват тарифните преференции, които им предлагат споразуменията за свободна търговия на ЕС. </w:t>
      </w:r>
    </w:p>
    <w:p w:rsidR="00E1343B" w:rsidRDefault="00EB18D6">
      <w:pPr>
        <w:rPr>
          <w:noProof/>
        </w:rPr>
      </w:pPr>
      <w:r>
        <w:rPr>
          <w:noProof/>
        </w:rPr>
        <w:t xml:space="preserve">Тя отчита общия внос, осъществен от дадена държава партньорка в ЕС (или обратното), който </w:t>
      </w:r>
      <w:r>
        <w:rPr>
          <w:i/>
          <w:noProof/>
        </w:rPr>
        <w:t>отговаря на условията</w:t>
      </w:r>
      <w:r>
        <w:rPr>
          <w:noProof/>
        </w:rPr>
        <w:t xml:space="preserve"> за облагане с преференциално намалени митнически тарифи. Тя указва и дела от този общ внос, за който </w:t>
      </w:r>
      <w:r>
        <w:rPr>
          <w:i/>
          <w:noProof/>
        </w:rPr>
        <w:t>реално</w:t>
      </w:r>
      <w:r>
        <w:rPr>
          <w:noProof/>
        </w:rPr>
        <w:t xml:space="preserve"> е била използвана намалената тарифа</w:t>
      </w:r>
      <w:r>
        <w:rPr>
          <w:rStyle w:val="FootnoteReference"/>
          <w:noProof/>
        </w:rPr>
        <w:footnoteReference w:id="7"/>
      </w:r>
      <w:r>
        <w:rPr>
          <w:noProof/>
        </w:rPr>
        <w:t>.</w:t>
      </w:r>
    </w:p>
    <w:p w:rsidR="00E1343B" w:rsidRDefault="00EB18D6">
      <w:pPr>
        <w:rPr>
          <w:b/>
          <w:noProof/>
        </w:rPr>
      </w:pPr>
      <w:r>
        <w:rPr>
          <w:noProof/>
        </w:rPr>
        <w:t>Оценяването на това доколко износителите от ЕС използват тарифните преференции, договорени в ССТ, е важна мярка за ефективността на ССТ.</w:t>
      </w:r>
      <w:r>
        <w:rPr>
          <w:b/>
          <w:noProof/>
        </w:rPr>
        <w:t xml:space="preserve"> </w:t>
      </w:r>
    </w:p>
    <w:p w:rsidR="00E1343B" w:rsidRDefault="00EB18D6">
      <w:pPr>
        <w:pStyle w:val="Heading3"/>
        <w:rPr>
          <w:noProof/>
        </w:rPr>
      </w:pPr>
      <w:r>
        <w:rPr>
          <w:noProof/>
        </w:rPr>
        <w:t xml:space="preserve">Южна Корея </w:t>
      </w:r>
    </w:p>
    <w:p w:rsidR="00E1343B" w:rsidRDefault="00EB18D6">
      <w:pPr>
        <w:rPr>
          <w:noProof/>
        </w:rPr>
      </w:pPr>
      <w:r>
        <w:rPr>
          <w:noProof/>
        </w:rPr>
        <w:t xml:space="preserve">Степента на използване на преференции за </w:t>
      </w:r>
      <w:r>
        <w:rPr>
          <w:b/>
          <w:noProof/>
        </w:rPr>
        <w:t>износа на ЕС</w:t>
      </w:r>
      <w:r>
        <w:rPr>
          <w:noProof/>
        </w:rPr>
        <w:t xml:space="preserve"> за Корея е била 71 % през 2016 г., което е най-високият процент досега. За сравнение — тя е била 68 % през 2015 г. и 65 % през 2014 г. и 2013 г. Използването на преференции при селскостопанските продукти е било по-високо, отколкото при промишлените продукти (86 % спрямо 64%). Най-високата степен на използване на преференциите изобщо се отнася за категориите </w:t>
      </w:r>
      <w:r>
        <w:rPr>
          <w:b/>
          <w:noProof/>
        </w:rPr>
        <w:t>транспортно оборудване</w:t>
      </w:r>
      <w:r>
        <w:rPr>
          <w:noProof/>
        </w:rPr>
        <w:t xml:space="preserve"> и </w:t>
      </w:r>
      <w:r>
        <w:rPr>
          <w:b/>
          <w:noProof/>
        </w:rPr>
        <w:t>живи животни и продукти от животински произход</w:t>
      </w:r>
      <w:r>
        <w:rPr>
          <w:noProof/>
        </w:rPr>
        <w:t xml:space="preserve"> (93 %). Използването на намалени тарифи е било под 50 % за износа на ЕС на минерални продукти, перли и скъпоценни камъни, неблагородни метали и машини. </w:t>
      </w:r>
    </w:p>
    <w:p w:rsidR="00E1343B" w:rsidRDefault="00EB18D6">
      <w:pPr>
        <w:rPr>
          <w:noProof/>
        </w:rPr>
      </w:pPr>
      <w:r>
        <w:rPr>
          <w:noProof/>
        </w:rPr>
        <w:t xml:space="preserve">През 2016 г. </w:t>
      </w:r>
      <w:r>
        <w:rPr>
          <w:b/>
          <w:noProof/>
        </w:rPr>
        <w:t>корейските износители</w:t>
      </w:r>
      <w:r>
        <w:rPr>
          <w:noProof/>
        </w:rPr>
        <w:t xml:space="preserve"> са използвали тарифни преференции при 87 % от своя отговарящ на условията износ. Степента на използване на преференциите е била над 90 % за минералните продукти, транспортното оборудване и пластмасите и каучука, докато за дървения материал е била 9 %, а за перлите — 34 %. Корейските износители са използвали намалените тарифи за машини много повече, отколкото износителите от ЕС за Корея (като степента на използване на преференциите е 72 % спрямо 48 %).</w:t>
      </w:r>
    </w:p>
    <w:p w:rsidR="00E1343B" w:rsidRDefault="00EB18D6">
      <w:pPr>
        <w:pStyle w:val="Heading3"/>
        <w:rPr>
          <w:noProof/>
        </w:rPr>
      </w:pPr>
      <w:r>
        <w:rPr>
          <w:noProof/>
        </w:rPr>
        <w:t xml:space="preserve">Колумбия и Перу </w:t>
      </w:r>
    </w:p>
    <w:p w:rsidR="00E1343B" w:rsidRDefault="00EB18D6">
      <w:pPr>
        <w:rPr>
          <w:noProof/>
        </w:rPr>
      </w:pPr>
      <w:r>
        <w:rPr>
          <w:noProof/>
        </w:rPr>
        <w:t xml:space="preserve">По статистически данни от Колумбия степента на използване на преференциите за </w:t>
      </w:r>
      <w:r>
        <w:rPr>
          <w:b/>
          <w:noProof/>
        </w:rPr>
        <w:t>износа на ЕС</w:t>
      </w:r>
      <w:r>
        <w:rPr>
          <w:noProof/>
        </w:rPr>
        <w:t xml:space="preserve"> за Колумбия е достигнала 70,6 % през 2016 г. (в сравнение с 50,7 % през 2014 г.). Няма налични данни за Перу. </w:t>
      </w:r>
    </w:p>
    <w:p w:rsidR="00E1343B" w:rsidRDefault="00EB18D6">
      <w:pPr>
        <w:rPr>
          <w:noProof/>
        </w:rPr>
      </w:pPr>
      <w:r>
        <w:rPr>
          <w:noProof/>
        </w:rPr>
        <w:t xml:space="preserve">Що се отнася до </w:t>
      </w:r>
      <w:r>
        <w:rPr>
          <w:b/>
          <w:noProof/>
        </w:rPr>
        <w:t>износа от Колумбия и Перу</w:t>
      </w:r>
      <w:r>
        <w:rPr>
          <w:noProof/>
        </w:rPr>
        <w:t xml:space="preserve"> за пазара на ЕС, над 95 % от отговарящия на условията износ се осъществява при преференциални ставки.</w:t>
      </w:r>
    </w:p>
    <w:p w:rsidR="00E1343B" w:rsidRDefault="00EB18D6">
      <w:pPr>
        <w:pStyle w:val="Heading3"/>
        <w:rPr>
          <w:noProof/>
        </w:rPr>
      </w:pPr>
      <w:r>
        <w:rPr>
          <w:noProof/>
        </w:rPr>
        <w:t xml:space="preserve">Централна Америка </w:t>
      </w:r>
    </w:p>
    <w:p w:rsidR="00E1343B" w:rsidRDefault="00EB18D6">
      <w:pPr>
        <w:rPr>
          <w:noProof/>
        </w:rPr>
      </w:pPr>
      <w:r>
        <w:rPr>
          <w:noProof/>
        </w:rPr>
        <w:t xml:space="preserve">По отношение на Централна Америка статистически данни за износа на ЕС са налични само в Коста Рика: възможностите, предлагани от ССТ, са били използвани за едва 16,6 % от отговарящия на условията </w:t>
      </w:r>
      <w:r>
        <w:rPr>
          <w:b/>
          <w:noProof/>
        </w:rPr>
        <w:t>износ на ЕС</w:t>
      </w:r>
      <w:r>
        <w:rPr>
          <w:noProof/>
        </w:rPr>
        <w:t xml:space="preserve"> за Коста Рика. </w:t>
      </w:r>
    </w:p>
    <w:p w:rsidR="00E1343B" w:rsidRDefault="00EB18D6">
      <w:pPr>
        <w:rPr>
          <w:noProof/>
        </w:rPr>
      </w:pPr>
      <w:r>
        <w:rPr>
          <w:noProof/>
        </w:rPr>
        <w:t xml:space="preserve">В случая на </w:t>
      </w:r>
      <w:r>
        <w:rPr>
          <w:b/>
          <w:noProof/>
        </w:rPr>
        <w:t>износа на Коста Рика</w:t>
      </w:r>
      <w:r>
        <w:rPr>
          <w:noProof/>
        </w:rPr>
        <w:t xml:space="preserve"> за ЕС този процент е 92 %.</w:t>
      </w:r>
    </w:p>
    <w:p w:rsidR="00E1343B" w:rsidRDefault="00EB18D6">
      <w:pPr>
        <w:pStyle w:val="Heading2"/>
        <w:rPr>
          <w:noProof/>
        </w:rPr>
      </w:pPr>
      <w:bookmarkStart w:id="26" w:name="_Toc493510418"/>
      <w:bookmarkStart w:id="27" w:name="_Toc493510797"/>
      <w:bookmarkStart w:id="28" w:name="_Toc494126121"/>
      <w:bookmarkStart w:id="29" w:name="_Toc497120777"/>
      <w:r>
        <w:rPr>
          <w:noProof/>
        </w:rPr>
        <w:t>Услуги и инвестиции</w:t>
      </w:r>
      <w:bookmarkEnd w:id="26"/>
      <w:bookmarkEnd w:id="27"/>
      <w:bookmarkEnd w:id="28"/>
      <w:bookmarkEnd w:id="29"/>
      <w:r>
        <w:rPr>
          <w:noProof/>
        </w:rPr>
        <w:t xml:space="preserve"> </w:t>
      </w:r>
    </w:p>
    <w:p w:rsidR="00E1343B" w:rsidRDefault="00EB18D6">
      <w:pPr>
        <w:pStyle w:val="Heading3"/>
        <w:rPr>
          <w:noProof/>
        </w:rPr>
      </w:pPr>
      <w:r>
        <w:rPr>
          <w:noProof/>
        </w:rPr>
        <w:t xml:space="preserve">Южна Корея </w:t>
      </w:r>
    </w:p>
    <w:p w:rsidR="00E1343B" w:rsidRDefault="00EB18D6">
      <w:pPr>
        <w:rPr>
          <w:noProof/>
        </w:rPr>
      </w:pPr>
      <w:r>
        <w:rPr>
          <w:b/>
          <w:noProof/>
        </w:rPr>
        <w:t>Износът на услуги</w:t>
      </w:r>
      <w:r>
        <w:rPr>
          <w:noProof/>
        </w:rPr>
        <w:t xml:space="preserve"> от ЕС за Корея се е увеличил с 49 % от началото на прилагането на ССТ, въпреки че през 2015 г. този износ е намалял със 7 %. </w:t>
      </w:r>
      <w:r>
        <w:rPr>
          <w:b/>
          <w:noProof/>
        </w:rPr>
        <w:t>Вносът на услуги</w:t>
      </w:r>
      <w:r>
        <w:rPr>
          <w:noProof/>
        </w:rPr>
        <w:t xml:space="preserve"> от Корея също се е увеличил с общо 32 %, а през 2015 г. — със 7,3 %. </w:t>
      </w:r>
    </w:p>
    <w:p w:rsidR="00E1343B" w:rsidRDefault="00EB18D6">
      <w:pPr>
        <w:rPr>
          <w:noProof/>
        </w:rPr>
      </w:pPr>
      <w:r>
        <w:rPr>
          <w:b/>
          <w:noProof/>
        </w:rPr>
        <w:t>Размерът на инвестициите</w:t>
      </w:r>
      <w:r>
        <w:rPr>
          <w:noProof/>
        </w:rPr>
        <w:t xml:space="preserve"> на ЕС в Корея се е увеличил с 32,8 % от началото на прилагането на ССТ, докато корейските инвестиции в ЕС са се увеличили с 60 %. Инвестициите на ЕС в Корея (49,7 милиарда евро през 2015 г.) са около 2,5 пъти повече от корейските инвестиции в ЕС (20,9 милиарда евро през 2016 г.).</w:t>
      </w:r>
    </w:p>
    <w:p w:rsidR="00E1343B" w:rsidRDefault="00EB18D6">
      <w:pPr>
        <w:pStyle w:val="Heading3"/>
        <w:rPr>
          <w:noProof/>
        </w:rPr>
      </w:pPr>
      <w:r>
        <w:rPr>
          <w:noProof/>
        </w:rPr>
        <w:t>Колумбия и Перу</w:t>
      </w:r>
    </w:p>
    <w:p w:rsidR="00E1343B" w:rsidRDefault="00EB18D6">
      <w:pPr>
        <w:rPr>
          <w:noProof/>
        </w:rPr>
      </w:pPr>
      <w:r>
        <w:rPr>
          <w:noProof/>
        </w:rPr>
        <w:t xml:space="preserve">По отношение на държавите от Латинска Америка се забелязват малки промени. </w:t>
      </w:r>
      <w:r>
        <w:rPr>
          <w:b/>
          <w:noProof/>
        </w:rPr>
        <w:t>Износът на услуги</w:t>
      </w:r>
      <w:r>
        <w:rPr>
          <w:noProof/>
        </w:rPr>
        <w:t xml:space="preserve"> от ЕС е останал стабилен в случая на Колумбия и се е увеличил с 11 % за Перу. </w:t>
      </w:r>
      <w:r>
        <w:rPr>
          <w:b/>
          <w:noProof/>
        </w:rPr>
        <w:t>Вносът</w:t>
      </w:r>
      <w:r>
        <w:rPr>
          <w:noProof/>
        </w:rPr>
        <w:t xml:space="preserve"> от Колумбия се е увеличил с 3 %, а този от Перу е намалял с 6 %. </w:t>
      </w:r>
    </w:p>
    <w:p w:rsidR="00E1343B" w:rsidRDefault="00EB18D6">
      <w:pPr>
        <w:rPr>
          <w:noProof/>
        </w:rPr>
      </w:pPr>
      <w:r>
        <w:rPr>
          <w:b/>
          <w:noProof/>
        </w:rPr>
        <w:t>Размерът на инвестициите</w:t>
      </w:r>
      <w:r>
        <w:rPr>
          <w:noProof/>
        </w:rPr>
        <w:t xml:space="preserve"> на ЕС се е увеличил с 4 % в Колумбия и с 15 % в Перу. ЕС е най-големият чуждестранен инвеститор и в двете държави. </w:t>
      </w:r>
    </w:p>
    <w:p w:rsidR="00E1343B" w:rsidRDefault="00EB18D6">
      <w:pPr>
        <w:pStyle w:val="Heading3"/>
        <w:rPr>
          <w:noProof/>
        </w:rPr>
      </w:pPr>
      <w:r>
        <w:rPr>
          <w:noProof/>
        </w:rPr>
        <w:t xml:space="preserve">Централна Америка </w:t>
      </w:r>
    </w:p>
    <w:p w:rsidR="00E1343B" w:rsidRDefault="00EB18D6">
      <w:pPr>
        <w:rPr>
          <w:noProof/>
        </w:rPr>
      </w:pPr>
      <w:r>
        <w:rPr>
          <w:noProof/>
        </w:rPr>
        <w:t xml:space="preserve">Общият обем на </w:t>
      </w:r>
      <w:r>
        <w:rPr>
          <w:b/>
          <w:noProof/>
        </w:rPr>
        <w:t>търговията с услуги на ЕС</w:t>
      </w:r>
      <w:r>
        <w:rPr>
          <w:noProof/>
        </w:rPr>
        <w:t xml:space="preserve"> с Централна Америка е </w:t>
      </w:r>
      <w:r>
        <w:rPr>
          <w:b/>
          <w:noProof/>
        </w:rPr>
        <w:t>намалял</w:t>
      </w:r>
      <w:r>
        <w:rPr>
          <w:noProof/>
        </w:rPr>
        <w:t xml:space="preserve"> с 3 %. Макар че се наблюдават големи </w:t>
      </w:r>
      <w:r>
        <w:rPr>
          <w:b/>
          <w:noProof/>
        </w:rPr>
        <w:t>колебания</w:t>
      </w:r>
      <w:r>
        <w:rPr>
          <w:noProof/>
        </w:rPr>
        <w:t xml:space="preserve"> при износа и вноса от различни държави от Централна Америка, в случая на Коста Рика и Панама търговията с услуги се е увеличила и в двете посоки.</w:t>
      </w:r>
    </w:p>
    <w:p w:rsidR="00E1343B" w:rsidRDefault="00EB18D6">
      <w:pPr>
        <w:rPr>
          <w:noProof/>
        </w:rPr>
      </w:pPr>
      <w:r>
        <w:rPr>
          <w:noProof/>
        </w:rPr>
        <w:t>В този регион Панама е най-големият търговски партньор на ЕС за услугите (53 %), следвана от Коста Рика (21 %) и Гватемала (13 %).</w:t>
      </w:r>
    </w:p>
    <w:p w:rsidR="00E1343B" w:rsidRDefault="00EB18D6">
      <w:pPr>
        <w:pStyle w:val="Heading2"/>
        <w:rPr>
          <w:noProof/>
        </w:rPr>
      </w:pPr>
      <w:bookmarkStart w:id="30" w:name="_Toc493510419"/>
      <w:bookmarkStart w:id="31" w:name="_Toc493510798"/>
      <w:bookmarkStart w:id="32" w:name="_Toc494126122"/>
      <w:bookmarkStart w:id="33" w:name="_Toc497120778"/>
      <w:r>
        <w:rPr>
          <w:noProof/>
        </w:rPr>
        <w:t>Органи по изпълнението</w:t>
      </w:r>
      <w:bookmarkEnd w:id="30"/>
      <w:bookmarkEnd w:id="31"/>
      <w:bookmarkEnd w:id="32"/>
      <w:bookmarkEnd w:id="33"/>
      <w:r>
        <w:rPr>
          <w:noProof/>
        </w:rPr>
        <w:t xml:space="preserve"> </w:t>
      </w:r>
    </w:p>
    <w:p w:rsidR="00E1343B" w:rsidRDefault="00EB18D6">
      <w:pPr>
        <w:rPr>
          <w:noProof/>
        </w:rPr>
      </w:pPr>
      <w:r>
        <w:rPr>
          <w:noProof/>
        </w:rPr>
        <w:t xml:space="preserve">В споразуменията за свободна търговия от ново поколение е предвидена подробна структура на органите по изпълнението. Редица </w:t>
      </w:r>
      <w:r>
        <w:rPr>
          <w:b/>
          <w:noProof/>
        </w:rPr>
        <w:t>подкомитети</w:t>
      </w:r>
      <w:r>
        <w:rPr>
          <w:noProof/>
        </w:rPr>
        <w:t xml:space="preserve"> и </w:t>
      </w:r>
      <w:r>
        <w:rPr>
          <w:b/>
          <w:noProof/>
        </w:rPr>
        <w:t>работни групи</w:t>
      </w:r>
      <w:r>
        <w:rPr>
          <w:noProof/>
        </w:rPr>
        <w:t xml:space="preserve"> провеждат ежегодни срещи и докладват пред Комитета по търговията (или, в случая на Централна Америка, пред Комитета за асоцииране). На заседанията на комитетите по търговията, които често се провеждат на министерско равнище, се отчита развитието във всички области и се обсъждат установените проблеми, свързани с изпълнението на ССТ, с цел намиране на решения за тях.</w:t>
      </w:r>
    </w:p>
    <w:p w:rsidR="00E1343B" w:rsidRDefault="00EB18D6">
      <w:pPr>
        <w:pStyle w:val="Heading3"/>
        <w:rPr>
          <w:noProof/>
        </w:rPr>
      </w:pPr>
      <w:r>
        <w:rPr>
          <w:noProof/>
        </w:rPr>
        <w:t xml:space="preserve">Южна Корея </w:t>
      </w:r>
    </w:p>
    <w:p w:rsidR="00E1343B" w:rsidRDefault="00EB18D6">
      <w:pPr>
        <w:rPr>
          <w:noProof/>
        </w:rPr>
      </w:pPr>
      <w:r>
        <w:rPr>
          <w:noProof/>
        </w:rPr>
        <w:t xml:space="preserve">Основните повдигнати въпроси в Комитета по търговията през периода на докладване, свързани с Корея, са били в областта на </w:t>
      </w:r>
      <w:r>
        <w:rPr>
          <w:b/>
          <w:noProof/>
        </w:rPr>
        <w:t>санитарните и фитосанитарните мерки (СФСМ)</w:t>
      </w:r>
      <w:r>
        <w:rPr>
          <w:noProof/>
        </w:rPr>
        <w:t xml:space="preserve">, и по-конкретно достъпът до пазара на говеждо месо и регионализацията по отношение на износа на свинско месо; тези въпроси обаче все още са на дневен ред. От друга страна, доброто сътрудничество с Корея по отношение на </w:t>
      </w:r>
      <w:r>
        <w:rPr>
          <w:b/>
          <w:noProof/>
        </w:rPr>
        <w:t>хуманното отношение към животните</w:t>
      </w:r>
      <w:r>
        <w:rPr>
          <w:noProof/>
        </w:rPr>
        <w:t xml:space="preserve"> е пример, който трябва да бъде следван. Опитът по въпросите на СФСМ с Корея показва колко е важно в ССТ да има ясни и подробни глави относно санитарните и фитосанитарните изисквания.</w:t>
      </w:r>
    </w:p>
    <w:p w:rsidR="00E1343B" w:rsidRDefault="00EB18D6">
      <w:pPr>
        <w:rPr>
          <w:noProof/>
        </w:rPr>
      </w:pPr>
      <w:r>
        <w:rPr>
          <w:noProof/>
        </w:rPr>
        <w:t xml:space="preserve">В областта на защитата на </w:t>
      </w:r>
      <w:r>
        <w:rPr>
          <w:b/>
          <w:noProof/>
        </w:rPr>
        <w:t>интелектуалната собственост</w:t>
      </w:r>
      <w:r>
        <w:rPr>
          <w:noProof/>
        </w:rPr>
        <w:t xml:space="preserve"> правата за публично изпълнение, както и добавянето на нови географски означения, които да бъдат защитени съгласно ССТ, все още остават висящ въпрос, по който не е постигнат успех въпреки исканията на ЕС от 2014 г. насам.</w:t>
      </w:r>
    </w:p>
    <w:p w:rsidR="00E1343B" w:rsidRDefault="00EB18D6">
      <w:pPr>
        <w:rPr>
          <w:noProof/>
        </w:rPr>
      </w:pPr>
      <w:r>
        <w:rPr>
          <w:noProof/>
        </w:rPr>
        <w:t xml:space="preserve">Предмет на широко обсъждане са били и търговията и </w:t>
      </w:r>
      <w:r>
        <w:rPr>
          <w:b/>
          <w:noProof/>
        </w:rPr>
        <w:t>устойчивото развитие</w:t>
      </w:r>
      <w:r>
        <w:rPr>
          <w:noProof/>
        </w:rPr>
        <w:t xml:space="preserve">, с акцент върху ратифицирането и изпълнението на конвенциите на Международната организация на труда (МОТ) и защитата на трудовите права от страна на Корея. За съжаление тези дискусии все още не са довели до разрешаването на установените проблеми. </w:t>
      </w:r>
    </w:p>
    <w:p w:rsidR="00E1343B" w:rsidRDefault="00EB18D6">
      <w:pPr>
        <w:rPr>
          <w:noProof/>
        </w:rPr>
      </w:pPr>
      <w:r>
        <w:rPr>
          <w:noProof/>
        </w:rPr>
        <w:t xml:space="preserve">Това ССТ съдържа също така ясни разпоредби за прозрачност в областта на </w:t>
      </w:r>
      <w:r>
        <w:rPr>
          <w:b/>
          <w:noProof/>
        </w:rPr>
        <w:t>обществените поръчки</w:t>
      </w:r>
      <w:r>
        <w:rPr>
          <w:noProof/>
        </w:rPr>
        <w:t xml:space="preserve">, които позволяват да се следи за ефективния достъп до корейския пазар на дружествата от ЕС. Въпреки това Корея все още не е предоставила данните за договорите за обществени поръчки, предоставени на дружества от ЕС. Това ще бъде разгледано на следващите заседания на работната група по държавните поръчки. </w:t>
      </w:r>
    </w:p>
    <w:p w:rsidR="00E1343B" w:rsidRDefault="00EB18D6">
      <w:pPr>
        <w:pStyle w:val="Heading3"/>
        <w:rPr>
          <w:noProof/>
        </w:rPr>
      </w:pPr>
      <w:r>
        <w:rPr>
          <w:noProof/>
        </w:rPr>
        <w:t>Колумбия и Перу</w:t>
      </w:r>
    </w:p>
    <w:p w:rsidR="00E1343B" w:rsidRDefault="00EB18D6">
      <w:pPr>
        <w:rPr>
          <w:noProof/>
        </w:rPr>
      </w:pPr>
      <w:r>
        <w:rPr>
          <w:noProof/>
        </w:rPr>
        <w:t xml:space="preserve">През 2016 г. Колумбия постигна добър напредък в справянето със </w:t>
      </w:r>
      <w:r>
        <w:rPr>
          <w:b/>
          <w:noProof/>
        </w:rPr>
        <w:t>санитарните и фитосанитарните</w:t>
      </w:r>
      <w:r>
        <w:rPr>
          <w:noProof/>
        </w:rPr>
        <w:t xml:space="preserve"> въпроси (включително прилагането на подхода за единен субект, процедурата за предварително включване в списъците), както и с дискриминационния режим за спиртните напитки, с приемането на нов закон, който влезе в сила на 1 януари 2017 г. Износът на спиртни напитки от ЕС за Колумбия през 2016 г. възлиза на 43,7 милиона евро, което представлява 12 % от общия износ на ЕС на селскостопански продукти в Колумбия. Напредък в областта на санитарните и фитосанитарните мерки бе постигнат и от Перу, въпреки че все още са необходими някои допълнителни стъпки.</w:t>
      </w:r>
    </w:p>
    <w:p w:rsidR="00E1343B" w:rsidRDefault="00EB18D6">
      <w:pPr>
        <w:rPr>
          <w:noProof/>
        </w:rPr>
      </w:pPr>
      <w:r>
        <w:rPr>
          <w:noProof/>
        </w:rPr>
        <w:t>Принципът на регионализация е изложен в глава „СФСМ“ и се прилага както от Колумбия, така и от Перу по отношение на вноса им от ЕС.</w:t>
      </w:r>
    </w:p>
    <w:p w:rsidR="00E1343B" w:rsidRDefault="00EB18D6">
      <w:pPr>
        <w:rPr>
          <w:noProof/>
        </w:rPr>
      </w:pPr>
      <w:r>
        <w:rPr>
          <w:noProof/>
        </w:rPr>
        <w:t xml:space="preserve">Дискусията относно достъпа до пазара на </w:t>
      </w:r>
      <w:r>
        <w:rPr>
          <w:b/>
          <w:noProof/>
        </w:rPr>
        <w:t>държавни поръчки</w:t>
      </w:r>
      <w:r>
        <w:rPr>
          <w:noProof/>
        </w:rPr>
        <w:t xml:space="preserve"> на по-ниско от централно равнище в Колумбия се промени в положителна посока.</w:t>
      </w:r>
    </w:p>
    <w:p w:rsidR="00E1343B" w:rsidRDefault="00EB18D6">
      <w:pPr>
        <w:rPr>
          <w:noProof/>
        </w:rPr>
      </w:pPr>
      <w:r>
        <w:rPr>
          <w:noProof/>
        </w:rPr>
        <w:t xml:space="preserve">В Перу продължават да съществуват проблеми, като напр. дискриминационното третиране на вносни </w:t>
      </w:r>
      <w:r>
        <w:rPr>
          <w:b/>
          <w:noProof/>
        </w:rPr>
        <w:t>спиртни напитки</w:t>
      </w:r>
      <w:r>
        <w:rPr>
          <w:noProof/>
        </w:rPr>
        <w:t xml:space="preserve">, както и по отношение на </w:t>
      </w:r>
      <w:r>
        <w:rPr>
          <w:b/>
          <w:noProof/>
        </w:rPr>
        <w:t>правата за публично изпълнение</w:t>
      </w:r>
      <w:r>
        <w:rPr>
          <w:noProof/>
        </w:rPr>
        <w:t xml:space="preserve">. </w:t>
      </w:r>
    </w:p>
    <w:p w:rsidR="00E1343B" w:rsidRDefault="00EB18D6">
      <w:pPr>
        <w:rPr>
          <w:noProof/>
        </w:rPr>
      </w:pPr>
      <w:r>
        <w:rPr>
          <w:noProof/>
        </w:rPr>
        <w:t xml:space="preserve">Правоприлагането и в двете държави в областта на </w:t>
      </w:r>
      <w:r>
        <w:rPr>
          <w:b/>
          <w:noProof/>
        </w:rPr>
        <w:t>географските означения</w:t>
      </w:r>
      <w:r>
        <w:rPr>
          <w:noProof/>
        </w:rPr>
        <w:t xml:space="preserve"> продължава да предизвиква загриженост. Остава открит и въпросът за </w:t>
      </w:r>
      <w:r>
        <w:rPr>
          <w:b/>
          <w:noProof/>
        </w:rPr>
        <w:t>директния транспорт</w:t>
      </w:r>
      <w:r>
        <w:rPr>
          <w:noProof/>
        </w:rPr>
        <w:t>, при който ЕС иска да запази преференциите в ССТ за пратки, които се разделят по време на транзит.</w:t>
      </w:r>
    </w:p>
    <w:p w:rsidR="00E1343B" w:rsidRDefault="00EB18D6">
      <w:pPr>
        <w:pStyle w:val="Heading3"/>
        <w:rPr>
          <w:noProof/>
        </w:rPr>
      </w:pPr>
      <w:r>
        <w:rPr>
          <w:noProof/>
        </w:rPr>
        <w:t xml:space="preserve">Централна Америка </w:t>
      </w:r>
    </w:p>
    <w:p w:rsidR="00E1343B" w:rsidRDefault="00EB18D6">
      <w:pPr>
        <w:spacing w:after="0"/>
        <w:rPr>
          <w:noProof/>
        </w:rPr>
      </w:pPr>
      <w:r>
        <w:rPr>
          <w:noProof/>
        </w:rPr>
        <w:t>В случая на Централна Америка основните проблеми са свързани със:</w:t>
      </w:r>
    </w:p>
    <w:p w:rsidR="00E1343B" w:rsidRDefault="00EB18D6">
      <w:pPr>
        <w:pStyle w:val="ListParagraph"/>
        <w:numPr>
          <w:ilvl w:val="0"/>
          <w:numId w:val="23"/>
        </w:numPr>
        <w:rPr>
          <w:noProof/>
        </w:rPr>
      </w:pPr>
      <w:r>
        <w:rPr>
          <w:noProof/>
        </w:rPr>
        <w:t xml:space="preserve">правоприлагането при </w:t>
      </w:r>
      <w:r>
        <w:rPr>
          <w:b/>
          <w:noProof/>
        </w:rPr>
        <w:t>географските означения</w:t>
      </w:r>
      <w:r>
        <w:rPr>
          <w:noProof/>
        </w:rPr>
        <w:t xml:space="preserve"> (по-специално в Гватемала и в Хондурас); </w:t>
      </w:r>
    </w:p>
    <w:p w:rsidR="00E1343B" w:rsidRDefault="00EB18D6">
      <w:pPr>
        <w:pStyle w:val="ListParagraph"/>
        <w:numPr>
          <w:ilvl w:val="0"/>
          <w:numId w:val="23"/>
        </w:numPr>
        <w:rPr>
          <w:noProof/>
        </w:rPr>
      </w:pPr>
      <w:r>
        <w:rPr>
          <w:b/>
          <w:noProof/>
        </w:rPr>
        <w:t>държавните поръчки</w:t>
      </w:r>
      <w:r>
        <w:rPr>
          <w:noProof/>
        </w:rPr>
        <w:t xml:space="preserve"> (в Панама); </w:t>
      </w:r>
    </w:p>
    <w:p w:rsidR="00E1343B" w:rsidRDefault="00EB18D6">
      <w:pPr>
        <w:pStyle w:val="ListParagraph"/>
        <w:numPr>
          <w:ilvl w:val="0"/>
          <w:numId w:val="23"/>
        </w:numPr>
        <w:rPr>
          <w:noProof/>
        </w:rPr>
      </w:pPr>
      <w:r>
        <w:rPr>
          <w:noProof/>
        </w:rPr>
        <w:t xml:space="preserve">данъчната дискриминация за </w:t>
      </w:r>
      <w:r>
        <w:rPr>
          <w:b/>
          <w:noProof/>
        </w:rPr>
        <w:t>бирата</w:t>
      </w:r>
      <w:r>
        <w:rPr>
          <w:noProof/>
        </w:rPr>
        <w:t xml:space="preserve"> (в Коста Рика); и </w:t>
      </w:r>
    </w:p>
    <w:p w:rsidR="00E1343B" w:rsidRDefault="00EB18D6">
      <w:pPr>
        <w:pStyle w:val="ListParagraph"/>
        <w:numPr>
          <w:ilvl w:val="0"/>
          <w:numId w:val="23"/>
        </w:numPr>
        <w:rPr>
          <w:noProof/>
        </w:rPr>
      </w:pPr>
      <w:r>
        <w:rPr>
          <w:noProof/>
        </w:rPr>
        <w:t xml:space="preserve">изпълнението на задълженията за по-голяма регионална интеграция по отношение на определени </w:t>
      </w:r>
      <w:r>
        <w:rPr>
          <w:b/>
          <w:noProof/>
        </w:rPr>
        <w:t>технически регламенти</w:t>
      </w:r>
      <w:r>
        <w:rPr>
          <w:noProof/>
        </w:rPr>
        <w:t xml:space="preserve">. </w:t>
      </w:r>
    </w:p>
    <w:p w:rsidR="00E1343B" w:rsidRDefault="00EB18D6">
      <w:pPr>
        <w:spacing w:after="0"/>
        <w:jc w:val="left"/>
        <w:rPr>
          <w:b/>
          <w:smallCaps/>
          <w:noProof/>
        </w:rPr>
      </w:pPr>
      <w:r>
        <w:rPr>
          <w:noProof/>
        </w:rPr>
        <w:br w:type="page"/>
      </w:r>
    </w:p>
    <w:p w:rsidR="00E1343B" w:rsidRDefault="00EB18D6">
      <w:pPr>
        <w:pStyle w:val="Heading1"/>
        <w:rPr>
          <w:noProof/>
        </w:rPr>
      </w:pPr>
      <w:bookmarkStart w:id="34" w:name="_Toc493510420"/>
      <w:bookmarkStart w:id="35" w:name="_Toc493510799"/>
      <w:bookmarkStart w:id="36" w:name="_Toc494126123"/>
      <w:bookmarkStart w:id="37" w:name="_Toc497120779"/>
      <w:r>
        <w:rPr>
          <w:noProof/>
        </w:rPr>
        <w:t>Задълбочени и всеобхватни зони за свободна търговия — Украйна, Молдова, Грузия</w:t>
      </w:r>
      <w:bookmarkEnd w:id="34"/>
      <w:bookmarkEnd w:id="35"/>
      <w:bookmarkEnd w:id="36"/>
      <w:bookmarkEnd w:id="37"/>
    </w:p>
    <w:p w:rsidR="00E1343B" w:rsidRDefault="00EB18D6">
      <w:pPr>
        <w:spacing w:before="120" w:after="0"/>
        <w:rPr>
          <w:rFonts w:eastAsia="Calibri"/>
          <w:noProof/>
        </w:rPr>
      </w:pPr>
      <w:r>
        <w:rPr>
          <w:noProof/>
        </w:rPr>
        <w:t xml:space="preserve">Украйна, Република Молдова (Молдова) и Грузия сключиха съответни </w:t>
      </w:r>
      <w:r>
        <w:rPr>
          <w:b/>
          <w:noProof/>
        </w:rPr>
        <w:t>споразумения за асоцииране</w:t>
      </w:r>
      <w:r>
        <w:rPr>
          <w:noProof/>
        </w:rPr>
        <w:t xml:space="preserve"> с ЕС. Тези споразумения предвиждат задълбочаване на </w:t>
      </w:r>
      <w:r>
        <w:rPr>
          <w:b/>
          <w:noProof/>
        </w:rPr>
        <w:t>политическото асоцииране</w:t>
      </w:r>
      <w:r>
        <w:rPr>
          <w:noProof/>
        </w:rPr>
        <w:t xml:space="preserve"> и постепенна </w:t>
      </w:r>
      <w:r>
        <w:rPr>
          <w:b/>
          <w:noProof/>
        </w:rPr>
        <w:t>икономическа интеграция</w:t>
      </w:r>
      <w:r>
        <w:rPr>
          <w:noProof/>
        </w:rPr>
        <w:t xml:space="preserve"> между ЕС и тези източни партньори.</w:t>
      </w:r>
    </w:p>
    <w:p w:rsidR="00E1343B" w:rsidRDefault="00EB18D6">
      <w:pPr>
        <w:spacing w:before="120" w:after="0"/>
        <w:rPr>
          <w:noProof/>
          <w:color w:val="000000"/>
        </w:rPr>
      </w:pPr>
      <w:r>
        <w:rPr>
          <w:noProof/>
        </w:rPr>
        <w:t xml:space="preserve">Задълбочените и всеобхватни зони за свободна търговия са </w:t>
      </w:r>
      <w:r>
        <w:rPr>
          <w:b/>
          <w:noProof/>
        </w:rPr>
        <w:t>икономическите стълбове</w:t>
      </w:r>
      <w:r>
        <w:rPr>
          <w:noProof/>
        </w:rPr>
        <w:t xml:space="preserve"> на споразуменията за асоцииране и създават условия за укрепване на икономическите и търговските отношения. </w:t>
      </w:r>
      <w:r>
        <w:rPr>
          <w:noProof/>
          <w:color w:val="000000"/>
        </w:rPr>
        <w:t xml:space="preserve">Те предвиждат постигане на по-широкомащабно постепенно </w:t>
      </w:r>
      <w:r>
        <w:rPr>
          <w:b/>
          <w:noProof/>
          <w:color w:val="000000"/>
        </w:rPr>
        <w:t>сближаване на законодателството на партньорите</w:t>
      </w:r>
      <w:r>
        <w:rPr>
          <w:noProof/>
          <w:color w:val="000000"/>
        </w:rPr>
        <w:t xml:space="preserve"> с това на ЕС. </w:t>
      </w:r>
    </w:p>
    <w:p w:rsidR="00E1343B" w:rsidRDefault="00EB18D6">
      <w:pPr>
        <w:spacing w:before="120" w:after="0"/>
        <w:rPr>
          <w:noProof/>
          <w:szCs w:val="24"/>
        </w:rPr>
      </w:pPr>
      <w:r>
        <w:rPr>
          <w:noProof/>
        </w:rPr>
        <w:t xml:space="preserve">Целта на ЗВЗСТ е да се създадат </w:t>
      </w:r>
      <w:r>
        <w:rPr>
          <w:b/>
          <w:noProof/>
        </w:rPr>
        <w:t>нова рамка</w:t>
      </w:r>
      <w:r>
        <w:rPr>
          <w:noProof/>
        </w:rPr>
        <w:t xml:space="preserve"> и климат за търговия и инвестиции с тези партньори и да се допринесе за икономическото преструктуриране, модернизиране и диверсифициране на икономиките на съответните държави. </w:t>
      </w:r>
      <w:r>
        <w:rPr>
          <w:noProof/>
          <w:color w:val="000000"/>
        </w:rPr>
        <w:t xml:space="preserve">Поради целта за постигане на постепенно </w:t>
      </w:r>
      <w:r>
        <w:rPr>
          <w:b/>
          <w:noProof/>
          <w:color w:val="000000"/>
        </w:rPr>
        <w:t>интегриране във вътрешния пазар на ЕС</w:t>
      </w:r>
      <w:r>
        <w:rPr>
          <w:noProof/>
          <w:color w:val="000000"/>
        </w:rPr>
        <w:t xml:space="preserve"> ЗВЗСТ надхвърлят обхвата на ССТ „от ново поколение“ и представляват уникален вид търговско споразумение.</w:t>
      </w:r>
    </w:p>
    <w:p w:rsidR="00E1343B" w:rsidRDefault="00EB18D6">
      <w:pPr>
        <w:pStyle w:val="CM1"/>
        <w:spacing w:before="120" w:after="120"/>
        <w:jc w:val="both"/>
        <w:rPr>
          <w:rFonts w:ascii="Times New Roman" w:eastAsia="Calibri" w:hAnsi="Times New Roman" w:cs="Times New Roman"/>
          <w:noProof/>
        </w:rPr>
      </w:pPr>
      <w:r>
        <w:rPr>
          <w:rFonts w:ascii="Times New Roman" w:hAnsi="Times New Roman"/>
          <w:noProof/>
        </w:rPr>
        <w:t>ЗВЗСТ имат два основни компонента:</w:t>
      </w:r>
    </w:p>
    <w:p w:rsidR="00E1343B" w:rsidRDefault="00EB18D6">
      <w:pPr>
        <w:pStyle w:val="CM1"/>
        <w:spacing w:before="120" w:after="120"/>
        <w:jc w:val="both"/>
        <w:rPr>
          <w:rFonts w:ascii="Times New Roman" w:eastAsia="Calibri" w:hAnsi="Times New Roman" w:cs="Times New Roman"/>
          <w:noProof/>
        </w:rPr>
      </w:pPr>
      <w:r>
        <w:rPr>
          <w:rFonts w:ascii="Times New Roman" w:hAnsi="Times New Roman"/>
          <w:noProof/>
        </w:rPr>
        <w:t xml:space="preserve">1) постепенно и реципрочно </w:t>
      </w:r>
      <w:r>
        <w:rPr>
          <w:rFonts w:ascii="Times New Roman" w:hAnsi="Times New Roman"/>
          <w:b/>
          <w:noProof/>
        </w:rPr>
        <w:t>отваряне на пазара</w:t>
      </w:r>
      <w:r>
        <w:rPr>
          <w:rFonts w:ascii="Times New Roman" w:hAnsi="Times New Roman"/>
          <w:noProof/>
        </w:rPr>
        <w:t xml:space="preserve"> (премахване/намаляване на митническите тарифи и премахване на нетарифните бариери пред търговията) и от двете страни, с известна асиметрия в полза на източните партньори; и </w:t>
      </w:r>
    </w:p>
    <w:p w:rsidR="00E1343B" w:rsidRDefault="00EB18D6">
      <w:pPr>
        <w:pStyle w:val="CM1"/>
        <w:spacing w:before="120" w:after="120"/>
        <w:jc w:val="both"/>
        <w:rPr>
          <w:rFonts w:ascii="Times New Roman" w:eastAsia="Calibri" w:hAnsi="Times New Roman" w:cs="Times New Roman"/>
          <w:noProof/>
        </w:rPr>
      </w:pPr>
      <w:r>
        <w:rPr>
          <w:rFonts w:ascii="Times New Roman" w:hAnsi="Times New Roman"/>
          <w:noProof/>
        </w:rPr>
        <w:t xml:space="preserve">2) широкообхватно </w:t>
      </w:r>
      <w:r>
        <w:rPr>
          <w:rFonts w:ascii="Times New Roman" w:hAnsi="Times New Roman"/>
          <w:b/>
          <w:noProof/>
        </w:rPr>
        <w:t>регулаторно сближаване</w:t>
      </w:r>
      <w:r>
        <w:rPr>
          <w:rFonts w:ascii="Times New Roman" w:hAnsi="Times New Roman"/>
          <w:noProof/>
        </w:rPr>
        <w:t xml:space="preserve"> със законодателството на ЕС в областите, свързани с търговията.</w:t>
      </w:r>
    </w:p>
    <w:p w:rsidR="00E1343B" w:rsidRDefault="00EB18D6">
      <w:pPr>
        <w:pStyle w:val="Heading2"/>
        <w:spacing w:before="360"/>
        <w:ind w:left="1202"/>
        <w:rPr>
          <w:noProof/>
        </w:rPr>
      </w:pPr>
      <w:bookmarkStart w:id="38" w:name="_Toc493510421"/>
      <w:bookmarkStart w:id="39" w:name="_Toc493510800"/>
      <w:bookmarkStart w:id="40" w:name="_Toc494126124"/>
      <w:bookmarkStart w:id="41" w:name="_Toc497120780"/>
      <w:r>
        <w:rPr>
          <w:noProof/>
        </w:rPr>
        <w:t>Търговски потоци</w:t>
      </w:r>
      <w:bookmarkEnd w:id="38"/>
      <w:bookmarkEnd w:id="39"/>
      <w:bookmarkEnd w:id="40"/>
      <w:bookmarkEnd w:id="41"/>
      <w:r>
        <w:rPr>
          <w:noProof/>
        </w:rPr>
        <w:t xml:space="preserve"> </w:t>
      </w:r>
    </w:p>
    <w:p w:rsidR="00E1343B" w:rsidRDefault="00EB18D6">
      <w:pPr>
        <w:rPr>
          <w:noProof/>
        </w:rPr>
      </w:pPr>
      <w:r>
        <w:rPr>
          <w:noProof/>
        </w:rPr>
        <w:t>ЕС е най-големият търговски партньор и на трите държави, като е формирал 55 % (Молдова), 41 % (Украйна) и 30 % (Грузия) от общата им търговия през 2016 г. ЕС има положителен търговски баланс и с трите държави.</w:t>
      </w:r>
    </w:p>
    <w:p w:rsidR="00E1343B" w:rsidRDefault="00EB18D6">
      <w:pPr>
        <w:pStyle w:val="Heading3"/>
        <w:rPr>
          <w:noProof/>
        </w:rPr>
      </w:pPr>
      <w:r>
        <w:rPr>
          <w:noProof/>
        </w:rPr>
        <w:t xml:space="preserve">Украйна </w:t>
      </w:r>
    </w:p>
    <w:p w:rsidR="00E1343B" w:rsidRDefault="00EB18D6">
      <w:pPr>
        <w:rPr>
          <w:noProof/>
        </w:rPr>
      </w:pPr>
      <w:r>
        <w:rPr>
          <w:noProof/>
        </w:rPr>
        <w:t xml:space="preserve">Както </w:t>
      </w:r>
      <w:r>
        <w:rPr>
          <w:b/>
          <w:noProof/>
        </w:rPr>
        <w:t>износът</w:t>
      </w:r>
      <w:r>
        <w:rPr>
          <w:noProof/>
        </w:rPr>
        <w:t xml:space="preserve">, така и </w:t>
      </w:r>
      <w:r>
        <w:rPr>
          <w:b/>
          <w:noProof/>
        </w:rPr>
        <w:t>вносът</w:t>
      </w:r>
      <w:r>
        <w:rPr>
          <w:noProof/>
        </w:rPr>
        <w:t xml:space="preserve"> на ЕС за и от Украйна </w:t>
      </w:r>
      <w:r>
        <w:rPr>
          <w:b/>
          <w:noProof/>
        </w:rPr>
        <w:t>са нараснали</w:t>
      </w:r>
      <w:r>
        <w:rPr>
          <w:noProof/>
        </w:rPr>
        <w:t xml:space="preserve"> съответно със 17,6 % и 1,9 % през 2016 г. — първата година от прилагането на ЗВЗСТ</w:t>
      </w:r>
      <w:r>
        <w:rPr>
          <w:rStyle w:val="FootnoteReference"/>
          <w:noProof/>
        </w:rPr>
        <w:footnoteReference w:id="8"/>
      </w:r>
      <w:r>
        <w:rPr>
          <w:noProof/>
        </w:rPr>
        <w:t>. Това до голяма степен се дължи на възстановяването на украинската икономика, която бавно се съвзема от рецесията от 2015 г., когато нейният БВП се е свил с 9,9 %, а нетните преки чуждестранни инвестиции са намалели от 8,2 милиарда евро през 2012 г. на 3 милиарда евро през 2015 г.</w:t>
      </w:r>
    </w:p>
    <w:p w:rsidR="00E1343B" w:rsidRDefault="00EB18D6">
      <w:pPr>
        <w:pStyle w:val="Heading3"/>
        <w:rPr>
          <w:noProof/>
        </w:rPr>
      </w:pPr>
      <w:r>
        <w:rPr>
          <w:noProof/>
        </w:rPr>
        <w:t xml:space="preserve">Молдова </w:t>
      </w:r>
    </w:p>
    <w:p w:rsidR="00E1343B" w:rsidRDefault="00EB18D6">
      <w:pPr>
        <w:rPr>
          <w:noProof/>
        </w:rPr>
      </w:pPr>
      <w:r>
        <w:rPr>
          <w:noProof/>
        </w:rPr>
        <w:t xml:space="preserve">През периода 2014 — 2016 г. </w:t>
      </w:r>
      <w:r>
        <w:rPr>
          <w:b/>
          <w:noProof/>
        </w:rPr>
        <w:t>износът</w:t>
      </w:r>
      <w:r>
        <w:rPr>
          <w:noProof/>
        </w:rPr>
        <w:t xml:space="preserve"> на ЕС за Молдова </w:t>
      </w:r>
      <w:r>
        <w:rPr>
          <w:b/>
          <w:noProof/>
        </w:rPr>
        <w:t>е намалял</w:t>
      </w:r>
      <w:r>
        <w:rPr>
          <w:noProof/>
        </w:rPr>
        <w:t xml:space="preserve"> с 13 % поради спада на вътрешното търсене, вътрешните проблеми (измами в банковия сектор) и икономическите трудности в региона. През същия период </w:t>
      </w:r>
      <w:r>
        <w:rPr>
          <w:b/>
          <w:noProof/>
        </w:rPr>
        <w:t>вносът</w:t>
      </w:r>
      <w:r>
        <w:rPr>
          <w:noProof/>
        </w:rPr>
        <w:t xml:space="preserve"> на ЕС от Молдова </w:t>
      </w:r>
      <w:r>
        <w:rPr>
          <w:b/>
          <w:noProof/>
        </w:rPr>
        <w:t>е нараснал</w:t>
      </w:r>
      <w:r>
        <w:rPr>
          <w:noProof/>
        </w:rPr>
        <w:t xml:space="preserve"> с 13,5 %, най-вече в сектора на селскостопанските продукти, но също така и в сектора на машините, мебелите и облеклото.</w:t>
      </w:r>
    </w:p>
    <w:p w:rsidR="00E1343B" w:rsidRDefault="00EB18D6">
      <w:pPr>
        <w:pStyle w:val="Heading3"/>
        <w:rPr>
          <w:noProof/>
        </w:rPr>
      </w:pPr>
      <w:r>
        <w:rPr>
          <w:noProof/>
        </w:rPr>
        <w:t xml:space="preserve">Грузия </w:t>
      </w:r>
    </w:p>
    <w:p w:rsidR="00E1343B" w:rsidRDefault="00EB18D6">
      <w:pPr>
        <w:rPr>
          <w:noProof/>
          <w:szCs w:val="24"/>
        </w:rPr>
      </w:pPr>
      <w:r>
        <w:rPr>
          <w:b/>
          <w:noProof/>
        </w:rPr>
        <w:t>Износът</w:t>
      </w:r>
      <w:r>
        <w:rPr>
          <w:noProof/>
        </w:rPr>
        <w:t xml:space="preserve"> на ЕС за Грузия през периода 2014 — 2016 г. </w:t>
      </w:r>
      <w:r>
        <w:rPr>
          <w:b/>
          <w:noProof/>
        </w:rPr>
        <w:t>се е увеличил</w:t>
      </w:r>
      <w:r>
        <w:rPr>
          <w:noProof/>
        </w:rPr>
        <w:t xml:space="preserve"> с 2,8 %, докато </w:t>
      </w:r>
      <w:r>
        <w:rPr>
          <w:b/>
          <w:noProof/>
        </w:rPr>
        <w:t>вносът</w:t>
      </w:r>
      <w:r>
        <w:rPr>
          <w:noProof/>
        </w:rPr>
        <w:t xml:space="preserve"> на ЕС от тази държава </w:t>
      </w:r>
      <w:r>
        <w:rPr>
          <w:b/>
          <w:noProof/>
        </w:rPr>
        <w:t>е намалял</w:t>
      </w:r>
      <w:r>
        <w:rPr>
          <w:noProof/>
        </w:rPr>
        <w:t xml:space="preserve"> с 16,4 %. Спадът в световните цени на стоките е една от основните причини за спад в стойността на износа от Грузия, тъй като той се състои предимно от суровини и полупродукти. Въпреки това в обемно изражение равнището на износа е останало стабилно.</w:t>
      </w:r>
    </w:p>
    <w:tbl>
      <w:tblPr>
        <w:tblStyle w:val="TableGrid1"/>
        <w:tblW w:w="0" w:type="auto"/>
        <w:tblBorders>
          <w:insideH w:val="none" w:sz="0" w:space="0" w:color="auto"/>
        </w:tblBorders>
        <w:tblLook w:val="04A0" w:firstRow="1" w:lastRow="0" w:firstColumn="1" w:lastColumn="0" w:noHBand="0" w:noVBand="1"/>
      </w:tblPr>
      <w:tblGrid>
        <w:gridCol w:w="8833"/>
      </w:tblGrid>
      <w:tr w:rsidR="00E1343B">
        <w:tc>
          <w:tcPr>
            <w:tcW w:w="8833" w:type="dxa"/>
          </w:tcPr>
          <w:p w:rsidR="00E1343B" w:rsidRDefault="00EB18D6">
            <w:pPr>
              <w:rPr>
                <w:rFonts w:ascii="Times New Roman" w:hAnsi="Times New Roman" w:cs="Times New Roman"/>
                <w:b/>
                <w:noProof/>
                <w:sz w:val="27"/>
                <w:szCs w:val="27"/>
                <w:highlight w:val="yellow"/>
              </w:rPr>
            </w:pPr>
            <w:r>
              <w:rPr>
                <w:b/>
                <w:noProof/>
              </w:rPr>
              <w:t>Геодезията и топографията на ЕС се ползват от украински дронове и следпродажбени услуги</w:t>
            </w:r>
          </w:p>
        </w:tc>
      </w:tr>
      <w:tr w:rsidR="00E1343B">
        <w:tc>
          <w:tcPr>
            <w:tcW w:w="8833" w:type="dxa"/>
          </w:tcPr>
          <w:p w:rsidR="00E1343B" w:rsidRDefault="00EB18D6">
            <w:pPr>
              <w:rPr>
                <w:rFonts w:ascii="Times New Roman" w:hAnsi="Times New Roman" w:cs="Times New Roman"/>
                <w:noProof/>
              </w:rPr>
            </w:pPr>
            <w:r>
              <w:rPr>
                <w:noProof/>
              </w:rPr>
              <w:t xml:space="preserve">Киевското дружество Drone.ua произвежда безпилотни летателни апарати — дронове, продавани в Европа. То е създало съвместно предприятие в Литва, наречено UAV.tools, за да разпространява своята технология в петнадесет европейски държави и скоро ще </w:t>
            </w:r>
            <w:hyperlink r:id="rId28">
              <w:r>
                <w:rPr>
                  <w:noProof/>
                </w:rPr>
                <w:t>разкрие офиси</w:t>
              </w:r>
            </w:hyperlink>
            <w:r>
              <w:rPr>
                <w:noProof/>
              </w:rPr>
              <w:t xml:space="preserve"> в Обединеното кралство и Молдова.</w:t>
            </w:r>
          </w:p>
        </w:tc>
      </w:tr>
      <w:tr w:rsidR="00E1343B">
        <w:tc>
          <w:tcPr>
            <w:tcW w:w="8833" w:type="dxa"/>
          </w:tcPr>
          <w:p w:rsidR="00E1343B" w:rsidRDefault="00EB18D6">
            <w:pPr>
              <w:rPr>
                <w:rFonts w:ascii="Times New Roman" w:hAnsi="Times New Roman" w:cs="Times New Roman"/>
                <w:noProof/>
              </w:rPr>
            </w:pPr>
            <w:r>
              <w:rPr>
                <w:noProof/>
              </w:rPr>
              <w:t>Дружеството не само изнася летателни апарати, но и осигурява техническа поддръжка, обучение и обработка на данни. В Украйна дроновете се използват в селското стопанство, докато в ЕС те обикновено се използват за геодезия и топография.</w:t>
            </w:r>
          </w:p>
        </w:tc>
      </w:tr>
    </w:tbl>
    <w:p w:rsidR="00E1343B" w:rsidRDefault="00E1343B">
      <w:pPr>
        <w:spacing w:after="0"/>
        <w:rPr>
          <w:noProof/>
          <w:szCs w:val="24"/>
        </w:rPr>
      </w:pPr>
    </w:p>
    <w:tbl>
      <w:tblPr>
        <w:tblStyle w:val="TableGrid1"/>
        <w:tblW w:w="0" w:type="auto"/>
        <w:tblBorders>
          <w:insideH w:val="none" w:sz="0" w:space="0" w:color="auto"/>
        </w:tblBorders>
        <w:tblLook w:val="04A0" w:firstRow="1" w:lastRow="0" w:firstColumn="1" w:lastColumn="0" w:noHBand="0" w:noVBand="1"/>
      </w:tblPr>
      <w:tblGrid>
        <w:gridCol w:w="8833"/>
      </w:tblGrid>
      <w:tr w:rsidR="00E1343B">
        <w:tc>
          <w:tcPr>
            <w:tcW w:w="8833" w:type="dxa"/>
          </w:tcPr>
          <w:p w:rsidR="00E1343B" w:rsidRDefault="00EB18D6">
            <w:pPr>
              <w:rPr>
                <w:rFonts w:ascii="Times New Roman" w:hAnsi="Times New Roman" w:cs="Times New Roman"/>
                <w:b/>
                <w:noProof/>
              </w:rPr>
            </w:pPr>
            <w:r>
              <w:rPr>
                <w:b/>
                <w:noProof/>
              </w:rPr>
              <w:t>Украйна укрепва позицията си в Европа в областта на храненето на животните</w:t>
            </w:r>
          </w:p>
        </w:tc>
      </w:tr>
      <w:tr w:rsidR="00E1343B">
        <w:tc>
          <w:tcPr>
            <w:tcW w:w="8833" w:type="dxa"/>
          </w:tcPr>
          <w:p w:rsidR="00E1343B" w:rsidRDefault="00EB18D6">
            <w:pPr>
              <w:rPr>
                <w:rFonts w:eastAsia="Calibri"/>
                <w:noProof/>
              </w:rPr>
            </w:pPr>
            <w:r>
              <w:rPr>
                <w:noProof/>
              </w:rPr>
              <w:t>През май 2017 г. украинското дружество Kormotech LLC беше включено в списъка на 50-те най-добри производители на храна за домашни любимци в света и в Европа (в този списък присъстват само 3 дружества от Централна и Източна Европа).</w:t>
            </w:r>
          </w:p>
          <w:p w:rsidR="00E1343B" w:rsidRDefault="00EB18D6">
            <w:pPr>
              <w:rPr>
                <w:rFonts w:ascii="Times New Roman" w:hAnsi="Times New Roman" w:cs="Times New Roman"/>
                <w:noProof/>
              </w:rPr>
            </w:pPr>
            <w:r>
              <w:rPr>
                <w:noProof/>
              </w:rPr>
              <w:t>С помощта на ЗВЗСТ през последните две години продуктите на дружеството (храна за котки и кучета) започнаха да завладяват нови пазари в ЕС, тъй като производствените му съоръжения отговарят на европейските стандарти за безопасност и качество на храните. Kormotech LLC произвежда 16 000 тона сочни и 30 000 тона сухи готови храни годишно и ги изнася в 15 държави.</w:t>
            </w:r>
          </w:p>
        </w:tc>
      </w:tr>
    </w:tbl>
    <w:p w:rsidR="00E1343B" w:rsidRDefault="00EB18D6">
      <w:pPr>
        <w:pStyle w:val="Heading2"/>
        <w:spacing w:before="240"/>
        <w:ind w:left="1202"/>
        <w:rPr>
          <w:noProof/>
        </w:rPr>
      </w:pPr>
      <w:bookmarkStart w:id="42" w:name="_Toc493698571"/>
      <w:bookmarkStart w:id="43" w:name="_Toc493510422"/>
      <w:bookmarkStart w:id="44" w:name="_Toc493510801"/>
      <w:bookmarkStart w:id="45" w:name="_Toc494126125"/>
      <w:bookmarkStart w:id="46" w:name="_Toc497120781"/>
      <w:bookmarkEnd w:id="42"/>
      <w:r>
        <w:rPr>
          <w:noProof/>
        </w:rPr>
        <w:t>Тарифни квоти</w:t>
      </w:r>
      <w:bookmarkEnd w:id="43"/>
      <w:bookmarkEnd w:id="44"/>
      <w:bookmarkEnd w:id="45"/>
      <w:bookmarkEnd w:id="46"/>
    </w:p>
    <w:p w:rsidR="00E1343B" w:rsidRDefault="00EB18D6">
      <w:pPr>
        <w:rPr>
          <w:noProof/>
          <w:szCs w:val="24"/>
        </w:rPr>
      </w:pPr>
      <w:r>
        <w:rPr>
          <w:noProof/>
        </w:rPr>
        <w:t xml:space="preserve">Тарифните квоти за селскостопански продукти не са били използвани изцяло от нито един от трите партньора в ЗВЗСТ поради несъответствие със санитарните и фитосанитарните изисквания на ЕС. </w:t>
      </w:r>
    </w:p>
    <w:p w:rsidR="00E1343B" w:rsidRDefault="00EB18D6">
      <w:pPr>
        <w:rPr>
          <w:noProof/>
          <w:szCs w:val="24"/>
        </w:rPr>
      </w:pPr>
      <w:r>
        <w:rPr>
          <w:noProof/>
        </w:rPr>
        <w:t xml:space="preserve">В случая на </w:t>
      </w:r>
      <w:r>
        <w:rPr>
          <w:b/>
          <w:noProof/>
        </w:rPr>
        <w:t>Украйна</w:t>
      </w:r>
      <w:r>
        <w:rPr>
          <w:noProof/>
        </w:rPr>
        <w:t xml:space="preserve"> от общо 36 тарифни квоти напълно са използвани 11. </w:t>
      </w:r>
    </w:p>
    <w:p w:rsidR="00E1343B" w:rsidRDefault="00EB18D6">
      <w:pPr>
        <w:rPr>
          <w:noProof/>
          <w:szCs w:val="24"/>
        </w:rPr>
      </w:pPr>
      <w:r>
        <w:rPr>
          <w:noProof/>
        </w:rPr>
        <w:t xml:space="preserve">В случая на </w:t>
      </w:r>
      <w:r>
        <w:rPr>
          <w:b/>
          <w:noProof/>
        </w:rPr>
        <w:t>Молдова</w:t>
      </w:r>
      <w:r>
        <w:rPr>
          <w:noProof/>
        </w:rPr>
        <w:t xml:space="preserve"> са използвани тарифните квоти за две от общо шестте продуктови групи. </w:t>
      </w:r>
    </w:p>
    <w:p w:rsidR="00E1343B" w:rsidRDefault="00EB18D6">
      <w:pPr>
        <w:rPr>
          <w:noProof/>
          <w:szCs w:val="24"/>
        </w:rPr>
      </w:pPr>
      <w:r>
        <w:rPr>
          <w:noProof/>
        </w:rPr>
        <w:t xml:space="preserve">За </w:t>
      </w:r>
      <w:r>
        <w:rPr>
          <w:b/>
          <w:noProof/>
        </w:rPr>
        <w:t>Грузия</w:t>
      </w:r>
      <w:r>
        <w:rPr>
          <w:noProof/>
        </w:rPr>
        <w:t xml:space="preserve"> единствената безмитна тарифна квота, предоставена за пресен и замразен чесън, също не е използвана.</w:t>
      </w:r>
    </w:p>
    <w:p w:rsidR="00E1343B" w:rsidRDefault="00EB18D6">
      <w:pPr>
        <w:pStyle w:val="Heading2"/>
        <w:rPr>
          <w:noProof/>
        </w:rPr>
      </w:pPr>
      <w:bookmarkStart w:id="47" w:name="_Toc493510423"/>
      <w:bookmarkStart w:id="48" w:name="_Toc493510802"/>
      <w:bookmarkStart w:id="49" w:name="_Toc494126126"/>
      <w:bookmarkStart w:id="50" w:name="_Toc497120782"/>
      <w:r>
        <w:rPr>
          <w:noProof/>
        </w:rPr>
        <w:t>Степен на използване на преференциите</w:t>
      </w:r>
      <w:bookmarkEnd w:id="47"/>
      <w:bookmarkEnd w:id="48"/>
      <w:bookmarkEnd w:id="49"/>
      <w:bookmarkEnd w:id="50"/>
      <w:r>
        <w:rPr>
          <w:noProof/>
        </w:rPr>
        <w:t xml:space="preserve"> </w:t>
      </w:r>
    </w:p>
    <w:p w:rsidR="00E1343B" w:rsidRDefault="00EB18D6">
      <w:pPr>
        <w:rPr>
          <w:noProof/>
        </w:rPr>
      </w:pPr>
      <w:r>
        <w:rPr>
          <w:noProof/>
        </w:rPr>
        <w:t xml:space="preserve">Тези данни са налични само по отношение на износа на източните партньори за ЕС, като степента е била много </w:t>
      </w:r>
      <w:r>
        <w:rPr>
          <w:b/>
          <w:noProof/>
        </w:rPr>
        <w:t>висока</w:t>
      </w:r>
      <w:r>
        <w:rPr>
          <w:noProof/>
        </w:rPr>
        <w:t>: около 80 % за Грузия и 90 % за Украйна и за Молдова.</w:t>
      </w:r>
    </w:p>
    <w:p w:rsidR="00E1343B" w:rsidRDefault="00EB18D6">
      <w:pPr>
        <w:pStyle w:val="Heading2"/>
        <w:rPr>
          <w:noProof/>
        </w:rPr>
      </w:pPr>
      <w:bookmarkStart w:id="51" w:name="_Toc493510424"/>
      <w:bookmarkStart w:id="52" w:name="_Toc493510803"/>
      <w:bookmarkStart w:id="53" w:name="_Toc494126127"/>
      <w:bookmarkStart w:id="54" w:name="_Toc497120783"/>
      <w:r>
        <w:rPr>
          <w:noProof/>
        </w:rPr>
        <w:t>Услуги и инвестиции</w:t>
      </w:r>
      <w:bookmarkEnd w:id="51"/>
      <w:bookmarkEnd w:id="52"/>
      <w:bookmarkEnd w:id="53"/>
      <w:bookmarkEnd w:id="54"/>
      <w:r>
        <w:rPr>
          <w:noProof/>
        </w:rPr>
        <w:t xml:space="preserve"> </w:t>
      </w:r>
    </w:p>
    <w:p w:rsidR="00E1343B" w:rsidRDefault="00EB18D6">
      <w:pPr>
        <w:rPr>
          <w:noProof/>
        </w:rPr>
      </w:pPr>
      <w:r>
        <w:rPr>
          <w:noProof/>
        </w:rPr>
        <w:t xml:space="preserve">По отношение на </w:t>
      </w:r>
      <w:r>
        <w:rPr>
          <w:b/>
          <w:noProof/>
        </w:rPr>
        <w:t>услугите</w:t>
      </w:r>
      <w:r>
        <w:rPr>
          <w:noProof/>
        </w:rPr>
        <w:t xml:space="preserve"> през периода 2014 — 2015 г. както </w:t>
      </w:r>
      <w:r>
        <w:rPr>
          <w:b/>
          <w:noProof/>
        </w:rPr>
        <w:t>износът</w:t>
      </w:r>
      <w:r>
        <w:rPr>
          <w:noProof/>
        </w:rPr>
        <w:t xml:space="preserve"> на ЕС, така и </w:t>
      </w:r>
      <w:r>
        <w:rPr>
          <w:b/>
          <w:noProof/>
        </w:rPr>
        <w:t>вносът</w:t>
      </w:r>
      <w:r>
        <w:rPr>
          <w:noProof/>
        </w:rPr>
        <w:t xml:space="preserve"> от Молдова, са </w:t>
      </w:r>
      <w:r>
        <w:rPr>
          <w:b/>
          <w:noProof/>
        </w:rPr>
        <w:t>се увеличили</w:t>
      </w:r>
      <w:r>
        <w:rPr>
          <w:noProof/>
        </w:rPr>
        <w:t xml:space="preserve"> съответно с 3 % и 17 %, докато в случая на Грузия те са се запазили </w:t>
      </w:r>
      <w:r>
        <w:rPr>
          <w:b/>
          <w:noProof/>
        </w:rPr>
        <w:t>стабилни</w:t>
      </w:r>
      <w:r>
        <w:rPr>
          <w:noProof/>
        </w:rPr>
        <w:t>.</w:t>
      </w:r>
    </w:p>
    <w:p w:rsidR="00E1343B" w:rsidRDefault="00EB18D6">
      <w:pPr>
        <w:rPr>
          <w:noProof/>
        </w:rPr>
      </w:pPr>
      <w:r>
        <w:rPr>
          <w:b/>
          <w:noProof/>
        </w:rPr>
        <w:t>Потокът от инвестиции</w:t>
      </w:r>
      <w:r>
        <w:rPr>
          <w:noProof/>
        </w:rPr>
        <w:t xml:space="preserve"> на ЕС към и от Молдова също се е </w:t>
      </w:r>
      <w:r>
        <w:rPr>
          <w:b/>
          <w:noProof/>
        </w:rPr>
        <w:t>увеличил</w:t>
      </w:r>
      <w:r>
        <w:rPr>
          <w:noProof/>
        </w:rPr>
        <w:t xml:space="preserve"> и в двете посоки (инвестициите на ЕС в Молдова — със 127 %, молдовските инвестиции в ЕС — с 67 %), макар че е останал много нисък в абсолютно изражение. В случая на Грузия потокът от инвестиции е останал стабилен</w:t>
      </w:r>
      <w:r>
        <w:rPr>
          <w:rStyle w:val="FootnoteReference"/>
          <w:noProof/>
        </w:rPr>
        <w:footnoteReference w:id="9"/>
      </w:r>
      <w:r>
        <w:rPr>
          <w:noProof/>
        </w:rPr>
        <w:t>.</w:t>
      </w:r>
    </w:p>
    <w:p w:rsidR="00E1343B" w:rsidRDefault="00EB18D6">
      <w:pPr>
        <w:pStyle w:val="Heading2"/>
        <w:rPr>
          <w:noProof/>
        </w:rPr>
      </w:pPr>
      <w:bookmarkStart w:id="55" w:name="_Toc493510425"/>
      <w:bookmarkStart w:id="56" w:name="_Toc493510804"/>
      <w:bookmarkStart w:id="57" w:name="_Toc494126128"/>
      <w:bookmarkStart w:id="58" w:name="_Toc497120784"/>
      <w:r>
        <w:rPr>
          <w:noProof/>
        </w:rPr>
        <w:t>Органи по изпълнението</w:t>
      </w:r>
      <w:bookmarkEnd w:id="55"/>
      <w:bookmarkEnd w:id="56"/>
      <w:bookmarkEnd w:id="57"/>
      <w:bookmarkEnd w:id="58"/>
      <w:r>
        <w:rPr>
          <w:noProof/>
        </w:rPr>
        <w:t xml:space="preserve"> </w:t>
      </w:r>
    </w:p>
    <w:p w:rsidR="00E1343B" w:rsidRDefault="00EB18D6">
      <w:pPr>
        <w:spacing w:after="0"/>
        <w:rPr>
          <w:noProof/>
        </w:rPr>
      </w:pPr>
      <w:r>
        <w:rPr>
          <w:b/>
          <w:noProof/>
        </w:rPr>
        <w:t>Регулаторното сближаване</w:t>
      </w:r>
      <w:r>
        <w:rPr>
          <w:noProof/>
        </w:rPr>
        <w:t xml:space="preserve"> е ключов елемент от изпълнението на ЗВЗСТ. Към него предимно е било насочено и вниманието по време на заседанията на органите по изпълнението — комитетите за асоцииране, заседаващи в състав „Търговия“, и четирите тематични подкомитета, относно:</w:t>
      </w:r>
    </w:p>
    <w:p w:rsidR="00E1343B" w:rsidRDefault="00EB18D6">
      <w:pPr>
        <w:pStyle w:val="ListParagraph"/>
        <w:numPr>
          <w:ilvl w:val="0"/>
          <w:numId w:val="24"/>
        </w:numPr>
        <w:spacing w:after="0" w:line="240" w:lineRule="auto"/>
        <w:ind w:left="357" w:hanging="357"/>
        <w:rPr>
          <w:noProof/>
        </w:rPr>
      </w:pPr>
      <w:r>
        <w:rPr>
          <w:noProof/>
        </w:rPr>
        <w:t>митниците;</w:t>
      </w:r>
    </w:p>
    <w:p w:rsidR="00E1343B" w:rsidRDefault="00EB18D6">
      <w:pPr>
        <w:pStyle w:val="ListParagraph"/>
        <w:numPr>
          <w:ilvl w:val="0"/>
          <w:numId w:val="24"/>
        </w:numPr>
        <w:spacing w:after="0" w:line="240" w:lineRule="auto"/>
        <w:ind w:left="357" w:hanging="357"/>
        <w:rPr>
          <w:noProof/>
        </w:rPr>
      </w:pPr>
      <w:r>
        <w:rPr>
          <w:noProof/>
        </w:rPr>
        <w:t>географските означения;</w:t>
      </w:r>
    </w:p>
    <w:p w:rsidR="00E1343B" w:rsidRDefault="00EB18D6">
      <w:pPr>
        <w:pStyle w:val="ListParagraph"/>
        <w:numPr>
          <w:ilvl w:val="0"/>
          <w:numId w:val="24"/>
        </w:numPr>
        <w:spacing w:after="0" w:line="240" w:lineRule="auto"/>
        <w:ind w:left="357" w:hanging="357"/>
        <w:rPr>
          <w:noProof/>
        </w:rPr>
      </w:pPr>
      <w:r>
        <w:rPr>
          <w:noProof/>
        </w:rPr>
        <w:t>санитарните и фитосанитарните мерки; и</w:t>
      </w:r>
    </w:p>
    <w:p w:rsidR="00E1343B" w:rsidRDefault="00EB18D6">
      <w:pPr>
        <w:pStyle w:val="ListParagraph"/>
        <w:numPr>
          <w:ilvl w:val="0"/>
          <w:numId w:val="24"/>
        </w:numPr>
        <w:spacing w:after="240" w:line="240" w:lineRule="auto"/>
        <w:ind w:left="357" w:hanging="357"/>
        <w:contextualSpacing w:val="0"/>
        <w:rPr>
          <w:noProof/>
        </w:rPr>
      </w:pPr>
      <w:r>
        <w:rPr>
          <w:noProof/>
        </w:rPr>
        <w:t xml:space="preserve">търговията и устойчивото развитие. </w:t>
      </w:r>
    </w:p>
    <w:p w:rsidR="00E1343B" w:rsidRDefault="00EB18D6">
      <w:pPr>
        <w:rPr>
          <w:noProof/>
        </w:rPr>
      </w:pPr>
      <w:r>
        <w:rPr>
          <w:noProof/>
        </w:rPr>
        <w:t xml:space="preserve">Що се отнася до </w:t>
      </w:r>
      <w:r>
        <w:rPr>
          <w:b/>
          <w:noProof/>
        </w:rPr>
        <w:t>СФСМ</w:t>
      </w:r>
      <w:r>
        <w:rPr>
          <w:noProof/>
        </w:rPr>
        <w:t xml:space="preserve">, ЕС и Молдова са приели съвместно цялостна стратегия, а в случая на Грузия — законодателна пътна карта. Официалното приемане на стратегията за </w:t>
      </w:r>
      <w:r>
        <w:rPr>
          <w:b/>
          <w:noProof/>
        </w:rPr>
        <w:t>СФСМ</w:t>
      </w:r>
      <w:r>
        <w:rPr>
          <w:noProof/>
        </w:rPr>
        <w:t xml:space="preserve"> от страна на Украйна е предвидено за втората половина на 2017 г. Тези документи стават неразделна част от споразуменията за асоцииране/ЗВЗСТ и ще насочват държавите партньори при сближаването на законодателствата и изграждането на институционален капацитет през следващите години. </w:t>
      </w:r>
    </w:p>
    <w:p w:rsidR="00E1343B" w:rsidRDefault="00EB18D6">
      <w:pPr>
        <w:rPr>
          <w:noProof/>
        </w:rPr>
      </w:pPr>
      <w:r>
        <w:rPr>
          <w:noProof/>
        </w:rPr>
        <w:t xml:space="preserve">Подобни планове за реформи са приети по отношение на </w:t>
      </w:r>
      <w:r>
        <w:rPr>
          <w:b/>
          <w:noProof/>
        </w:rPr>
        <w:t>техническите регламенти</w:t>
      </w:r>
      <w:r>
        <w:rPr>
          <w:noProof/>
        </w:rPr>
        <w:t xml:space="preserve"> и на </w:t>
      </w:r>
      <w:r>
        <w:rPr>
          <w:b/>
          <w:noProof/>
        </w:rPr>
        <w:t>стандартите</w:t>
      </w:r>
      <w:r>
        <w:rPr>
          <w:noProof/>
        </w:rPr>
        <w:t xml:space="preserve">. Независимо от това обаче и в двете посочени области трябва да се укрепи административният капацитет във всяка от трите държави, за да се осъществи оставащата работа и да се осигури ефективното изпълнение и прилагане на закона. </w:t>
      </w:r>
    </w:p>
    <w:p w:rsidR="00E1343B" w:rsidRDefault="00EB18D6">
      <w:pPr>
        <w:rPr>
          <w:noProof/>
        </w:rPr>
      </w:pPr>
      <w:r>
        <w:rPr>
          <w:noProof/>
        </w:rPr>
        <w:t xml:space="preserve">По отношение на </w:t>
      </w:r>
      <w:r>
        <w:rPr>
          <w:b/>
          <w:noProof/>
        </w:rPr>
        <w:t>обществените поръчки</w:t>
      </w:r>
      <w:r>
        <w:rPr>
          <w:noProof/>
        </w:rPr>
        <w:t xml:space="preserve"> във всички държави са подготвени цялостни стратегии за реформи. Също така се отбелязва, че през 2016 г. както Молдова, така и Украйна са се присъединили към към Споразумението на СТО за държавните поръчки.</w:t>
      </w:r>
    </w:p>
    <w:p w:rsidR="00E1343B" w:rsidRDefault="00EB18D6">
      <w:pPr>
        <w:rPr>
          <w:noProof/>
        </w:rPr>
      </w:pPr>
      <w:r>
        <w:rPr>
          <w:noProof/>
        </w:rPr>
        <w:t xml:space="preserve">Що се отнася до </w:t>
      </w:r>
      <w:r>
        <w:rPr>
          <w:b/>
          <w:noProof/>
        </w:rPr>
        <w:t>пречките пред търговията</w:t>
      </w:r>
      <w:r>
        <w:rPr>
          <w:noProof/>
        </w:rPr>
        <w:t>, Украйна е прилагала експортни мита върху металния скрап (между юли 2016 г. и юли 2017 г.) и все още прилага забрана за износ на дървен материал, несъвместима със ЗВЗСТ и СТО. Колкото до защитата на географските означения на ЕС в Грузия, и двете страни са положили значителни усилия, за да премахнат от пазара названията, които са в противоречие с географските означения, защитени в ЕС. В Молдова са налице проблеми по отношение на защитата на някои географски означения на ЕС, като например Prosecco, и наличието на непрозрачни и дискриминационни мерки, засягащи сектора на електроразпределението. Премахването на тези пречки се разисква в органите по изпълнението на ЗВЗСТ, както и на политическо равнище.</w:t>
      </w:r>
    </w:p>
    <w:p w:rsidR="00E1343B" w:rsidRDefault="00EB18D6">
      <w:pPr>
        <w:spacing w:after="0"/>
        <w:rPr>
          <w:noProof/>
          <w:szCs w:val="24"/>
        </w:rPr>
      </w:pPr>
      <w:r>
        <w:rPr>
          <w:b/>
          <w:noProof/>
        </w:rPr>
        <w:t>Регулаторното сближаване</w:t>
      </w:r>
      <w:r>
        <w:rPr>
          <w:noProof/>
        </w:rPr>
        <w:t xml:space="preserve"> и </w:t>
      </w:r>
      <w:r>
        <w:rPr>
          <w:b/>
          <w:noProof/>
        </w:rPr>
        <w:t>изграждането на институционален капацитет</w:t>
      </w:r>
      <w:r>
        <w:rPr>
          <w:noProof/>
        </w:rPr>
        <w:t xml:space="preserve"> ще изискват постоянни усилия от страна на органите на държавите партньори и ЕС. От това зависят ефективното изпълнение на ЗВЗСТ и улесняването на търговията между ЕС и неговите партньори.</w:t>
      </w:r>
    </w:p>
    <w:p w:rsidR="00E1343B" w:rsidRDefault="00E1343B">
      <w:pPr>
        <w:spacing w:after="0"/>
        <w:rPr>
          <w:noProof/>
          <w:szCs w:val="24"/>
        </w:rPr>
      </w:pPr>
    </w:p>
    <w:p w:rsidR="00E1343B" w:rsidRDefault="00EB18D6">
      <w:pPr>
        <w:spacing w:after="0"/>
        <w:rPr>
          <w:noProof/>
          <w:szCs w:val="24"/>
        </w:rPr>
      </w:pPr>
      <w:r>
        <w:rPr>
          <w:noProof/>
        </w:rPr>
        <w:t xml:space="preserve">ЕС предоставя </w:t>
      </w:r>
      <w:r>
        <w:rPr>
          <w:b/>
          <w:noProof/>
        </w:rPr>
        <w:t>финансова и техническа подкрепа</w:t>
      </w:r>
      <w:r>
        <w:rPr>
          <w:noProof/>
        </w:rPr>
        <w:t xml:space="preserve"> за реформите и изграждането на административен капацитет в областите, свързани с търговията, включително:</w:t>
      </w:r>
    </w:p>
    <w:p w:rsidR="00E1343B" w:rsidRDefault="00EB18D6">
      <w:pPr>
        <w:pStyle w:val="ListParagraph"/>
        <w:numPr>
          <w:ilvl w:val="0"/>
          <w:numId w:val="25"/>
        </w:numPr>
        <w:spacing w:after="0" w:line="240" w:lineRule="auto"/>
        <w:ind w:left="357" w:hanging="357"/>
        <w:rPr>
          <w:noProof/>
          <w:szCs w:val="24"/>
        </w:rPr>
      </w:pPr>
      <w:r>
        <w:rPr>
          <w:noProof/>
        </w:rPr>
        <w:t>премахване на техническите пречки пред търговията (чрез привеждане в съответствие на инфраструктурата по стандартизация и метрология, на системата за оценка на съответствието (включително акредитацията на оценяващите органи) и на системата за надзор на пазара спрямо стандартите на ЕС),</w:t>
      </w:r>
    </w:p>
    <w:p w:rsidR="00E1343B" w:rsidRDefault="00EB18D6">
      <w:pPr>
        <w:pStyle w:val="ListParagraph"/>
        <w:numPr>
          <w:ilvl w:val="0"/>
          <w:numId w:val="25"/>
        </w:numPr>
        <w:spacing w:after="0" w:line="240" w:lineRule="auto"/>
        <w:ind w:left="357" w:hanging="357"/>
        <w:rPr>
          <w:noProof/>
          <w:szCs w:val="24"/>
        </w:rPr>
      </w:pPr>
      <w:r>
        <w:rPr>
          <w:noProof/>
        </w:rPr>
        <w:t>въвеждане на правила за конкуренция (включително относно държавните помощи),</w:t>
      </w:r>
    </w:p>
    <w:p w:rsidR="00E1343B" w:rsidRDefault="00EB18D6">
      <w:pPr>
        <w:pStyle w:val="ListParagraph"/>
        <w:numPr>
          <w:ilvl w:val="0"/>
          <w:numId w:val="25"/>
        </w:numPr>
        <w:spacing w:after="0" w:line="240" w:lineRule="auto"/>
        <w:ind w:left="357" w:hanging="357"/>
        <w:rPr>
          <w:noProof/>
          <w:szCs w:val="24"/>
        </w:rPr>
      </w:pPr>
      <w:r>
        <w:rPr>
          <w:noProof/>
        </w:rPr>
        <w:t>сближаване на санитарните и фитосанитарните мерки със системата на ЕС (особено за изграждането на институционален капацитет за контрол на безопасността на храните);</w:t>
      </w:r>
    </w:p>
    <w:p w:rsidR="00E1343B" w:rsidRDefault="00EB18D6">
      <w:pPr>
        <w:pStyle w:val="ListParagraph"/>
        <w:numPr>
          <w:ilvl w:val="0"/>
          <w:numId w:val="25"/>
        </w:numPr>
        <w:spacing w:after="0" w:line="240" w:lineRule="auto"/>
        <w:ind w:left="357" w:hanging="357"/>
        <w:rPr>
          <w:noProof/>
          <w:szCs w:val="24"/>
        </w:rPr>
      </w:pPr>
      <w:r>
        <w:rPr>
          <w:noProof/>
        </w:rPr>
        <w:t>защита и прилагане на правата върху интелектуалната собственост;</w:t>
      </w:r>
    </w:p>
    <w:p w:rsidR="00E1343B" w:rsidRDefault="00EB18D6">
      <w:pPr>
        <w:pStyle w:val="ListParagraph"/>
        <w:numPr>
          <w:ilvl w:val="0"/>
          <w:numId w:val="25"/>
        </w:numPr>
        <w:spacing w:after="0" w:line="240" w:lineRule="auto"/>
        <w:ind w:left="357" w:hanging="357"/>
        <w:rPr>
          <w:noProof/>
          <w:szCs w:val="24"/>
        </w:rPr>
      </w:pPr>
      <w:r>
        <w:rPr>
          <w:noProof/>
        </w:rPr>
        <w:t>привеждане в съответствие на системата за възлагане на обществени поръчки с цел реципрочно отваряне на пазара;</w:t>
      </w:r>
    </w:p>
    <w:p w:rsidR="00E1343B" w:rsidRDefault="00EB18D6">
      <w:pPr>
        <w:pStyle w:val="ListParagraph"/>
        <w:numPr>
          <w:ilvl w:val="0"/>
          <w:numId w:val="25"/>
        </w:numPr>
        <w:spacing w:after="0" w:line="240" w:lineRule="auto"/>
        <w:ind w:left="357" w:hanging="357"/>
        <w:rPr>
          <w:noProof/>
          <w:szCs w:val="24"/>
        </w:rPr>
      </w:pPr>
      <w:r>
        <w:rPr>
          <w:noProof/>
        </w:rPr>
        <w:t xml:space="preserve">насърчаване на организациите на производителите и оптимизиране на веригата за създаване на стойност; </w:t>
      </w:r>
    </w:p>
    <w:p w:rsidR="00E1343B" w:rsidRDefault="00EB18D6">
      <w:pPr>
        <w:pStyle w:val="ListParagraph"/>
        <w:numPr>
          <w:ilvl w:val="0"/>
          <w:numId w:val="25"/>
        </w:numPr>
        <w:spacing w:after="240" w:line="240" w:lineRule="auto"/>
        <w:ind w:left="357" w:hanging="357"/>
        <w:contextualSpacing w:val="0"/>
        <w:rPr>
          <w:noProof/>
          <w:szCs w:val="24"/>
        </w:rPr>
      </w:pPr>
      <w:r>
        <w:rPr>
          <w:noProof/>
        </w:rPr>
        <w:t>развитие на малките и средните предприятия.</w:t>
      </w:r>
    </w:p>
    <w:p w:rsidR="00E1343B" w:rsidRDefault="00EB18D6">
      <w:pPr>
        <w:spacing w:after="0"/>
        <w:rPr>
          <w:noProof/>
          <w:szCs w:val="24"/>
        </w:rPr>
      </w:pPr>
      <w:r>
        <w:rPr>
          <w:noProof/>
        </w:rPr>
        <w:t xml:space="preserve">Във връзка с последното, и трите държави се ползват от </w:t>
      </w:r>
      <w:r>
        <w:rPr>
          <w:b/>
          <w:noProof/>
        </w:rPr>
        <w:t>механизма за подкрепа на малките и средните предприятия по линия на ЗВЗСТ</w:t>
      </w:r>
      <w:r>
        <w:rPr>
          <w:noProof/>
        </w:rPr>
        <w:t xml:space="preserve"> (в размер на 200 милиона евро за трите държави общо).</w:t>
      </w:r>
    </w:p>
    <w:p w:rsidR="00E1343B" w:rsidRDefault="00EB18D6">
      <w:pPr>
        <w:spacing w:after="0"/>
        <w:jc w:val="left"/>
        <w:rPr>
          <w:b/>
          <w:smallCaps/>
          <w:noProof/>
        </w:rPr>
      </w:pPr>
      <w:r>
        <w:rPr>
          <w:noProof/>
        </w:rPr>
        <w:br w:type="page"/>
      </w:r>
    </w:p>
    <w:p w:rsidR="00E1343B" w:rsidRDefault="00EB18D6">
      <w:pPr>
        <w:pStyle w:val="Heading1"/>
        <w:rPr>
          <w:noProof/>
        </w:rPr>
      </w:pPr>
      <w:bookmarkStart w:id="59" w:name="_Toc493510426"/>
      <w:bookmarkStart w:id="60" w:name="_Toc493510805"/>
      <w:bookmarkStart w:id="61" w:name="_Toc494126129"/>
      <w:bookmarkStart w:id="62" w:name="_Toc497120785"/>
      <w:r>
        <w:rPr>
          <w:noProof/>
        </w:rPr>
        <w:t>Споразумения за икономическо партньорство — държавите от Африка, Карибите и Тихоокеанския басейн (АКТБ)</w:t>
      </w:r>
      <w:bookmarkEnd w:id="59"/>
      <w:bookmarkEnd w:id="60"/>
      <w:bookmarkEnd w:id="61"/>
      <w:bookmarkEnd w:id="62"/>
      <w:r>
        <w:rPr>
          <w:noProof/>
        </w:rPr>
        <w:t xml:space="preserve"> </w:t>
      </w:r>
    </w:p>
    <w:p w:rsidR="00E1343B" w:rsidRDefault="00EB18D6">
      <w:pPr>
        <w:spacing w:after="0"/>
        <w:rPr>
          <w:noProof/>
        </w:rPr>
      </w:pPr>
      <w:r>
        <w:rPr>
          <w:noProof/>
        </w:rPr>
        <w:t>През 2016 г. броят на приложените споразумения за икономическо партньорство (СИП) се е увеличил на седем, като те обхващат 28 държави от:</w:t>
      </w:r>
    </w:p>
    <w:p w:rsidR="00E1343B" w:rsidRDefault="00EB18D6">
      <w:pPr>
        <w:pStyle w:val="ListParagraph"/>
        <w:numPr>
          <w:ilvl w:val="0"/>
          <w:numId w:val="37"/>
        </w:numPr>
        <w:spacing w:after="0" w:line="240" w:lineRule="auto"/>
        <w:rPr>
          <w:noProof/>
        </w:rPr>
      </w:pPr>
      <w:r>
        <w:rPr>
          <w:noProof/>
        </w:rPr>
        <w:t>Карибите, Тихоокеанския басейн и субрегиона на Източна и Южна Африка (ИЮА);</w:t>
      </w:r>
    </w:p>
    <w:p w:rsidR="00E1343B" w:rsidRDefault="00EB18D6">
      <w:pPr>
        <w:pStyle w:val="ListParagraph"/>
        <w:numPr>
          <w:ilvl w:val="0"/>
          <w:numId w:val="37"/>
        </w:numPr>
        <w:spacing w:after="0" w:line="240" w:lineRule="auto"/>
        <w:rPr>
          <w:noProof/>
        </w:rPr>
      </w:pPr>
      <w:r>
        <w:rPr>
          <w:noProof/>
        </w:rPr>
        <w:t>Камерун в Централна Африка;</w:t>
      </w:r>
    </w:p>
    <w:p w:rsidR="00E1343B" w:rsidRDefault="00EB18D6">
      <w:pPr>
        <w:pStyle w:val="ListParagraph"/>
        <w:numPr>
          <w:ilvl w:val="0"/>
          <w:numId w:val="37"/>
        </w:numPr>
        <w:spacing w:after="0" w:line="240" w:lineRule="auto"/>
        <w:rPr>
          <w:noProof/>
        </w:rPr>
      </w:pPr>
      <w:r>
        <w:rPr>
          <w:noProof/>
        </w:rPr>
        <w:t>групата от Южноафриканската общност за развитие (ЮАОР) по СИП;</w:t>
      </w:r>
    </w:p>
    <w:p w:rsidR="00E1343B" w:rsidRDefault="00EB18D6">
      <w:pPr>
        <w:pStyle w:val="ListParagraph"/>
        <w:numPr>
          <w:ilvl w:val="0"/>
          <w:numId w:val="37"/>
        </w:numPr>
        <w:spacing w:after="240" w:line="240" w:lineRule="auto"/>
        <w:ind w:left="357" w:hanging="357"/>
        <w:rPr>
          <w:noProof/>
        </w:rPr>
      </w:pPr>
      <w:r>
        <w:rPr>
          <w:noProof/>
        </w:rPr>
        <w:t>Гана и Кот д'Ивоар в Западна Африка.</w:t>
      </w:r>
    </w:p>
    <w:p w:rsidR="00E1343B" w:rsidRDefault="00EB18D6">
      <w:pPr>
        <w:pStyle w:val="Heading2"/>
        <w:rPr>
          <w:noProof/>
        </w:rPr>
      </w:pPr>
      <w:bookmarkStart w:id="63" w:name="_Toc494126130"/>
      <w:bookmarkStart w:id="64" w:name="_Toc497120786"/>
      <w:r>
        <w:rPr>
          <w:noProof/>
        </w:rPr>
        <w:t>Състояние на напредък по споразуменията</w:t>
      </w:r>
      <w:bookmarkEnd w:id="63"/>
      <w:bookmarkEnd w:id="64"/>
    </w:p>
    <w:p w:rsidR="00E1343B" w:rsidRDefault="00EB18D6">
      <w:pPr>
        <w:pStyle w:val="Heading3"/>
        <w:rPr>
          <w:noProof/>
        </w:rPr>
      </w:pPr>
      <w:r>
        <w:rPr>
          <w:noProof/>
        </w:rPr>
        <w:t xml:space="preserve">ЮАОР </w:t>
      </w:r>
    </w:p>
    <w:p w:rsidR="00E1343B" w:rsidRDefault="00EB18D6">
      <w:pPr>
        <w:rPr>
          <w:noProof/>
        </w:rPr>
      </w:pPr>
      <w:r>
        <w:rPr>
          <w:noProof/>
        </w:rPr>
        <w:t xml:space="preserve">През юни 2016 г. бе достигнат важен етап, когато </w:t>
      </w:r>
      <w:r>
        <w:rPr>
          <w:b/>
          <w:noProof/>
        </w:rPr>
        <w:t>ЕС подписа СИП</w:t>
      </w:r>
      <w:r>
        <w:rPr>
          <w:noProof/>
        </w:rPr>
        <w:t xml:space="preserve"> с шест държави от Южноафриканската общност за развитие (ЮАОР), което започна да се прилага временно през октомври 2016 г. В допълнение към </w:t>
      </w:r>
      <w:r>
        <w:rPr>
          <w:b/>
          <w:noProof/>
        </w:rPr>
        <w:t>класическите търговски разпоредби</w:t>
      </w:r>
      <w:r>
        <w:rPr>
          <w:noProof/>
        </w:rPr>
        <w:t xml:space="preserve">, участващите държави от ЮАОР (Ботсуана, Лесото, Мозамбик, Намибия, Свазиленд и Южна Африка) и ЕС поеха ангажимент за партньорство, ориентирано към </w:t>
      </w:r>
      <w:r>
        <w:rPr>
          <w:b/>
          <w:noProof/>
        </w:rPr>
        <w:t>устойчивото развитие</w:t>
      </w:r>
      <w:r>
        <w:rPr>
          <w:noProof/>
        </w:rPr>
        <w:t xml:space="preserve">, включително спазването на социалните и екологичните стандарти. </w:t>
      </w:r>
    </w:p>
    <w:p w:rsidR="00E1343B" w:rsidRDefault="00EB18D6">
      <w:pPr>
        <w:rPr>
          <w:noProof/>
        </w:rPr>
      </w:pPr>
      <w:r>
        <w:rPr>
          <w:noProof/>
        </w:rPr>
        <w:t xml:space="preserve">Споразумението подпомага пряко икономическата интеграция на региона, като насърчава по-тесните връзки между шестте нации. През 2016 г. само </w:t>
      </w:r>
      <w:r>
        <w:rPr>
          <w:b/>
          <w:noProof/>
        </w:rPr>
        <w:t>Мозамбик</w:t>
      </w:r>
      <w:r>
        <w:rPr>
          <w:noProof/>
        </w:rPr>
        <w:t xml:space="preserve"> (седмата държава от ЮАОР) все още не ратифицирала споразумението и не го прилагаше.</w:t>
      </w:r>
    </w:p>
    <w:p w:rsidR="00E1343B" w:rsidRDefault="00EB18D6">
      <w:pPr>
        <w:pStyle w:val="Heading3"/>
        <w:rPr>
          <w:noProof/>
        </w:rPr>
      </w:pPr>
      <w:r>
        <w:rPr>
          <w:noProof/>
        </w:rPr>
        <w:t xml:space="preserve">Западна Африка </w:t>
      </w:r>
    </w:p>
    <w:p w:rsidR="00E1343B" w:rsidRDefault="00EB18D6">
      <w:pPr>
        <w:rPr>
          <w:noProof/>
        </w:rPr>
      </w:pPr>
      <w:r>
        <w:rPr>
          <w:noProof/>
        </w:rPr>
        <w:t xml:space="preserve">Временното прилагане на СИП с региона на Западна Африка е възпрепятствано, поради това че три (от 16-те) държави </w:t>
      </w:r>
      <w:r>
        <w:rPr>
          <w:b/>
          <w:noProof/>
        </w:rPr>
        <w:t>не са го подписали</w:t>
      </w:r>
      <w:r>
        <w:rPr>
          <w:noProof/>
        </w:rPr>
        <w:t xml:space="preserve">. Междувременно две държави в този регион — </w:t>
      </w:r>
      <w:r>
        <w:rPr>
          <w:b/>
          <w:noProof/>
        </w:rPr>
        <w:t>Кот д'Ивоар</w:t>
      </w:r>
      <w:r>
        <w:rPr>
          <w:noProof/>
        </w:rPr>
        <w:t xml:space="preserve"> и </w:t>
      </w:r>
      <w:r>
        <w:rPr>
          <w:b/>
          <w:noProof/>
        </w:rPr>
        <w:t>Гана</w:t>
      </w:r>
      <w:r>
        <w:rPr>
          <w:noProof/>
        </w:rPr>
        <w:t xml:space="preserve">, подписаха и </w:t>
      </w:r>
      <w:r>
        <w:rPr>
          <w:b/>
          <w:noProof/>
        </w:rPr>
        <w:t>ратифицираха</w:t>
      </w:r>
      <w:r>
        <w:rPr>
          <w:noProof/>
        </w:rPr>
        <w:t xml:space="preserve"> свои индивидуални СИП</w:t>
      </w:r>
      <w:r>
        <w:rPr>
          <w:rStyle w:val="FootnoteReference"/>
          <w:noProof/>
        </w:rPr>
        <w:footnoteReference w:id="10"/>
      </w:r>
      <w:r>
        <w:rPr>
          <w:noProof/>
        </w:rPr>
        <w:t>. Кот д'Ивоар започна да прилага своето СИП през септември 2016 г., а на 1 декември 2016 г. Европейският парламент даде съгласието си за споразумението с Гана, което даде възможност за неговото временно прилагане.</w:t>
      </w:r>
    </w:p>
    <w:p w:rsidR="00E1343B" w:rsidRDefault="00EB18D6">
      <w:pPr>
        <w:pStyle w:val="Heading3"/>
        <w:rPr>
          <w:noProof/>
        </w:rPr>
      </w:pPr>
      <w:r>
        <w:rPr>
          <w:noProof/>
        </w:rPr>
        <w:t xml:space="preserve">Източноафриканска общност (ИАО) </w:t>
      </w:r>
    </w:p>
    <w:p w:rsidR="00E1343B" w:rsidRDefault="00EB18D6">
      <w:pPr>
        <w:rPr>
          <w:noProof/>
        </w:rPr>
      </w:pPr>
      <w:r>
        <w:rPr>
          <w:noProof/>
        </w:rPr>
        <w:t xml:space="preserve">В този случай все още се очакваха </w:t>
      </w:r>
      <w:r>
        <w:rPr>
          <w:b/>
          <w:noProof/>
        </w:rPr>
        <w:t>подписите на три държави</w:t>
      </w:r>
      <w:r>
        <w:rPr>
          <w:noProof/>
        </w:rPr>
        <w:t xml:space="preserve"> (от общо пет), преди да се получи съгласието на Европейския парламент и да се даде начало на временното прилагане. </w:t>
      </w:r>
    </w:p>
    <w:p w:rsidR="00E1343B" w:rsidRDefault="00EB18D6">
      <w:pPr>
        <w:pStyle w:val="Heading2"/>
        <w:rPr>
          <w:noProof/>
        </w:rPr>
      </w:pPr>
      <w:bookmarkStart w:id="65" w:name="_Toc494126131"/>
      <w:bookmarkStart w:id="66" w:name="_Toc497120787"/>
      <w:r>
        <w:rPr>
          <w:noProof/>
        </w:rPr>
        <w:t>Търговски потоци</w:t>
      </w:r>
      <w:bookmarkEnd w:id="65"/>
      <w:bookmarkEnd w:id="66"/>
      <w:r>
        <w:rPr>
          <w:noProof/>
        </w:rPr>
        <w:t xml:space="preserve"> </w:t>
      </w:r>
    </w:p>
    <w:p w:rsidR="00E1343B" w:rsidRDefault="00EB18D6">
      <w:pPr>
        <w:rPr>
          <w:noProof/>
        </w:rPr>
      </w:pPr>
      <w:r>
        <w:rPr>
          <w:noProof/>
        </w:rPr>
        <w:t xml:space="preserve">Развитието на търговията в контекста на приложените СИП, разгледани в настоящия доклад (с партньорите от Карибите (КАРИФОРУМ), от Тихоокеанския басейн, от ИЮА и Камерун) представлява </w:t>
      </w:r>
      <w:r>
        <w:rPr>
          <w:b/>
          <w:noProof/>
        </w:rPr>
        <w:t>разнородна картина</w:t>
      </w:r>
      <w:r>
        <w:rPr>
          <w:noProof/>
        </w:rPr>
        <w:t xml:space="preserve">. В някои държави, като Камерун и Фиджи, СИП не е прилагано достатъчно дълго, за да се изведат някакви категорични заключения. При други държави обаче през последните години са забелязани </w:t>
      </w:r>
      <w:r>
        <w:rPr>
          <w:b/>
          <w:noProof/>
        </w:rPr>
        <w:t>колебания в търговията</w:t>
      </w:r>
      <w:r>
        <w:rPr>
          <w:noProof/>
        </w:rPr>
        <w:t xml:space="preserve"> в двете посоки, като в някои случаи те са били свързани с </w:t>
      </w:r>
      <w:r>
        <w:rPr>
          <w:b/>
          <w:noProof/>
        </w:rPr>
        <w:t>колебанията в цените на стоките</w:t>
      </w:r>
      <w:r>
        <w:rPr>
          <w:noProof/>
        </w:rPr>
        <w:t xml:space="preserve">, което е засегнало износа на партньорите по СИП. </w:t>
      </w:r>
    </w:p>
    <w:p w:rsidR="00E1343B" w:rsidRDefault="00EB18D6">
      <w:pPr>
        <w:rPr>
          <w:noProof/>
        </w:rPr>
      </w:pPr>
      <w:r>
        <w:rPr>
          <w:noProof/>
        </w:rPr>
        <w:t xml:space="preserve">При други държави, по-специално </w:t>
      </w:r>
      <w:r>
        <w:rPr>
          <w:b/>
          <w:noProof/>
        </w:rPr>
        <w:t>Мадагаскар</w:t>
      </w:r>
      <w:r>
        <w:rPr>
          <w:noProof/>
        </w:rPr>
        <w:t xml:space="preserve"> и </w:t>
      </w:r>
      <w:r>
        <w:rPr>
          <w:b/>
          <w:noProof/>
        </w:rPr>
        <w:t>Доминиканската република</w:t>
      </w:r>
      <w:r>
        <w:rPr>
          <w:noProof/>
        </w:rPr>
        <w:t xml:space="preserve">, е била налице трайна </w:t>
      </w:r>
      <w:r>
        <w:rPr>
          <w:b/>
          <w:noProof/>
        </w:rPr>
        <w:t>възходяща тенденция</w:t>
      </w:r>
      <w:r>
        <w:rPr>
          <w:noProof/>
        </w:rPr>
        <w:t xml:space="preserve"> при износа за ЕС.</w:t>
      </w:r>
    </w:p>
    <w:p w:rsidR="00E1343B" w:rsidRDefault="00E1343B">
      <w:pPr>
        <w:spacing w:after="0"/>
        <w:jc w:val="left"/>
        <w:rPr>
          <w:noProof/>
        </w:rPr>
        <w:sectPr w:rsidR="00E1343B">
          <w:headerReference w:type="even" r:id="rId29"/>
          <w:headerReference w:type="default" r:id="rId30"/>
          <w:footerReference w:type="even" r:id="rId31"/>
          <w:footerReference w:type="default" r:id="rId32"/>
          <w:headerReference w:type="first" r:id="rId33"/>
          <w:footerReference w:type="first" r:id="rId34"/>
          <w:pgSz w:w="11906" w:h="16838"/>
          <w:pgMar w:top="1021" w:right="1701" w:bottom="1021" w:left="1588" w:header="601" w:footer="1077" w:gutter="0"/>
          <w:cols w:space="720"/>
          <w:titlePg/>
        </w:sectPr>
      </w:pPr>
    </w:p>
    <w:p w:rsidR="00E1343B" w:rsidRDefault="00EB18D6">
      <w:pPr>
        <w:spacing w:after="0"/>
        <w:jc w:val="left"/>
        <w:rPr>
          <w:noProof/>
        </w:rPr>
        <w:sectPr w:rsidR="00E1343B">
          <w:headerReference w:type="even" r:id="rId35"/>
          <w:headerReference w:type="default" r:id="rId36"/>
          <w:footerReference w:type="even" r:id="rId37"/>
          <w:footerReference w:type="default" r:id="rId38"/>
          <w:headerReference w:type="first" r:id="rId39"/>
          <w:footerReference w:type="first" r:id="rId40"/>
          <w:pgSz w:w="16838" w:h="11906" w:orient="landscape"/>
          <w:pgMar w:top="1588" w:right="1021" w:bottom="1701" w:left="1021" w:header="601" w:footer="1077" w:gutter="0"/>
          <w:cols w:space="720"/>
          <w:titlePg/>
        </w:sectPr>
      </w:pPr>
      <w:r>
        <w:rPr>
          <w:noProof/>
          <w:lang w:val="en-GB" w:eastAsia="en-GB" w:bidi="ar-SA"/>
        </w:rPr>
        <w:drawing>
          <wp:inline distT="0" distB="0" distL="0" distR="0" wp14:anchorId="032D3A6D" wp14:editId="79272988">
            <wp:extent cx="9395460" cy="4663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95460" cy="4663716"/>
                    </a:xfrm>
                    <a:prstGeom prst="rect">
                      <a:avLst/>
                    </a:prstGeom>
                    <a:noFill/>
                    <a:ln>
                      <a:noFill/>
                    </a:ln>
                  </pic:spPr>
                </pic:pic>
              </a:graphicData>
            </a:graphic>
          </wp:inline>
        </w:drawing>
      </w:r>
    </w:p>
    <w:p w:rsidR="00E1343B" w:rsidRDefault="00EB18D6">
      <w:pPr>
        <w:rPr>
          <w:noProof/>
        </w:rPr>
      </w:pPr>
      <w:r>
        <w:rPr>
          <w:noProof/>
        </w:rPr>
        <w:t xml:space="preserve">Във всички региони на АКТБ, с изключение на Карибите, държавите — партньори на ЕС по СИП, отчитат </w:t>
      </w:r>
      <w:r>
        <w:rPr>
          <w:b/>
          <w:noProof/>
        </w:rPr>
        <w:t>положителен търговски баланс</w:t>
      </w:r>
      <w:r>
        <w:rPr>
          <w:noProof/>
        </w:rPr>
        <w:t xml:space="preserve"> с ЕС.</w:t>
      </w:r>
    </w:p>
    <w:p w:rsidR="00E1343B" w:rsidRDefault="00EB18D6">
      <w:pPr>
        <w:rPr>
          <w:noProof/>
        </w:rPr>
      </w:pPr>
      <w:r>
        <w:rPr>
          <w:noProof/>
        </w:rPr>
        <w:t xml:space="preserve">В </w:t>
      </w:r>
      <w:r>
        <w:rPr>
          <w:b/>
          <w:noProof/>
        </w:rPr>
        <w:t>Карибите</w:t>
      </w:r>
      <w:r>
        <w:rPr>
          <w:noProof/>
        </w:rPr>
        <w:t xml:space="preserve"> износът за ЕС </w:t>
      </w:r>
      <w:r>
        <w:rPr>
          <w:b/>
          <w:noProof/>
        </w:rPr>
        <w:t>бележи низходяща тенденция</w:t>
      </w:r>
      <w:r>
        <w:rPr>
          <w:noProof/>
        </w:rPr>
        <w:t xml:space="preserve"> от 2013 г. насам, с някои изключения. През 2016 г. е отчетен спад от 23 % в резултат на въздействието, което понижението на цените на стоките е оказало върху износа на Тринидад и Тобаго.</w:t>
      </w:r>
    </w:p>
    <w:p w:rsidR="00E1343B" w:rsidRDefault="00EB18D6">
      <w:pPr>
        <w:pStyle w:val="Heading2"/>
        <w:rPr>
          <w:noProof/>
        </w:rPr>
      </w:pPr>
      <w:bookmarkStart w:id="67" w:name="_Toc494126132"/>
      <w:bookmarkStart w:id="68" w:name="_Toc497120788"/>
      <w:r>
        <w:rPr>
          <w:noProof/>
        </w:rPr>
        <w:t>Инвестиции</w:t>
      </w:r>
      <w:bookmarkEnd w:id="67"/>
      <w:bookmarkEnd w:id="68"/>
      <w:r>
        <w:rPr>
          <w:noProof/>
        </w:rPr>
        <w:t xml:space="preserve"> </w:t>
      </w:r>
    </w:p>
    <w:p w:rsidR="00E1343B" w:rsidRDefault="00EB18D6">
      <w:pPr>
        <w:rPr>
          <w:noProof/>
        </w:rPr>
      </w:pPr>
      <w:r>
        <w:rPr>
          <w:noProof/>
        </w:rPr>
        <w:t xml:space="preserve">Инвестициите на ЕС в териториите на партньорите по СИП </w:t>
      </w:r>
      <w:r>
        <w:rPr>
          <w:b/>
          <w:noProof/>
        </w:rPr>
        <w:t>са се увеличавали</w:t>
      </w:r>
      <w:r>
        <w:rPr>
          <w:noProof/>
        </w:rPr>
        <w:t xml:space="preserve">, освен в държавите от КАРИФОРУМ, където инвестициите на ЕС са останали </w:t>
      </w:r>
      <w:r>
        <w:rPr>
          <w:b/>
          <w:noProof/>
        </w:rPr>
        <w:t>стабилни</w:t>
      </w:r>
      <w:r>
        <w:rPr>
          <w:noProof/>
        </w:rPr>
        <w:t>. Инвестициите на държавите от КАРИФОРУМ в ЕС са се увеличили.</w:t>
      </w:r>
    </w:p>
    <w:tbl>
      <w:tblPr>
        <w:tblStyle w:val="TableGrid"/>
        <w:tblW w:w="0" w:type="auto"/>
        <w:tblBorders>
          <w:insideH w:val="none" w:sz="0" w:space="0" w:color="auto"/>
        </w:tblBorders>
        <w:tblLook w:val="04A0" w:firstRow="1" w:lastRow="0" w:firstColumn="1" w:lastColumn="0" w:noHBand="0" w:noVBand="1"/>
      </w:tblPr>
      <w:tblGrid>
        <w:gridCol w:w="8833"/>
      </w:tblGrid>
      <w:tr w:rsidR="00E1343B">
        <w:tc>
          <w:tcPr>
            <w:tcW w:w="8833" w:type="dxa"/>
          </w:tcPr>
          <w:p w:rsidR="00E1343B" w:rsidRDefault="00EB18D6">
            <w:pPr>
              <w:rPr>
                <w:rFonts w:ascii="Times New Roman" w:hAnsi="Times New Roman" w:cs="Times New Roman"/>
                <w:b/>
                <w:noProof/>
              </w:rPr>
            </w:pPr>
            <w:r>
              <w:rPr>
                <w:b/>
                <w:noProof/>
              </w:rPr>
              <w:t>Мадагаскарски текстилни продукти за потребителите на ЕС</w:t>
            </w:r>
          </w:p>
        </w:tc>
      </w:tr>
      <w:tr w:rsidR="00E1343B">
        <w:tc>
          <w:tcPr>
            <w:tcW w:w="8833" w:type="dxa"/>
          </w:tcPr>
          <w:p w:rsidR="00E1343B" w:rsidRDefault="00EB18D6">
            <w:pPr>
              <w:rPr>
                <w:rFonts w:ascii="Times New Roman" w:hAnsi="Times New Roman" w:cs="Times New Roman"/>
                <w:noProof/>
              </w:rPr>
            </w:pPr>
            <w:r>
              <w:rPr>
                <w:noProof/>
              </w:rPr>
              <w:t>Сключването на СИП, осигуряващо освободен от мита и квоти достъп до ЕС и подобрени правила за произход, е донесло ползи за сектора на производство на текстил и облекло на Мадагаскар. След като СИП започва да се прилага през 2012 г., в Мадагаскар е отчетено покачване на износа за ЕС с почти 15 % годишно. През 2015 г. основните продукти, изнасяни от Мадагаскар, са били текстилни изделия и облекла, възлизащи на стойност над 300 милиона евро и на почти една трета от общия износ на Мадагаскар за ЕС.</w:t>
            </w:r>
          </w:p>
          <w:p w:rsidR="00E1343B" w:rsidRDefault="00EB18D6">
            <w:pPr>
              <w:rPr>
                <w:rFonts w:ascii="Times New Roman" w:hAnsi="Times New Roman" w:cs="Times New Roman"/>
                <w:noProof/>
                <w:sz w:val="22"/>
              </w:rPr>
            </w:pPr>
            <w:r>
              <w:rPr>
                <w:noProof/>
              </w:rPr>
              <w:t>Един от бенефициерите е местното текстилно предприятие Epsilon. То е увеличило броя на служителите си от първоначалните 100 на 2 000. СИП е допринесло и за създаването на по-добри условия на живот за служителите и техните семейства.</w:t>
            </w:r>
          </w:p>
        </w:tc>
      </w:tr>
    </w:tbl>
    <w:p w:rsidR="00E1343B" w:rsidRDefault="00EB18D6">
      <w:pPr>
        <w:pStyle w:val="Heading2"/>
        <w:spacing w:before="240"/>
        <w:ind w:left="1202"/>
        <w:rPr>
          <w:noProof/>
        </w:rPr>
      </w:pPr>
      <w:bookmarkStart w:id="69" w:name="_Toc493698580"/>
      <w:bookmarkStart w:id="70" w:name="_Toc494126133"/>
      <w:bookmarkStart w:id="71" w:name="_Toc497120789"/>
      <w:bookmarkEnd w:id="69"/>
      <w:r>
        <w:rPr>
          <w:noProof/>
        </w:rPr>
        <w:t>Подкрепа от ЕС за изпълнението на СИП</w:t>
      </w:r>
      <w:bookmarkEnd w:id="70"/>
      <w:bookmarkEnd w:id="71"/>
    </w:p>
    <w:p w:rsidR="00E1343B" w:rsidRDefault="00EB18D6">
      <w:pPr>
        <w:rPr>
          <w:noProof/>
        </w:rPr>
      </w:pPr>
      <w:r>
        <w:rPr>
          <w:noProof/>
        </w:rPr>
        <w:t>Важно е да се разработят механизми за наблюдение, за да се следят действието и въздействието на съответните СИП и да се гарантира, че сътрудничеството за развитие и свързаната с търговията помощ подпомагат изпълнението на СИП.</w:t>
      </w:r>
    </w:p>
    <w:p w:rsidR="00E1343B" w:rsidRDefault="00EB18D6">
      <w:pPr>
        <w:rPr>
          <w:noProof/>
        </w:rPr>
      </w:pPr>
      <w:r>
        <w:rPr>
          <w:noProof/>
        </w:rPr>
        <w:t xml:space="preserve">В контекста на главите на няколко СИП, посветени на икономическото сътрудничество и сътрудничеството за развитие, ЕС е поел ангажимент да си сътрудничи със съответните държави, основно чрез предоставянето на финансова и техническа помощ. </w:t>
      </w:r>
    </w:p>
    <w:p w:rsidR="00E1343B" w:rsidRDefault="00EB18D6">
      <w:pPr>
        <w:rPr>
          <w:noProof/>
        </w:rPr>
      </w:pPr>
      <w:r>
        <w:rPr>
          <w:noProof/>
        </w:rPr>
        <w:t xml:space="preserve">Чрез дискусии с компетентните държавни органи, с представителите на частния сектор и на групи на гражданското общество ЕС е координирал изпълнението на СИП с </w:t>
      </w:r>
      <w:r>
        <w:rPr>
          <w:b/>
          <w:noProof/>
        </w:rPr>
        <w:t>политиката за развитие</w:t>
      </w:r>
      <w:r>
        <w:rPr>
          <w:noProof/>
        </w:rPr>
        <w:t xml:space="preserve">, </w:t>
      </w:r>
      <w:r>
        <w:rPr>
          <w:b/>
          <w:noProof/>
        </w:rPr>
        <w:t>сътрудничеството</w:t>
      </w:r>
      <w:r>
        <w:rPr>
          <w:noProof/>
        </w:rPr>
        <w:t xml:space="preserve"> и </w:t>
      </w:r>
      <w:r>
        <w:rPr>
          <w:b/>
          <w:noProof/>
        </w:rPr>
        <w:t>помощта за търговията</w:t>
      </w:r>
      <w:r>
        <w:rPr>
          <w:noProof/>
        </w:rPr>
        <w:t>.</w:t>
      </w:r>
    </w:p>
    <w:p w:rsidR="00E1343B" w:rsidRDefault="00EB18D6">
      <w:pPr>
        <w:spacing w:after="0"/>
        <w:rPr>
          <w:noProof/>
        </w:rPr>
      </w:pPr>
      <w:r>
        <w:rPr>
          <w:noProof/>
        </w:rPr>
        <w:t>Заедно те са разработили „</w:t>
      </w:r>
      <w:r>
        <w:rPr>
          <w:b/>
          <w:noProof/>
        </w:rPr>
        <w:t>национални планове за изпълнение на СИП</w:t>
      </w:r>
      <w:r>
        <w:rPr>
          <w:noProof/>
        </w:rPr>
        <w:t>“. Те имат за цел да се определят потребностите на държавите по отношение на:</w:t>
      </w:r>
    </w:p>
    <w:p w:rsidR="00E1343B" w:rsidRDefault="00EB18D6">
      <w:pPr>
        <w:pStyle w:val="ListParagraph"/>
        <w:numPr>
          <w:ilvl w:val="0"/>
          <w:numId w:val="38"/>
        </w:numPr>
        <w:spacing w:after="0" w:line="240" w:lineRule="auto"/>
        <w:rPr>
          <w:noProof/>
        </w:rPr>
      </w:pPr>
      <w:r>
        <w:rPr>
          <w:noProof/>
        </w:rPr>
        <w:t>спазването, управлението и наблюдението на СИП;</w:t>
      </w:r>
    </w:p>
    <w:p w:rsidR="00E1343B" w:rsidRDefault="00EB18D6">
      <w:pPr>
        <w:pStyle w:val="ListParagraph"/>
        <w:numPr>
          <w:ilvl w:val="0"/>
          <w:numId w:val="38"/>
        </w:numPr>
        <w:spacing w:after="0" w:line="240" w:lineRule="auto"/>
        <w:rPr>
          <w:noProof/>
        </w:rPr>
      </w:pPr>
      <w:r>
        <w:rPr>
          <w:noProof/>
        </w:rPr>
        <w:t>комуникацията относно СИП;</w:t>
      </w:r>
    </w:p>
    <w:p w:rsidR="00E1343B" w:rsidRDefault="00EB18D6">
      <w:pPr>
        <w:pStyle w:val="ListParagraph"/>
        <w:numPr>
          <w:ilvl w:val="0"/>
          <w:numId w:val="38"/>
        </w:numPr>
        <w:spacing w:after="240" w:line="240" w:lineRule="auto"/>
        <w:ind w:left="357" w:hanging="357"/>
        <w:contextualSpacing w:val="0"/>
        <w:rPr>
          <w:noProof/>
        </w:rPr>
      </w:pPr>
      <w:r>
        <w:rPr>
          <w:noProof/>
        </w:rPr>
        <w:t>насърчаването на създаването на бизнес среда, която дава възможност на държавите и предприятията да се възползват в пълна степен от споразуменията.</w:t>
      </w:r>
    </w:p>
    <w:p w:rsidR="00E1343B" w:rsidRDefault="00EB18D6">
      <w:pPr>
        <w:spacing w:after="0"/>
        <w:rPr>
          <w:noProof/>
        </w:rPr>
      </w:pPr>
      <w:r>
        <w:rPr>
          <w:noProof/>
        </w:rPr>
        <w:t xml:space="preserve">Такова насърчаване включва осъществяване на </w:t>
      </w:r>
      <w:r>
        <w:rPr>
          <w:b/>
          <w:noProof/>
        </w:rPr>
        <w:t>необходимите реформи</w:t>
      </w:r>
      <w:r>
        <w:rPr>
          <w:noProof/>
        </w:rPr>
        <w:t xml:space="preserve"> с цел:</w:t>
      </w:r>
    </w:p>
    <w:p w:rsidR="00E1343B" w:rsidRDefault="00EB18D6">
      <w:pPr>
        <w:pStyle w:val="ListParagraph"/>
        <w:numPr>
          <w:ilvl w:val="0"/>
          <w:numId w:val="39"/>
        </w:numPr>
        <w:spacing w:after="0" w:line="240" w:lineRule="auto"/>
        <w:rPr>
          <w:noProof/>
        </w:rPr>
      </w:pPr>
      <w:r>
        <w:rPr>
          <w:noProof/>
        </w:rPr>
        <w:t>стимулиране на растежа, икономическата диверсификация и местната добавена стойност;</w:t>
      </w:r>
    </w:p>
    <w:p w:rsidR="00E1343B" w:rsidRDefault="00EB18D6">
      <w:pPr>
        <w:pStyle w:val="ListParagraph"/>
        <w:numPr>
          <w:ilvl w:val="0"/>
          <w:numId w:val="39"/>
        </w:numPr>
        <w:spacing w:after="0" w:line="240" w:lineRule="auto"/>
        <w:rPr>
          <w:noProof/>
        </w:rPr>
      </w:pPr>
      <w:r>
        <w:rPr>
          <w:noProof/>
        </w:rPr>
        <w:t>привличане на инвестиции; и</w:t>
      </w:r>
    </w:p>
    <w:p w:rsidR="00E1343B" w:rsidRDefault="00EB18D6">
      <w:pPr>
        <w:pStyle w:val="ListParagraph"/>
        <w:numPr>
          <w:ilvl w:val="0"/>
          <w:numId w:val="39"/>
        </w:numPr>
        <w:spacing w:after="240" w:line="240" w:lineRule="auto"/>
        <w:ind w:left="357" w:hanging="357"/>
        <w:contextualSpacing w:val="0"/>
        <w:rPr>
          <w:noProof/>
        </w:rPr>
      </w:pPr>
      <w:r>
        <w:rPr>
          <w:noProof/>
        </w:rPr>
        <w:t>подпомагане на създаването на работни места.</w:t>
      </w:r>
    </w:p>
    <w:p w:rsidR="00E1343B" w:rsidRDefault="00EB18D6">
      <w:pPr>
        <w:spacing w:after="0"/>
        <w:rPr>
          <w:noProof/>
        </w:rPr>
      </w:pPr>
      <w:r>
        <w:rPr>
          <w:noProof/>
        </w:rPr>
        <w:t xml:space="preserve">Въз основа на това ЕС </w:t>
      </w:r>
      <w:r>
        <w:rPr>
          <w:b/>
          <w:noProof/>
        </w:rPr>
        <w:t>определя потребностите</w:t>
      </w:r>
      <w:r>
        <w:rPr>
          <w:noProof/>
        </w:rPr>
        <w:t xml:space="preserve"> и </w:t>
      </w:r>
      <w:r>
        <w:rPr>
          <w:b/>
          <w:noProof/>
        </w:rPr>
        <w:t>проучва връзките</w:t>
      </w:r>
      <w:r>
        <w:rPr>
          <w:noProof/>
        </w:rPr>
        <w:t xml:space="preserve"> между различните възможни източници на финансиране. Те могат да включват финансиране от:</w:t>
      </w:r>
    </w:p>
    <w:p w:rsidR="00E1343B" w:rsidRDefault="00EB18D6">
      <w:pPr>
        <w:pStyle w:val="ListParagraph"/>
        <w:numPr>
          <w:ilvl w:val="0"/>
          <w:numId w:val="40"/>
        </w:numPr>
        <w:spacing w:after="0" w:line="240" w:lineRule="auto"/>
        <w:rPr>
          <w:noProof/>
        </w:rPr>
      </w:pPr>
      <w:r>
        <w:rPr>
          <w:noProof/>
        </w:rPr>
        <w:t>различни инструменти на ЕС за подпомагане на развитието на национално и регионално равнище, както и на вътреобщностно равнище в рамките на АКТБ;</w:t>
      </w:r>
    </w:p>
    <w:p w:rsidR="00E1343B" w:rsidRDefault="00EB18D6">
      <w:pPr>
        <w:pStyle w:val="ListParagraph"/>
        <w:numPr>
          <w:ilvl w:val="0"/>
          <w:numId w:val="40"/>
        </w:numPr>
        <w:spacing w:after="0" w:line="240" w:lineRule="auto"/>
        <w:rPr>
          <w:noProof/>
        </w:rPr>
      </w:pPr>
      <w:r>
        <w:rPr>
          <w:noProof/>
        </w:rPr>
        <w:t>държави — членки на ЕС;</w:t>
      </w:r>
    </w:p>
    <w:p w:rsidR="00E1343B" w:rsidRDefault="00EB18D6">
      <w:pPr>
        <w:pStyle w:val="ListParagraph"/>
        <w:numPr>
          <w:ilvl w:val="0"/>
          <w:numId w:val="40"/>
        </w:numPr>
        <w:spacing w:after="0" w:line="240" w:lineRule="auto"/>
        <w:rPr>
          <w:noProof/>
        </w:rPr>
      </w:pPr>
      <w:r>
        <w:rPr>
          <w:noProof/>
        </w:rPr>
        <w:t>Европейската инвестиционна банка;</w:t>
      </w:r>
    </w:p>
    <w:p w:rsidR="00E1343B" w:rsidRDefault="00EB18D6">
      <w:pPr>
        <w:pStyle w:val="ListParagraph"/>
        <w:numPr>
          <w:ilvl w:val="0"/>
          <w:numId w:val="40"/>
        </w:numPr>
        <w:spacing w:after="240" w:line="240" w:lineRule="auto"/>
        <w:ind w:left="357" w:hanging="357"/>
        <w:contextualSpacing w:val="0"/>
        <w:rPr>
          <w:noProof/>
        </w:rPr>
      </w:pPr>
      <w:r>
        <w:rPr>
          <w:noProof/>
        </w:rPr>
        <w:t xml:space="preserve">други институции за финансиране на развитието и други възможни донори. </w:t>
      </w:r>
    </w:p>
    <w:p w:rsidR="00E1343B" w:rsidRDefault="00EB18D6">
      <w:pPr>
        <w:rPr>
          <w:noProof/>
        </w:rPr>
      </w:pPr>
      <w:r>
        <w:rPr>
          <w:noProof/>
        </w:rPr>
        <w:t>Като цяло националните планове за изпълнение на СИП ще допринесат за съгласувано и по-ефективно интегриране на действия за справяне с предизвикателствата пред изпълнението на СИП и за оползотворяване на възможностите.</w:t>
      </w:r>
    </w:p>
    <w:p w:rsidR="00E1343B" w:rsidRDefault="00EB18D6">
      <w:pPr>
        <w:pStyle w:val="Heading2"/>
        <w:rPr>
          <w:noProof/>
        </w:rPr>
      </w:pPr>
      <w:bookmarkStart w:id="72" w:name="_Toc494126134"/>
      <w:bookmarkStart w:id="73" w:name="_Toc497120790"/>
      <w:r>
        <w:rPr>
          <w:noProof/>
        </w:rPr>
        <w:t>Помощ за развитие</w:t>
      </w:r>
      <w:bookmarkEnd w:id="72"/>
      <w:bookmarkEnd w:id="73"/>
      <w:r>
        <w:rPr>
          <w:noProof/>
        </w:rPr>
        <w:t xml:space="preserve"> </w:t>
      </w:r>
    </w:p>
    <w:p w:rsidR="00E1343B" w:rsidRDefault="00EB18D6">
      <w:pPr>
        <w:rPr>
          <w:noProof/>
        </w:rPr>
      </w:pPr>
      <w:r>
        <w:rPr>
          <w:noProof/>
        </w:rPr>
        <w:t xml:space="preserve">За различните региони и държави, прилагащи СИП, се отпуска специално предназначена помощ за развитие в допълнение към другите източници на финансиране от ЕС, които по-косвено са насочени към нужди, свързани със СИП. </w:t>
      </w:r>
    </w:p>
    <w:p w:rsidR="00E1343B" w:rsidRDefault="00EB18D6">
      <w:pPr>
        <w:rPr>
          <w:noProof/>
        </w:rPr>
      </w:pPr>
      <w:r>
        <w:rPr>
          <w:noProof/>
        </w:rPr>
        <w:t xml:space="preserve">В </w:t>
      </w:r>
      <w:r>
        <w:rPr>
          <w:b/>
          <w:noProof/>
        </w:rPr>
        <w:t>Карибския регион</w:t>
      </w:r>
      <w:r>
        <w:rPr>
          <w:noProof/>
        </w:rPr>
        <w:t xml:space="preserve"> от 11-ия Европейски фонд за развитие са отпуснати над 100 милиона евро за регионалната програма за КАРИФОРУМ, за да се подобрят процесите на регионално сътрудничество и на интеграция. </w:t>
      </w:r>
    </w:p>
    <w:p w:rsidR="00E1343B" w:rsidRDefault="00EB18D6">
      <w:pPr>
        <w:rPr>
          <w:noProof/>
        </w:rPr>
      </w:pPr>
      <w:r>
        <w:rPr>
          <w:noProof/>
        </w:rPr>
        <w:t xml:space="preserve">В </w:t>
      </w:r>
      <w:r>
        <w:rPr>
          <w:b/>
          <w:noProof/>
        </w:rPr>
        <w:t>Тихоокеанския регион</w:t>
      </w:r>
      <w:r>
        <w:rPr>
          <w:noProof/>
        </w:rPr>
        <w:t xml:space="preserve"> регионалната търговия, бизнес средата и участието на частния сектор също са определени като приоритет в регионалния финансов пакет от 50 милиона евро.</w:t>
      </w:r>
    </w:p>
    <w:p w:rsidR="00E1343B" w:rsidRDefault="00EB18D6">
      <w:pPr>
        <w:rPr>
          <w:noProof/>
        </w:rPr>
      </w:pPr>
      <w:r>
        <w:rPr>
          <w:noProof/>
        </w:rPr>
        <w:t xml:space="preserve">В региона на </w:t>
      </w:r>
      <w:r>
        <w:rPr>
          <w:b/>
          <w:noProof/>
        </w:rPr>
        <w:t>Източна и Южна Африка</w:t>
      </w:r>
      <w:r>
        <w:rPr>
          <w:noProof/>
        </w:rPr>
        <w:t xml:space="preserve"> по регионалната програма за Източна и Южна Африка са отпуснати финансови пакети на стойност от 10 милиона евро за всяка от четирите държави, прилагащи СИП. </w:t>
      </w:r>
    </w:p>
    <w:p w:rsidR="00E1343B" w:rsidRDefault="00EB18D6">
      <w:pPr>
        <w:rPr>
          <w:noProof/>
        </w:rPr>
      </w:pPr>
      <w:r>
        <w:rPr>
          <w:noProof/>
        </w:rPr>
        <w:t xml:space="preserve">В </w:t>
      </w:r>
      <w:r>
        <w:rPr>
          <w:b/>
          <w:noProof/>
        </w:rPr>
        <w:t>Западна Африка</w:t>
      </w:r>
      <w:r>
        <w:rPr>
          <w:noProof/>
        </w:rPr>
        <w:t xml:space="preserve"> са предприети подготвителни действия за предоставяне на средства на Гана и Кот д'Ивоар по линия на регионалната програма за конкурентоспособност. Това ще включва специфични дейности, свързани с изпълнението на СИП. </w:t>
      </w:r>
    </w:p>
    <w:p w:rsidR="00E1343B" w:rsidRDefault="00EB18D6">
      <w:pPr>
        <w:rPr>
          <w:noProof/>
        </w:rPr>
      </w:pPr>
      <w:r>
        <w:rPr>
          <w:noProof/>
        </w:rPr>
        <w:t xml:space="preserve">В </w:t>
      </w:r>
      <w:r>
        <w:rPr>
          <w:b/>
          <w:noProof/>
        </w:rPr>
        <w:t>Централна Африка</w:t>
      </w:r>
      <w:r>
        <w:rPr>
          <w:noProof/>
        </w:rPr>
        <w:t xml:space="preserve"> Камерун е направил оценка на това как да използва средствата, предоставени по регионалния финансов пакет за регионална интеграция на стойност от 211 милиона евро.</w:t>
      </w:r>
    </w:p>
    <w:p w:rsidR="00E1343B" w:rsidRDefault="00EB18D6">
      <w:pPr>
        <w:rPr>
          <w:noProof/>
        </w:rPr>
      </w:pPr>
      <w:r>
        <w:rPr>
          <w:noProof/>
        </w:rPr>
        <w:t xml:space="preserve">В държавите от </w:t>
      </w:r>
      <w:r>
        <w:rPr>
          <w:b/>
          <w:noProof/>
        </w:rPr>
        <w:t>АКТБ</w:t>
      </w:r>
      <w:r>
        <w:rPr>
          <w:noProof/>
        </w:rPr>
        <w:t xml:space="preserve"> като цяло ЕС е положил особени усилия за стимулиране на търговията с продукти на хранително-вкусовата промишленост и инвестициите, за да помогне на тези държави да извлекат ползи от СИП. </w:t>
      </w:r>
    </w:p>
    <w:p w:rsidR="00E1343B" w:rsidRDefault="00EB18D6">
      <w:pPr>
        <w:pStyle w:val="Heading2"/>
        <w:rPr>
          <w:noProof/>
        </w:rPr>
      </w:pPr>
      <w:bookmarkStart w:id="74" w:name="_Toc494126135"/>
      <w:bookmarkStart w:id="75" w:name="_Toc497120791"/>
      <w:r>
        <w:rPr>
          <w:noProof/>
        </w:rPr>
        <w:t>Институционална дейност</w:t>
      </w:r>
      <w:bookmarkEnd w:id="74"/>
      <w:bookmarkEnd w:id="75"/>
      <w:r>
        <w:rPr>
          <w:noProof/>
        </w:rPr>
        <w:t xml:space="preserve"> </w:t>
      </w:r>
    </w:p>
    <w:p w:rsidR="00E1343B" w:rsidRDefault="00EB18D6">
      <w:pPr>
        <w:spacing w:after="0"/>
        <w:rPr>
          <w:noProof/>
        </w:rPr>
      </w:pPr>
      <w:r>
        <w:rPr>
          <w:noProof/>
        </w:rPr>
        <w:t>В контекста на разгледаните в настоящия доклад СИП е осъществена значителна институционална дейност:</w:t>
      </w:r>
    </w:p>
    <w:p w:rsidR="00E1343B" w:rsidRDefault="00EB18D6">
      <w:pPr>
        <w:pStyle w:val="ListParagraph"/>
        <w:numPr>
          <w:ilvl w:val="0"/>
          <w:numId w:val="41"/>
        </w:numPr>
        <w:spacing w:after="0" w:line="240" w:lineRule="auto"/>
        <w:rPr>
          <w:noProof/>
        </w:rPr>
      </w:pPr>
      <w:r>
        <w:rPr>
          <w:b/>
          <w:noProof/>
        </w:rPr>
        <w:t>органите за управление на СИП</w:t>
      </w:r>
      <w:r>
        <w:rPr>
          <w:noProof/>
        </w:rPr>
        <w:t xml:space="preserve"> за КАРИФОРУМ, Камерун и ИЮА (с изключение на Тихоокеанския регион) са провели своите годишни заседания;</w:t>
      </w:r>
    </w:p>
    <w:p w:rsidR="00E1343B" w:rsidRDefault="00EB18D6">
      <w:pPr>
        <w:pStyle w:val="ListParagraph"/>
        <w:numPr>
          <w:ilvl w:val="0"/>
          <w:numId w:val="41"/>
        </w:numPr>
        <w:spacing w:after="240" w:line="240" w:lineRule="auto"/>
        <w:ind w:left="357" w:hanging="357"/>
        <w:contextualSpacing w:val="0"/>
        <w:rPr>
          <w:noProof/>
        </w:rPr>
      </w:pPr>
      <w:r>
        <w:rPr>
          <w:b/>
          <w:noProof/>
        </w:rPr>
        <w:t>представителите на гражданското общество</w:t>
      </w:r>
      <w:r>
        <w:rPr>
          <w:noProof/>
        </w:rPr>
        <w:t xml:space="preserve"> са се срещнали по време на второто заседание на съвместния консултативен комитет „КАРИФОРУМ—ЕС“ по СИП (Брюксел, април 2016 г.).</w:t>
      </w:r>
    </w:p>
    <w:p w:rsidR="00E1343B" w:rsidRDefault="00EB18D6">
      <w:pPr>
        <w:rPr>
          <w:b/>
          <w:smallCaps/>
          <w:noProof/>
        </w:rPr>
      </w:pPr>
      <w:r>
        <w:rPr>
          <w:noProof/>
        </w:rPr>
        <w:t>Повече информация за тези срещи е предоставена в работния документ на службите на Комисията, придружаващ настоящия доклад.</w:t>
      </w:r>
    </w:p>
    <w:p w:rsidR="00E1343B" w:rsidRDefault="00EB18D6">
      <w:pPr>
        <w:pStyle w:val="Heading1"/>
        <w:rPr>
          <w:noProof/>
        </w:rPr>
      </w:pPr>
      <w:bookmarkStart w:id="76" w:name="_Toc493510427"/>
      <w:bookmarkStart w:id="77" w:name="_Toc493510806"/>
      <w:bookmarkStart w:id="78" w:name="_Toc494126136"/>
      <w:bookmarkStart w:id="79" w:name="_Toc497120792"/>
      <w:r>
        <w:rPr>
          <w:noProof/>
        </w:rPr>
        <w:t>ССТ „от първо поколение“</w:t>
      </w:r>
      <w:bookmarkEnd w:id="76"/>
      <w:bookmarkEnd w:id="77"/>
      <w:bookmarkEnd w:id="78"/>
      <w:bookmarkEnd w:id="79"/>
      <w:r>
        <w:rPr>
          <w:noProof/>
        </w:rPr>
        <w:t xml:space="preserve"> </w:t>
      </w:r>
    </w:p>
    <w:p w:rsidR="00E1343B" w:rsidRDefault="00EB18D6">
      <w:pPr>
        <w:rPr>
          <w:noProof/>
        </w:rPr>
      </w:pPr>
      <w:r>
        <w:rPr>
          <w:noProof/>
        </w:rPr>
        <w:t xml:space="preserve">ЕС сключи ССТ „от първо поколение“ преди публикуването през 2006 г. на </w:t>
      </w:r>
      <w:r>
        <w:rPr>
          <w:b/>
          <w:noProof/>
        </w:rPr>
        <w:t>съобщението „Глобална Европа“</w:t>
      </w:r>
      <w:r>
        <w:rPr>
          <w:noProof/>
        </w:rPr>
        <w:t xml:space="preserve">. Тези ССТ обикновено обхващат само търговията със стоки и често селскостопанските продукти се добавят към тяхното приложно поле едва на по-късен етап. </w:t>
      </w:r>
    </w:p>
    <w:p w:rsidR="00E1343B" w:rsidRDefault="00EB18D6">
      <w:pPr>
        <w:spacing w:after="0"/>
        <w:rPr>
          <w:noProof/>
        </w:rPr>
      </w:pPr>
      <w:r>
        <w:rPr>
          <w:noProof/>
        </w:rPr>
        <w:t>ССТ от тази категория са твърде разнообразни и включват:</w:t>
      </w:r>
    </w:p>
    <w:p w:rsidR="00E1343B" w:rsidRDefault="00EB18D6">
      <w:pPr>
        <w:pStyle w:val="ListParagraph"/>
        <w:numPr>
          <w:ilvl w:val="0"/>
          <w:numId w:val="26"/>
        </w:numPr>
        <w:spacing w:after="0" w:line="240" w:lineRule="auto"/>
        <w:rPr>
          <w:noProof/>
        </w:rPr>
      </w:pPr>
      <w:r>
        <w:rPr>
          <w:noProof/>
        </w:rPr>
        <w:t xml:space="preserve">Митническия съюз с Турция; </w:t>
      </w:r>
    </w:p>
    <w:p w:rsidR="00E1343B" w:rsidRDefault="00EB18D6">
      <w:pPr>
        <w:pStyle w:val="ListParagraph"/>
        <w:numPr>
          <w:ilvl w:val="0"/>
          <w:numId w:val="26"/>
        </w:numPr>
        <w:spacing w:after="0" w:line="240" w:lineRule="auto"/>
        <w:rPr>
          <w:noProof/>
        </w:rPr>
      </w:pPr>
      <w:r>
        <w:rPr>
          <w:noProof/>
        </w:rPr>
        <w:t>ССТ с Исландия, Норвегия</w:t>
      </w:r>
      <w:r>
        <w:rPr>
          <w:rStyle w:val="FootnoteReference"/>
          <w:noProof/>
        </w:rPr>
        <w:footnoteReference w:id="11"/>
      </w:r>
      <w:r>
        <w:rPr>
          <w:noProof/>
        </w:rPr>
        <w:t xml:space="preserve"> и Швейцария, датиращи от 70-те години на ХХ век; </w:t>
      </w:r>
    </w:p>
    <w:p w:rsidR="00E1343B" w:rsidRDefault="00EB18D6">
      <w:pPr>
        <w:pStyle w:val="ListParagraph"/>
        <w:numPr>
          <w:ilvl w:val="0"/>
          <w:numId w:val="26"/>
        </w:numPr>
        <w:spacing w:after="0" w:line="240" w:lineRule="auto"/>
        <w:rPr>
          <w:noProof/>
        </w:rPr>
      </w:pPr>
      <w:r>
        <w:rPr>
          <w:noProof/>
        </w:rPr>
        <w:t>ССТ с Фарьорските острови, Мексико, Чили и Южна Африка;</w:t>
      </w:r>
    </w:p>
    <w:p w:rsidR="00E1343B" w:rsidRDefault="00EB18D6">
      <w:pPr>
        <w:pStyle w:val="ListParagraph"/>
        <w:numPr>
          <w:ilvl w:val="0"/>
          <w:numId w:val="26"/>
        </w:numPr>
        <w:spacing w:after="240" w:line="240" w:lineRule="auto"/>
        <w:ind w:left="357" w:hanging="357"/>
        <w:contextualSpacing w:val="0"/>
        <w:rPr>
          <w:noProof/>
        </w:rPr>
      </w:pPr>
      <w:r>
        <w:rPr>
          <w:noProof/>
        </w:rPr>
        <w:t>ССТ със средиземноморските партньори на ЕС</w:t>
      </w:r>
      <w:r>
        <w:rPr>
          <w:rStyle w:val="FootnoteReference"/>
          <w:noProof/>
        </w:rPr>
        <w:footnoteReference w:id="12"/>
      </w:r>
      <w:r>
        <w:rPr>
          <w:noProof/>
        </w:rPr>
        <w:t xml:space="preserve"> като част от споразуменията за асоцииране, сключени с тях през 90-те години на ХХ век</w:t>
      </w:r>
      <w:r>
        <w:rPr>
          <w:rStyle w:val="FootnoteReference"/>
          <w:noProof/>
        </w:rPr>
        <w:footnoteReference w:id="13"/>
      </w:r>
      <w:r>
        <w:rPr>
          <w:noProof/>
        </w:rPr>
        <w:t>.</w:t>
      </w:r>
    </w:p>
    <w:p w:rsidR="00E1343B" w:rsidRDefault="00EB18D6">
      <w:pPr>
        <w:rPr>
          <w:noProof/>
        </w:rPr>
      </w:pPr>
      <w:r>
        <w:rPr>
          <w:noProof/>
        </w:rPr>
        <w:t xml:space="preserve">Има </w:t>
      </w:r>
      <w:r>
        <w:rPr>
          <w:b/>
          <w:noProof/>
        </w:rPr>
        <w:t>планове за преобразуване</w:t>
      </w:r>
      <w:r>
        <w:rPr>
          <w:noProof/>
        </w:rPr>
        <w:t xml:space="preserve"> на по-голямата част от тези ССТ във всеобхватни ССТ, които отговарят по-добре на по-сложния икономически обмен, който се осъществява в наши дни между ЕС и неговите партньори. В ход са преговори за усъвършенстване на ССТ с </w:t>
      </w:r>
      <w:r>
        <w:rPr>
          <w:b/>
          <w:noProof/>
        </w:rPr>
        <w:t>Мексико</w:t>
      </w:r>
      <w:r>
        <w:rPr>
          <w:noProof/>
        </w:rPr>
        <w:t xml:space="preserve">, като такива са започнати и с </w:t>
      </w:r>
      <w:r>
        <w:rPr>
          <w:b/>
          <w:noProof/>
        </w:rPr>
        <w:t>Мароко</w:t>
      </w:r>
      <w:r>
        <w:rPr>
          <w:noProof/>
        </w:rPr>
        <w:t xml:space="preserve"> и </w:t>
      </w:r>
      <w:r>
        <w:rPr>
          <w:b/>
          <w:noProof/>
        </w:rPr>
        <w:t>Тунис</w:t>
      </w:r>
      <w:r>
        <w:rPr>
          <w:noProof/>
        </w:rPr>
        <w:t xml:space="preserve">. Тече подготовка за започване на преговори за модернизиране на митническия съюз с </w:t>
      </w:r>
      <w:r>
        <w:rPr>
          <w:b/>
          <w:noProof/>
        </w:rPr>
        <w:t>Турция</w:t>
      </w:r>
      <w:r>
        <w:rPr>
          <w:noProof/>
        </w:rPr>
        <w:t xml:space="preserve"> и на ССТ с </w:t>
      </w:r>
      <w:r>
        <w:rPr>
          <w:b/>
          <w:noProof/>
        </w:rPr>
        <w:t>Чили</w:t>
      </w:r>
      <w:r>
        <w:rPr>
          <w:noProof/>
        </w:rPr>
        <w:t xml:space="preserve">, а ССТ с </w:t>
      </w:r>
      <w:r>
        <w:rPr>
          <w:b/>
          <w:noProof/>
        </w:rPr>
        <w:t>Южна Африка</w:t>
      </w:r>
      <w:r>
        <w:rPr>
          <w:noProof/>
        </w:rPr>
        <w:t xml:space="preserve"> беше заменено със СИП с ЮАОР. </w:t>
      </w:r>
    </w:p>
    <w:tbl>
      <w:tblPr>
        <w:tblStyle w:val="TableGrid5"/>
        <w:tblW w:w="0" w:type="auto"/>
        <w:tblInd w:w="108" w:type="dxa"/>
        <w:tblBorders>
          <w:insideH w:val="none" w:sz="0" w:space="0" w:color="auto"/>
        </w:tblBorders>
        <w:tblLook w:val="04A0" w:firstRow="1" w:lastRow="0" w:firstColumn="1" w:lastColumn="0" w:noHBand="0" w:noVBand="1"/>
      </w:tblPr>
      <w:tblGrid>
        <w:gridCol w:w="8647"/>
      </w:tblGrid>
      <w:tr w:rsidR="00E1343B">
        <w:tc>
          <w:tcPr>
            <w:tcW w:w="8647" w:type="dxa"/>
          </w:tcPr>
          <w:p w:rsidR="00E1343B" w:rsidRDefault="00EB18D6">
            <w:pPr>
              <w:rPr>
                <w:rFonts w:ascii="Times New Roman" w:hAnsi="Times New Roman" w:cs="Times New Roman"/>
                <w:b/>
                <w:bCs/>
                <w:noProof/>
                <w:sz w:val="27"/>
                <w:szCs w:val="27"/>
              </w:rPr>
            </w:pPr>
            <w:r>
              <w:rPr>
                <w:b/>
                <w:noProof/>
              </w:rPr>
              <w:t>Износ на традиционни италиански макаронени изделия за Южна Африка</w:t>
            </w:r>
          </w:p>
        </w:tc>
      </w:tr>
      <w:tr w:rsidR="00E1343B">
        <w:tc>
          <w:tcPr>
            <w:tcW w:w="8647" w:type="dxa"/>
          </w:tcPr>
          <w:p w:rsidR="00E1343B" w:rsidRDefault="00EB18D6">
            <w:pPr>
              <w:rPr>
                <w:noProof/>
              </w:rPr>
            </w:pPr>
            <w:r>
              <w:rPr>
                <w:noProof/>
              </w:rPr>
              <w:t>Pasta Astorino, семейно предприятие от Калабрия, произвежда и продава макаронени изделия в Италия и в чужбина. Споразумението за търговия между ЕС и Южна Африка влезе в сила през 2000 г. То е довело до значителен ръст на европейския износ на макаронени изделия за Южна Африка, както в стойностно изражение (43 %), така и като количество (67 %).</w:t>
            </w:r>
          </w:p>
          <w:p w:rsidR="00E1343B" w:rsidRDefault="00EB18D6">
            <w:pPr>
              <w:rPr>
                <w:rFonts w:ascii="Times New Roman" w:hAnsi="Times New Roman" w:cs="Times New Roman"/>
                <w:noProof/>
              </w:rPr>
            </w:pPr>
            <w:r>
              <w:rPr>
                <w:noProof/>
              </w:rPr>
              <w:t>Благодарение на споразумението за търговия между ЕС и Южна Африка Pasta Astorino е започнало да осъществява стопанска дейност в Южна Африка и през 2015 г. е изнесло един тон макаронени изделия. Местните предприятия — доставчици на дружеството, също са извлекли полза от търговското споразумение на ЕС.</w:t>
            </w:r>
          </w:p>
        </w:tc>
      </w:tr>
    </w:tbl>
    <w:p w:rsidR="00E1343B" w:rsidRDefault="00EB18D6">
      <w:pPr>
        <w:pStyle w:val="Heading2"/>
        <w:spacing w:before="240"/>
        <w:ind w:left="1202"/>
        <w:rPr>
          <w:noProof/>
        </w:rPr>
      </w:pPr>
      <w:bookmarkStart w:id="80" w:name="_Toc493698586"/>
      <w:bookmarkStart w:id="81" w:name="_Toc493510428"/>
      <w:bookmarkStart w:id="82" w:name="_Toc493510807"/>
      <w:bookmarkStart w:id="83" w:name="_Toc494126137"/>
      <w:bookmarkStart w:id="84" w:name="_Toc497120793"/>
      <w:bookmarkEnd w:id="80"/>
      <w:r>
        <w:rPr>
          <w:noProof/>
        </w:rPr>
        <w:t>Търговски потоци</w:t>
      </w:r>
      <w:bookmarkEnd w:id="81"/>
      <w:bookmarkEnd w:id="82"/>
      <w:bookmarkEnd w:id="83"/>
      <w:bookmarkEnd w:id="84"/>
      <w:r>
        <w:rPr>
          <w:noProof/>
        </w:rPr>
        <w:t xml:space="preserve"> </w:t>
      </w:r>
    </w:p>
    <w:p w:rsidR="00E1343B" w:rsidRDefault="00EB18D6">
      <w:pPr>
        <w:rPr>
          <w:noProof/>
        </w:rPr>
      </w:pPr>
      <w:r>
        <w:rPr>
          <w:noProof/>
        </w:rPr>
        <w:t xml:space="preserve">Като цяло развитието на търговията е било положително, тъй като по време на прилагането на ССТ двустранната търговия се е засилила във всеки един от случаите. </w:t>
      </w:r>
    </w:p>
    <w:p w:rsidR="00E1343B" w:rsidRDefault="00EB18D6">
      <w:pPr>
        <w:pStyle w:val="Heading3"/>
        <w:rPr>
          <w:noProof/>
        </w:rPr>
      </w:pPr>
      <w:r>
        <w:rPr>
          <w:noProof/>
        </w:rPr>
        <w:t xml:space="preserve">Швейцария </w:t>
      </w:r>
    </w:p>
    <w:p w:rsidR="00E1343B" w:rsidRDefault="00EB18D6">
      <w:pPr>
        <w:rPr>
          <w:noProof/>
        </w:rPr>
      </w:pPr>
      <w:r>
        <w:rPr>
          <w:noProof/>
        </w:rPr>
        <w:t xml:space="preserve">Швейцария е третият най-голям търговски партньор на ЕС и от 2002 г. насам </w:t>
      </w:r>
      <w:r>
        <w:rPr>
          <w:b/>
          <w:noProof/>
        </w:rPr>
        <w:t>износът и вносът на ЕС са се повишили</w:t>
      </w:r>
      <w:r>
        <w:rPr>
          <w:noProof/>
        </w:rPr>
        <w:t xml:space="preserve"> с 96 %.</w:t>
      </w:r>
    </w:p>
    <w:p w:rsidR="00E1343B" w:rsidRDefault="00EB18D6">
      <w:pPr>
        <w:pStyle w:val="Heading3"/>
        <w:rPr>
          <w:noProof/>
        </w:rPr>
      </w:pPr>
      <w:r>
        <w:rPr>
          <w:noProof/>
        </w:rPr>
        <w:t xml:space="preserve">Турция </w:t>
      </w:r>
    </w:p>
    <w:p w:rsidR="00E1343B" w:rsidRDefault="00EB18D6">
      <w:pPr>
        <w:rPr>
          <w:noProof/>
        </w:rPr>
      </w:pPr>
      <w:r>
        <w:rPr>
          <w:noProof/>
        </w:rPr>
        <w:t xml:space="preserve">Турция е петият по големина търговски партньор на ЕС. През периода на прилагане </w:t>
      </w:r>
      <w:r>
        <w:rPr>
          <w:b/>
          <w:noProof/>
        </w:rPr>
        <w:t xml:space="preserve">износът на ЕС </w:t>
      </w:r>
      <w:r>
        <w:rPr>
          <w:noProof/>
        </w:rPr>
        <w:t>за Турция</w:t>
      </w:r>
      <w:r>
        <w:rPr>
          <w:b/>
          <w:noProof/>
        </w:rPr>
        <w:t xml:space="preserve"> се е увеличил</w:t>
      </w:r>
      <w:r>
        <w:rPr>
          <w:noProof/>
        </w:rPr>
        <w:t xml:space="preserve"> със 185 %, а вносът — със 160 %. </w:t>
      </w:r>
      <w:r>
        <w:rPr>
          <w:b/>
          <w:noProof/>
        </w:rPr>
        <w:t>От 2014 г. насам</w:t>
      </w:r>
      <w:r>
        <w:rPr>
          <w:noProof/>
        </w:rPr>
        <w:t xml:space="preserve"> обаче износът на ЕС за Турция се е запазил </w:t>
      </w:r>
      <w:r>
        <w:rPr>
          <w:b/>
          <w:noProof/>
        </w:rPr>
        <w:t>стабилен</w:t>
      </w:r>
      <w:r>
        <w:rPr>
          <w:noProof/>
        </w:rPr>
        <w:t xml:space="preserve">, докато вносът е продължил да нараства, което е довело до намаляване на търговския баланс на ЕС от 20 милиарда евро на 10 милиарда евро. </w:t>
      </w:r>
    </w:p>
    <w:p w:rsidR="00E1343B" w:rsidRDefault="00EB18D6">
      <w:pPr>
        <w:pStyle w:val="Heading3"/>
        <w:rPr>
          <w:noProof/>
        </w:rPr>
      </w:pPr>
      <w:r>
        <w:rPr>
          <w:noProof/>
        </w:rPr>
        <w:t xml:space="preserve">Чили </w:t>
      </w:r>
    </w:p>
    <w:p w:rsidR="00E1343B" w:rsidRDefault="00EB18D6">
      <w:pPr>
        <w:rPr>
          <w:noProof/>
        </w:rPr>
      </w:pPr>
      <w:r>
        <w:rPr>
          <w:noProof/>
        </w:rPr>
        <w:t xml:space="preserve">По отношение на Чили износът на ЕС се е увеличил със 170 % от 2002 г. насам, с почти три пъти повече от вноса, който се е увеличил с 50 % през този период. Поради това че Чили е сключило много ССТ с други търговски партньори след подписването на ССТ между ЕС и Чили, с течение на времето ЕС прогресивно </w:t>
      </w:r>
      <w:r>
        <w:rPr>
          <w:b/>
          <w:noProof/>
        </w:rPr>
        <w:t>е губил пазарни дялове</w:t>
      </w:r>
      <w:r>
        <w:rPr>
          <w:noProof/>
        </w:rPr>
        <w:t xml:space="preserve"> </w:t>
      </w:r>
      <w:r>
        <w:rPr>
          <w:b/>
          <w:noProof/>
        </w:rPr>
        <w:t>в Чили</w:t>
      </w:r>
      <w:r>
        <w:rPr>
          <w:noProof/>
        </w:rPr>
        <w:t xml:space="preserve"> в полза на други търговски партньори</w:t>
      </w:r>
      <w:r>
        <w:rPr>
          <w:rStyle w:val="FootnoteReference"/>
          <w:noProof/>
        </w:rPr>
        <w:footnoteReference w:id="14"/>
      </w:r>
      <w:r>
        <w:rPr>
          <w:noProof/>
        </w:rPr>
        <w:t>.</w:t>
      </w:r>
    </w:p>
    <w:tbl>
      <w:tblPr>
        <w:tblStyle w:val="TableGrid4"/>
        <w:tblW w:w="0" w:type="auto"/>
        <w:tblBorders>
          <w:insideH w:val="none" w:sz="0" w:space="0" w:color="auto"/>
        </w:tblBorders>
        <w:tblLook w:val="04A0" w:firstRow="1" w:lastRow="0" w:firstColumn="1" w:lastColumn="0" w:noHBand="0" w:noVBand="1"/>
      </w:tblPr>
      <w:tblGrid>
        <w:gridCol w:w="8833"/>
      </w:tblGrid>
      <w:tr w:rsidR="00E1343B">
        <w:tc>
          <w:tcPr>
            <w:tcW w:w="8833" w:type="dxa"/>
          </w:tcPr>
          <w:p w:rsidR="00E1343B" w:rsidRDefault="00EB18D6">
            <w:pPr>
              <w:rPr>
                <w:rFonts w:ascii="Times New Roman" w:hAnsi="Times New Roman" w:cs="Times New Roman"/>
                <w:b/>
                <w:bCs/>
                <w:noProof/>
                <w:sz w:val="27"/>
                <w:szCs w:val="27"/>
              </w:rPr>
            </w:pPr>
            <w:r>
              <w:rPr>
                <w:b/>
                <w:noProof/>
              </w:rPr>
              <w:t>Износ на австрийско тесто за Мексико</w:t>
            </w:r>
          </w:p>
        </w:tc>
      </w:tr>
      <w:tr w:rsidR="00E1343B">
        <w:tc>
          <w:tcPr>
            <w:tcW w:w="8833" w:type="dxa"/>
          </w:tcPr>
          <w:p w:rsidR="00E1343B" w:rsidRDefault="00EB18D6">
            <w:pPr>
              <w:rPr>
                <w:rFonts w:ascii="Times New Roman" w:hAnsi="Times New Roman" w:cs="Times New Roman"/>
                <w:noProof/>
              </w:rPr>
            </w:pPr>
            <w:r>
              <w:rPr>
                <w:noProof/>
              </w:rPr>
              <w:t xml:space="preserve">Backaldrin e семейно предприятие за производство на съставки за пекарската промишленост, разположено в Астен, Горна Австрия. Дружеството е създател на зърнения хляб „Kornspitz“ и изнася своите продукти в над 100 държави. Споразумението за търговия между ЕС и Мексико от 2001 г. е помогнало на Backaldrin да навлезе на мексиканския пазар. </w:t>
            </w:r>
          </w:p>
          <w:p w:rsidR="00E1343B" w:rsidRDefault="00EB18D6">
            <w:pPr>
              <w:rPr>
                <w:rFonts w:ascii="Times New Roman" w:hAnsi="Times New Roman" w:cs="Times New Roman"/>
                <w:noProof/>
              </w:rPr>
            </w:pPr>
            <w:r>
              <w:rPr>
                <w:noProof/>
              </w:rPr>
              <w:t>Понастоящем Backaldrin изнася 80 % от своята продукция, а стабилната международна стопанска дейност е осигурила непрекъснати инвестиции и създаване на работни места. През 2013 г. Backaldrin откри център за иновации и технологии и очаква да разкрие 50 работни места за висококвалифицирани работници в близко бъдеще.</w:t>
            </w:r>
          </w:p>
        </w:tc>
      </w:tr>
    </w:tbl>
    <w:p w:rsidR="00E1343B" w:rsidRDefault="00EB18D6">
      <w:pPr>
        <w:pStyle w:val="Heading3"/>
        <w:spacing w:before="240"/>
        <w:ind w:left="1922"/>
        <w:rPr>
          <w:noProof/>
        </w:rPr>
      </w:pPr>
      <w:r>
        <w:rPr>
          <w:noProof/>
        </w:rPr>
        <w:t xml:space="preserve">Държавите от Средиземноморието </w:t>
      </w:r>
    </w:p>
    <w:p w:rsidR="00E1343B" w:rsidRDefault="00EB18D6">
      <w:pPr>
        <w:rPr>
          <w:noProof/>
        </w:rPr>
      </w:pPr>
      <w:r>
        <w:rPr>
          <w:noProof/>
        </w:rPr>
        <w:t xml:space="preserve">Споразуменията с държавите от Средиземноморието предвиждат </w:t>
      </w:r>
      <w:r>
        <w:rPr>
          <w:b/>
          <w:noProof/>
        </w:rPr>
        <w:t>взаимна либерализация</w:t>
      </w:r>
      <w:r>
        <w:rPr>
          <w:noProof/>
        </w:rPr>
        <w:t xml:space="preserve"> на цялата търговия с промишлени стоки и в различни степени — на търговията със селскостопански продукти, преработени селскостопански продукти и продукти от риболов. </w:t>
      </w:r>
    </w:p>
    <w:p w:rsidR="00E1343B" w:rsidRDefault="00EB18D6">
      <w:pPr>
        <w:rPr>
          <w:noProof/>
        </w:rPr>
      </w:pPr>
      <w:r>
        <w:rPr>
          <w:noProof/>
        </w:rPr>
        <w:t xml:space="preserve">Тези споразумения обикновено включват </w:t>
      </w:r>
      <w:r>
        <w:rPr>
          <w:b/>
          <w:noProof/>
        </w:rPr>
        <w:t>елементи на асиметрия</w:t>
      </w:r>
      <w:r>
        <w:rPr>
          <w:noProof/>
        </w:rPr>
        <w:t>, като например дълги преходни периоди и/или либерализация на търговията със селскостопански продукти в по-малък обхват. Това е в полза на средиземноморските партньори, като основната цел е развитието и по-добрата интеграция на региона в пазара на ЕС.</w:t>
      </w:r>
    </w:p>
    <w:p w:rsidR="00E1343B" w:rsidRDefault="00EB18D6">
      <w:pPr>
        <w:rPr>
          <w:noProof/>
        </w:rPr>
      </w:pPr>
      <w:r>
        <w:rPr>
          <w:noProof/>
        </w:rPr>
        <w:t xml:space="preserve">За повечето от нашите партньори в региона ЕС е водещият търговски партньор. Държавите от Средиземноморието са </w:t>
      </w:r>
      <w:r>
        <w:rPr>
          <w:b/>
          <w:noProof/>
        </w:rPr>
        <w:t>силно зависими от ЕС</w:t>
      </w:r>
      <w:r>
        <w:rPr>
          <w:noProof/>
        </w:rPr>
        <w:t xml:space="preserve"> по отношение на вноса и износа.</w:t>
      </w:r>
    </w:p>
    <w:p w:rsidR="00E1343B" w:rsidRDefault="00EB18D6">
      <w:pPr>
        <w:rPr>
          <w:noProof/>
        </w:rPr>
      </w:pPr>
      <w:r>
        <w:rPr>
          <w:noProof/>
        </w:rPr>
        <w:t xml:space="preserve">Въпреки че </w:t>
      </w:r>
      <w:r>
        <w:rPr>
          <w:b/>
          <w:noProof/>
        </w:rPr>
        <w:t>търговията се е увеличила</w:t>
      </w:r>
      <w:r>
        <w:rPr>
          <w:noProof/>
        </w:rPr>
        <w:t xml:space="preserve"> от двете страни, в повечето държави износът на ЕС е нараснал по-бързо, отколкото вноса от тези партньори. По изключение, от влизането в сила на споразуменията насам износът на Мароко и Тунис за ЕС се е увеличил повече, отколкото износа на ЕС за техния пазар. Държавите, които са постигнали най-голям напредък по отношение на </w:t>
      </w:r>
      <w:r>
        <w:rPr>
          <w:b/>
          <w:noProof/>
        </w:rPr>
        <w:t>структурните реформи</w:t>
      </w:r>
      <w:r>
        <w:rPr>
          <w:noProof/>
        </w:rPr>
        <w:t xml:space="preserve"> и </w:t>
      </w:r>
      <w:r>
        <w:rPr>
          <w:b/>
          <w:noProof/>
        </w:rPr>
        <w:t>диверсификацията</w:t>
      </w:r>
      <w:r>
        <w:rPr>
          <w:noProof/>
        </w:rPr>
        <w:t xml:space="preserve">, като </w:t>
      </w:r>
      <w:r>
        <w:rPr>
          <w:b/>
          <w:noProof/>
        </w:rPr>
        <w:t>Израел, Мароко и Тунис</w:t>
      </w:r>
      <w:r>
        <w:rPr>
          <w:noProof/>
        </w:rPr>
        <w:t xml:space="preserve">, имат относително по-малък и по-стабилен търговски дефицит. </w:t>
      </w:r>
    </w:p>
    <w:p w:rsidR="00E1343B" w:rsidRDefault="00EB18D6">
      <w:pPr>
        <w:rPr>
          <w:noProof/>
        </w:rPr>
      </w:pPr>
      <w:r>
        <w:rPr>
          <w:b/>
          <w:noProof/>
        </w:rPr>
        <w:t>Алжир</w:t>
      </w:r>
      <w:r>
        <w:rPr>
          <w:noProof/>
        </w:rPr>
        <w:t xml:space="preserve"> също представлява специален случай, тъй като минералните горива съставляват над 90 % от неговия износ за ЕС, поради което всяка година до 2012 г. е бил отчитан търговски излишък. От 2012 г. насам обаче стойността на този износ е спаднала значително в съответствие със </w:t>
      </w:r>
      <w:r>
        <w:rPr>
          <w:b/>
          <w:noProof/>
        </w:rPr>
        <w:t>спада на световните цени на петрола</w:t>
      </w:r>
      <w:r>
        <w:rPr>
          <w:noProof/>
        </w:rPr>
        <w:t xml:space="preserve">. От 2015 г. Алжир отчита </w:t>
      </w:r>
      <w:r>
        <w:rPr>
          <w:b/>
          <w:noProof/>
        </w:rPr>
        <w:t>търговски дефицит с ЕС</w:t>
      </w:r>
      <w:r>
        <w:rPr>
          <w:noProof/>
        </w:rPr>
        <w:t>.</w:t>
      </w:r>
    </w:p>
    <w:tbl>
      <w:tblPr>
        <w:tblStyle w:val="TableGrid"/>
        <w:tblW w:w="0" w:type="auto"/>
        <w:tblBorders>
          <w:insideH w:val="none" w:sz="0" w:space="0" w:color="auto"/>
        </w:tblBorders>
        <w:tblLook w:val="04A0" w:firstRow="1" w:lastRow="0" w:firstColumn="1" w:lastColumn="0" w:noHBand="0" w:noVBand="1"/>
      </w:tblPr>
      <w:tblGrid>
        <w:gridCol w:w="8833"/>
      </w:tblGrid>
      <w:tr w:rsidR="00E1343B">
        <w:tc>
          <w:tcPr>
            <w:tcW w:w="8833" w:type="dxa"/>
          </w:tcPr>
          <w:p w:rsidR="00E1343B" w:rsidRDefault="00EB18D6">
            <w:pPr>
              <w:rPr>
                <w:rFonts w:ascii="Times New Roman" w:hAnsi="Times New Roman" w:cs="Times New Roman"/>
                <w:b/>
                <w:bCs/>
                <w:noProof/>
                <w:sz w:val="27"/>
                <w:szCs w:val="27"/>
              </w:rPr>
            </w:pPr>
            <w:r>
              <w:rPr>
                <w:b/>
                <w:noProof/>
              </w:rPr>
              <w:t>Износ на повече испански бисквити за Алжир</w:t>
            </w:r>
          </w:p>
        </w:tc>
      </w:tr>
      <w:tr w:rsidR="00E1343B">
        <w:tc>
          <w:tcPr>
            <w:tcW w:w="8833" w:type="dxa"/>
          </w:tcPr>
          <w:p w:rsidR="00E1343B" w:rsidRDefault="00EB18D6">
            <w:pPr>
              <w:rPr>
                <w:rFonts w:ascii="Times New Roman" w:hAnsi="Times New Roman" w:cs="Times New Roman"/>
                <w:noProof/>
              </w:rPr>
            </w:pPr>
            <w:r>
              <w:rPr>
                <w:noProof/>
              </w:rPr>
              <w:t xml:space="preserve">Дружеството Galletas Gullón е един от водещите европейски производители на бисквити. То изнася своите продукти в над 100 държави. Споразумението за търговия между ЕС и Алжир, което влезе в сила през 2005 г., доведе до намаляване на тарифните ограничения, достигащи преди това 30 %. Благодарение на него за европейските дружества, като Galletas Gullón, стана по-лесно да изнасят своите стоки там. </w:t>
            </w:r>
          </w:p>
          <w:p w:rsidR="00E1343B" w:rsidRDefault="00EB18D6">
            <w:pPr>
              <w:rPr>
                <w:rFonts w:ascii="Times New Roman" w:hAnsi="Times New Roman" w:cs="Times New Roman"/>
                <w:noProof/>
              </w:rPr>
            </w:pPr>
            <w:r>
              <w:rPr>
                <w:noProof/>
              </w:rPr>
              <w:t>През последните пет години Galletas Gullón регистрира увеличение от 36 % на продажбите в Алжир, които през 2015 г. достигнаха 2 милион евро. Благодарение на непрекъснатото търсене Galletas Gullón вече се е наложило като най-големия износител на бисквити за Алжир — постижение, което дружеството счита, че би било невъзможно без ССТ.</w:t>
            </w:r>
          </w:p>
        </w:tc>
      </w:tr>
    </w:tbl>
    <w:p w:rsidR="00E1343B" w:rsidRDefault="00EB18D6">
      <w:pPr>
        <w:pStyle w:val="Heading2"/>
        <w:spacing w:before="240"/>
        <w:ind w:left="1202"/>
        <w:rPr>
          <w:noProof/>
        </w:rPr>
      </w:pPr>
      <w:bookmarkStart w:id="85" w:name="_Toc493698588"/>
      <w:bookmarkStart w:id="86" w:name="_Toc493510429"/>
      <w:bookmarkStart w:id="87" w:name="_Toc493510808"/>
      <w:bookmarkStart w:id="88" w:name="_Toc494126138"/>
      <w:bookmarkStart w:id="89" w:name="_Toc497120794"/>
      <w:bookmarkEnd w:id="85"/>
      <w:r>
        <w:rPr>
          <w:noProof/>
        </w:rPr>
        <w:t>Тарифни квоти</w:t>
      </w:r>
      <w:bookmarkEnd w:id="86"/>
      <w:bookmarkEnd w:id="87"/>
      <w:bookmarkEnd w:id="88"/>
      <w:bookmarkEnd w:id="89"/>
      <w:r>
        <w:rPr>
          <w:noProof/>
        </w:rPr>
        <w:t xml:space="preserve"> </w:t>
      </w:r>
    </w:p>
    <w:p w:rsidR="00E1343B" w:rsidRDefault="00EB18D6">
      <w:pPr>
        <w:rPr>
          <w:noProof/>
        </w:rPr>
      </w:pPr>
      <w:r>
        <w:rPr>
          <w:noProof/>
        </w:rPr>
        <w:t xml:space="preserve">По принцип тарифните квоти </w:t>
      </w:r>
      <w:r>
        <w:rPr>
          <w:b/>
          <w:noProof/>
        </w:rPr>
        <w:t>не са добре използвани</w:t>
      </w:r>
      <w:r>
        <w:rPr>
          <w:noProof/>
        </w:rPr>
        <w:t xml:space="preserve"> или се използват само за ограничен брой продукти. Изключение е Израел, който в повечето случаи запълва своите тарифни квоти. Много средиземноморски партньори се сблъскват с предизвикателства при износа за пазара на ЕС поради </w:t>
      </w:r>
      <w:r>
        <w:rPr>
          <w:b/>
          <w:noProof/>
        </w:rPr>
        <w:t>регулаторните изисквания</w:t>
      </w:r>
      <w:r>
        <w:rPr>
          <w:noProof/>
        </w:rPr>
        <w:t xml:space="preserve"> и стандарти на ЕС. В много случаи регулаторната среда в държавите партньори не съответства на изискванията на ЕС. </w:t>
      </w:r>
    </w:p>
    <w:p w:rsidR="00E1343B" w:rsidRDefault="00EB18D6">
      <w:pPr>
        <w:spacing w:after="0"/>
        <w:rPr>
          <w:noProof/>
        </w:rPr>
      </w:pPr>
      <w:r>
        <w:rPr>
          <w:b/>
          <w:noProof/>
        </w:rPr>
        <w:t>Регионалната нестабилност</w:t>
      </w:r>
      <w:r>
        <w:rPr>
          <w:noProof/>
        </w:rPr>
        <w:t xml:space="preserve"> е оказала икономическо въздействие върху средиземноморските партньори. Затрудненията, пред които са изправени тези партньори, включват например: </w:t>
      </w:r>
    </w:p>
    <w:p w:rsidR="00E1343B" w:rsidRDefault="00EB18D6">
      <w:pPr>
        <w:pStyle w:val="ListParagraph"/>
        <w:numPr>
          <w:ilvl w:val="0"/>
          <w:numId w:val="27"/>
        </w:numPr>
        <w:spacing w:after="0" w:line="240" w:lineRule="auto"/>
        <w:rPr>
          <w:noProof/>
        </w:rPr>
      </w:pPr>
      <w:r>
        <w:rPr>
          <w:noProof/>
        </w:rPr>
        <w:t>затварянето на традиционните търговски пътища;</w:t>
      </w:r>
    </w:p>
    <w:p w:rsidR="00E1343B" w:rsidRDefault="00EB18D6">
      <w:pPr>
        <w:pStyle w:val="ListParagraph"/>
        <w:numPr>
          <w:ilvl w:val="0"/>
          <w:numId w:val="27"/>
        </w:numPr>
        <w:spacing w:after="0" w:line="240" w:lineRule="auto"/>
        <w:rPr>
          <w:noProof/>
        </w:rPr>
      </w:pPr>
      <w:r>
        <w:rPr>
          <w:noProof/>
        </w:rPr>
        <w:t>трудната политическа обстановка;</w:t>
      </w:r>
    </w:p>
    <w:p w:rsidR="00E1343B" w:rsidRDefault="00EB18D6">
      <w:pPr>
        <w:pStyle w:val="ListParagraph"/>
        <w:numPr>
          <w:ilvl w:val="0"/>
          <w:numId w:val="27"/>
        </w:numPr>
        <w:spacing w:after="0" w:line="240" w:lineRule="auto"/>
        <w:rPr>
          <w:noProof/>
        </w:rPr>
      </w:pPr>
      <w:r>
        <w:rPr>
          <w:noProof/>
        </w:rPr>
        <w:t xml:space="preserve">присъствието на голям брой бежанци; и </w:t>
      </w:r>
    </w:p>
    <w:p w:rsidR="00E1343B" w:rsidRDefault="00EB18D6">
      <w:pPr>
        <w:pStyle w:val="ListParagraph"/>
        <w:numPr>
          <w:ilvl w:val="0"/>
          <w:numId w:val="27"/>
        </w:numPr>
        <w:spacing w:after="240" w:line="240" w:lineRule="auto"/>
        <w:ind w:left="357" w:hanging="357"/>
        <w:contextualSpacing w:val="0"/>
        <w:rPr>
          <w:noProof/>
        </w:rPr>
      </w:pPr>
      <w:r>
        <w:rPr>
          <w:noProof/>
        </w:rPr>
        <w:t>трудности при привличането на чуждестранни инвестиции във времена на нестабилност.</w:t>
      </w:r>
    </w:p>
    <w:p w:rsidR="00E1343B" w:rsidRDefault="00EB18D6">
      <w:pPr>
        <w:rPr>
          <w:noProof/>
          <w:szCs w:val="24"/>
        </w:rPr>
      </w:pPr>
      <w:r>
        <w:rPr>
          <w:noProof/>
        </w:rPr>
        <w:t xml:space="preserve">Въздействията на </w:t>
      </w:r>
      <w:r>
        <w:rPr>
          <w:b/>
          <w:noProof/>
        </w:rPr>
        <w:t>кризата със сирийските бежанци</w:t>
      </w:r>
      <w:r>
        <w:rPr>
          <w:noProof/>
        </w:rPr>
        <w:t xml:space="preserve"> са особено осезаеми в малки и крехки икономики, като тези на Йордания и Ливан. ЕС проучва начини за укрепване на икономическото сътрудничество и свързаното с търговията подпомагане, с които да се осигури държавите от Средиземноморието да извличат по-големи ползи от либерализацията на търговията с ЕС. Инициативата </w:t>
      </w:r>
      <w:r>
        <w:rPr>
          <w:b/>
          <w:noProof/>
        </w:rPr>
        <w:t>„Опростяване на правилата за произход“</w:t>
      </w:r>
      <w:r>
        <w:rPr>
          <w:noProof/>
        </w:rPr>
        <w:t xml:space="preserve">, която беше подета през юли 2016 г. с </w:t>
      </w:r>
      <w:r>
        <w:rPr>
          <w:b/>
          <w:noProof/>
        </w:rPr>
        <w:t>Йордания</w:t>
      </w:r>
      <w:r>
        <w:rPr>
          <w:noProof/>
        </w:rPr>
        <w:t xml:space="preserve"> и която е свързана с наемането на работа на сирийски бежанци, е пример за готовността на ЕС да предприема действия в отговор на конкретните предизвикателства, пред които са изправени средиземноморските партньори.</w:t>
      </w:r>
    </w:p>
    <w:p w:rsidR="00E1343B" w:rsidRDefault="00EB18D6">
      <w:pPr>
        <w:pStyle w:val="Heading2"/>
        <w:rPr>
          <w:noProof/>
        </w:rPr>
      </w:pPr>
      <w:bookmarkStart w:id="90" w:name="_Toc493510430"/>
      <w:bookmarkStart w:id="91" w:name="_Toc493510809"/>
      <w:bookmarkStart w:id="92" w:name="_Toc494126139"/>
      <w:bookmarkStart w:id="93" w:name="_Toc497120795"/>
      <w:r>
        <w:rPr>
          <w:noProof/>
        </w:rPr>
        <w:t>Степен на използване на преференциите</w:t>
      </w:r>
      <w:bookmarkEnd w:id="90"/>
      <w:bookmarkEnd w:id="91"/>
      <w:bookmarkEnd w:id="92"/>
      <w:bookmarkEnd w:id="93"/>
      <w:r>
        <w:rPr>
          <w:noProof/>
        </w:rPr>
        <w:t xml:space="preserve"> </w:t>
      </w:r>
    </w:p>
    <w:p w:rsidR="00E1343B" w:rsidRDefault="00EB18D6">
      <w:pPr>
        <w:rPr>
          <w:noProof/>
        </w:rPr>
      </w:pPr>
      <w:r>
        <w:rPr>
          <w:noProof/>
        </w:rPr>
        <w:t xml:space="preserve">Не всички държави могат да се ползват от преференции, що се отнася до износа за ЕС. Наличните преференции обаче са много по-ниски за износа от ЕС, отколкото за вноса за ЕС от партньорите по ССТ. Степента на използване на преференциите за партньорите по </w:t>
      </w:r>
      <w:r>
        <w:rPr>
          <w:b/>
          <w:noProof/>
        </w:rPr>
        <w:t>ССТ</w:t>
      </w:r>
      <w:r>
        <w:rPr>
          <w:noProof/>
        </w:rPr>
        <w:t xml:space="preserve"> </w:t>
      </w:r>
      <w:r>
        <w:rPr>
          <w:b/>
          <w:noProof/>
        </w:rPr>
        <w:t>„от първо поколение“</w:t>
      </w:r>
      <w:r>
        <w:rPr>
          <w:noProof/>
        </w:rPr>
        <w:t xml:space="preserve"> е различна — от 96 % (внос от Египет и Тунис) до 66 % (внос от Норвегия), като средното равнище е 84 %. По отношение на </w:t>
      </w:r>
      <w:r>
        <w:rPr>
          <w:b/>
          <w:noProof/>
        </w:rPr>
        <w:t>износа от ЕС</w:t>
      </w:r>
      <w:r>
        <w:rPr>
          <w:noProof/>
        </w:rPr>
        <w:t xml:space="preserve"> те варират между 74 % (износ за Ливан и Чили) и 23,5 % (износ за Тунис), при средно равнище от 53 %.</w:t>
      </w:r>
    </w:p>
    <w:p w:rsidR="00E1343B" w:rsidRDefault="00EB18D6">
      <w:pPr>
        <w:pStyle w:val="Heading2"/>
        <w:rPr>
          <w:noProof/>
        </w:rPr>
      </w:pPr>
      <w:bookmarkStart w:id="94" w:name="_Toc493510431"/>
      <w:bookmarkStart w:id="95" w:name="_Toc493510810"/>
      <w:bookmarkStart w:id="96" w:name="_Toc494126140"/>
      <w:bookmarkStart w:id="97" w:name="_Toc497120796"/>
      <w:r>
        <w:rPr>
          <w:noProof/>
        </w:rPr>
        <w:t>Услуги и инвестиции</w:t>
      </w:r>
      <w:bookmarkEnd w:id="94"/>
      <w:bookmarkEnd w:id="95"/>
      <w:bookmarkEnd w:id="96"/>
      <w:bookmarkEnd w:id="97"/>
      <w:r>
        <w:rPr>
          <w:noProof/>
        </w:rPr>
        <w:t xml:space="preserve"> </w:t>
      </w:r>
    </w:p>
    <w:p w:rsidR="00E1343B" w:rsidRDefault="00EB18D6">
      <w:pPr>
        <w:spacing w:after="120"/>
        <w:rPr>
          <w:noProof/>
        </w:rPr>
      </w:pPr>
      <w:r>
        <w:rPr>
          <w:noProof/>
        </w:rPr>
        <w:t xml:space="preserve">По принцип за всички въпросни държави ЕС е най-големият или един от водещите партньори при търговията с услуги и доставчик на инвестиции. Развитието на търговията с услуги и на инвестициите като цяло е било </w:t>
      </w:r>
      <w:r>
        <w:rPr>
          <w:b/>
          <w:noProof/>
        </w:rPr>
        <w:t>положително</w:t>
      </w:r>
      <w:r>
        <w:rPr>
          <w:noProof/>
        </w:rPr>
        <w:t xml:space="preserve">. През последните години обаче по-широките тенденции, особено в региона на Средиземноморието, са засегнали търговията с услуги на някои държави, и особено </w:t>
      </w:r>
      <w:r>
        <w:rPr>
          <w:b/>
          <w:noProof/>
        </w:rPr>
        <w:t>туризма</w:t>
      </w:r>
      <w:r>
        <w:rPr>
          <w:noProof/>
        </w:rPr>
        <w:t>.</w:t>
      </w:r>
    </w:p>
    <w:p w:rsidR="00E1343B" w:rsidRDefault="00EB18D6">
      <w:pPr>
        <w:pStyle w:val="Heading3"/>
        <w:rPr>
          <w:noProof/>
        </w:rPr>
      </w:pPr>
      <w:r>
        <w:rPr>
          <w:noProof/>
        </w:rPr>
        <w:t xml:space="preserve">Чили </w:t>
      </w:r>
    </w:p>
    <w:p w:rsidR="00E1343B" w:rsidRDefault="00EB18D6">
      <w:pPr>
        <w:spacing w:after="120"/>
        <w:rPr>
          <w:rFonts w:eastAsia="Calibri"/>
          <w:noProof/>
          <w:szCs w:val="24"/>
        </w:rPr>
      </w:pPr>
      <w:r>
        <w:rPr>
          <w:noProof/>
        </w:rPr>
        <w:t xml:space="preserve">Услугите не са обхванати от ССП от „първо поколение“, освен в случая с Мексико и Чили. Между 2010 г. и 2015 г. </w:t>
      </w:r>
      <w:r>
        <w:rPr>
          <w:b/>
          <w:noProof/>
        </w:rPr>
        <w:t>износът на услуги от ЕС</w:t>
      </w:r>
      <w:r>
        <w:rPr>
          <w:noProof/>
        </w:rPr>
        <w:t xml:space="preserve"> за Чили се е увеличил с 27 %, а вносът — с 29 %. </w:t>
      </w:r>
    </w:p>
    <w:p w:rsidR="00E1343B" w:rsidRDefault="00EB18D6">
      <w:pPr>
        <w:rPr>
          <w:noProof/>
        </w:rPr>
      </w:pPr>
      <w:r>
        <w:rPr>
          <w:noProof/>
        </w:rPr>
        <w:t xml:space="preserve">По отношение на </w:t>
      </w:r>
      <w:r>
        <w:rPr>
          <w:b/>
          <w:noProof/>
        </w:rPr>
        <w:t>инвестициите</w:t>
      </w:r>
      <w:r>
        <w:rPr>
          <w:noProof/>
        </w:rPr>
        <w:t xml:space="preserve"> ЕС е най-големият инвеститор в Чили, но през последните години инвестициите от ЕС намаляват, вероятно поради кризата в </w:t>
      </w:r>
      <w:r>
        <w:rPr>
          <w:b/>
          <w:noProof/>
        </w:rPr>
        <w:t>минния сектор</w:t>
      </w:r>
      <w:r>
        <w:rPr>
          <w:noProof/>
        </w:rPr>
        <w:t xml:space="preserve"> в Чили. </w:t>
      </w:r>
    </w:p>
    <w:p w:rsidR="00E1343B" w:rsidRDefault="00EB18D6">
      <w:pPr>
        <w:pStyle w:val="Heading3"/>
        <w:rPr>
          <w:noProof/>
        </w:rPr>
      </w:pPr>
      <w:r>
        <w:rPr>
          <w:noProof/>
        </w:rPr>
        <w:t xml:space="preserve">Мексико </w:t>
      </w:r>
    </w:p>
    <w:p w:rsidR="00E1343B" w:rsidRDefault="00EB18D6">
      <w:pPr>
        <w:rPr>
          <w:rFonts w:eastAsia="Calibri"/>
          <w:noProof/>
          <w:szCs w:val="24"/>
        </w:rPr>
      </w:pPr>
      <w:r>
        <w:rPr>
          <w:noProof/>
        </w:rPr>
        <w:t xml:space="preserve">През периода 2010—2015 г. износът на </w:t>
      </w:r>
      <w:r>
        <w:rPr>
          <w:b/>
          <w:noProof/>
        </w:rPr>
        <w:t>услуги</w:t>
      </w:r>
      <w:r>
        <w:rPr>
          <w:noProof/>
        </w:rPr>
        <w:t xml:space="preserve"> от ЕС за Мексико се е увеличил с 54 %, а вносът в ЕС — с 47 %.</w:t>
      </w:r>
    </w:p>
    <w:p w:rsidR="00E1343B" w:rsidRDefault="00EB18D6">
      <w:pPr>
        <w:rPr>
          <w:rFonts w:eastAsia="Calibri"/>
          <w:noProof/>
          <w:szCs w:val="24"/>
        </w:rPr>
      </w:pPr>
      <w:r>
        <w:rPr>
          <w:noProof/>
        </w:rPr>
        <w:t xml:space="preserve">В Мексико средните годишни инвестиционни потоци с произход от ЕС са се увеличили </w:t>
      </w:r>
      <w:r>
        <w:rPr>
          <w:b/>
          <w:noProof/>
        </w:rPr>
        <w:t>тройно</w:t>
      </w:r>
      <w:r>
        <w:rPr>
          <w:noProof/>
        </w:rPr>
        <w:t xml:space="preserve"> от началото на прилагането на ССТ. </w:t>
      </w:r>
    </w:p>
    <w:p w:rsidR="00E1343B" w:rsidRDefault="00EB18D6">
      <w:pPr>
        <w:pStyle w:val="Heading2"/>
        <w:rPr>
          <w:rFonts w:eastAsia="Calibri"/>
          <w:noProof/>
        </w:rPr>
      </w:pPr>
      <w:bookmarkStart w:id="98" w:name="_Toc493510432"/>
      <w:bookmarkStart w:id="99" w:name="_Toc493510811"/>
      <w:bookmarkStart w:id="100" w:name="_Toc494126141"/>
      <w:bookmarkStart w:id="101" w:name="_Toc497120797"/>
      <w:r>
        <w:rPr>
          <w:noProof/>
        </w:rPr>
        <w:t>Органи по изпълнението</w:t>
      </w:r>
      <w:bookmarkEnd w:id="98"/>
      <w:bookmarkEnd w:id="99"/>
      <w:bookmarkEnd w:id="100"/>
      <w:bookmarkEnd w:id="101"/>
    </w:p>
    <w:p w:rsidR="00E1343B" w:rsidRDefault="00EB18D6">
      <w:pPr>
        <w:rPr>
          <w:noProof/>
        </w:rPr>
      </w:pPr>
      <w:r>
        <w:rPr>
          <w:noProof/>
        </w:rPr>
        <w:t xml:space="preserve">При ССТ от „първо поколение“ няма толкова развита структура от органи по изпълнението, както при най-новите ССТ, но е планирано и обикновено се провежда </w:t>
      </w:r>
      <w:r>
        <w:rPr>
          <w:b/>
          <w:noProof/>
        </w:rPr>
        <w:t>годишно заседание</w:t>
      </w:r>
      <w:r>
        <w:rPr>
          <w:noProof/>
        </w:rPr>
        <w:t>, по време на което се прави преглед на развитието.</w:t>
      </w:r>
    </w:p>
    <w:p w:rsidR="00E1343B" w:rsidRDefault="00EB18D6">
      <w:pPr>
        <w:spacing w:after="0"/>
        <w:rPr>
          <w:noProof/>
        </w:rPr>
      </w:pPr>
      <w:r>
        <w:rPr>
          <w:noProof/>
        </w:rPr>
        <w:t>Въпросите, повдигани по време на тези заседания, са много различни и отразяват конкретната ситуация на всяка държава партньор. Общите теми, разгледани на някои от тези заседания, са били:</w:t>
      </w:r>
    </w:p>
    <w:p w:rsidR="00E1343B" w:rsidRDefault="00EB18D6">
      <w:pPr>
        <w:pStyle w:val="ListParagraph"/>
        <w:numPr>
          <w:ilvl w:val="0"/>
          <w:numId w:val="28"/>
        </w:numPr>
        <w:spacing w:after="0" w:line="240" w:lineRule="auto"/>
        <w:ind w:left="357" w:hanging="357"/>
        <w:rPr>
          <w:noProof/>
        </w:rPr>
      </w:pPr>
      <w:r>
        <w:rPr>
          <w:noProof/>
        </w:rPr>
        <w:t>утежнените митнически процедури;</w:t>
      </w:r>
    </w:p>
    <w:p w:rsidR="00E1343B" w:rsidRDefault="00EB18D6">
      <w:pPr>
        <w:pStyle w:val="ListParagraph"/>
        <w:numPr>
          <w:ilvl w:val="0"/>
          <w:numId w:val="28"/>
        </w:numPr>
        <w:spacing w:after="0" w:line="240" w:lineRule="auto"/>
        <w:ind w:left="357" w:hanging="357"/>
        <w:rPr>
          <w:noProof/>
        </w:rPr>
      </w:pPr>
      <w:r>
        <w:rPr>
          <w:noProof/>
        </w:rPr>
        <w:t>ограниченията за търговията със селскостопански продукти;</w:t>
      </w:r>
    </w:p>
    <w:p w:rsidR="00E1343B" w:rsidRDefault="00EB18D6">
      <w:pPr>
        <w:pStyle w:val="ListParagraph"/>
        <w:numPr>
          <w:ilvl w:val="0"/>
          <w:numId w:val="28"/>
        </w:numPr>
        <w:spacing w:after="0" w:line="240" w:lineRule="auto"/>
        <w:ind w:left="357" w:hanging="357"/>
        <w:rPr>
          <w:noProof/>
        </w:rPr>
      </w:pPr>
      <w:r>
        <w:rPr>
          <w:noProof/>
        </w:rPr>
        <w:t>фармацевтичните продукти;</w:t>
      </w:r>
    </w:p>
    <w:p w:rsidR="00E1343B" w:rsidRDefault="00EB18D6">
      <w:pPr>
        <w:pStyle w:val="ListParagraph"/>
        <w:numPr>
          <w:ilvl w:val="0"/>
          <w:numId w:val="28"/>
        </w:numPr>
        <w:spacing w:after="0" w:line="240" w:lineRule="auto"/>
        <w:ind w:left="357" w:hanging="357"/>
        <w:rPr>
          <w:noProof/>
        </w:rPr>
      </w:pPr>
      <w:r>
        <w:rPr>
          <w:noProof/>
        </w:rPr>
        <w:t>държавните поръчки;</w:t>
      </w:r>
    </w:p>
    <w:p w:rsidR="00E1343B" w:rsidRDefault="00EB18D6">
      <w:pPr>
        <w:pStyle w:val="ListParagraph"/>
        <w:numPr>
          <w:ilvl w:val="0"/>
          <w:numId w:val="28"/>
        </w:numPr>
        <w:spacing w:after="240" w:line="240" w:lineRule="auto"/>
        <w:ind w:left="357" w:hanging="357"/>
        <w:contextualSpacing w:val="0"/>
        <w:rPr>
          <w:noProof/>
        </w:rPr>
      </w:pPr>
      <w:r>
        <w:rPr>
          <w:noProof/>
        </w:rPr>
        <w:t>ограниченията за преките чуждестранни инвестиции.</w:t>
      </w:r>
    </w:p>
    <w:p w:rsidR="00E1343B" w:rsidRDefault="00EB18D6">
      <w:pPr>
        <w:spacing w:after="0"/>
        <w:rPr>
          <w:noProof/>
        </w:rPr>
      </w:pPr>
      <w:r>
        <w:rPr>
          <w:noProof/>
        </w:rPr>
        <w:t xml:space="preserve">В случая с държавите от Средиземноморието е било обсъдено и </w:t>
      </w:r>
      <w:r>
        <w:rPr>
          <w:b/>
          <w:noProof/>
        </w:rPr>
        <w:t>свързаното с търговията подпомагане</w:t>
      </w:r>
      <w:r>
        <w:rPr>
          <w:noProof/>
        </w:rPr>
        <w:t xml:space="preserve">, с акцент върху </w:t>
      </w:r>
      <w:r>
        <w:rPr>
          <w:b/>
          <w:noProof/>
        </w:rPr>
        <w:t>сближаването на законодателството</w:t>
      </w:r>
      <w:r>
        <w:rPr>
          <w:noProof/>
        </w:rPr>
        <w:t xml:space="preserve"> с разпоредбите на ЕС, и по-специално в областта на санитарните и фитосанитарните мерки, стандартите и оценката на съответствието.</w:t>
      </w:r>
    </w:p>
    <w:p w:rsidR="00E1343B" w:rsidRDefault="00EB18D6">
      <w:pPr>
        <w:spacing w:after="0"/>
        <w:jc w:val="left"/>
        <w:rPr>
          <w:b/>
          <w:smallCaps/>
          <w:noProof/>
        </w:rPr>
      </w:pPr>
      <w:r>
        <w:rPr>
          <w:noProof/>
        </w:rPr>
        <w:br w:type="page"/>
      </w:r>
    </w:p>
    <w:p w:rsidR="00E1343B" w:rsidRDefault="00EB18D6">
      <w:pPr>
        <w:pStyle w:val="Heading1"/>
        <w:rPr>
          <w:noProof/>
        </w:rPr>
      </w:pPr>
      <w:bookmarkStart w:id="102" w:name="_Toc493510433"/>
      <w:bookmarkStart w:id="103" w:name="_Toc493510812"/>
      <w:bookmarkStart w:id="104" w:name="_Toc494126142"/>
      <w:bookmarkStart w:id="105" w:name="_Toc497120798"/>
      <w:r>
        <w:rPr>
          <w:noProof/>
        </w:rPr>
        <w:t>На фокус: главите относно търговията и устойчивото развитие</w:t>
      </w:r>
      <w:bookmarkEnd w:id="102"/>
      <w:bookmarkEnd w:id="103"/>
      <w:bookmarkEnd w:id="104"/>
      <w:bookmarkEnd w:id="105"/>
      <w:r>
        <w:rPr>
          <w:noProof/>
        </w:rPr>
        <w:t xml:space="preserve"> </w:t>
      </w:r>
    </w:p>
    <w:p w:rsidR="00E1343B" w:rsidRDefault="00EB18D6">
      <w:pPr>
        <w:pStyle w:val="ListParagraph"/>
        <w:spacing w:line="240" w:lineRule="auto"/>
        <w:ind w:left="0"/>
        <w:contextualSpacing w:val="0"/>
        <w:jc w:val="both"/>
        <w:rPr>
          <w:rFonts w:cs="Times New Roman"/>
          <w:bCs/>
          <w:noProof/>
          <w:szCs w:val="24"/>
        </w:rPr>
      </w:pPr>
      <w:r>
        <w:rPr>
          <w:noProof/>
        </w:rPr>
        <w:t xml:space="preserve">ССТ на ЕС включват разпоредби относно устойчивото развитие, като спазване на основни международни </w:t>
      </w:r>
      <w:r>
        <w:rPr>
          <w:b/>
          <w:noProof/>
        </w:rPr>
        <w:t>трудови</w:t>
      </w:r>
      <w:r>
        <w:rPr>
          <w:noProof/>
        </w:rPr>
        <w:t xml:space="preserve"> и </w:t>
      </w:r>
      <w:r>
        <w:rPr>
          <w:b/>
          <w:noProof/>
        </w:rPr>
        <w:t>екологични стандарти</w:t>
      </w:r>
      <w:r>
        <w:rPr>
          <w:noProof/>
        </w:rPr>
        <w:t xml:space="preserve"> и инструменти, включително във връзка с </w:t>
      </w:r>
      <w:r>
        <w:rPr>
          <w:b/>
          <w:noProof/>
        </w:rPr>
        <w:t>дърводобива</w:t>
      </w:r>
      <w:r>
        <w:rPr>
          <w:noProof/>
        </w:rPr>
        <w:t xml:space="preserve"> и </w:t>
      </w:r>
      <w:r>
        <w:rPr>
          <w:b/>
          <w:noProof/>
        </w:rPr>
        <w:t>рибарството</w:t>
      </w:r>
      <w:r>
        <w:rPr>
          <w:noProof/>
        </w:rPr>
        <w:t xml:space="preserve">, и насърчаване на </w:t>
      </w:r>
      <w:r>
        <w:rPr>
          <w:b/>
          <w:noProof/>
        </w:rPr>
        <w:t>устойчиво производство</w:t>
      </w:r>
      <w:r>
        <w:rPr>
          <w:noProof/>
        </w:rPr>
        <w:t xml:space="preserve"> и </w:t>
      </w:r>
      <w:r>
        <w:rPr>
          <w:b/>
          <w:noProof/>
        </w:rPr>
        <w:t>корпоративна социална отговорност</w:t>
      </w:r>
      <w:r>
        <w:rPr>
          <w:noProof/>
        </w:rPr>
        <w:t>.</w:t>
      </w:r>
    </w:p>
    <w:p w:rsidR="00E1343B" w:rsidRDefault="00EB18D6">
      <w:pPr>
        <w:pStyle w:val="ListParagraph"/>
        <w:spacing w:line="240" w:lineRule="auto"/>
        <w:ind w:left="0"/>
        <w:contextualSpacing w:val="0"/>
        <w:jc w:val="both"/>
        <w:rPr>
          <w:rFonts w:cs="Times New Roman"/>
          <w:bCs/>
          <w:noProof/>
          <w:szCs w:val="24"/>
        </w:rPr>
      </w:pPr>
      <w:r>
        <w:rPr>
          <w:noProof/>
        </w:rPr>
        <w:t>Естеството и мащабът на дейностите, обхванати от главите относно търговията и устойчивото развитие, се различават между отделните партньори и зависят от момента, в който тези глави са влезли в сила.</w:t>
      </w:r>
    </w:p>
    <w:p w:rsidR="00E1343B" w:rsidRDefault="00EB18D6">
      <w:pPr>
        <w:pStyle w:val="ListParagraph"/>
        <w:spacing w:line="240" w:lineRule="auto"/>
        <w:ind w:left="0"/>
        <w:contextualSpacing w:val="0"/>
        <w:jc w:val="both"/>
        <w:rPr>
          <w:rFonts w:cs="Times New Roman"/>
          <w:bCs/>
          <w:noProof/>
          <w:szCs w:val="24"/>
        </w:rPr>
      </w:pPr>
      <w:r>
        <w:rPr>
          <w:noProof/>
        </w:rPr>
        <w:t xml:space="preserve">В случая със споразуменията за асоцииране с Грузия, Молдова и Украйна свързаните с търговията разпоредби се прилагат едва отскоро. Голяма част от работата през 2016 г. е била </w:t>
      </w:r>
      <w:r>
        <w:rPr>
          <w:b/>
          <w:noProof/>
        </w:rPr>
        <w:t>да се установят институции</w:t>
      </w:r>
      <w:r>
        <w:rPr>
          <w:noProof/>
        </w:rPr>
        <w:t xml:space="preserve">, в това число и механизми на гражданското общество, а така също и </w:t>
      </w:r>
      <w:r>
        <w:rPr>
          <w:b/>
          <w:noProof/>
        </w:rPr>
        <w:t>да се определят приоритетните области</w:t>
      </w:r>
      <w:r>
        <w:rPr>
          <w:noProof/>
        </w:rPr>
        <w:t xml:space="preserve"> на работа. </w:t>
      </w:r>
    </w:p>
    <w:p w:rsidR="00E1343B" w:rsidRDefault="00EB18D6">
      <w:pPr>
        <w:pStyle w:val="Heading2"/>
        <w:rPr>
          <w:noProof/>
        </w:rPr>
      </w:pPr>
      <w:bookmarkStart w:id="106" w:name="_Toc493520552"/>
      <w:bookmarkStart w:id="107" w:name="_Toc493609754"/>
      <w:bookmarkStart w:id="108" w:name="_Toc493609815"/>
      <w:bookmarkStart w:id="109" w:name="_Toc494126143"/>
      <w:bookmarkStart w:id="110" w:name="_Toc497120799"/>
      <w:bookmarkEnd w:id="106"/>
      <w:bookmarkEnd w:id="107"/>
      <w:bookmarkEnd w:id="108"/>
      <w:r>
        <w:rPr>
          <w:noProof/>
        </w:rPr>
        <w:t>Дейности по ССТ от „ново поколение“</w:t>
      </w:r>
      <w:bookmarkEnd w:id="109"/>
      <w:bookmarkEnd w:id="110"/>
    </w:p>
    <w:p w:rsidR="00E1343B" w:rsidRDefault="00EB18D6">
      <w:pPr>
        <w:pStyle w:val="ListParagraph"/>
        <w:spacing w:line="240" w:lineRule="auto"/>
        <w:ind w:left="0"/>
        <w:contextualSpacing w:val="0"/>
        <w:jc w:val="both"/>
        <w:rPr>
          <w:rFonts w:cs="Times New Roman"/>
          <w:bCs/>
          <w:noProof/>
          <w:szCs w:val="24"/>
        </w:rPr>
      </w:pPr>
      <w:r>
        <w:rPr>
          <w:noProof/>
        </w:rPr>
        <w:t>Споразуменията, които съществуват от по-дълго време, са тези с Южна Корея, с Централна Америка и с Колумбия и Перу. По-долу са представени някои от дейностите, предприети през 2016 г. по силата на тези три споразумения.</w:t>
      </w:r>
    </w:p>
    <w:p w:rsidR="00E1343B" w:rsidRDefault="00EB18D6">
      <w:pPr>
        <w:pStyle w:val="ListParagraph"/>
        <w:spacing w:line="240" w:lineRule="auto"/>
        <w:ind w:left="0"/>
        <w:contextualSpacing w:val="0"/>
        <w:jc w:val="both"/>
        <w:rPr>
          <w:rFonts w:cs="Times New Roman"/>
          <w:bCs/>
          <w:noProof/>
          <w:szCs w:val="24"/>
        </w:rPr>
      </w:pPr>
      <w:r>
        <w:rPr>
          <w:noProof/>
        </w:rPr>
        <w:t xml:space="preserve">Извършено е </w:t>
      </w:r>
      <w:r>
        <w:rPr>
          <w:b/>
          <w:noProof/>
        </w:rPr>
        <w:t>сравнително проучване</w:t>
      </w:r>
      <w:r>
        <w:rPr>
          <w:noProof/>
        </w:rPr>
        <w:t xml:space="preserve"> на изпълнението в ЕС и </w:t>
      </w:r>
      <w:r>
        <w:rPr>
          <w:b/>
          <w:noProof/>
        </w:rPr>
        <w:t>Корея</w:t>
      </w:r>
      <w:r>
        <w:rPr>
          <w:noProof/>
        </w:rPr>
        <w:t xml:space="preserve"> на Конвенция 111 на МОТ относно недопускането на дискриминация на работното място (което е включвало и семинари в Сеул и Брюксел).</w:t>
      </w:r>
    </w:p>
    <w:p w:rsidR="00E1343B" w:rsidRDefault="00EB18D6">
      <w:pPr>
        <w:pStyle w:val="ListParagraph"/>
        <w:spacing w:after="0" w:line="240" w:lineRule="auto"/>
        <w:ind w:left="0"/>
        <w:contextualSpacing w:val="0"/>
        <w:jc w:val="both"/>
        <w:rPr>
          <w:rFonts w:cs="Times New Roman"/>
          <w:bCs/>
          <w:noProof/>
          <w:szCs w:val="24"/>
        </w:rPr>
      </w:pPr>
      <w:r>
        <w:rPr>
          <w:noProof/>
        </w:rPr>
        <w:t xml:space="preserve">В </w:t>
      </w:r>
      <w:r>
        <w:rPr>
          <w:b/>
          <w:noProof/>
        </w:rPr>
        <w:t>Ел Салвадор</w:t>
      </w:r>
      <w:r>
        <w:rPr>
          <w:noProof/>
        </w:rPr>
        <w:t xml:space="preserve"> и </w:t>
      </w:r>
      <w:r>
        <w:rPr>
          <w:b/>
          <w:noProof/>
        </w:rPr>
        <w:t>Гватемала</w:t>
      </w:r>
      <w:r>
        <w:rPr>
          <w:noProof/>
        </w:rPr>
        <w:t xml:space="preserve">, съвместно с МОТ, се изпълняват проекти за подобряване на прилагането на </w:t>
      </w:r>
      <w:r>
        <w:rPr>
          <w:b/>
          <w:noProof/>
        </w:rPr>
        <w:t>основните конвенции на МОТ</w:t>
      </w:r>
      <w:r>
        <w:rPr>
          <w:noProof/>
        </w:rPr>
        <w:t>, като се поставя акцент върху:</w:t>
      </w:r>
    </w:p>
    <w:p w:rsidR="00E1343B" w:rsidRDefault="00EB18D6">
      <w:pPr>
        <w:pStyle w:val="ListParagraph"/>
        <w:numPr>
          <w:ilvl w:val="0"/>
          <w:numId w:val="29"/>
        </w:numPr>
        <w:spacing w:after="0" w:line="240" w:lineRule="auto"/>
        <w:contextualSpacing w:val="0"/>
        <w:jc w:val="both"/>
        <w:rPr>
          <w:noProof/>
          <w:sz w:val="22"/>
        </w:rPr>
      </w:pPr>
      <w:r>
        <w:rPr>
          <w:noProof/>
        </w:rPr>
        <w:t>свободата на сдружаване;</w:t>
      </w:r>
    </w:p>
    <w:p w:rsidR="00E1343B" w:rsidRDefault="00EB18D6">
      <w:pPr>
        <w:pStyle w:val="ListParagraph"/>
        <w:numPr>
          <w:ilvl w:val="0"/>
          <w:numId w:val="29"/>
        </w:numPr>
        <w:spacing w:after="0" w:line="240" w:lineRule="auto"/>
        <w:contextualSpacing w:val="0"/>
        <w:jc w:val="both"/>
        <w:rPr>
          <w:noProof/>
          <w:sz w:val="22"/>
        </w:rPr>
      </w:pPr>
      <w:r>
        <w:rPr>
          <w:noProof/>
        </w:rPr>
        <w:t>колективното трудово договаряне и недискриминацията; и</w:t>
      </w:r>
    </w:p>
    <w:p w:rsidR="00E1343B" w:rsidRDefault="00EB18D6">
      <w:pPr>
        <w:pStyle w:val="ListParagraph"/>
        <w:numPr>
          <w:ilvl w:val="0"/>
          <w:numId w:val="29"/>
        </w:numPr>
        <w:spacing w:line="240" w:lineRule="auto"/>
        <w:contextualSpacing w:val="0"/>
        <w:jc w:val="both"/>
        <w:rPr>
          <w:noProof/>
          <w:sz w:val="22"/>
        </w:rPr>
      </w:pPr>
      <w:r>
        <w:rPr>
          <w:noProof/>
        </w:rPr>
        <w:t>детския труд.</w:t>
      </w:r>
    </w:p>
    <w:p w:rsidR="00E1343B" w:rsidRDefault="00EB18D6">
      <w:pPr>
        <w:rPr>
          <w:noProof/>
          <w:sz w:val="22"/>
        </w:rPr>
      </w:pPr>
      <w:r>
        <w:rPr>
          <w:noProof/>
        </w:rPr>
        <w:t xml:space="preserve">Води се непрекъснат диалог с </w:t>
      </w:r>
      <w:r>
        <w:rPr>
          <w:b/>
          <w:noProof/>
        </w:rPr>
        <w:t>Колумбия</w:t>
      </w:r>
      <w:r>
        <w:rPr>
          <w:noProof/>
        </w:rPr>
        <w:t xml:space="preserve"> относно прилагането на Конвенцията по международната търговия със застрашени видове от дивата фауна и флора (</w:t>
      </w:r>
      <w:r>
        <w:rPr>
          <w:b/>
          <w:noProof/>
        </w:rPr>
        <w:t>CITES</w:t>
      </w:r>
      <w:r>
        <w:rPr>
          <w:noProof/>
        </w:rPr>
        <w:t>).</w:t>
      </w:r>
    </w:p>
    <w:p w:rsidR="00E1343B" w:rsidRDefault="00EB18D6">
      <w:pPr>
        <w:rPr>
          <w:bCs/>
          <w:noProof/>
          <w:szCs w:val="24"/>
        </w:rPr>
      </w:pPr>
      <w:r>
        <w:rPr>
          <w:noProof/>
        </w:rPr>
        <w:t xml:space="preserve">Като цяло се наблюдава </w:t>
      </w:r>
      <w:r>
        <w:rPr>
          <w:b/>
          <w:noProof/>
        </w:rPr>
        <w:t>постепенен напредък</w:t>
      </w:r>
      <w:r>
        <w:rPr>
          <w:noProof/>
        </w:rPr>
        <w:t xml:space="preserve"> в изпълнението на главите относно търговията и устойчивото развитие. Той е улеснил и осигурил ценна платформа за редовни и целенасочени диалози с търговските партньори на ЕС относно актуални за търговията въпроси в областта на труда и околната среда и за първоначално определяне на приоритетите и възможностите в областта на търговията и устойчивото развитие.</w:t>
      </w:r>
    </w:p>
    <w:p w:rsidR="00E1343B" w:rsidRDefault="00EB18D6">
      <w:pPr>
        <w:pStyle w:val="Heading2"/>
        <w:rPr>
          <w:noProof/>
        </w:rPr>
      </w:pPr>
      <w:bookmarkStart w:id="111" w:name="_Toc494126144"/>
      <w:bookmarkStart w:id="112" w:name="_Toc497120800"/>
      <w:r>
        <w:rPr>
          <w:noProof/>
        </w:rPr>
        <w:t>Междуправителствени срещи, посветени на търговията и устойчивото развитие</w:t>
      </w:r>
      <w:bookmarkEnd w:id="111"/>
      <w:bookmarkEnd w:id="112"/>
    </w:p>
    <w:p w:rsidR="00E1343B" w:rsidRDefault="00EB18D6">
      <w:pPr>
        <w:rPr>
          <w:bCs/>
          <w:noProof/>
          <w:szCs w:val="24"/>
        </w:rPr>
      </w:pPr>
      <w:r>
        <w:rPr>
          <w:noProof/>
        </w:rPr>
        <w:t>През периода на докладване са проведени такива срещи с Централна Америка, Колумбия и Перу, Корея, Грузия и Молдова.</w:t>
      </w:r>
    </w:p>
    <w:p w:rsidR="00E1343B" w:rsidRDefault="00EB18D6">
      <w:pPr>
        <w:spacing w:after="0"/>
        <w:rPr>
          <w:bCs/>
          <w:noProof/>
          <w:szCs w:val="24"/>
        </w:rPr>
      </w:pPr>
      <w:r>
        <w:rPr>
          <w:noProof/>
        </w:rPr>
        <w:t xml:space="preserve">През 2016 г. са били обсъдени следните темите в областта на </w:t>
      </w:r>
      <w:r>
        <w:rPr>
          <w:b/>
          <w:noProof/>
        </w:rPr>
        <w:t>труда</w:t>
      </w:r>
      <w:r>
        <w:rPr>
          <w:noProof/>
        </w:rPr>
        <w:t xml:space="preserve">: </w:t>
      </w:r>
    </w:p>
    <w:p w:rsidR="00E1343B" w:rsidRDefault="00EB18D6">
      <w:pPr>
        <w:pStyle w:val="ListParagraph"/>
        <w:numPr>
          <w:ilvl w:val="0"/>
          <w:numId w:val="30"/>
        </w:numPr>
        <w:spacing w:after="0" w:line="240" w:lineRule="auto"/>
        <w:rPr>
          <w:bCs/>
          <w:noProof/>
          <w:szCs w:val="24"/>
        </w:rPr>
      </w:pPr>
      <w:r>
        <w:rPr>
          <w:noProof/>
        </w:rPr>
        <w:t xml:space="preserve">инспекцията на труда (Колумбия, Перу, Хондурас, Молдова, Грузия); </w:t>
      </w:r>
    </w:p>
    <w:p w:rsidR="00E1343B" w:rsidRDefault="00EB18D6">
      <w:pPr>
        <w:pStyle w:val="ListParagraph"/>
        <w:numPr>
          <w:ilvl w:val="0"/>
          <w:numId w:val="30"/>
        </w:numPr>
        <w:spacing w:after="0" w:line="240" w:lineRule="auto"/>
        <w:rPr>
          <w:bCs/>
          <w:noProof/>
          <w:szCs w:val="24"/>
        </w:rPr>
      </w:pPr>
      <w:r>
        <w:rPr>
          <w:noProof/>
        </w:rPr>
        <w:t xml:space="preserve">колективното договаряне (Колумбия, Гватемала); </w:t>
      </w:r>
    </w:p>
    <w:p w:rsidR="00E1343B" w:rsidRDefault="00EB18D6">
      <w:pPr>
        <w:pStyle w:val="ListParagraph"/>
        <w:numPr>
          <w:ilvl w:val="0"/>
          <w:numId w:val="30"/>
        </w:numPr>
        <w:spacing w:after="0" w:line="240" w:lineRule="auto"/>
        <w:rPr>
          <w:bCs/>
          <w:noProof/>
          <w:szCs w:val="24"/>
        </w:rPr>
      </w:pPr>
      <w:r>
        <w:rPr>
          <w:noProof/>
        </w:rPr>
        <w:t xml:space="preserve">насилието срещу синдикалните организации (Колумбия); </w:t>
      </w:r>
    </w:p>
    <w:p w:rsidR="00E1343B" w:rsidRDefault="00EB18D6">
      <w:pPr>
        <w:pStyle w:val="ListParagraph"/>
        <w:numPr>
          <w:ilvl w:val="0"/>
          <w:numId w:val="30"/>
        </w:numPr>
        <w:spacing w:after="0" w:line="240" w:lineRule="auto"/>
        <w:rPr>
          <w:bCs/>
          <w:noProof/>
          <w:szCs w:val="24"/>
        </w:rPr>
      </w:pPr>
      <w:r>
        <w:rPr>
          <w:noProof/>
        </w:rPr>
        <w:t xml:space="preserve">свободата на сдружаване (Ел Салвадор, Панама); </w:t>
      </w:r>
    </w:p>
    <w:p w:rsidR="00E1343B" w:rsidRDefault="00EB18D6">
      <w:pPr>
        <w:pStyle w:val="ListParagraph"/>
        <w:numPr>
          <w:ilvl w:val="0"/>
          <w:numId w:val="30"/>
        </w:numPr>
        <w:spacing w:after="0" w:line="240" w:lineRule="auto"/>
        <w:rPr>
          <w:bCs/>
          <w:noProof/>
          <w:szCs w:val="24"/>
        </w:rPr>
      </w:pPr>
      <w:r>
        <w:rPr>
          <w:noProof/>
        </w:rPr>
        <w:t xml:space="preserve">детският труд (Колумбия, Ел Салвадор, Гватемала, Панама, Грузия); </w:t>
      </w:r>
    </w:p>
    <w:p w:rsidR="00E1343B" w:rsidRDefault="00EB18D6">
      <w:pPr>
        <w:pStyle w:val="ListParagraph"/>
        <w:numPr>
          <w:ilvl w:val="0"/>
          <w:numId w:val="30"/>
        </w:numPr>
        <w:spacing w:after="0" w:line="240" w:lineRule="auto"/>
        <w:rPr>
          <w:bCs/>
          <w:noProof/>
          <w:szCs w:val="24"/>
        </w:rPr>
      </w:pPr>
      <w:r>
        <w:rPr>
          <w:noProof/>
        </w:rPr>
        <w:t>тристранната консултация</w:t>
      </w:r>
      <w:r>
        <w:rPr>
          <w:rStyle w:val="FootnoteReference"/>
          <w:noProof/>
        </w:rPr>
        <w:footnoteReference w:id="15"/>
      </w:r>
      <w:r>
        <w:rPr>
          <w:noProof/>
        </w:rPr>
        <w:t xml:space="preserve"> (Грузия); и </w:t>
      </w:r>
    </w:p>
    <w:p w:rsidR="00E1343B" w:rsidRDefault="00EB18D6">
      <w:pPr>
        <w:pStyle w:val="ListParagraph"/>
        <w:numPr>
          <w:ilvl w:val="0"/>
          <w:numId w:val="30"/>
        </w:numPr>
        <w:spacing w:after="240" w:line="240" w:lineRule="auto"/>
        <w:ind w:left="357" w:hanging="357"/>
        <w:contextualSpacing w:val="0"/>
        <w:rPr>
          <w:bCs/>
          <w:noProof/>
          <w:szCs w:val="24"/>
        </w:rPr>
      </w:pPr>
      <w:r>
        <w:rPr>
          <w:noProof/>
        </w:rPr>
        <w:t xml:space="preserve">здравословните и безопасни условия на труд (Колумбия, Перу, Молдова). </w:t>
      </w:r>
    </w:p>
    <w:p w:rsidR="00E1343B" w:rsidRDefault="00EB18D6">
      <w:pPr>
        <w:rPr>
          <w:bCs/>
          <w:noProof/>
          <w:szCs w:val="24"/>
        </w:rPr>
      </w:pPr>
      <w:r>
        <w:rPr>
          <w:noProof/>
        </w:rPr>
        <w:t xml:space="preserve">Обсъдени са били следните основни </w:t>
      </w:r>
      <w:r>
        <w:rPr>
          <w:b/>
          <w:noProof/>
        </w:rPr>
        <w:t>въпроси в областта на околната среда</w:t>
      </w:r>
      <w:r>
        <w:rPr>
          <w:noProof/>
        </w:rPr>
        <w:t xml:space="preserve">: </w:t>
      </w:r>
    </w:p>
    <w:p w:rsidR="00E1343B" w:rsidRDefault="00EB18D6">
      <w:pPr>
        <w:pStyle w:val="ListParagraph"/>
        <w:numPr>
          <w:ilvl w:val="0"/>
          <w:numId w:val="31"/>
        </w:numPr>
        <w:rPr>
          <w:b/>
          <w:bCs/>
          <w:noProof/>
          <w:szCs w:val="24"/>
        </w:rPr>
      </w:pPr>
      <w:r>
        <w:rPr>
          <w:b/>
          <w:noProof/>
        </w:rPr>
        <w:t>CITES:</w:t>
      </w:r>
    </w:p>
    <w:p w:rsidR="00E1343B" w:rsidRDefault="00EB18D6">
      <w:pPr>
        <w:pStyle w:val="ListParagraph"/>
        <w:numPr>
          <w:ilvl w:val="1"/>
          <w:numId w:val="31"/>
        </w:numPr>
        <w:rPr>
          <w:bCs/>
          <w:noProof/>
          <w:szCs w:val="24"/>
        </w:rPr>
      </w:pPr>
      <w:r>
        <w:rPr>
          <w:noProof/>
        </w:rPr>
        <w:t>Грузия, Молдова;</w:t>
      </w:r>
    </w:p>
    <w:p w:rsidR="00E1343B" w:rsidRDefault="00EB18D6">
      <w:pPr>
        <w:pStyle w:val="ListParagraph"/>
        <w:numPr>
          <w:ilvl w:val="1"/>
          <w:numId w:val="31"/>
        </w:numPr>
        <w:rPr>
          <w:bCs/>
          <w:noProof/>
          <w:szCs w:val="24"/>
        </w:rPr>
      </w:pPr>
      <w:r>
        <w:rPr>
          <w:noProof/>
        </w:rPr>
        <w:t xml:space="preserve">търговията с кожа от крокодили и каймани от Колумбия; </w:t>
      </w:r>
    </w:p>
    <w:p w:rsidR="00E1343B" w:rsidRDefault="00EB18D6">
      <w:pPr>
        <w:pStyle w:val="ListParagraph"/>
        <w:numPr>
          <w:ilvl w:val="1"/>
          <w:numId w:val="31"/>
        </w:numPr>
        <w:rPr>
          <w:bCs/>
          <w:noProof/>
          <w:szCs w:val="24"/>
        </w:rPr>
      </w:pPr>
      <w:r>
        <w:rPr>
          <w:noProof/>
        </w:rPr>
        <w:t xml:space="preserve">дървения материал (от рода </w:t>
      </w:r>
      <w:r>
        <w:rPr>
          <w:i/>
          <w:noProof/>
        </w:rPr>
        <w:t xml:space="preserve">Dalbergia </w:t>
      </w:r>
      <w:r>
        <w:rPr>
          <w:noProof/>
        </w:rPr>
        <w:t xml:space="preserve">) с Гватемала и Панама; </w:t>
      </w:r>
    </w:p>
    <w:p w:rsidR="00E1343B" w:rsidRDefault="00EB18D6">
      <w:pPr>
        <w:pStyle w:val="ListParagraph"/>
        <w:numPr>
          <w:ilvl w:val="1"/>
          <w:numId w:val="31"/>
        </w:numPr>
        <w:rPr>
          <w:bCs/>
          <w:noProof/>
          <w:szCs w:val="24"/>
        </w:rPr>
      </w:pPr>
      <w:r>
        <w:rPr>
          <w:noProof/>
        </w:rPr>
        <w:t>акулите и скатовете с Панама;</w:t>
      </w:r>
    </w:p>
    <w:p w:rsidR="00E1343B" w:rsidRDefault="00EB18D6">
      <w:pPr>
        <w:pStyle w:val="ListParagraph"/>
        <w:numPr>
          <w:ilvl w:val="0"/>
          <w:numId w:val="31"/>
        </w:numPr>
        <w:rPr>
          <w:bCs/>
          <w:noProof/>
          <w:szCs w:val="24"/>
        </w:rPr>
      </w:pPr>
      <w:r>
        <w:rPr>
          <w:noProof/>
        </w:rPr>
        <w:t xml:space="preserve">борбата с </w:t>
      </w:r>
      <w:r>
        <w:rPr>
          <w:b/>
          <w:noProof/>
        </w:rPr>
        <w:t>изменението на климата</w:t>
      </w:r>
      <w:r>
        <w:rPr>
          <w:noProof/>
        </w:rPr>
        <w:t xml:space="preserve"> в рамките на Парижкото споразумение:</w:t>
      </w:r>
    </w:p>
    <w:p w:rsidR="00E1343B" w:rsidRDefault="00EB18D6">
      <w:pPr>
        <w:pStyle w:val="ListParagraph"/>
        <w:numPr>
          <w:ilvl w:val="1"/>
          <w:numId w:val="31"/>
        </w:numPr>
        <w:rPr>
          <w:bCs/>
          <w:noProof/>
          <w:szCs w:val="24"/>
        </w:rPr>
      </w:pPr>
      <w:r>
        <w:rPr>
          <w:noProof/>
        </w:rPr>
        <w:t>намаляването на емисиите на C0</w:t>
      </w:r>
      <w:r>
        <w:rPr>
          <w:noProof/>
          <w:vertAlign w:val="subscript"/>
        </w:rPr>
        <w:t>2</w:t>
      </w:r>
      <w:r>
        <w:rPr>
          <w:noProof/>
        </w:rPr>
        <w:t xml:space="preserve"> от промишлеността в Коста Рика;</w:t>
      </w:r>
    </w:p>
    <w:p w:rsidR="00E1343B" w:rsidRDefault="00EB18D6">
      <w:pPr>
        <w:pStyle w:val="ListParagraph"/>
        <w:numPr>
          <w:ilvl w:val="1"/>
          <w:numId w:val="31"/>
        </w:numPr>
        <w:rPr>
          <w:bCs/>
          <w:noProof/>
          <w:szCs w:val="24"/>
        </w:rPr>
      </w:pPr>
      <w:r>
        <w:rPr>
          <w:noProof/>
        </w:rPr>
        <w:t>възстановяването на екосистеми, повторното залесяване и борбата с обезлесяването (в Ел Салвадор, Хондурас, Никарагуа, Грузия);</w:t>
      </w:r>
    </w:p>
    <w:p w:rsidR="00E1343B" w:rsidRDefault="00EB18D6">
      <w:pPr>
        <w:pStyle w:val="ListParagraph"/>
        <w:numPr>
          <w:ilvl w:val="1"/>
          <w:numId w:val="31"/>
        </w:numPr>
        <w:rPr>
          <w:bCs/>
          <w:noProof/>
          <w:szCs w:val="24"/>
        </w:rPr>
      </w:pPr>
      <w:r>
        <w:rPr>
          <w:noProof/>
        </w:rPr>
        <w:t>Конвенцията за биологичното разнообразие (по-специално Протокол от Нагоя) с Панама и Молдова.</w:t>
      </w:r>
    </w:p>
    <w:p w:rsidR="00E1343B" w:rsidRDefault="00EB18D6">
      <w:pPr>
        <w:pStyle w:val="Heading2"/>
        <w:rPr>
          <w:noProof/>
        </w:rPr>
      </w:pPr>
      <w:bookmarkStart w:id="113" w:name="_Toc494126145"/>
      <w:bookmarkStart w:id="114" w:name="_Toc497120801"/>
      <w:r>
        <w:rPr>
          <w:noProof/>
        </w:rPr>
        <w:t>Други срещи</w:t>
      </w:r>
      <w:bookmarkEnd w:id="113"/>
      <w:bookmarkEnd w:id="114"/>
    </w:p>
    <w:p w:rsidR="00E1343B" w:rsidRDefault="00EB18D6">
      <w:pPr>
        <w:rPr>
          <w:bCs/>
          <w:noProof/>
          <w:szCs w:val="24"/>
        </w:rPr>
      </w:pPr>
      <w:r>
        <w:rPr>
          <w:noProof/>
        </w:rPr>
        <w:t xml:space="preserve">Успоредно с правителствените срещи по въпросите на труда и устойчивото развитие са били организирани открити срещи между </w:t>
      </w:r>
      <w:r>
        <w:rPr>
          <w:b/>
          <w:noProof/>
        </w:rPr>
        <w:t>представители на правителството и на гражданското общество</w:t>
      </w:r>
      <w:r>
        <w:rPr>
          <w:noProof/>
        </w:rPr>
        <w:t>, включително с представители на работниците и служителите и с представители на работодателите. Групите за консултация на гражданското общество на ЕС са се срещнали по повод на всички споразумения, за да обсъдят изпълнението на главите с разпоредби относно труда и устойчивото развитие, като Европейският икономически и социален комитет е изпълнявал функциите на секретариат.</w:t>
      </w:r>
    </w:p>
    <w:p w:rsidR="00E1343B" w:rsidRDefault="00EB18D6">
      <w:pPr>
        <w:pStyle w:val="Heading2"/>
        <w:rPr>
          <w:noProof/>
        </w:rPr>
      </w:pPr>
      <w:bookmarkStart w:id="115" w:name="_Toc494126146"/>
      <w:bookmarkStart w:id="116" w:name="_Toc497120802"/>
      <w:r>
        <w:rPr>
          <w:noProof/>
        </w:rPr>
        <w:t>Актуално състояние и предизвикателства</w:t>
      </w:r>
      <w:bookmarkEnd w:id="115"/>
      <w:bookmarkEnd w:id="116"/>
      <w:r>
        <w:rPr>
          <w:noProof/>
        </w:rPr>
        <w:t xml:space="preserve"> </w:t>
      </w:r>
    </w:p>
    <w:p w:rsidR="00E1343B" w:rsidRDefault="00EB18D6">
      <w:pPr>
        <w:rPr>
          <w:bCs/>
          <w:noProof/>
          <w:szCs w:val="24"/>
        </w:rPr>
      </w:pPr>
      <w:r>
        <w:rPr>
          <w:noProof/>
        </w:rPr>
        <w:t xml:space="preserve">По принцип целта на споразуменията е да се осигури </w:t>
      </w:r>
      <w:r>
        <w:rPr>
          <w:b/>
          <w:noProof/>
        </w:rPr>
        <w:t>полезна рамка</w:t>
      </w:r>
      <w:r>
        <w:rPr>
          <w:noProof/>
        </w:rPr>
        <w:t xml:space="preserve"> за разрешаване на проблеми, които могат да възникнат при взаимодействието между търговските, социалните и екологичните цели.</w:t>
      </w:r>
    </w:p>
    <w:p w:rsidR="00E1343B" w:rsidRDefault="00EB18D6">
      <w:pPr>
        <w:rPr>
          <w:bCs/>
          <w:noProof/>
          <w:szCs w:val="24"/>
        </w:rPr>
      </w:pPr>
      <w:r>
        <w:rPr>
          <w:b/>
          <w:noProof/>
        </w:rPr>
        <w:t>Тепърва предстои обаче да се разгърне пълният потенциал</w:t>
      </w:r>
      <w:r>
        <w:rPr>
          <w:rStyle w:val="FootnoteReference"/>
          <w:noProof/>
        </w:rPr>
        <w:footnoteReference w:id="16"/>
      </w:r>
      <w:r>
        <w:rPr>
          <w:noProof/>
        </w:rPr>
        <w:t xml:space="preserve"> на работата в областта на търговията и устойчивото развитие. Ще трябва да се положат допълнителни усилия, за да се подобрят още повече политиките в областта на труда и околната среда, като се зачитат същевременно международните ангажименти и се преследва целта за осигуряване на високо равнище на защита. </w:t>
      </w:r>
    </w:p>
    <w:p w:rsidR="00E1343B" w:rsidRDefault="00EB18D6">
      <w:pPr>
        <w:rPr>
          <w:bCs/>
          <w:noProof/>
          <w:szCs w:val="24"/>
        </w:rPr>
      </w:pPr>
      <w:r>
        <w:rPr>
          <w:noProof/>
        </w:rPr>
        <w:t xml:space="preserve">Изпълнението на ангажиментите в областта на търговията и устойчивото развитие зависи от наличието на </w:t>
      </w:r>
      <w:r>
        <w:rPr>
          <w:b/>
          <w:noProof/>
        </w:rPr>
        <w:t>дългосрочни взаимоотношения</w:t>
      </w:r>
      <w:r>
        <w:rPr>
          <w:noProof/>
        </w:rPr>
        <w:t xml:space="preserve"> с търговските партньори и на </w:t>
      </w:r>
      <w:r>
        <w:rPr>
          <w:b/>
          <w:noProof/>
        </w:rPr>
        <w:t>тясно сътрудничество</w:t>
      </w:r>
      <w:r>
        <w:rPr>
          <w:noProof/>
        </w:rPr>
        <w:t xml:space="preserve"> между </w:t>
      </w:r>
      <w:r>
        <w:rPr>
          <w:b/>
          <w:noProof/>
        </w:rPr>
        <w:t>органите на различни равнища</w:t>
      </w:r>
      <w:r>
        <w:rPr>
          <w:noProof/>
        </w:rPr>
        <w:t xml:space="preserve">, които отговарят за политиките в области, като труд и околна среда. Тези органи не винаги осъзнават или разбират връзката между тези политики и международната търговия. Важна част от този процес е взаимодействието с организации на </w:t>
      </w:r>
      <w:r>
        <w:rPr>
          <w:b/>
          <w:noProof/>
        </w:rPr>
        <w:t>гражданското общество</w:t>
      </w:r>
      <w:r>
        <w:rPr>
          <w:noProof/>
        </w:rPr>
        <w:t>, както и с представители на работниците и служителите и с представители на работодателите. Те следва да играят все по-голяма роля при наблюдението на изпълнението.</w:t>
      </w:r>
    </w:p>
    <w:p w:rsidR="00E1343B" w:rsidRDefault="00EB18D6">
      <w:pPr>
        <w:rPr>
          <w:noProof/>
        </w:rPr>
      </w:pPr>
      <w:r>
        <w:rPr>
          <w:noProof/>
        </w:rPr>
        <w:t xml:space="preserve">През 2016 г. Комисията е работила за по-ефективното изпълнение на главите от ССТ, които се отнасят за търговията и устойчивото развитие. Комисията е положила усилия за </w:t>
      </w:r>
      <w:r>
        <w:rPr>
          <w:b/>
          <w:noProof/>
        </w:rPr>
        <w:t>ангажиране в по-голяма степен</w:t>
      </w:r>
      <w:r>
        <w:rPr>
          <w:noProof/>
        </w:rPr>
        <w:t xml:space="preserve"> на предприятията и на други засегнати заинтересовани страни от гражданското общество, както и </w:t>
      </w:r>
      <w:r>
        <w:rPr>
          <w:b/>
          <w:noProof/>
        </w:rPr>
        <w:t>за подобряване на координацията</w:t>
      </w:r>
      <w:r>
        <w:rPr>
          <w:noProof/>
        </w:rPr>
        <w:t xml:space="preserve"> с международните организации, и по-специално с МОТ.</w:t>
      </w:r>
    </w:p>
    <w:p w:rsidR="00E1343B" w:rsidRDefault="00EB18D6">
      <w:pPr>
        <w:rPr>
          <w:noProof/>
        </w:rPr>
      </w:pPr>
      <w:r>
        <w:rPr>
          <w:noProof/>
        </w:rPr>
        <w:t xml:space="preserve">Комисията има за цел да използва по-добре надзорните и контролните </w:t>
      </w:r>
      <w:r>
        <w:rPr>
          <w:b/>
          <w:noProof/>
        </w:rPr>
        <w:t>структури на международните организации</w:t>
      </w:r>
      <w:r>
        <w:rPr>
          <w:noProof/>
        </w:rPr>
        <w:t>, като МОТ, и многостранните споразумения в областта на околната среда като основен източник на информация за оценка на ефективността на изпълнението на разпоредбите относно търговията и устойчивото развитие.</w:t>
      </w:r>
    </w:p>
    <w:p w:rsidR="00E1343B" w:rsidRDefault="00EB18D6">
      <w:pPr>
        <w:rPr>
          <w:noProof/>
        </w:rPr>
      </w:pPr>
      <w:r>
        <w:rPr>
          <w:noProof/>
        </w:rPr>
        <w:t xml:space="preserve">Комисията е възложила също така извършването на </w:t>
      </w:r>
      <w:r>
        <w:rPr>
          <w:b/>
          <w:noProof/>
        </w:rPr>
        <w:t>пилотни проучвания</w:t>
      </w:r>
      <w:r>
        <w:rPr>
          <w:noProof/>
        </w:rPr>
        <w:t xml:space="preserve">, за да провери, включително чрез консултации със социалните партньори, </w:t>
      </w:r>
      <w:r>
        <w:rPr>
          <w:b/>
          <w:noProof/>
        </w:rPr>
        <w:t>напредъка по изпълнението</w:t>
      </w:r>
      <w:r>
        <w:rPr>
          <w:noProof/>
        </w:rPr>
        <w:t xml:space="preserve"> — в законодателството и на практика — на основните трудови стандарти в пилотните държави (Колумбия, Грузия и Гватемала). Комисията планира да разшири тези проучвания през 2018 г. и 2019 г.</w:t>
      </w:r>
    </w:p>
    <w:p w:rsidR="00E1343B" w:rsidRDefault="00EB18D6">
      <w:pPr>
        <w:rPr>
          <w:noProof/>
          <w:szCs w:val="24"/>
        </w:rPr>
      </w:pPr>
      <w:r>
        <w:rPr>
          <w:noProof/>
        </w:rPr>
        <w:t xml:space="preserve">Комисията е стартирала механизъм за засилване на </w:t>
      </w:r>
      <w:r>
        <w:rPr>
          <w:b/>
          <w:noProof/>
        </w:rPr>
        <w:t>сътрудничеството си с държавите — членки на ЕС</w:t>
      </w:r>
      <w:r>
        <w:rPr>
          <w:noProof/>
        </w:rPr>
        <w:t xml:space="preserve">, по изпълнението на главите относно търговията и устойчивото развитие чрез специална експертна група по въпросите на търговията и устойчивото развитие. Тази група се среща редовно и дава възможност за обмен на информация и за координация. Партньорството с държавите членки и сътрудничеството по въпросите на търговията и устойчивото развитие ще се засилят през 2017 г. и 2018 г. </w:t>
      </w:r>
    </w:p>
    <w:p w:rsidR="00E1343B" w:rsidRDefault="00EB18D6">
      <w:pPr>
        <w:spacing w:after="0"/>
        <w:jc w:val="left"/>
        <w:rPr>
          <w:b/>
          <w:smallCaps/>
          <w:noProof/>
        </w:rPr>
      </w:pPr>
      <w:r>
        <w:rPr>
          <w:noProof/>
        </w:rPr>
        <w:br w:type="page"/>
      </w:r>
    </w:p>
    <w:p w:rsidR="00E1343B" w:rsidRDefault="00EB18D6">
      <w:pPr>
        <w:pStyle w:val="Heading1"/>
        <w:rPr>
          <w:noProof/>
        </w:rPr>
      </w:pPr>
      <w:bookmarkStart w:id="117" w:name="_Toc493510437"/>
      <w:bookmarkStart w:id="118" w:name="_Toc493510816"/>
      <w:bookmarkStart w:id="119" w:name="_Toc494126147"/>
      <w:bookmarkStart w:id="120" w:name="_Toc497120803"/>
      <w:r>
        <w:rPr>
          <w:noProof/>
        </w:rPr>
        <w:t>Последваща оценка на въздействието на ССТ — Чили и Мексико</w:t>
      </w:r>
      <w:bookmarkEnd w:id="117"/>
      <w:bookmarkEnd w:id="118"/>
      <w:bookmarkEnd w:id="119"/>
      <w:bookmarkEnd w:id="120"/>
    </w:p>
    <w:p w:rsidR="00E1343B" w:rsidRDefault="00EB18D6">
      <w:pPr>
        <w:rPr>
          <w:noProof/>
          <w:szCs w:val="24"/>
        </w:rPr>
      </w:pPr>
      <w:r>
        <w:rPr>
          <w:noProof/>
        </w:rPr>
        <w:t>В настоящия доклад е представено текущото състояние по изпълнението на ССТ през 2016 г. Под внимание са взети също така данните от предходните няколко години за целите на сравнението. В рамките на последващите оценки се извършва задълбочен анализ на въздействието на ССТ. Досега такива оцени са изготвени за ССТ с Чили и с Мексико</w:t>
      </w:r>
      <w:r>
        <w:rPr>
          <w:rStyle w:val="FootnoteReference"/>
          <w:noProof/>
        </w:rPr>
        <w:footnoteReference w:id="17"/>
      </w:r>
      <w:r>
        <w:rPr>
          <w:noProof/>
        </w:rPr>
        <w:t>. През 2017 г. ще бъде завършен анализът на ССТ с Корея. Освен това понастоящем се извършва общо проучване на въздействието на ССТ върху хуманното отношение към животните.</w:t>
      </w:r>
    </w:p>
    <w:p w:rsidR="00E1343B" w:rsidRDefault="00EB18D6">
      <w:pPr>
        <w:pStyle w:val="Heading2"/>
        <w:rPr>
          <w:noProof/>
        </w:rPr>
      </w:pPr>
      <w:bookmarkStart w:id="121" w:name="_Toc493510438"/>
      <w:bookmarkStart w:id="122" w:name="_Toc493510817"/>
      <w:bookmarkStart w:id="123" w:name="_Toc494126148"/>
      <w:bookmarkStart w:id="124" w:name="_Toc497120804"/>
      <w:r>
        <w:rPr>
          <w:noProof/>
        </w:rPr>
        <w:t>Чили</w:t>
      </w:r>
      <w:bookmarkEnd w:id="121"/>
      <w:bookmarkEnd w:id="122"/>
      <w:bookmarkEnd w:id="123"/>
      <w:bookmarkEnd w:id="124"/>
      <w:r>
        <w:rPr>
          <w:noProof/>
        </w:rPr>
        <w:t xml:space="preserve"> </w:t>
      </w:r>
    </w:p>
    <w:p w:rsidR="00E1343B" w:rsidRDefault="00EB18D6">
      <w:pPr>
        <w:rPr>
          <w:noProof/>
          <w:szCs w:val="24"/>
        </w:rPr>
      </w:pPr>
      <w:r>
        <w:rPr>
          <w:noProof/>
        </w:rPr>
        <w:t xml:space="preserve">По отношение на Чили заключението от проучването е, че </w:t>
      </w:r>
      <w:r>
        <w:rPr>
          <w:b/>
          <w:noProof/>
        </w:rPr>
        <w:t>тарифните намаления</w:t>
      </w:r>
      <w:r>
        <w:rPr>
          <w:noProof/>
        </w:rPr>
        <w:t xml:space="preserve"> са оказали значително въздействие върху двустранните търговски потоци. Симулациите са показали, че при отсъствието на ССТ износът на Чили за ЕС през 2009 г. е щял да бъде с 20 % по-нисък, а износът на ЕС за Чили през 2010 г. е щял да спадне с най-малко 40 %. </w:t>
      </w:r>
    </w:p>
    <w:p w:rsidR="00E1343B" w:rsidRDefault="00EB18D6">
      <w:pPr>
        <w:rPr>
          <w:noProof/>
          <w:szCs w:val="24"/>
        </w:rPr>
      </w:pPr>
      <w:r>
        <w:rPr>
          <w:noProof/>
        </w:rPr>
        <w:t xml:space="preserve">Проучването е изтъкнало намаляващия дял на ЕС в </w:t>
      </w:r>
      <w:r>
        <w:rPr>
          <w:b/>
          <w:noProof/>
        </w:rPr>
        <w:t>общата търговия</w:t>
      </w:r>
      <w:r>
        <w:rPr>
          <w:noProof/>
        </w:rPr>
        <w:t xml:space="preserve"> на Чили от влизането в сила на споразумението въпреки значителното увеличаване на двустранните търговски потоци. Това показва, че при липсата на ССТ износителите от ЕС е можело да бъдат до голяма степен изтласкани от чилийския пазар поради значителния брой ССТ, които Чили е подписало с други партньори. </w:t>
      </w:r>
    </w:p>
    <w:p w:rsidR="00E1343B" w:rsidRDefault="00EB18D6">
      <w:pPr>
        <w:rPr>
          <w:noProof/>
          <w:szCs w:val="24"/>
        </w:rPr>
      </w:pPr>
      <w:r>
        <w:rPr>
          <w:noProof/>
        </w:rPr>
        <w:t xml:space="preserve">По отношение на </w:t>
      </w:r>
      <w:r>
        <w:rPr>
          <w:b/>
          <w:noProof/>
        </w:rPr>
        <w:t>услугите</w:t>
      </w:r>
      <w:r>
        <w:rPr>
          <w:noProof/>
        </w:rPr>
        <w:t xml:space="preserve"> заключението от проучването е, че износът на услуги от ЕС се е увеличил повече след влизането в сила на ССТ в сектори с по-висока степен на либерализация в сравнение с поетите ангажименти по Общото споразумение по търговията с услуги (ГАТС)</w:t>
      </w:r>
      <w:r>
        <w:rPr>
          <w:rStyle w:val="FootnoteReference"/>
          <w:noProof/>
        </w:rPr>
        <w:footnoteReference w:id="18"/>
      </w:r>
      <w:r>
        <w:rPr>
          <w:noProof/>
        </w:rPr>
        <w:t xml:space="preserve"> със СТО. Износът на услуги от Чили за ЕС също се е развил относително добре в няколко сектора, където ангажиментите по ССТ са надхвърлили тези по ГАТС. </w:t>
      </w:r>
    </w:p>
    <w:p w:rsidR="00E1343B" w:rsidRDefault="00EB18D6">
      <w:pPr>
        <w:autoSpaceDE w:val="0"/>
        <w:autoSpaceDN w:val="0"/>
        <w:rPr>
          <w:noProof/>
        </w:rPr>
      </w:pPr>
      <w:r>
        <w:rPr>
          <w:noProof/>
        </w:rPr>
        <w:t xml:space="preserve">Последващата оценка на въздействието е разкрила смесени, но като цяло странични въздействия върху </w:t>
      </w:r>
      <w:r>
        <w:rPr>
          <w:b/>
          <w:noProof/>
        </w:rPr>
        <w:t>природните ресурси</w:t>
      </w:r>
      <w:r>
        <w:rPr>
          <w:noProof/>
        </w:rPr>
        <w:t xml:space="preserve"> и </w:t>
      </w:r>
      <w:r>
        <w:rPr>
          <w:b/>
          <w:noProof/>
        </w:rPr>
        <w:t>влошаването на състоянието на околната среда</w:t>
      </w:r>
      <w:r>
        <w:rPr>
          <w:noProof/>
        </w:rPr>
        <w:t>. Повишената употреба на торове и по-големият износ на молибден, сьомга, мекотели и дървесни продукти са допринесли, макар и в ограничена степен, за различни форми на замърсяване на въздуха и на водите. Тези въздействия обаче са били компенсирани в известна степен от по-високите екологични стандарти, изисквани от ЕС.</w:t>
      </w:r>
    </w:p>
    <w:p w:rsidR="00E1343B" w:rsidRDefault="00EB18D6">
      <w:pPr>
        <w:rPr>
          <w:noProof/>
          <w:szCs w:val="24"/>
        </w:rPr>
      </w:pPr>
      <w:r>
        <w:rPr>
          <w:noProof/>
        </w:rPr>
        <w:t xml:space="preserve">При проучването е била направена също така оценка на </w:t>
      </w:r>
      <w:r>
        <w:rPr>
          <w:b/>
          <w:noProof/>
        </w:rPr>
        <w:t>социалното въздействие</w:t>
      </w:r>
      <w:r>
        <w:rPr>
          <w:noProof/>
        </w:rPr>
        <w:t xml:space="preserve"> — основно в Чили, тъй като е било направено заключението, че ССТ не е довело до някакви осезаеми разходи за социално приспособяване в ЕС. </w:t>
      </w:r>
    </w:p>
    <w:p w:rsidR="00E1343B" w:rsidRDefault="00EB18D6">
      <w:pPr>
        <w:rPr>
          <w:noProof/>
          <w:szCs w:val="24"/>
        </w:rPr>
      </w:pPr>
      <w:r>
        <w:rPr>
          <w:noProof/>
        </w:rPr>
        <w:t xml:space="preserve">В </w:t>
      </w:r>
      <w:r>
        <w:rPr>
          <w:b/>
          <w:noProof/>
        </w:rPr>
        <w:t>селскостопанския</w:t>
      </w:r>
      <w:r>
        <w:rPr>
          <w:noProof/>
        </w:rPr>
        <w:t xml:space="preserve"> сектор в Чили е възможно малките земеделски стопанства да са загубили своите позиции пред относително по-големите земеделски предприятия. Като цяло обаче те са извлекли полза от постигнатото в резултат на ССТ увеличаване на общите селскостопански приходи и от намаляването на неравенството по отношение на достъпа до пазара между селското стопанство и другите сектори. </w:t>
      </w:r>
    </w:p>
    <w:p w:rsidR="00E1343B" w:rsidRDefault="00EB18D6">
      <w:pPr>
        <w:pStyle w:val="Heading2"/>
        <w:rPr>
          <w:noProof/>
        </w:rPr>
      </w:pPr>
      <w:bookmarkStart w:id="125" w:name="_Toc493510439"/>
      <w:bookmarkStart w:id="126" w:name="_Toc493510818"/>
      <w:bookmarkStart w:id="127" w:name="_Toc494126149"/>
      <w:bookmarkStart w:id="128" w:name="_Toc497120805"/>
      <w:r>
        <w:rPr>
          <w:noProof/>
        </w:rPr>
        <w:t>Мексико</w:t>
      </w:r>
      <w:bookmarkEnd w:id="125"/>
      <w:bookmarkEnd w:id="126"/>
      <w:bookmarkEnd w:id="127"/>
      <w:bookmarkEnd w:id="128"/>
      <w:r>
        <w:rPr>
          <w:noProof/>
        </w:rPr>
        <w:t xml:space="preserve"> </w:t>
      </w:r>
    </w:p>
    <w:p w:rsidR="00E1343B" w:rsidRDefault="00EB18D6">
      <w:pPr>
        <w:rPr>
          <w:noProof/>
        </w:rPr>
      </w:pPr>
      <w:r>
        <w:rPr>
          <w:noProof/>
        </w:rPr>
        <w:t xml:space="preserve">По отношение на Мексико заключението от анализа е, че двустранната </w:t>
      </w:r>
      <w:r>
        <w:rPr>
          <w:b/>
          <w:noProof/>
        </w:rPr>
        <w:t>търговия със стоки</w:t>
      </w:r>
      <w:r>
        <w:rPr>
          <w:noProof/>
        </w:rPr>
        <w:t xml:space="preserve"> между ЕС и Мексико се е разширила значително след влизането в сила на ССТ, особено по отношение на стоки, различни от селскостопански продукти. </w:t>
      </w:r>
    </w:p>
    <w:p w:rsidR="00E1343B" w:rsidRDefault="00EB18D6">
      <w:pPr>
        <w:rPr>
          <w:noProof/>
        </w:rPr>
      </w:pPr>
      <w:r>
        <w:rPr>
          <w:b/>
          <w:noProof/>
        </w:rPr>
        <w:t>Износът на селскостопански продукти</w:t>
      </w:r>
      <w:r>
        <w:rPr>
          <w:noProof/>
        </w:rPr>
        <w:t xml:space="preserve"> от ЕС все още е затруднен от високите тарифи и значителните санитарни и фитосанитарни пречки в Мексико.</w:t>
      </w:r>
    </w:p>
    <w:p w:rsidR="00E1343B" w:rsidRDefault="00EB18D6">
      <w:pPr>
        <w:rPr>
          <w:noProof/>
        </w:rPr>
      </w:pPr>
      <w:r>
        <w:rPr>
          <w:noProof/>
        </w:rPr>
        <w:t xml:space="preserve">Износът и вносът са се увеличили над два пъти, като износът от ЕС за Мексико е нараствал малко по-бързо, отколкото износа от Мексико за ЕС. </w:t>
      </w:r>
      <w:r>
        <w:rPr>
          <w:b/>
          <w:noProof/>
        </w:rPr>
        <w:t>Делът</w:t>
      </w:r>
      <w:r>
        <w:rPr>
          <w:noProof/>
        </w:rPr>
        <w:t xml:space="preserve"> на ЕС в мексиканския износ е бил 3,8 % през 1999 г. и 4,9 % през 2013 г. Делът на Мексико в износа на ЕС се е увеличил от 0,5 % на 0,7 %. </w:t>
      </w:r>
    </w:p>
    <w:p w:rsidR="00E1343B" w:rsidRDefault="00EB18D6">
      <w:pPr>
        <w:rPr>
          <w:noProof/>
        </w:rPr>
      </w:pPr>
      <w:r>
        <w:rPr>
          <w:noProof/>
        </w:rPr>
        <w:t xml:space="preserve">В процентно изражение е изчислено, че </w:t>
      </w:r>
      <w:r>
        <w:rPr>
          <w:b/>
          <w:noProof/>
        </w:rPr>
        <w:t>БВП на Мексико</w:t>
      </w:r>
      <w:r>
        <w:rPr>
          <w:noProof/>
        </w:rPr>
        <w:t xml:space="preserve"> е бил с 0,34 % по-висок поради ССТ, а </w:t>
      </w:r>
      <w:r>
        <w:rPr>
          <w:b/>
          <w:noProof/>
        </w:rPr>
        <w:t>БВП на ЕС</w:t>
      </w:r>
      <w:r>
        <w:rPr>
          <w:noProof/>
        </w:rPr>
        <w:t xml:space="preserve"> — с 0,01 % по-висок. Това асиметрично въздействие се дължи на разликата при позицията, която двете страни заемат като търговски партньори в своите класации. </w:t>
      </w:r>
    </w:p>
    <w:p w:rsidR="00E1343B" w:rsidRDefault="00EB18D6">
      <w:pPr>
        <w:rPr>
          <w:noProof/>
        </w:rPr>
      </w:pPr>
      <w:r>
        <w:rPr>
          <w:noProof/>
        </w:rPr>
        <w:t xml:space="preserve">Що се отнася до </w:t>
      </w:r>
      <w:r>
        <w:rPr>
          <w:b/>
          <w:noProof/>
        </w:rPr>
        <w:t>двустранните търговски потоци</w:t>
      </w:r>
      <w:r>
        <w:rPr>
          <w:noProof/>
        </w:rPr>
        <w:t xml:space="preserve">, е налице малко по-голямо увеличение на износа на ЕС за Мексико — с 19 %, отколкото при износа на Мексико за ЕС, чието увеличение се оценява на 15 %. </w:t>
      </w:r>
    </w:p>
    <w:p w:rsidR="00E1343B" w:rsidRDefault="00EB18D6">
      <w:pPr>
        <w:rPr>
          <w:noProof/>
        </w:rPr>
      </w:pPr>
      <w:r>
        <w:rPr>
          <w:noProof/>
        </w:rPr>
        <w:t xml:space="preserve">При търговията с </w:t>
      </w:r>
      <w:r>
        <w:rPr>
          <w:b/>
          <w:noProof/>
        </w:rPr>
        <w:t>услуги</w:t>
      </w:r>
      <w:r>
        <w:rPr>
          <w:noProof/>
        </w:rPr>
        <w:t xml:space="preserve"> се забелязва значително увеличаване на двустранните търговски потоци, но тези промени са в съответствие с развитието при търговията с услуги като цяло. </w:t>
      </w:r>
    </w:p>
    <w:p w:rsidR="00E1343B" w:rsidRDefault="00EB18D6">
      <w:pPr>
        <w:rPr>
          <w:noProof/>
        </w:rPr>
      </w:pPr>
      <w:r>
        <w:rPr>
          <w:noProof/>
        </w:rPr>
        <w:t xml:space="preserve">При </w:t>
      </w:r>
      <w:r>
        <w:rPr>
          <w:b/>
          <w:noProof/>
        </w:rPr>
        <w:t>потоците на преките чуждестранни инвестиции</w:t>
      </w:r>
      <w:r>
        <w:rPr>
          <w:noProof/>
        </w:rPr>
        <w:t xml:space="preserve"> между двете държави партньори са се наблюдавали колебания, без значителни отклонения от общите тенденции в тези потоци. </w:t>
      </w:r>
    </w:p>
    <w:p w:rsidR="00E1343B" w:rsidRDefault="00EB18D6">
      <w:pPr>
        <w:rPr>
          <w:noProof/>
        </w:rPr>
      </w:pPr>
      <w:r>
        <w:rPr>
          <w:b/>
          <w:noProof/>
        </w:rPr>
        <w:t>Заетостта, правата на човека, промените в бедността и неравенството</w:t>
      </w:r>
      <w:r>
        <w:rPr>
          <w:noProof/>
        </w:rPr>
        <w:t xml:space="preserve"> не са се повлияли съществено от ССТ. Ако има някакви промени, те са много малки, но положителни. </w:t>
      </w:r>
    </w:p>
    <w:p w:rsidR="00E1343B" w:rsidRDefault="00EB18D6">
      <w:pPr>
        <w:rPr>
          <w:noProof/>
        </w:rPr>
      </w:pPr>
      <w:r>
        <w:rPr>
          <w:noProof/>
        </w:rPr>
        <w:t xml:space="preserve">При проучването не е било възможно да стигне до заключение, че съществува някакво осезаемо въздействие върху </w:t>
      </w:r>
      <w:r>
        <w:rPr>
          <w:b/>
          <w:noProof/>
        </w:rPr>
        <w:t>околната среда</w:t>
      </w:r>
      <w:r>
        <w:rPr>
          <w:noProof/>
        </w:rPr>
        <w:t xml:space="preserve">, а по отношение на </w:t>
      </w:r>
      <w:r>
        <w:rPr>
          <w:b/>
          <w:noProof/>
        </w:rPr>
        <w:t>трудовите права</w:t>
      </w:r>
      <w:r>
        <w:rPr>
          <w:noProof/>
        </w:rPr>
        <w:t xml:space="preserve">, социалната закрила и социалния диалог не е била установена ясна връзка със ССТ. </w:t>
      </w:r>
    </w:p>
    <w:p w:rsidR="00E1343B" w:rsidRDefault="00EB18D6">
      <w:pPr>
        <w:spacing w:after="0"/>
        <w:jc w:val="left"/>
        <w:rPr>
          <w:b/>
          <w:smallCaps/>
          <w:noProof/>
        </w:rPr>
      </w:pPr>
      <w:r>
        <w:rPr>
          <w:noProof/>
        </w:rPr>
        <w:br w:type="page"/>
      </w:r>
    </w:p>
    <w:p w:rsidR="00E1343B" w:rsidRDefault="00EB18D6">
      <w:pPr>
        <w:pStyle w:val="Heading1"/>
        <w:rPr>
          <w:noProof/>
        </w:rPr>
      </w:pPr>
      <w:bookmarkStart w:id="129" w:name="_Toc493510440"/>
      <w:bookmarkStart w:id="130" w:name="_Toc493510819"/>
      <w:bookmarkStart w:id="131" w:name="_Toc494126150"/>
      <w:bookmarkStart w:id="132" w:name="_Toc497120806"/>
      <w:r>
        <w:rPr>
          <w:noProof/>
        </w:rPr>
        <w:t>Подготовка за ефективно изпълнение на ССТ</w:t>
      </w:r>
      <w:bookmarkEnd w:id="129"/>
      <w:bookmarkEnd w:id="130"/>
      <w:bookmarkEnd w:id="131"/>
      <w:bookmarkEnd w:id="132"/>
    </w:p>
    <w:p w:rsidR="00E1343B" w:rsidRDefault="00EB18D6">
      <w:pPr>
        <w:pStyle w:val="CommentText"/>
        <w:rPr>
          <w:noProof/>
          <w:sz w:val="24"/>
          <w:szCs w:val="24"/>
        </w:rPr>
      </w:pPr>
      <w:r>
        <w:rPr>
          <w:noProof/>
          <w:sz w:val="24"/>
        </w:rPr>
        <w:t xml:space="preserve">Вследствие на опита от ранните етапи на изпълнение на споразуменията за свободна търговия с Корея и с Колумбия и Перу, Комисията се убеди в значимостта на задълбочената </w:t>
      </w:r>
      <w:r>
        <w:rPr>
          <w:b/>
          <w:noProof/>
          <w:sz w:val="24"/>
        </w:rPr>
        <w:t>подготовка</w:t>
      </w:r>
      <w:r>
        <w:rPr>
          <w:noProof/>
          <w:sz w:val="24"/>
        </w:rPr>
        <w:t xml:space="preserve">, необходима за безпрепятственото изпълнение на споразуменията. Поради това в бъдеще, след като Комисията приключи преговорите, успоредно с необходимите стъпки от страна на ЕС, тя ще започва изготвянето на </w:t>
      </w:r>
      <w:r>
        <w:rPr>
          <w:b/>
          <w:noProof/>
          <w:sz w:val="24"/>
        </w:rPr>
        <w:t>пътна карта за изпълнението</w:t>
      </w:r>
      <w:r>
        <w:rPr>
          <w:noProof/>
          <w:sz w:val="24"/>
        </w:rPr>
        <w:t xml:space="preserve">. В нея ще бъдат описани законодателните и административните мерки, които държавата — партньорка по ССТ, трябва да приеме, за да спазва ангажиментите си по ССТ. </w:t>
      </w:r>
    </w:p>
    <w:p w:rsidR="00E1343B" w:rsidRDefault="00EB18D6">
      <w:pPr>
        <w:pStyle w:val="CommentText"/>
        <w:rPr>
          <w:noProof/>
          <w:sz w:val="24"/>
        </w:rPr>
      </w:pPr>
      <w:r>
        <w:rPr>
          <w:noProof/>
          <w:sz w:val="24"/>
        </w:rPr>
        <w:t xml:space="preserve">Комисията ще съгласува тези пътни карти с държавните партньори и ще проследява изпълнението им, за да гарантира ефективното прилагане на споразуменията. В случаите на </w:t>
      </w:r>
      <w:r>
        <w:rPr>
          <w:b/>
          <w:noProof/>
          <w:sz w:val="24"/>
        </w:rPr>
        <w:t>Виетнам</w:t>
      </w:r>
      <w:r>
        <w:rPr>
          <w:noProof/>
          <w:sz w:val="24"/>
        </w:rPr>
        <w:t xml:space="preserve"> и </w:t>
      </w:r>
      <w:r>
        <w:rPr>
          <w:b/>
          <w:noProof/>
          <w:sz w:val="24"/>
        </w:rPr>
        <w:t>Сингапур</w:t>
      </w:r>
      <w:r>
        <w:rPr>
          <w:noProof/>
          <w:sz w:val="24"/>
        </w:rPr>
        <w:t xml:space="preserve"> Комисията вече е започнала работа по пътните карти за изпълнението. По отношение на </w:t>
      </w:r>
      <w:r>
        <w:rPr>
          <w:b/>
          <w:noProof/>
          <w:sz w:val="24"/>
        </w:rPr>
        <w:t>развиващите се</w:t>
      </w:r>
      <w:r>
        <w:rPr>
          <w:noProof/>
          <w:sz w:val="24"/>
        </w:rPr>
        <w:t xml:space="preserve"> и </w:t>
      </w:r>
      <w:r>
        <w:rPr>
          <w:b/>
          <w:noProof/>
          <w:sz w:val="24"/>
        </w:rPr>
        <w:t>най-слабо развитите държави</w:t>
      </w:r>
      <w:r>
        <w:rPr>
          <w:noProof/>
          <w:sz w:val="24"/>
        </w:rPr>
        <w:t xml:space="preserve"> пътните карти за изпълнението ще включват и мерки, които да им помогнат да използват по-добре възможностите, предлагани от търговските споразумения с ЕС, в съответствие с тазгодишния преглед на стратегията на ЕС за подпомагане на търговията.</w:t>
      </w:r>
    </w:p>
    <w:p w:rsidR="00E1343B" w:rsidRDefault="00EB18D6">
      <w:pPr>
        <w:rPr>
          <w:noProof/>
        </w:rPr>
      </w:pPr>
      <w:r>
        <w:rPr>
          <w:b/>
          <w:noProof/>
        </w:rPr>
        <w:t>Делегациите на ЕС</w:t>
      </w:r>
      <w:r>
        <w:rPr>
          <w:noProof/>
        </w:rPr>
        <w:t xml:space="preserve"> в държавите — партньори по ССТ, играят </w:t>
      </w:r>
      <w:r>
        <w:rPr>
          <w:b/>
          <w:noProof/>
        </w:rPr>
        <w:t>ключова роля</w:t>
      </w:r>
      <w:r>
        <w:rPr>
          <w:noProof/>
        </w:rPr>
        <w:t xml:space="preserve"> в работата по изпълнението на ССТ. Те са в най-добра позиция да проследяват вътрешното развитие, което е от значение за ефективното действие на ССТ. Те поддържат тесни контакти с представителите на държавите членки, с местните стопански сдружения и с другите заинтересовани страни, с които създават </w:t>
      </w:r>
      <w:r>
        <w:rPr>
          <w:b/>
          <w:noProof/>
        </w:rPr>
        <w:t>екипи за достъп до пазара</w:t>
      </w:r>
      <w:r>
        <w:rPr>
          <w:noProof/>
        </w:rPr>
        <w:t>, за да следят премахването на пречките пред търговията. В държавите — партньори по ССТ, екипите за достъп до пазара насочват вниманието си на първо място към изпълнението на ССТ. Делегациите на ЕС имат съществена роля и за проследяването на пътните карти за изпълнението.</w:t>
      </w:r>
    </w:p>
    <w:p w:rsidR="00E1343B" w:rsidRDefault="00EB18D6">
      <w:pPr>
        <w:rPr>
          <w:noProof/>
        </w:rPr>
      </w:pPr>
      <w:r>
        <w:rPr>
          <w:noProof/>
        </w:rPr>
        <w:t>Освен това Комисията се стреми да ангажира други институции, държави членки, стопански и нестопански организации в подготовката за ефективното започване на прилагането на ССТ.</w:t>
      </w:r>
    </w:p>
    <w:p w:rsidR="00E1343B" w:rsidRDefault="00EB18D6">
      <w:pPr>
        <w:spacing w:after="0"/>
        <w:jc w:val="left"/>
        <w:rPr>
          <w:b/>
          <w:smallCaps/>
          <w:noProof/>
        </w:rPr>
      </w:pPr>
      <w:bookmarkStart w:id="133" w:name="_Toc493510441"/>
      <w:bookmarkStart w:id="134" w:name="_Toc493510820"/>
      <w:r>
        <w:rPr>
          <w:noProof/>
        </w:rPr>
        <w:br w:type="page"/>
      </w:r>
    </w:p>
    <w:p w:rsidR="00E1343B" w:rsidRDefault="00EB18D6">
      <w:pPr>
        <w:pStyle w:val="Heading1"/>
        <w:rPr>
          <w:noProof/>
        </w:rPr>
      </w:pPr>
      <w:bookmarkStart w:id="135" w:name="_Toc494126151"/>
      <w:bookmarkStart w:id="136" w:name="_Toc497120807"/>
      <w:r>
        <w:rPr>
          <w:noProof/>
        </w:rPr>
        <w:t>Активизиране на дейностите по осведомяване</w:t>
      </w:r>
      <w:bookmarkEnd w:id="133"/>
      <w:bookmarkEnd w:id="134"/>
      <w:bookmarkEnd w:id="135"/>
      <w:bookmarkEnd w:id="136"/>
      <w:r>
        <w:rPr>
          <w:noProof/>
        </w:rPr>
        <w:t xml:space="preserve"> </w:t>
      </w:r>
    </w:p>
    <w:p w:rsidR="00E1343B" w:rsidRDefault="00EB18D6">
      <w:pPr>
        <w:spacing w:after="0"/>
        <w:rPr>
          <w:noProof/>
        </w:rPr>
      </w:pPr>
      <w:r>
        <w:rPr>
          <w:noProof/>
        </w:rPr>
        <w:t>Липсата на осведоменост относно ССТ бе определена като една от основните причини, поради които дружествата не използват ССТ. Ето защо Комисията активизира усилията си за попълване на този пропуск:</w:t>
      </w:r>
    </w:p>
    <w:p w:rsidR="00E1343B" w:rsidRDefault="00EB18D6">
      <w:pPr>
        <w:pStyle w:val="ListParagraph"/>
        <w:numPr>
          <w:ilvl w:val="0"/>
          <w:numId w:val="32"/>
        </w:numPr>
        <w:spacing w:after="0" w:line="240" w:lineRule="auto"/>
        <w:ind w:hanging="357"/>
        <w:rPr>
          <w:noProof/>
        </w:rPr>
      </w:pPr>
      <w:r>
        <w:rPr>
          <w:noProof/>
        </w:rPr>
        <w:t>беше изготвена подробна информация за Всеобхватното икономическо и търговско споразумение Канада—Европейски съюз (ВИТС)</w:t>
      </w:r>
      <w:r>
        <w:rPr>
          <w:rStyle w:val="FootnoteReference"/>
          <w:noProof/>
        </w:rPr>
        <w:footnoteReference w:id="19"/>
      </w:r>
      <w:r>
        <w:rPr>
          <w:noProof/>
        </w:rPr>
        <w:t xml:space="preserve"> и Споразумението за свободна търговия с Виетнам</w:t>
      </w:r>
      <w:r>
        <w:rPr>
          <w:rStyle w:val="FootnoteReference"/>
          <w:noProof/>
        </w:rPr>
        <w:footnoteReference w:id="20"/>
      </w:r>
      <w:r>
        <w:rPr>
          <w:noProof/>
        </w:rPr>
        <w:t>;</w:t>
      </w:r>
    </w:p>
    <w:p w:rsidR="00E1343B" w:rsidRDefault="00EB18D6">
      <w:pPr>
        <w:pStyle w:val="ListParagraph"/>
        <w:numPr>
          <w:ilvl w:val="0"/>
          <w:numId w:val="32"/>
        </w:numPr>
        <w:spacing w:after="0" w:line="240" w:lineRule="auto"/>
        <w:ind w:hanging="357"/>
        <w:rPr>
          <w:noProof/>
        </w:rPr>
      </w:pPr>
      <w:r>
        <w:rPr>
          <w:noProof/>
        </w:rPr>
        <w:t xml:space="preserve">бяха намерени </w:t>
      </w:r>
      <w:r>
        <w:rPr>
          <w:b/>
          <w:noProof/>
        </w:rPr>
        <w:t>истории за успешни примери</w:t>
      </w:r>
      <w:r>
        <w:rPr>
          <w:noProof/>
        </w:rPr>
        <w:t xml:space="preserve"> на износители и те бяха публикувани онлайн и в медиите</w:t>
      </w:r>
      <w:r>
        <w:rPr>
          <w:rStyle w:val="FootnoteReference"/>
          <w:noProof/>
        </w:rPr>
        <w:footnoteReference w:id="21"/>
      </w:r>
      <w:r>
        <w:rPr>
          <w:noProof/>
        </w:rPr>
        <w:t>;</w:t>
      </w:r>
    </w:p>
    <w:p w:rsidR="00E1343B" w:rsidRDefault="00EB18D6">
      <w:pPr>
        <w:pStyle w:val="ListParagraph"/>
        <w:numPr>
          <w:ilvl w:val="0"/>
          <w:numId w:val="32"/>
        </w:numPr>
        <w:spacing w:after="0" w:line="240" w:lineRule="auto"/>
        <w:ind w:hanging="357"/>
        <w:rPr>
          <w:noProof/>
        </w:rPr>
      </w:pPr>
      <w:r>
        <w:rPr>
          <w:noProof/>
        </w:rPr>
        <w:t>бяха разработени планове:</w:t>
      </w:r>
    </w:p>
    <w:p w:rsidR="00E1343B" w:rsidRDefault="00EB18D6">
      <w:pPr>
        <w:pStyle w:val="ListParagraph"/>
        <w:numPr>
          <w:ilvl w:val="1"/>
          <w:numId w:val="32"/>
        </w:numPr>
        <w:spacing w:after="0" w:line="240" w:lineRule="auto"/>
        <w:ind w:hanging="357"/>
        <w:rPr>
          <w:noProof/>
        </w:rPr>
      </w:pPr>
      <w:r>
        <w:rPr>
          <w:noProof/>
        </w:rPr>
        <w:t xml:space="preserve">за подобряване на предоставянето на информация, свързана със ССТ, в </w:t>
      </w:r>
      <w:r>
        <w:rPr>
          <w:b/>
          <w:noProof/>
        </w:rPr>
        <w:t>базата данни</w:t>
      </w:r>
      <w:r>
        <w:rPr>
          <w:noProof/>
        </w:rPr>
        <w:t xml:space="preserve"> на ЕС </w:t>
      </w:r>
      <w:r>
        <w:rPr>
          <w:b/>
          <w:noProof/>
        </w:rPr>
        <w:t>за достъп до пазари</w:t>
      </w:r>
      <w:r>
        <w:rPr>
          <w:rStyle w:val="FootnoteReference"/>
          <w:noProof/>
        </w:rPr>
        <w:footnoteReference w:id="22"/>
      </w:r>
      <w:r>
        <w:rPr>
          <w:noProof/>
        </w:rPr>
        <w:t xml:space="preserve"> и </w:t>
      </w:r>
    </w:p>
    <w:p w:rsidR="00E1343B" w:rsidRDefault="00EB18D6">
      <w:pPr>
        <w:pStyle w:val="ListParagraph"/>
        <w:numPr>
          <w:ilvl w:val="1"/>
          <w:numId w:val="32"/>
        </w:numPr>
        <w:spacing w:after="240" w:line="240" w:lineRule="auto"/>
        <w:ind w:left="1083" w:hanging="357"/>
        <w:contextualSpacing w:val="0"/>
        <w:rPr>
          <w:noProof/>
        </w:rPr>
      </w:pPr>
      <w:r>
        <w:rPr>
          <w:noProof/>
        </w:rPr>
        <w:t xml:space="preserve">за по-успешно използване на други </w:t>
      </w:r>
      <w:r>
        <w:rPr>
          <w:b/>
          <w:noProof/>
        </w:rPr>
        <w:t>съществуващи инструменти на Комисията</w:t>
      </w:r>
      <w:r>
        <w:rPr>
          <w:noProof/>
        </w:rPr>
        <w:t xml:space="preserve"> и мрежи за разпространение на информация, свързана със ССТ. </w:t>
      </w:r>
    </w:p>
    <w:p w:rsidR="00E1343B" w:rsidRDefault="00EB18D6">
      <w:pPr>
        <w:rPr>
          <w:noProof/>
        </w:rPr>
      </w:pPr>
      <w:r>
        <w:rPr>
          <w:noProof/>
        </w:rPr>
        <w:t xml:space="preserve">Нови инструменти за осведомяване по електронен път, </w:t>
      </w:r>
      <w:r>
        <w:rPr>
          <w:b/>
          <w:noProof/>
        </w:rPr>
        <w:t>насочени към МСП</w:t>
      </w:r>
      <w:r>
        <w:rPr>
          <w:noProof/>
        </w:rPr>
        <w:t>, ще бъдат реализирани през 2017 и 2018 г.</w:t>
      </w:r>
    </w:p>
    <w:p w:rsidR="00E1343B" w:rsidRDefault="00EB18D6">
      <w:pPr>
        <w:rPr>
          <w:noProof/>
        </w:rPr>
      </w:pPr>
      <w:r>
        <w:rPr>
          <w:noProof/>
        </w:rPr>
        <w:t xml:space="preserve">Освен Комисията, </w:t>
      </w:r>
      <w:r>
        <w:rPr>
          <w:b/>
          <w:noProof/>
        </w:rPr>
        <w:t>държавите членки</w:t>
      </w:r>
      <w:r>
        <w:rPr>
          <w:noProof/>
        </w:rPr>
        <w:t xml:space="preserve"> също играят </w:t>
      </w:r>
      <w:r>
        <w:rPr>
          <w:b/>
          <w:noProof/>
        </w:rPr>
        <w:t>решаваща роля</w:t>
      </w:r>
      <w:r>
        <w:rPr>
          <w:noProof/>
        </w:rPr>
        <w:t xml:space="preserve"> за подпомагане на разпространението на информация за ССТ сред техните заинтересовани страни. Това е особено вярно за МСП, които често се нуждаят от информация на местния език и в различни региони.</w:t>
      </w:r>
    </w:p>
    <w:p w:rsidR="00E1343B" w:rsidRDefault="00EB18D6">
      <w:pPr>
        <w:rPr>
          <w:noProof/>
        </w:rPr>
      </w:pPr>
      <w:r>
        <w:rPr>
          <w:noProof/>
        </w:rPr>
        <w:t xml:space="preserve">През 2016 г. Комисията започна обсъждания с държавите членки и със стопански организации, включително в рамките на </w:t>
      </w:r>
      <w:r>
        <w:rPr>
          <w:b/>
          <w:noProof/>
        </w:rPr>
        <w:t>Консултативния комитет за достъп до пазари</w:t>
      </w:r>
      <w:r>
        <w:rPr>
          <w:noProof/>
        </w:rPr>
        <w:t xml:space="preserve"> и в </w:t>
      </w:r>
      <w:r>
        <w:rPr>
          <w:b/>
          <w:noProof/>
        </w:rPr>
        <w:t>комитет „Търговска политика“</w:t>
      </w:r>
      <w:r>
        <w:rPr>
          <w:noProof/>
        </w:rPr>
        <w:t xml:space="preserve"> на Съвета, относно начините за по-успешно сътрудничество по изпълнението на ССТ. Като особено важни бяха оценени по-ефективните дейности по осведомяване на централно и местно равнище. </w:t>
      </w:r>
    </w:p>
    <w:p w:rsidR="00E1343B" w:rsidRDefault="00EB18D6">
      <w:pPr>
        <w:rPr>
          <w:noProof/>
        </w:rPr>
      </w:pPr>
      <w:r>
        <w:rPr>
          <w:noProof/>
        </w:rPr>
        <w:t xml:space="preserve">При този обмен беше установено също, че тясното сътрудничество между </w:t>
      </w:r>
      <w:r>
        <w:rPr>
          <w:b/>
          <w:noProof/>
        </w:rPr>
        <w:t>посолствата на държавите членки и делегациите на ЕС</w:t>
      </w:r>
      <w:r>
        <w:rPr>
          <w:noProof/>
        </w:rPr>
        <w:t xml:space="preserve"> в държавите — партньори по ССТ, е ключов фактор за осигуряване на ефективното изпълнение на конкретните ССТ.</w:t>
      </w:r>
    </w:p>
    <w:p w:rsidR="00E1343B" w:rsidRDefault="00EB18D6">
      <w:pPr>
        <w:rPr>
          <w:noProof/>
        </w:rPr>
      </w:pPr>
      <w:r>
        <w:rPr>
          <w:noProof/>
        </w:rPr>
        <w:t>Работата с държавите членки, с Европейския парламент, със заинтересованите страни от стопанския сектор и с нестопанските организации продължава през 2017 г., за да бъдат установени най-добрите практики.</w:t>
      </w:r>
    </w:p>
    <w:p w:rsidR="00E1343B" w:rsidRDefault="00EB18D6">
      <w:pPr>
        <w:spacing w:after="0"/>
        <w:jc w:val="left"/>
        <w:rPr>
          <w:b/>
          <w:smallCaps/>
          <w:noProof/>
        </w:rPr>
      </w:pPr>
      <w:r>
        <w:rPr>
          <w:noProof/>
        </w:rPr>
        <w:br w:type="page"/>
      </w:r>
    </w:p>
    <w:p w:rsidR="00E1343B" w:rsidRDefault="00EB18D6">
      <w:pPr>
        <w:pStyle w:val="Heading1"/>
        <w:rPr>
          <w:noProof/>
        </w:rPr>
      </w:pPr>
      <w:bookmarkStart w:id="137" w:name="_Toc493510442"/>
      <w:bookmarkStart w:id="138" w:name="_Toc493510821"/>
      <w:bookmarkStart w:id="139" w:name="_Toc494126152"/>
      <w:bookmarkStart w:id="140" w:name="_Toc497120808"/>
      <w:r>
        <w:rPr>
          <w:noProof/>
        </w:rPr>
        <w:t>Заключение</w:t>
      </w:r>
      <w:bookmarkEnd w:id="137"/>
      <w:bookmarkEnd w:id="138"/>
      <w:bookmarkEnd w:id="139"/>
      <w:bookmarkEnd w:id="140"/>
    </w:p>
    <w:p w:rsidR="00E1343B" w:rsidRDefault="00EB18D6">
      <w:pPr>
        <w:rPr>
          <w:noProof/>
        </w:rPr>
      </w:pPr>
      <w:r>
        <w:rPr>
          <w:noProof/>
        </w:rPr>
        <w:t>ЕС е сключил множество разнообразни споразумения за свободна търговия и те са много различни по отношение на приложното поле и целите.</w:t>
      </w:r>
    </w:p>
    <w:p w:rsidR="00E1343B" w:rsidRDefault="00EB18D6">
      <w:pPr>
        <w:spacing w:after="0"/>
        <w:rPr>
          <w:noProof/>
        </w:rPr>
      </w:pPr>
      <w:bookmarkStart w:id="141" w:name="_Toc493510443"/>
      <w:bookmarkStart w:id="142" w:name="_Toc493510822"/>
      <w:r>
        <w:rPr>
          <w:noProof/>
        </w:rPr>
        <w:t>Работата по изпълнението на СИП и ЗВЗСТ трябва да се активизира и от двете страни. Успехът на тези усилия е тясно свързан с постигнатия напредък в областта на:</w:t>
      </w:r>
    </w:p>
    <w:p w:rsidR="00E1343B" w:rsidRDefault="00EB18D6">
      <w:pPr>
        <w:pStyle w:val="ListParagraph"/>
        <w:numPr>
          <w:ilvl w:val="0"/>
          <w:numId w:val="33"/>
        </w:numPr>
        <w:spacing w:after="0" w:line="240" w:lineRule="auto"/>
        <w:rPr>
          <w:noProof/>
        </w:rPr>
      </w:pPr>
      <w:r>
        <w:rPr>
          <w:noProof/>
        </w:rPr>
        <w:t xml:space="preserve">сближаването и изграждането на институционален капацитет в случая на ЗВЗСТ; и </w:t>
      </w:r>
    </w:p>
    <w:p w:rsidR="00E1343B" w:rsidRDefault="00EB18D6">
      <w:pPr>
        <w:pStyle w:val="ListParagraph"/>
        <w:numPr>
          <w:ilvl w:val="0"/>
          <w:numId w:val="33"/>
        </w:numPr>
        <w:rPr>
          <w:noProof/>
        </w:rPr>
      </w:pPr>
      <w:r>
        <w:rPr>
          <w:noProof/>
        </w:rPr>
        <w:t>изграждането на капацитет за изпълнение в случая на СИП.</w:t>
      </w:r>
    </w:p>
    <w:p w:rsidR="00E1343B" w:rsidRDefault="00EB18D6">
      <w:pPr>
        <w:rPr>
          <w:noProof/>
        </w:rPr>
      </w:pPr>
      <w:r>
        <w:rPr>
          <w:noProof/>
        </w:rPr>
        <w:t xml:space="preserve">Държавите от Средиземноморието все още срещат трудности при износа за пазара на ЕС. Това е така въпреки вече продължителния период на прилагане на ССТ. Развитието в национален план през последните години, включително кризата с бежанците, доведе до допълнителни предизвикателства пред изграждането на капацитет за износ и диверсификацията на икономиката, които биха помогнали на тези партньори да се възползват в по-голяма степен от възможностите, предоставяни от ССТ. </w:t>
      </w:r>
    </w:p>
    <w:p w:rsidR="00E1343B" w:rsidRDefault="00EB18D6">
      <w:pPr>
        <w:pStyle w:val="Heading2"/>
        <w:rPr>
          <w:noProof/>
        </w:rPr>
      </w:pPr>
      <w:bookmarkStart w:id="143" w:name="_Toc494126153"/>
      <w:bookmarkStart w:id="144" w:name="_Toc497120809"/>
      <w:r>
        <w:rPr>
          <w:noProof/>
        </w:rPr>
        <w:t>Търговски потоци</w:t>
      </w:r>
      <w:bookmarkEnd w:id="141"/>
      <w:bookmarkEnd w:id="142"/>
      <w:bookmarkEnd w:id="143"/>
      <w:bookmarkEnd w:id="144"/>
      <w:r>
        <w:rPr>
          <w:noProof/>
        </w:rPr>
        <w:t xml:space="preserve"> </w:t>
      </w:r>
    </w:p>
    <w:p w:rsidR="00E1343B" w:rsidRDefault="00EB18D6">
      <w:pPr>
        <w:rPr>
          <w:noProof/>
        </w:rPr>
      </w:pPr>
      <w:r>
        <w:rPr>
          <w:noProof/>
        </w:rPr>
        <w:t xml:space="preserve">Като цяло </w:t>
      </w:r>
      <w:r>
        <w:rPr>
          <w:b/>
          <w:noProof/>
        </w:rPr>
        <w:t>търговията със стоки</w:t>
      </w:r>
      <w:r>
        <w:rPr>
          <w:noProof/>
        </w:rPr>
        <w:t xml:space="preserve"> </w:t>
      </w:r>
      <w:r>
        <w:rPr>
          <w:b/>
          <w:noProof/>
        </w:rPr>
        <w:t>се увеличава</w:t>
      </w:r>
      <w:r>
        <w:rPr>
          <w:noProof/>
        </w:rPr>
        <w:t xml:space="preserve">, по-специално по отношение на износа на ЕС. В случаите, когато износът на ЕС намалява, това изглежда се дължи основно на външни фактори, които засягат икономиката на съответната държава партньор, а не на функционирането на самото споразумение за свободна търговия. </w:t>
      </w:r>
    </w:p>
    <w:p w:rsidR="00E1343B" w:rsidRDefault="00EB18D6">
      <w:pPr>
        <w:rPr>
          <w:noProof/>
        </w:rPr>
      </w:pPr>
      <w:r>
        <w:rPr>
          <w:noProof/>
        </w:rPr>
        <w:t xml:space="preserve">Значителното увеличение на износа на ЕС на </w:t>
      </w:r>
      <w:r>
        <w:rPr>
          <w:b/>
          <w:noProof/>
        </w:rPr>
        <w:t>селскостопански продукти</w:t>
      </w:r>
      <w:r>
        <w:rPr>
          <w:noProof/>
        </w:rPr>
        <w:t xml:space="preserve"> и на </w:t>
      </w:r>
      <w:r>
        <w:rPr>
          <w:b/>
          <w:noProof/>
        </w:rPr>
        <w:t>моторни превозни средства</w:t>
      </w:r>
      <w:r>
        <w:rPr>
          <w:noProof/>
        </w:rPr>
        <w:t xml:space="preserve"> в случая на ССТ „от ново поколение“ е много положително явление и надвишава първоначалните очаквания. Високата степен на използване от страна на дружествата от ЕС на преференциалните тарифи на ССТ в тези сектори означава, че ССТ са изиграли важна роля за тези тенденции. </w:t>
      </w:r>
    </w:p>
    <w:p w:rsidR="00E1343B" w:rsidRDefault="00EB18D6">
      <w:pPr>
        <w:pStyle w:val="Heading2"/>
        <w:rPr>
          <w:noProof/>
        </w:rPr>
      </w:pPr>
      <w:bookmarkStart w:id="145" w:name="_Toc493510444"/>
      <w:bookmarkStart w:id="146" w:name="_Toc493510823"/>
      <w:bookmarkStart w:id="147" w:name="_Toc494126154"/>
      <w:bookmarkStart w:id="148" w:name="_Toc497120810"/>
      <w:r>
        <w:rPr>
          <w:noProof/>
        </w:rPr>
        <w:t>Тарифни квоти</w:t>
      </w:r>
      <w:bookmarkEnd w:id="145"/>
      <w:bookmarkEnd w:id="146"/>
      <w:bookmarkEnd w:id="147"/>
      <w:bookmarkEnd w:id="148"/>
      <w:r>
        <w:rPr>
          <w:noProof/>
        </w:rPr>
        <w:t xml:space="preserve"> </w:t>
      </w:r>
    </w:p>
    <w:p w:rsidR="00E1343B" w:rsidRDefault="00EB18D6">
      <w:pPr>
        <w:rPr>
          <w:noProof/>
        </w:rPr>
      </w:pPr>
      <w:r>
        <w:rPr>
          <w:noProof/>
        </w:rPr>
        <w:t xml:space="preserve">Що се отнася до тарифните квоти, съществува </w:t>
      </w:r>
      <w:r>
        <w:rPr>
          <w:b/>
          <w:noProof/>
        </w:rPr>
        <w:t>неизползван потенциал</w:t>
      </w:r>
      <w:r>
        <w:rPr>
          <w:noProof/>
        </w:rPr>
        <w:t xml:space="preserve"> за допълнителен износ и в двете посоки с всички партньори, тъй като използването на квотите като цяло се запазва ниско.</w:t>
      </w:r>
    </w:p>
    <w:p w:rsidR="00E1343B" w:rsidRDefault="00EB18D6">
      <w:pPr>
        <w:pStyle w:val="Heading2"/>
        <w:rPr>
          <w:noProof/>
        </w:rPr>
      </w:pPr>
      <w:bookmarkStart w:id="149" w:name="_Toc493510445"/>
      <w:bookmarkStart w:id="150" w:name="_Toc493510824"/>
      <w:bookmarkStart w:id="151" w:name="_Toc494126155"/>
      <w:bookmarkStart w:id="152" w:name="_Toc497120811"/>
      <w:r>
        <w:rPr>
          <w:noProof/>
        </w:rPr>
        <w:t>Степени на използване на преференциите</w:t>
      </w:r>
      <w:bookmarkEnd w:id="149"/>
      <w:bookmarkEnd w:id="150"/>
      <w:bookmarkEnd w:id="151"/>
      <w:bookmarkEnd w:id="152"/>
      <w:r>
        <w:rPr>
          <w:noProof/>
        </w:rPr>
        <w:t xml:space="preserve"> </w:t>
      </w:r>
    </w:p>
    <w:p w:rsidR="00E1343B" w:rsidRDefault="00EB18D6">
      <w:pPr>
        <w:spacing w:after="0"/>
        <w:rPr>
          <w:noProof/>
        </w:rPr>
      </w:pPr>
      <w:r>
        <w:rPr>
          <w:noProof/>
        </w:rPr>
        <w:t xml:space="preserve">Според наличните данни, те като цяло са </w:t>
      </w:r>
      <w:r>
        <w:rPr>
          <w:b/>
          <w:noProof/>
        </w:rPr>
        <w:t>много по-ниски</w:t>
      </w:r>
      <w:r>
        <w:rPr>
          <w:noProof/>
        </w:rPr>
        <w:t xml:space="preserve"> за </w:t>
      </w:r>
      <w:r>
        <w:rPr>
          <w:b/>
          <w:noProof/>
        </w:rPr>
        <w:t>предприятията от ЕС</w:t>
      </w:r>
      <w:r>
        <w:rPr>
          <w:noProof/>
        </w:rPr>
        <w:t>, отколкото тези за нашите търговски партньори. Комисията разгледа този въпрос и установи три основни причини за слабото използване на ССТ:</w:t>
      </w:r>
    </w:p>
    <w:p w:rsidR="00E1343B" w:rsidRDefault="00EB18D6">
      <w:pPr>
        <w:pStyle w:val="ListParagraph"/>
        <w:numPr>
          <w:ilvl w:val="0"/>
          <w:numId w:val="33"/>
        </w:numPr>
        <w:spacing w:after="0" w:line="240" w:lineRule="auto"/>
        <w:rPr>
          <w:noProof/>
        </w:rPr>
      </w:pPr>
      <w:r>
        <w:rPr>
          <w:noProof/>
        </w:rPr>
        <w:t xml:space="preserve">липса на </w:t>
      </w:r>
      <w:r>
        <w:rPr>
          <w:b/>
          <w:noProof/>
        </w:rPr>
        <w:t>осведоменост</w:t>
      </w:r>
      <w:r>
        <w:rPr>
          <w:noProof/>
        </w:rPr>
        <w:t xml:space="preserve"> за ССТ;</w:t>
      </w:r>
    </w:p>
    <w:p w:rsidR="00E1343B" w:rsidRDefault="00EB18D6">
      <w:pPr>
        <w:pStyle w:val="ListParagraph"/>
        <w:numPr>
          <w:ilvl w:val="0"/>
          <w:numId w:val="33"/>
        </w:numPr>
        <w:spacing w:after="0" w:line="240" w:lineRule="auto"/>
        <w:rPr>
          <w:noProof/>
        </w:rPr>
      </w:pPr>
      <w:r>
        <w:rPr>
          <w:b/>
          <w:noProof/>
        </w:rPr>
        <w:t>трудности при разбирането</w:t>
      </w:r>
      <w:r>
        <w:rPr>
          <w:noProof/>
        </w:rPr>
        <w:t xml:space="preserve"> на правилата за всеки продукт; и</w:t>
      </w:r>
    </w:p>
    <w:p w:rsidR="00E1343B" w:rsidRDefault="00EB18D6">
      <w:pPr>
        <w:pStyle w:val="ListParagraph"/>
        <w:numPr>
          <w:ilvl w:val="0"/>
          <w:numId w:val="33"/>
        </w:numPr>
        <w:spacing w:after="240" w:line="240" w:lineRule="auto"/>
        <w:ind w:left="357" w:hanging="357"/>
        <w:contextualSpacing w:val="0"/>
        <w:rPr>
          <w:noProof/>
        </w:rPr>
      </w:pPr>
      <w:r>
        <w:rPr>
          <w:noProof/>
        </w:rPr>
        <w:t xml:space="preserve">тромави </w:t>
      </w:r>
      <w:r>
        <w:rPr>
          <w:b/>
          <w:noProof/>
        </w:rPr>
        <w:t>процедури за получаване на документите</w:t>
      </w:r>
      <w:r>
        <w:rPr>
          <w:noProof/>
        </w:rPr>
        <w:t>, необходими за ползване на преференциално третиране.</w:t>
      </w:r>
    </w:p>
    <w:p w:rsidR="00E1343B" w:rsidRDefault="00EB18D6">
      <w:pPr>
        <w:rPr>
          <w:noProof/>
        </w:rPr>
      </w:pPr>
      <w:r>
        <w:rPr>
          <w:noProof/>
        </w:rPr>
        <w:t xml:space="preserve">Понастоящем Комисията работи за преодоляване на недостатъчната осведоменост. Тя </w:t>
      </w:r>
      <w:r>
        <w:rPr>
          <w:b/>
          <w:noProof/>
        </w:rPr>
        <w:t>подобрява информацията</w:t>
      </w:r>
      <w:r>
        <w:rPr>
          <w:noProof/>
        </w:rPr>
        <w:t xml:space="preserve">, която е на разположение на нейните уебсайтове, включително съществуващите инструменти, като например предварителните данъчни становища във връзка с произхода. Комисията също така подготвя нови видове </w:t>
      </w:r>
      <w:r>
        <w:rPr>
          <w:b/>
          <w:noProof/>
        </w:rPr>
        <w:t>цифрови инструменти</w:t>
      </w:r>
      <w:r>
        <w:rPr>
          <w:noProof/>
        </w:rPr>
        <w:t xml:space="preserve"> и ръководства за по-ефективно разпространение на информация за ССТ и улесняване на дружествата да ги използват. </w:t>
      </w:r>
    </w:p>
    <w:p w:rsidR="00E1343B" w:rsidRDefault="00EB18D6">
      <w:pPr>
        <w:rPr>
          <w:noProof/>
        </w:rPr>
      </w:pPr>
      <w:r>
        <w:rPr>
          <w:noProof/>
        </w:rPr>
        <w:t>Тясното сътрудничество с държавите членки и бизнес общността ще бъде от съществено значение за пълноценното усвояване на ползите от тези инструменти и за достигането до възможно най-много дружества.</w:t>
      </w:r>
    </w:p>
    <w:p w:rsidR="00E1343B" w:rsidRDefault="00EB18D6">
      <w:pPr>
        <w:rPr>
          <w:noProof/>
        </w:rPr>
      </w:pPr>
      <w:r>
        <w:rPr>
          <w:b/>
          <w:noProof/>
        </w:rPr>
        <w:t>Липсата на данни относно степента на използване на преференциите</w:t>
      </w:r>
      <w:r>
        <w:rPr>
          <w:noProof/>
        </w:rPr>
        <w:t xml:space="preserve"> за износа от ЕС в някои държави партньори е проблем и търсенето на решението му с тези държави следва да бъде приоритетен въпрос. В бъдещите споразумения за свободна търговия ще бъде включена </w:t>
      </w:r>
      <w:r>
        <w:rPr>
          <w:b/>
          <w:noProof/>
        </w:rPr>
        <w:t>разпоредба за обмен на данни</w:t>
      </w:r>
      <w:r>
        <w:rPr>
          <w:noProof/>
        </w:rPr>
        <w:t xml:space="preserve">, но проблемът продължава да стои по отношение на ССТ, които вече се прилагат. Без тези данни няма да е възможно да се проследява използването на ССТ или ефектът от всички активизирани усилия за подпомагане на дружествата от ЕС да ги използват. Данните биха помогнали и да се идентифицират онези сектори, в които степента на използване на преференциите е ниска, така че усилията да могат да се насочат конкретно към тях. </w:t>
      </w:r>
    </w:p>
    <w:p w:rsidR="00E1343B" w:rsidRDefault="00EB18D6">
      <w:pPr>
        <w:pStyle w:val="Heading2"/>
        <w:rPr>
          <w:noProof/>
        </w:rPr>
      </w:pPr>
      <w:bookmarkStart w:id="153" w:name="_Toc493510446"/>
      <w:bookmarkStart w:id="154" w:name="_Toc493510825"/>
      <w:bookmarkStart w:id="155" w:name="_Toc494126156"/>
      <w:bookmarkStart w:id="156" w:name="_Toc497120812"/>
      <w:r>
        <w:rPr>
          <w:noProof/>
        </w:rPr>
        <w:t>Услуги и инвестиции</w:t>
      </w:r>
      <w:bookmarkEnd w:id="153"/>
      <w:bookmarkEnd w:id="154"/>
      <w:bookmarkEnd w:id="155"/>
      <w:bookmarkEnd w:id="156"/>
      <w:r>
        <w:rPr>
          <w:noProof/>
        </w:rPr>
        <w:t xml:space="preserve"> </w:t>
      </w:r>
    </w:p>
    <w:p w:rsidR="00E1343B" w:rsidRDefault="00EB18D6">
      <w:pPr>
        <w:rPr>
          <w:noProof/>
        </w:rPr>
      </w:pPr>
      <w:r>
        <w:rPr>
          <w:noProof/>
        </w:rPr>
        <w:t xml:space="preserve">Услугите и инвестициите са част от всички ССТ „от ново поколение“ и ЗВЗСТ, но е трудно да се установи връзката между ССТ и развитието в тези области. </w:t>
      </w:r>
      <w:r>
        <w:rPr>
          <w:b/>
          <w:noProof/>
        </w:rPr>
        <w:t>Необходимо е още време</w:t>
      </w:r>
      <w:r>
        <w:rPr>
          <w:noProof/>
        </w:rPr>
        <w:t>, за да се установи реалното въздействие.</w:t>
      </w:r>
    </w:p>
    <w:p w:rsidR="00E1343B" w:rsidRDefault="00EB18D6">
      <w:pPr>
        <w:rPr>
          <w:noProof/>
        </w:rPr>
      </w:pPr>
      <w:r>
        <w:rPr>
          <w:noProof/>
        </w:rPr>
        <w:t>В случая на прилаганите ССТ с Чили и Мексико търговията се развива в положителна насока.</w:t>
      </w:r>
    </w:p>
    <w:p w:rsidR="00E1343B" w:rsidRDefault="00EB18D6">
      <w:pPr>
        <w:pStyle w:val="Heading2"/>
        <w:rPr>
          <w:noProof/>
        </w:rPr>
      </w:pPr>
      <w:bookmarkStart w:id="157" w:name="_Toc493510447"/>
      <w:bookmarkStart w:id="158" w:name="_Toc493510826"/>
      <w:bookmarkStart w:id="159" w:name="_Toc494126157"/>
      <w:bookmarkStart w:id="160" w:name="_Toc497120813"/>
      <w:r>
        <w:rPr>
          <w:noProof/>
        </w:rPr>
        <w:t>Търговия и устойчиво развитие</w:t>
      </w:r>
      <w:bookmarkEnd w:id="157"/>
      <w:bookmarkEnd w:id="158"/>
      <w:bookmarkEnd w:id="159"/>
      <w:bookmarkEnd w:id="160"/>
    </w:p>
    <w:p w:rsidR="00E1343B" w:rsidRDefault="00EB18D6">
      <w:pPr>
        <w:rPr>
          <w:noProof/>
        </w:rPr>
      </w:pPr>
      <w:r>
        <w:rPr>
          <w:noProof/>
        </w:rPr>
        <w:t xml:space="preserve">Изпълнението на главите с разпоредби относно търговията и устойчивото развитие изискват усилия за ангажиране на партньорите по ССТ, но вече се забелязват </w:t>
      </w:r>
      <w:r>
        <w:rPr>
          <w:b/>
          <w:noProof/>
        </w:rPr>
        <w:t>положителни тенденции</w:t>
      </w:r>
      <w:r>
        <w:rPr>
          <w:noProof/>
        </w:rPr>
        <w:t xml:space="preserve">. </w:t>
      </w:r>
    </w:p>
    <w:p w:rsidR="00E1343B" w:rsidRDefault="00EB18D6">
      <w:pPr>
        <w:rPr>
          <w:noProof/>
        </w:rPr>
      </w:pPr>
      <w:r>
        <w:rPr>
          <w:noProof/>
        </w:rPr>
        <w:t xml:space="preserve">Сега задачата е </w:t>
      </w:r>
      <w:r>
        <w:rPr>
          <w:b/>
          <w:noProof/>
        </w:rPr>
        <w:t>да се определят приоритетите за по-нататъшната работа</w:t>
      </w:r>
      <w:r>
        <w:rPr>
          <w:noProof/>
        </w:rPr>
        <w:t xml:space="preserve"> през идните години. Да се надхвърли самото ратифициране на основните международни инструменти, като се осигури ефективно изпълнение както в областта на правото, така и в практиката, продължава да бъде предизвикателство. </w:t>
      </w:r>
      <w:r>
        <w:rPr>
          <w:b/>
          <w:noProof/>
        </w:rPr>
        <w:t>Засиленото сътрудничество</w:t>
      </w:r>
      <w:r>
        <w:rPr>
          <w:noProof/>
        </w:rPr>
        <w:t xml:space="preserve"> с международни организации, като МОТ, ще подпомогне бъдещите усилия по наблюдение.</w:t>
      </w:r>
    </w:p>
    <w:p w:rsidR="00E1343B" w:rsidRDefault="00EB18D6">
      <w:pPr>
        <w:pStyle w:val="Heading2"/>
        <w:rPr>
          <w:noProof/>
        </w:rPr>
      </w:pPr>
      <w:bookmarkStart w:id="161" w:name="_Toc493510448"/>
      <w:bookmarkStart w:id="162" w:name="_Toc493510827"/>
      <w:bookmarkStart w:id="163" w:name="_Toc494126158"/>
      <w:bookmarkStart w:id="164" w:name="_Toc497120814"/>
      <w:r>
        <w:rPr>
          <w:noProof/>
        </w:rPr>
        <w:t>Висящи въпроси</w:t>
      </w:r>
      <w:bookmarkEnd w:id="161"/>
      <w:bookmarkEnd w:id="162"/>
      <w:bookmarkEnd w:id="163"/>
      <w:bookmarkEnd w:id="164"/>
      <w:r>
        <w:rPr>
          <w:noProof/>
        </w:rPr>
        <w:t xml:space="preserve"> </w:t>
      </w:r>
    </w:p>
    <w:p w:rsidR="00E1343B" w:rsidRDefault="00EB18D6">
      <w:pPr>
        <w:spacing w:after="0"/>
        <w:rPr>
          <w:noProof/>
        </w:rPr>
      </w:pPr>
      <w:r>
        <w:rPr>
          <w:noProof/>
        </w:rPr>
        <w:t xml:space="preserve">По отношение на висящите въпроси </w:t>
      </w:r>
      <w:r>
        <w:rPr>
          <w:b/>
          <w:noProof/>
        </w:rPr>
        <w:t>напредък</w:t>
      </w:r>
      <w:r>
        <w:rPr>
          <w:noProof/>
        </w:rPr>
        <w:t xml:space="preserve"> бе постигнат при: </w:t>
      </w:r>
    </w:p>
    <w:p w:rsidR="00E1343B" w:rsidRDefault="00EB18D6">
      <w:pPr>
        <w:pStyle w:val="ListParagraph"/>
        <w:numPr>
          <w:ilvl w:val="0"/>
          <w:numId w:val="34"/>
        </w:numPr>
        <w:spacing w:after="0" w:line="240" w:lineRule="auto"/>
        <w:rPr>
          <w:noProof/>
        </w:rPr>
      </w:pPr>
      <w:r>
        <w:rPr>
          <w:noProof/>
        </w:rPr>
        <w:t>санитарните и фитосанитарните мерки (Колумбия, Перу, Молдова, Грузия, Украйна);</w:t>
      </w:r>
    </w:p>
    <w:p w:rsidR="00E1343B" w:rsidRDefault="00EB18D6">
      <w:pPr>
        <w:pStyle w:val="ListParagraph"/>
        <w:numPr>
          <w:ilvl w:val="0"/>
          <w:numId w:val="34"/>
        </w:numPr>
        <w:spacing w:after="0" w:line="240" w:lineRule="auto"/>
        <w:rPr>
          <w:noProof/>
        </w:rPr>
      </w:pPr>
      <w:r>
        <w:rPr>
          <w:noProof/>
        </w:rPr>
        <w:t>дискриминационния режим за спиртни напитки (Колумбия); и</w:t>
      </w:r>
    </w:p>
    <w:p w:rsidR="00E1343B" w:rsidRDefault="00EB18D6">
      <w:pPr>
        <w:pStyle w:val="ListParagraph"/>
        <w:numPr>
          <w:ilvl w:val="0"/>
          <w:numId w:val="34"/>
        </w:numPr>
        <w:spacing w:after="240" w:line="240" w:lineRule="auto"/>
        <w:ind w:left="357" w:hanging="357"/>
        <w:contextualSpacing w:val="0"/>
        <w:rPr>
          <w:noProof/>
        </w:rPr>
      </w:pPr>
      <w:r>
        <w:rPr>
          <w:noProof/>
        </w:rPr>
        <w:t xml:space="preserve">техническите регламенти и стандартите (Украйна, Грузия). </w:t>
      </w:r>
    </w:p>
    <w:p w:rsidR="00E1343B" w:rsidRDefault="00EB18D6">
      <w:pPr>
        <w:spacing w:after="0"/>
        <w:rPr>
          <w:noProof/>
        </w:rPr>
      </w:pPr>
      <w:r>
        <w:rPr>
          <w:noProof/>
        </w:rPr>
        <w:t xml:space="preserve">Независимо от това </w:t>
      </w:r>
      <w:r>
        <w:rPr>
          <w:b/>
          <w:noProof/>
        </w:rPr>
        <w:t>продължават да съществуват проблеми</w:t>
      </w:r>
      <w:r>
        <w:rPr>
          <w:noProof/>
        </w:rPr>
        <w:t xml:space="preserve"> във връзка със:</w:t>
      </w:r>
    </w:p>
    <w:p w:rsidR="00E1343B" w:rsidRDefault="00EB18D6">
      <w:pPr>
        <w:pStyle w:val="ListParagraph"/>
        <w:numPr>
          <w:ilvl w:val="0"/>
          <w:numId w:val="35"/>
        </w:numPr>
        <w:spacing w:after="0" w:line="240" w:lineRule="auto"/>
        <w:rPr>
          <w:noProof/>
        </w:rPr>
      </w:pPr>
      <w:r>
        <w:rPr>
          <w:noProof/>
        </w:rPr>
        <w:t>санитарните и фитосанитарните мерки;</w:t>
      </w:r>
    </w:p>
    <w:p w:rsidR="00E1343B" w:rsidRDefault="00EB18D6">
      <w:pPr>
        <w:pStyle w:val="ListParagraph"/>
        <w:numPr>
          <w:ilvl w:val="0"/>
          <w:numId w:val="35"/>
        </w:numPr>
        <w:spacing w:after="0" w:line="240" w:lineRule="auto"/>
        <w:rPr>
          <w:noProof/>
        </w:rPr>
      </w:pPr>
      <w:r>
        <w:rPr>
          <w:noProof/>
        </w:rPr>
        <w:t>ограниченията при търговията със селскостопански продукти;</w:t>
      </w:r>
    </w:p>
    <w:p w:rsidR="00E1343B" w:rsidRDefault="00EB18D6">
      <w:pPr>
        <w:pStyle w:val="ListParagraph"/>
        <w:numPr>
          <w:ilvl w:val="0"/>
          <w:numId w:val="35"/>
        </w:numPr>
        <w:spacing w:after="0" w:line="240" w:lineRule="auto"/>
        <w:rPr>
          <w:noProof/>
        </w:rPr>
      </w:pPr>
      <w:r>
        <w:rPr>
          <w:noProof/>
        </w:rPr>
        <w:t>правоприлагането при географските означения; и</w:t>
      </w:r>
    </w:p>
    <w:p w:rsidR="00E1343B" w:rsidRDefault="00EB18D6">
      <w:pPr>
        <w:pStyle w:val="ListParagraph"/>
        <w:numPr>
          <w:ilvl w:val="0"/>
          <w:numId w:val="35"/>
        </w:numPr>
        <w:spacing w:after="240" w:line="240" w:lineRule="auto"/>
        <w:ind w:left="357" w:hanging="357"/>
        <w:contextualSpacing w:val="0"/>
        <w:rPr>
          <w:noProof/>
        </w:rPr>
      </w:pPr>
      <w:r>
        <w:rPr>
          <w:noProof/>
        </w:rPr>
        <w:t>обществените поръчки.</w:t>
      </w:r>
    </w:p>
    <w:p w:rsidR="00E1343B" w:rsidRDefault="00EB18D6">
      <w:pPr>
        <w:rPr>
          <w:noProof/>
        </w:rPr>
      </w:pPr>
      <w:r>
        <w:rPr>
          <w:noProof/>
        </w:rPr>
        <w:t xml:space="preserve">С цел съсредоточаване на усилията върху отварянето на пазарите, през 2016 г. ЕС и държавите членки приеха </w:t>
      </w:r>
      <w:r>
        <w:rPr>
          <w:b/>
          <w:noProof/>
        </w:rPr>
        <w:t>нова стратегия в областта на СФСМ</w:t>
      </w:r>
      <w:r>
        <w:rPr>
          <w:noProof/>
        </w:rPr>
        <w:t xml:space="preserve"> с ясни приоритети за достъп до пазарите за 20 търговски партньори. В това число попадат държави, с които ЕС има сключени ССТ или с които води преговори за такива споразумения. За да бъдат предотвратени бъдещи проблеми, се полагат допълнителни усилия при текущите преговори по ССТ</w:t>
      </w:r>
      <w:r>
        <w:rPr>
          <w:rStyle w:val="FootnoteReference"/>
          <w:noProof/>
        </w:rPr>
        <w:footnoteReference w:id="23"/>
      </w:r>
      <w:r>
        <w:rPr>
          <w:noProof/>
        </w:rPr>
        <w:t>.</w:t>
      </w:r>
    </w:p>
    <w:p w:rsidR="00E1343B" w:rsidRDefault="00EB18D6">
      <w:pPr>
        <w:spacing w:after="0"/>
        <w:rPr>
          <w:noProof/>
        </w:rPr>
      </w:pPr>
      <w:r>
        <w:rPr>
          <w:noProof/>
        </w:rPr>
        <w:t xml:space="preserve">Колкото по-дълго се прилага дадено споразумение за свободна търговия, толкова по-малко ЕС би трябвало да толерира продължаващи нарушения на ангажиментите по ССТ. След прилагане на ССТ между ЕС и </w:t>
      </w:r>
      <w:r>
        <w:rPr>
          <w:b/>
          <w:noProof/>
        </w:rPr>
        <w:t>Корея</w:t>
      </w:r>
      <w:r>
        <w:rPr>
          <w:noProof/>
        </w:rPr>
        <w:t xml:space="preserve"> в продължение на пет години:</w:t>
      </w:r>
    </w:p>
    <w:p w:rsidR="00E1343B" w:rsidRDefault="00EB18D6">
      <w:pPr>
        <w:pStyle w:val="ListParagraph"/>
        <w:numPr>
          <w:ilvl w:val="0"/>
          <w:numId w:val="36"/>
        </w:numPr>
        <w:spacing w:after="0" w:line="240" w:lineRule="auto"/>
        <w:rPr>
          <w:noProof/>
        </w:rPr>
      </w:pPr>
      <w:r>
        <w:rPr>
          <w:noProof/>
        </w:rPr>
        <w:t>ЕС все още не може да изнася говеждо месо;</w:t>
      </w:r>
    </w:p>
    <w:p w:rsidR="00E1343B" w:rsidRDefault="00EB18D6">
      <w:pPr>
        <w:pStyle w:val="ListParagraph"/>
        <w:numPr>
          <w:ilvl w:val="0"/>
          <w:numId w:val="36"/>
        </w:numPr>
        <w:spacing w:after="0" w:line="240" w:lineRule="auto"/>
        <w:rPr>
          <w:noProof/>
        </w:rPr>
      </w:pPr>
      <w:r>
        <w:rPr>
          <w:noProof/>
        </w:rPr>
        <w:t xml:space="preserve">от Корея все още се очаква да приеме принципа на регионализация; и </w:t>
      </w:r>
    </w:p>
    <w:p w:rsidR="00E1343B" w:rsidRDefault="00EB18D6">
      <w:pPr>
        <w:pStyle w:val="ListParagraph"/>
        <w:numPr>
          <w:ilvl w:val="0"/>
          <w:numId w:val="36"/>
        </w:numPr>
        <w:spacing w:after="240" w:line="240" w:lineRule="auto"/>
        <w:ind w:left="357" w:hanging="357"/>
        <w:contextualSpacing w:val="0"/>
        <w:rPr>
          <w:noProof/>
        </w:rPr>
      </w:pPr>
      <w:r>
        <w:rPr>
          <w:noProof/>
        </w:rPr>
        <w:t>ЕС ще продължи да работи с Корея за разширяване на списъка на защитените географски означения на ЕС, както е предвидено в споразумението.</w:t>
      </w:r>
    </w:p>
    <w:p w:rsidR="00E1343B" w:rsidRDefault="00EB18D6">
      <w:pPr>
        <w:rPr>
          <w:noProof/>
        </w:rPr>
      </w:pPr>
      <w:r>
        <w:rPr>
          <w:noProof/>
        </w:rPr>
        <w:t xml:space="preserve">Що се отнася до </w:t>
      </w:r>
      <w:r>
        <w:rPr>
          <w:b/>
          <w:noProof/>
        </w:rPr>
        <w:t>Перу</w:t>
      </w:r>
      <w:r>
        <w:rPr>
          <w:noProof/>
        </w:rPr>
        <w:t xml:space="preserve">, дискриминационното </w:t>
      </w:r>
      <w:r>
        <w:rPr>
          <w:b/>
          <w:noProof/>
        </w:rPr>
        <w:t>данъчно облагане на спиртни напитки</w:t>
      </w:r>
      <w:r>
        <w:rPr>
          <w:noProof/>
        </w:rPr>
        <w:t xml:space="preserve"> продължава след три години прилагане. Това контрастира с постигнатия напредък в тази област в случая на Колумбия. Въпросът трябва да бъде разгледан приоритетно.</w:t>
      </w:r>
    </w:p>
    <w:p w:rsidR="00E1343B" w:rsidRDefault="00EB18D6">
      <w:pPr>
        <w:pStyle w:val="Heading2"/>
        <w:rPr>
          <w:noProof/>
        </w:rPr>
      </w:pPr>
      <w:bookmarkStart w:id="165" w:name="_Toc493510449"/>
      <w:bookmarkStart w:id="166" w:name="_Toc493510828"/>
      <w:bookmarkStart w:id="167" w:name="_Toc494126159"/>
      <w:bookmarkStart w:id="168" w:name="_Toc497120815"/>
      <w:r>
        <w:rPr>
          <w:noProof/>
        </w:rPr>
        <w:t>Правоприлагане</w:t>
      </w:r>
      <w:bookmarkEnd w:id="165"/>
      <w:bookmarkEnd w:id="166"/>
      <w:bookmarkEnd w:id="167"/>
      <w:bookmarkEnd w:id="168"/>
    </w:p>
    <w:p w:rsidR="00E1343B" w:rsidRDefault="00EB18D6">
      <w:pPr>
        <w:rPr>
          <w:noProof/>
        </w:rPr>
      </w:pPr>
      <w:r>
        <w:rPr>
          <w:b/>
          <w:noProof/>
        </w:rPr>
        <w:t>Процедурата за уреждане на спорове</w:t>
      </w:r>
      <w:r>
        <w:rPr>
          <w:noProof/>
        </w:rPr>
        <w:t xml:space="preserve"> в рамките на ССТ не беше използвана, но ЕС поиска дискриминационният режим за </w:t>
      </w:r>
      <w:r>
        <w:rPr>
          <w:b/>
          <w:noProof/>
        </w:rPr>
        <w:t>спиртните напитки</w:t>
      </w:r>
      <w:r>
        <w:rPr>
          <w:noProof/>
        </w:rPr>
        <w:t xml:space="preserve">, поддържан от </w:t>
      </w:r>
      <w:r>
        <w:rPr>
          <w:b/>
          <w:noProof/>
        </w:rPr>
        <w:t>Колумбия</w:t>
      </w:r>
      <w:r>
        <w:rPr>
          <w:noProof/>
        </w:rPr>
        <w:t xml:space="preserve">, да бъде проверен от </w:t>
      </w:r>
      <w:r>
        <w:rPr>
          <w:b/>
          <w:noProof/>
        </w:rPr>
        <w:t>специализирана група на СТО</w:t>
      </w:r>
      <w:r>
        <w:rPr>
          <w:noProof/>
        </w:rPr>
        <w:t xml:space="preserve">. Вследствие на това искане Колумбия прие закон, който влезе в сила през януари 2017 г., чрез който разглежданите въпроси изглежда са разрешени. В момента ЕС наблюдава прилагането на закона. </w:t>
      </w:r>
    </w:p>
    <w:p w:rsidR="00E1343B" w:rsidRDefault="00EB18D6">
      <w:pPr>
        <w:rPr>
          <w:noProof/>
        </w:rPr>
      </w:pPr>
      <w:r>
        <w:rPr>
          <w:noProof/>
        </w:rPr>
        <w:t xml:space="preserve">Това показва как понякога предприемането на съдебни действия може да доведе до бързи резултати, без да се прилага пълната процедура. Комисията следва да </w:t>
      </w:r>
      <w:r>
        <w:rPr>
          <w:b/>
          <w:noProof/>
        </w:rPr>
        <w:t>обмисли използването на правоприлагане</w:t>
      </w:r>
      <w:r>
        <w:rPr>
          <w:noProof/>
        </w:rPr>
        <w:t>, по-специално в случаи с голямо икономическо или системно значение.</w:t>
      </w:r>
    </w:p>
    <w:p w:rsidR="00E1343B" w:rsidRDefault="00EB18D6">
      <w:pPr>
        <w:spacing w:after="0"/>
        <w:jc w:val="left"/>
        <w:rPr>
          <w:noProof/>
        </w:rPr>
      </w:pPr>
      <w:r>
        <w:rPr>
          <w:noProof/>
        </w:rPr>
        <w:br w:type="page"/>
      </w:r>
    </w:p>
    <w:p w:rsidR="00E1343B" w:rsidRDefault="00EB18D6">
      <w:pPr>
        <w:pStyle w:val="Heading1"/>
        <w:numPr>
          <w:ilvl w:val="0"/>
          <w:numId w:val="0"/>
        </w:numPr>
        <w:ind w:left="480" w:hanging="480"/>
        <w:rPr>
          <w:noProof/>
        </w:rPr>
      </w:pPr>
      <w:bookmarkStart w:id="169" w:name="_Toc494126160"/>
      <w:bookmarkStart w:id="170" w:name="_Toc497120816"/>
      <w:r>
        <w:rPr>
          <w:noProof/>
        </w:rPr>
        <w:t>Приложение 1 — Обхват на доклада и използвани данни</w:t>
      </w:r>
      <w:bookmarkEnd w:id="169"/>
      <w:bookmarkEnd w:id="170"/>
    </w:p>
    <w:p w:rsidR="00E1343B" w:rsidRDefault="00E1343B">
      <w:pPr>
        <w:pStyle w:val="Releasable"/>
        <w:rPr>
          <w:noProof/>
          <w:sz w:val="28"/>
          <w:szCs w:val="28"/>
        </w:rPr>
      </w:pPr>
    </w:p>
    <w:p w:rsidR="00E1343B" w:rsidRDefault="00EB18D6">
      <w:pPr>
        <w:rPr>
          <w:b/>
          <w:noProof/>
        </w:rPr>
      </w:pPr>
      <w:r>
        <w:rPr>
          <w:b/>
          <w:noProof/>
        </w:rPr>
        <w:t>Обхват</w:t>
      </w:r>
    </w:p>
    <w:p w:rsidR="00E1343B" w:rsidRDefault="00EB18D6">
      <w:pPr>
        <w:rPr>
          <w:noProof/>
        </w:rPr>
      </w:pPr>
      <w:r>
        <w:rPr>
          <w:noProof/>
        </w:rPr>
        <w:t xml:space="preserve">В обхвата на доклада попадат всеобхватни споразумения за свободна търговия, договорени след 2006 г. (ССТ „от ново поколение“), както и по-стари споразумения за свободна търговия, сключени преди тази дата, които по принцип са по-ограничени по обхват (ССТ „от първо поколение“). </w:t>
      </w:r>
    </w:p>
    <w:p w:rsidR="00E1343B" w:rsidRDefault="00EB18D6">
      <w:pPr>
        <w:rPr>
          <w:noProof/>
        </w:rPr>
      </w:pPr>
      <w:r>
        <w:rPr>
          <w:noProof/>
        </w:rPr>
        <w:t xml:space="preserve">Споразуменията за икономическо партньорство (СИП) и задълбочените и всеобхватни зони за свободна търговия (ЗВЗСТ) са разгледани отделно поради специфичния фокус в тези споразумения върху законодателното сближаване, в случая на ЗВЗСТ, и върху развитието, в случая на СИП. </w:t>
      </w:r>
    </w:p>
    <w:p w:rsidR="00E1343B" w:rsidRDefault="00EB18D6">
      <w:pPr>
        <w:rPr>
          <w:noProof/>
        </w:rPr>
      </w:pPr>
      <w:r>
        <w:rPr>
          <w:noProof/>
        </w:rPr>
        <w:t xml:space="preserve">Пълният списък е предоставен в приложение 2. </w:t>
      </w:r>
    </w:p>
    <w:p w:rsidR="00E1343B" w:rsidRDefault="00EB18D6">
      <w:pPr>
        <w:rPr>
          <w:noProof/>
        </w:rPr>
      </w:pPr>
      <w:r>
        <w:rPr>
          <w:noProof/>
        </w:rPr>
        <w:t xml:space="preserve">Изпълнението на главите с разпоредби относно търговията и устойчивото развитие също е разгледано в отделна глава и обхващаща всички ССТ, които включват такива разпоредби. </w:t>
      </w:r>
    </w:p>
    <w:p w:rsidR="00E1343B" w:rsidRDefault="00EB18D6">
      <w:pPr>
        <w:rPr>
          <w:b/>
          <w:noProof/>
        </w:rPr>
      </w:pPr>
      <w:r>
        <w:rPr>
          <w:b/>
          <w:noProof/>
        </w:rPr>
        <w:t xml:space="preserve">Използвани данни </w:t>
      </w:r>
    </w:p>
    <w:p w:rsidR="00E1343B" w:rsidRDefault="00EB18D6">
      <w:pPr>
        <w:rPr>
          <w:noProof/>
        </w:rPr>
      </w:pPr>
      <w:r>
        <w:rPr>
          <w:noProof/>
        </w:rPr>
        <w:t xml:space="preserve">В доклада се разглежда ситуацията през 2016 г., както и споразуменията за свободна търговия, които към края на 2016 г. са били </w:t>
      </w:r>
      <w:r>
        <w:rPr>
          <w:i/>
          <w:noProof/>
        </w:rPr>
        <w:t>прилагани в продължение най-малко на една година</w:t>
      </w:r>
      <w:r>
        <w:rPr>
          <w:noProof/>
        </w:rPr>
        <w:t>. В него са използвани данни на Евростат:</w:t>
      </w:r>
    </w:p>
    <w:p w:rsidR="00E1343B" w:rsidRDefault="00EB18D6">
      <w:pPr>
        <w:pStyle w:val="ListParagraph"/>
        <w:numPr>
          <w:ilvl w:val="0"/>
          <w:numId w:val="42"/>
        </w:numPr>
        <w:rPr>
          <w:noProof/>
          <w:szCs w:val="24"/>
        </w:rPr>
      </w:pPr>
      <w:r>
        <w:rPr>
          <w:noProof/>
        </w:rPr>
        <w:t>от 2016 г. относно търговията със стоки;</w:t>
      </w:r>
    </w:p>
    <w:p w:rsidR="00E1343B" w:rsidRDefault="00EB18D6">
      <w:pPr>
        <w:pStyle w:val="ListParagraph"/>
        <w:numPr>
          <w:ilvl w:val="0"/>
          <w:numId w:val="42"/>
        </w:numPr>
        <w:rPr>
          <w:noProof/>
          <w:szCs w:val="24"/>
        </w:rPr>
      </w:pPr>
      <w:r>
        <w:rPr>
          <w:noProof/>
        </w:rPr>
        <w:t>от 2015 г. относно услугите и инвестициите;</w:t>
      </w:r>
    </w:p>
    <w:p w:rsidR="00E1343B" w:rsidRDefault="00EB18D6">
      <w:pPr>
        <w:pStyle w:val="ListParagraph"/>
        <w:numPr>
          <w:ilvl w:val="0"/>
          <w:numId w:val="42"/>
        </w:numPr>
        <w:rPr>
          <w:noProof/>
          <w:szCs w:val="24"/>
        </w:rPr>
      </w:pPr>
      <w:r>
        <w:rPr>
          <w:noProof/>
        </w:rPr>
        <w:t>данни от 2002 г. нататък за ССТ „от първо поколение“, тъй като считано от тази дата са на разположение хармонизирани данни за ЕС-28.</w:t>
      </w:r>
    </w:p>
    <w:p w:rsidR="00E1343B" w:rsidRDefault="00EB18D6">
      <w:pPr>
        <w:rPr>
          <w:noProof/>
          <w:szCs w:val="24"/>
        </w:rPr>
      </w:pPr>
      <w:r>
        <w:rPr>
          <w:noProof/>
        </w:rPr>
        <w:t>Що се отнася до ССТ с Централна Америка, са използвани различни данни поради значителните разлики между статистическите данни на Евростат и тези от Централна Америка. Докладът обхваща годините 2015 и 2016, като в него са използвани:</w:t>
      </w:r>
    </w:p>
    <w:p w:rsidR="00E1343B" w:rsidRDefault="00EB18D6">
      <w:pPr>
        <w:pStyle w:val="ListParagraph"/>
        <w:numPr>
          <w:ilvl w:val="0"/>
          <w:numId w:val="43"/>
        </w:numPr>
        <w:rPr>
          <w:noProof/>
          <w:szCs w:val="24"/>
        </w:rPr>
      </w:pPr>
      <w:r>
        <w:rPr>
          <w:noProof/>
        </w:rPr>
        <w:t>данни на Евростат за вноса на ЕС, извлечени през октомври 2016 г.;</w:t>
      </w:r>
    </w:p>
    <w:p w:rsidR="00E1343B" w:rsidRDefault="00EB18D6">
      <w:pPr>
        <w:pStyle w:val="ListParagraph"/>
        <w:numPr>
          <w:ilvl w:val="0"/>
          <w:numId w:val="43"/>
        </w:numPr>
        <w:rPr>
          <w:noProof/>
          <w:szCs w:val="24"/>
        </w:rPr>
      </w:pPr>
      <w:r>
        <w:rPr>
          <w:noProof/>
        </w:rPr>
        <w:t xml:space="preserve">статистически данни от Централна Америка за вноса на ЕС, които са на разположение за този период. </w:t>
      </w:r>
    </w:p>
    <w:p w:rsidR="00E1343B" w:rsidRDefault="00EB18D6">
      <w:pPr>
        <w:spacing w:after="0"/>
        <w:jc w:val="left"/>
        <w:rPr>
          <w:b/>
          <w:caps/>
          <w:noProof/>
          <w:sz w:val="28"/>
          <w:szCs w:val="28"/>
        </w:rPr>
      </w:pPr>
      <w:r>
        <w:rPr>
          <w:noProof/>
        </w:rPr>
        <w:br w:type="page"/>
      </w:r>
    </w:p>
    <w:p w:rsidR="00E1343B" w:rsidRDefault="00EB18D6">
      <w:pPr>
        <w:pStyle w:val="Heading1"/>
        <w:numPr>
          <w:ilvl w:val="0"/>
          <w:numId w:val="0"/>
        </w:numPr>
        <w:spacing w:after="360"/>
        <w:ind w:left="482" w:hanging="482"/>
        <w:rPr>
          <w:noProof/>
        </w:rPr>
      </w:pPr>
      <w:bookmarkStart w:id="171" w:name="_Toc494126161"/>
      <w:bookmarkStart w:id="172" w:name="_Toc497120817"/>
      <w:r>
        <w:rPr>
          <w:noProof/>
        </w:rPr>
        <w:t>Приложение 2 — Преглед на ССТ, обхванати от настоящия доклад</w:t>
      </w:r>
      <w:bookmarkEnd w:id="171"/>
      <w:bookmarkEnd w:id="172"/>
    </w:p>
    <w:p w:rsidR="00E1343B" w:rsidRDefault="00EB18D6">
      <w:pPr>
        <w:rPr>
          <w:b/>
          <w:noProof/>
          <w:sz w:val="22"/>
          <w:szCs w:val="22"/>
        </w:rPr>
      </w:pPr>
      <w:r>
        <w:rPr>
          <w:b/>
          <w:noProof/>
          <w:sz w:val="22"/>
          <w:u w:val="single"/>
        </w:rPr>
        <w:t>„ССТ от ново поколение“</w:t>
      </w:r>
    </w:p>
    <w:p w:rsidR="00E1343B" w:rsidRDefault="00EB18D6">
      <w:pPr>
        <w:pStyle w:val="ListParagraph"/>
        <w:numPr>
          <w:ilvl w:val="0"/>
          <w:numId w:val="21"/>
        </w:numPr>
        <w:ind w:left="567" w:hanging="283"/>
        <w:jc w:val="both"/>
        <w:rPr>
          <w:noProof/>
          <w:sz w:val="22"/>
        </w:rPr>
      </w:pPr>
      <w:r>
        <w:rPr>
          <w:b/>
          <w:noProof/>
        </w:rPr>
        <w:t>ЕС — Южна Корея</w:t>
      </w:r>
      <w:r>
        <w:rPr>
          <w:noProof/>
        </w:rPr>
        <w:t>:</w:t>
      </w:r>
      <w:r>
        <w:rPr>
          <w:noProof/>
          <w:sz w:val="22"/>
        </w:rPr>
        <w:t xml:space="preserve"> прилага се от юли 2011 г.</w:t>
      </w:r>
    </w:p>
    <w:p w:rsidR="00E1343B" w:rsidRDefault="00EB18D6">
      <w:pPr>
        <w:pStyle w:val="ListParagraph"/>
        <w:numPr>
          <w:ilvl w:val="0"/>
          <w:numId w:val="21"/>
        </w:numPr>
        <w:ind w:left="567" w:hanging="283"/>
        <w:jc w:val="both"/>
        <w:rPr>
          <w:noProof/>
          <w:sz w:val="22"/>
        </w:rPr>
      </w:pPr>
      <w:r>
        <w:rPr>
          <w:b/>
          <w:noProof/>
          <w:sz w:val="22"/>
        </w:rPr>
        <w:t>ЕС — Колумбия и Перу</w:t>
      </w:r>
      <w:r>
        <w:rPr>
          <w:noProof/>
          <w:sz w:val="22"/>
        </w:rPr>
        <w:t>: прилага се от март 2013 г. за Перу и от август 2013 г. за Колумбия.</w:t>
      </w:r>
    </w:p>
    <w:p w:rsidR="00E1343B" w:rsidRDefault="00EB18D6">
      <w:pPr>
        <w:pStyle w:val="ListParagraph"/>
        <w:numPr>
          <w:ilvl w:val="0"/>
          <w:numId w:val="20"/>
        </w:numPr>
        <w:ind w:left="567" w:hanging="283"/>
        <w:jc w:val="both"/>
        <w:rPr>
          <w:noProof/>
          <w:sz w:val="22"/>
        </w:rPr>
      </w:pPr>
      <w:r>
        <w:rPr>
          <w:b/>
          <w:noProof/>
          <w:sz w:val="22"/>
        </w:rPr>
        <w:t xml:space="preserve">Споразумение за асоцииране между ЕС и Централна Америка: </w:t>
      </w:r>
      <w:r>
        <w:rPr>
          <w:noProof/>
          <w:sz w:val="22"/>
        </w:rPr>
        <w:t>прилага се от 2013 г.</w:t>
      </w:r>
      <w:r>
        <w:rPr>
          <w:rStyle w:val="FootnoteReference"/>
          <w:noProof/>
          <w:sz w:val="22"/>
        </w:rPr>
        <w:footnoteReference w:id="24"/>
      </w:r>
      <w:r>
        <w:rPr>
          <w:noProof/>
          <w:sz w:val="22"/>
        </w:rPr>
        <w:t>.</w:t>
      </w:r>
    </w:p>
    <w:p w:rsidR="00E1343B" w:rsidRDefault="00EB18D6">
      <w:pPr>
        <w:rPr>
          <w:b/>
          <w:noProof/>
          <w:sz w:val="22"/>
          <w:szCs w:val="22"/>
          <w:u w:val="single"/>
        </w:rPr>
      </w:pPr>
      <w:r>
        <w:rPr>
          <w:b/>
          <w:noProof/>
          <w:sz w:val="22"/>
          <w:u w:val="single"/>
        </w:rPr>
        <w:t>Задълбочени и всеобхватни зони за свободна търговия</w:t>
      </w:r>
    </w:p>
    <w:p w:rsidR="00E1343B" w:rsidRDefault="00EB18D6">
      <w:pPr>
        <w:pStyle w:val="ListParagraph"/>
        <w:numPr>
          <w:ilvl w:val="0"/>
          <w:numId w:val="21"/>
        </w:numPr>
        <w:ind w:left="567" w:hanging="283"/>
        <w:jc w:val="both"/>
        <w:rPr>
          <w:noProof/>
          <w:sz w:val="22"/>
        </w:rPr>
      </w:pPr>
      <w:r>
        <w:rPr>
          <w:b/>
          <w:noProof/>
        </w:rPr>
        <w:t>ЕС — Грузия</w:t>
      </w:r>
      <w:r>
        <w:rPr>
          <w:noProof/>
        </w:rPr>
        <w:t>:</w:t>
      </w:r>
      <w:r>
        <w:rPr>
          <w:noProof/>
          <w:sz w:val="22"/>
        </w:rPr>
        <w:t xml:space="preserve"> прилага се от 1 септември 2014 г. и влезе изцяло в сила на 1 юли 2016 г.</w:t>
      </w:r>
    </w:p>
    <w:p w:rsidR="00E1343B" w:rsidRDefault="00EB18D6">
      <w:pPr>
        <w:pStyle w:val="ListParagraph"/>
        <w:numPr>
          <w:ilvl w:val="0"/>
          <w:numId w:val="21"/>
        </w:numPr>
        <w:ind w:left="567" w:hanging="283"/>
        <w:jc w:val="both"/>
        <w:rPr>
          <w:noProof/>
          <w:sz w:val="22"/>
        </w:rPr>
      </w:pPr>
      <w:r>
        <w:rPr>
          <w:b/>
          <w:noProof/>
        </w:rPr>
        <w:t>ЕС — Молдова</w:t>
      </w:r>
      <w:r>
        <w:rPr>
          <w:noProof/>
        </w:rPr>
        <w:t>:</w:t>
      </w:r>
      <w:r>
        <w:rPr>
          <w:noProof/>
          <w:sz w:val="22"/>
        </w:rPr>
        <w:t xml:space="preserve"> прилага се от 1 септември 2014 г. и влезе изцяло в сила на 1 юли 2016 г.</w:t>
      </w:r>
    </w:p>
    <w:p w:rsidR="00E1343B" w:rsidRDefault="00EB18D6">
      <w:pPr>
        <w:pStyle w:val="ListParagraph"/>
        <w:numPr>
          <w:ilvl w:val="0"/>
          <w:numId w:val="20"/>
        </w:numPr>
        <w:ind w:left="567" w:hanging="283"/>
        <w:jc w:val="both"/>
        <w:rPr>
          <w:noProof/>
          <w:sz w:val="22"/>
        </w:rPr>
      </w:pPr>
      <w:r>
        <w:rPr>
          <w:b/>
          <w:noProof/>
          <w:sz w:val="22"/>
        </w:rPr>
        <w:t xml:space="preserve">ЕС — Украйна: </w:t>
      </w:r>
      <w:r>
        <w:rPr>
          <w:noProof/>
          <w:sz w:val="22"/>
        </w:rPr>
        <w:t>прилага се от 1 януари 2016 г. и влезе изцяло в сила на 1 септември 2017 г.</w:t>
      </w:r>
    </w:p>
    <w:p w:rsidR="00E1343B" w:rsidRDefault="00EB18D6">
      <w:pPr>
        <w:rPr>
          <w:b/>
          <w:noProof/>
          <w:sz w:val="22"/>
          <w:szCs w:val="22"/>
          <w:u w:val="single"/>
        </w:rPr>
      </w:pPr>
      <w:r>
        <w:rPr>
          <w:b/>
          <w:noProof/>
          <w:sz w:val="22"/>
          <w:u w:val="single"/>
        </w:rPr>
        <w:t>Споразумения за икономическо партньорство</w:t>
      </w:r>
    </w:p>
    <w:p w:rsidR="00E1343B" w:rsidRDefault="00EB18D6">
      <w:pPr>
        <w:pStyle w:val="ListParagraph"/>
        <w:numPr>
          <w:ilvl w:val="0"/>
          <w:numId w:val="21"/>
        </w:numPr>
        <w:ind w:left="567" w:hanging="283"/>
        <w:jc w:val="both"/>
        <w:rPr>
          <w:noProof/>
          <w:sz w:val="22"/>
        </w:rPr>
      </w:pPr>
      <w:r>
        <w:rPr>
          <w:b/>
          <w:noProof/>
          <w:sz w:val="22"/>
        </w:rPr>
        <w:t>ЕС — КАРИФОРУМ</w:t>
      </w:r>
      <w:r>
        <w:rPr>
          <w:noProof/>
          <w:sz w:val="22"/>
        </w:rPr>
        <w:t xml:space="preserve"> (Антигуа и Барбуда, Белиз, Бахамски острови, Барбадос, Доминика, Доминиканска република, Гренада, Гвиана, Ямайка, Сейнт Китс и Невис, Сейнт Лусия, Сейнт Винсент и Гренадини, Суринам и Тринидад и Тобаго): прилага се от 29 декември 2008 г.</w:t>
      </w:r>
    </w:p>
    <w:p w:rsidR="00E1343B" w:rsidRDefault="00EB18D6">
      <w:pPr>
        <w:pStyle w:val="ListParagraph"/>
        <w:numPr>
          <w:ilvl w:val="0"/>
          <w:numId w:val="20"/>
        </w:numPr>
        <w:ind w:left="567" w:hanging="283"/>
        <w:jc w:val="both"/>
        <w:rPr>
          <w:noProof/>
          <w:sz w:val="22"/>
        </w:rPr>
      </w:pPr>
      <w:r>
        <w:rPr>
          <w:b/>
          <w:noProof/>
          <w:sz w:val="22"/>
        </w:rPr>
        <w:t xml:space="preserve">ЕС — Тихоокеански регион </w:t>
      </w:r>
      <w:r>
        <w:rPr>
          <w:noProof/>
        </w:rPr>
        <w:t>(Фиджи, Папуа-Нова Гвинея):</w:t>
      </w:r>
      <w:r>
        <w:rPr>
          <w:noProof/>
          <w:sz w:val="22"/>
        </w:rPr>
        <w:t xml:space="preserve"> прилага се от 28 юли 2014 г. за Фиджи и от 20 декември 2009 г. за Папуа-Нова Гвинея.</w:t>
      </w:r>
    </w:p>
    <w:p w:rsidR="00E1343B" w:rsidRDefault="00EB18D6">
      <w:pPr>
        <w:pStyle w:val="ListParagraph"/>
        <w:numPr>
          <w:ilvl w:val="0"/>
          <w:numId w:val="21"/>
        </w:numPr>
        <w:ind w:left="567" w:hanging="283"/>
        <w:jc w:val="both"/>
        <w:rPr>
          <w:noProof/>
          <w:sz w:val="22"/>
        </w:rPr>
      </w:pPr>
      <w:r>
        <w:rPr>
          <w:b/>
          <w:noProof/>
          <w:sz w:val="22"/>
        </w:rPr>
        <w:t>ЕС — субрегиона на Източна и Южна Африка (ИЮА)</w:t>
      </w:r>
      <w:r>
        <w:rPr>
          <w:noProof/>
        </w:rPr>
        <w:t xml:space="preserve"> </w:t>
      </w:r>
      <w:r>
        <w:rPr>
          <w:noProof/>
          <w:sz w:val="22"/>
        </w:rPr>
        <w:t>(Мадагаскар, Мавриций, Сейшелски острови и Зимбабве): прилага се от 14 май 2012 г.</w:t>
      </w:r>
    </w:p>
    <w:p w:rsidR="00E1343B" w:rsidRDefault="00EB18D6">
      <w:pPr>
        <w:pStyle w:val="ListParagraph"/>
        <w:numPr>
          <w:ilvl w:val="0"/>
          <w:numId w:val="20"/>
        </w:numPr>
        <w:ind w:left="567" w:hanging="283"/>
        <w:jc w:val="both"/>
        <w:rPr>
          <w:noProof/>
          <w:sz w:val="22"/>
        </w:rPr>
      </w:pPr>
      <w:r>
        <w:rPr>
          <w:b/>
          <w:noProof/>
          <w:sz w:val="22"/>
        </w:rPr>
        <w:t xml:space="preserve">ЕС — Камерун (Централна Африка): </w:t>
      </w:r>
      <w:r>
        <w:rPr>
          <w:noProof/>
          <w:sz w:val="22"/>
        </w:rPr>
        <w:t>прилага се от 4 август 2014 г.</w:t>
      </w:r>
    </w:p>
    <w:p w:rsidR="00E1343B" w:rsidRDefault="00EB18D6">
      <w:pPr>
        <w:rPr>
          <w:b/>
          <w:noProof/>
          <w:sz w:val="22"/>
          <w:szCs w:val="22"/>
          <w:u w:val="single"/>
        </w:rPr>
      </w:pPr>
      <w:r>
        <w:rPr>
          <w:b/>
          <w:noProof/>
          <w:sz w:val="22"/>
          <w:u w:val="single"/>
        </w:rPr>
        <w:t>ССТ „от първо поколение“</w:t>
      </w:r>
    </w:p>
    <w:p w:rsidR="00E1343B" w:rsidRDefault="00EB18D6">
      <w:pPr>
        <w:pStyle w:val="ListParagraph"/>
        <w:numPr>
          <w:ilvl w:val="0"/>
          <w:numId w:val="21"/>
        </w:numPr>
        <w:ind w:left="567" w:hanging="283"/>
        <w:jc w:val="both"/>
        <w:rPr>
          <w:noProof/>
          <w:sz w:val="22"/>
        </w:rPr>
      </w:pPr>
      <w:r>
        <w:rPr>
          <w:b/>
          <w:noProof/>
        </w:rPr>
        <w:t>Митнически съюз ЕС — Турция</w:t>
      </w:r>
      <w:r>
        <w:rPr>
          <w:noProof/>
        </w:rPr>
        <w:t>:</w:t>
      </w:r>
      <w:r>
        <w:rPr>
          <w:noProof/>
          <w:sz w:val="22"/>
        </w:rPr>
        <w:t xml:space="preserve"> Споразумение за асоцииране, подписано през 1963 г.; крайната фаза на митническия съюз е завършена на 1 януари 1996 г.</w:t>
      </w:r>
    </w:p>
    <w:p w:rsidR="00E1343B" w:rsidRDefault="00EB18D6">
      <w:pPr>
        <w:pStyle w:val="ListParagraph"/>
        <w:numPr>
          <w:ilvl w:val="0"/>
          <w:numId w:val="21"/>
        </w:numPr>
        <w:ind w:left="567" w:hanging="283"/>
        <w:jc w:val="both"/>
        <w:rPr>
          <w:noProof/>
          <w:sz w:val="22"/>
        </w:rPr>
      </w:pPr>
      <w:r>
        <w:rPr>
          <w:b/>
          <w:noProof/>
        </w:rPr>
        <w:t>ЕС — Швейцария</w:t>
      </w:r>
      <w:r>
        <w:rPr>
          <w:noProof/>
        </w:rPr>
        <w:t>:</w:t>
      </w:r>
      <w:r>
        <w:rPr>
          <w:noProof/>
          <w:sz w:val="22"/>
        </w:rPr>
        <w:t xml:space="preserve"> прилага се от 1972 г.</w:t>
      </w:r>
    </w:p>
    <w:p w:rsidR="00E1343B" w:rsidRDefault="00EB18D6">
      <w:pPr>
        <w:pStyle w:val="ListParagraph"/>
        <w:numPr>
          <w:ilvl w:val="0"/>
          <w:numId w:val="20"/>
        </w:numPr>
        <w:ind w:left="567" w:hanging="283"/>
        <w:jc w:val="both"/>
        <w:rPr>
          <w:noProof/>
          <w:sz w:val="22"/>
        </w:rPr>
      </w:pPr>
      <w:r>
        <w:rPr>
          <w:b/>
          <w:noProof/>
          <w:sz w:val="22"/>
        </w:rPr>
        <w:t xml:space="preserve">ЕС — Норвегия: </w:t>
      </w:r>
      <w:r>
        <w:rPr>
          <w:noProof/>
          <w:sz w:val="22"/>
        </w:rPr>
        <w:t>прилага се от 1 юли 1973 г.</w:t>
      </w:r>
    </w:p>
    <w:p w:rsidR="00E1343B" w:rsidRDefault="00EB18D6">
      <w:pPr>
        <w:pStyle w:val="ListParagraph"/>
        <w:numPr>
          <w:ilvl w:val="0"/>
          <w:numId w:val="20"/>
        </w:numPr>
        <w:ind w:left="567" w:hanging="283"/>
        <w:jc w:val="both"/>
        <w:rPr>
          <w:noProof/>
          <w:sz w:val="22"/>
        </w:rPr>
      </w:pPr>
      <w:r>
        <w:rPr>
          <w:b/>
          <w:noProof/>
          <w:sz w:val="22"/>
        </w:rPr>
        <w:t>ЕС — Алжир:</w:t>
      </w:r>
      <w:r>
        <w:rPr>
          <w:noProof/>
          <w:sz w:val="22"/>
        </w:rPr>
        <w:t xml:space="preserve"> прилага се от 1 септември 2005 г.</w:t>
      </w:r>
    </w:p>
    <w:p w:rsidR="00E1343B" w:rsidRDefault="00EB18D6">
      <w:pPr>
        <w:pStyle w:val="ListParagraph"/>
        <w:numPr>
          <w:ilvl w:val="0"/>
          <w:numId w:val="20"/>
        </w:numPr>
        <w:ind w:left="567" w:hanging="283"/>
        <w:jc w:val="both"/>
        <w:rPr>
          <w:noProof/>
          <w:sz w:val="22"/>
        </w:rPr>
      </w:pPr>
      <w:r>
        <w:rPr>
          <w:b/>
          <w:noProof/>
          <w:sz w:val="22"/>
        </w:rPr>
        <w:t>ЕС — Египет:</w:t>
      </w:r>
      <w:r>
        <w:rPr>
          <w:noProof/>
          <w:sz w:val="22"/>
        </w:rPr>
        <w:t xml:space="preserve"> прилага се от 21 декември 2003 г.</w:t>
      </w:r>
    </w:p>
    <w:p w:rsidR="00E1343B" w:rsidRDefault="00EB18D6">
      <w:pPr>
        <w:pStyle w:val="ListParagraph"/>
        <w:numPr>
          <w:ilvl w:val="0"/>
          <w:numId w:val="20"/>
        </w:numPr>
        <w:ind w:left="567" w:hanging="283"/>
        <w:jc w:val="both"/>
        <w:rPr>
          <w:noProof/>
          <w:sz w:val="22"/>
        </w:rPr>
      </w:pPr>
      <w:r>
        <w:rPr>
          <w:b/>
          <w:noProof/>
          <w:sz w:val="22"/>
        </w:rPr>
        <w:t>ЕС — Израел:</w:t>
      </w:r>
      <w:r>
        <w:rPr>
          <w:noProof/>
          <w:sz w:val="22"/>
        </w:rPr>
        <w:t xml:space="preserve"> прилага се от 1996 г.</w:t>
      </w:r>
    </w:p>
    <w:p w:rsidR="00E1343B" w:rsidRDefault="00EB18D6">
      <w:pPr>
        <w:pStyle w:val="ListParagraph"/>
        <w:numPr>
          <w:ilvl w:val="0"/>
          <w:numId w:val="20"/>
        </w:numPr>
        <w:ind w:left="567" w:hanging="283"/>
        <w:jc w:val="both"/>
        <w:rPr>
          <w:noProof/>
          <w:sz w:val="22"/>
        </w:rPr>
      </w:pPr>
      <w:r>
        <w:rPr>
          <w:b/>
          <w:noProof/>
          <w:sz w:val="22"/>
        </w:rPr>
        <w:t>ЕС — Йордания:</w:t>
      </w:r>
      <w:r>
        <w:rPr>
          <w:noProof/>
          <w:sz w:val="22"/>
        </w:rPr>
        <w:t xml:space="preserve"> прилага се от 1 май 2002 г.</w:t>
      </w:r>
    </w:p>
    <w:p w:rsidR="00E1343B" w:rsidRDefault="00EB18D6">
      <w:pPr>
        <w:pStyle w:val="ListParagraph"/>
        <w:numPr>
          <w:ilvl w:val="0"/>
          <w:numId w:val="20"/>
        </w:numPr>
        <w:ind w:left="567" w:hanging="283"/>
        <w:jc w:val="both"/>
        <w:rPr>
          <w:noProof/>
          <w:sz w:val="22"/>
        </w:rPr>
      </w:pPr>
      <w:r>
        <w:rPr>
          <w:b/>
          <w:noProof/>
          <w:sz w:val="22"/>
        </w:rPr>
        <w:t>ЕС — Ливан:</w:t>
      </w:r>
      <w:r>
        <w:rPr>
          <w:noProof/>
          <w:sz w:val="22"/>
        </w:rPr>
        <w:t xml:space="preserve"> прилага се от 1 март 2003 г.</w:t>
      </w:r>
    </w:p>
    <w:p w:rsidR="00E1343B" w:rsidRDefault="00EB18D6">
      <w:pPr>
        <w:pStyle w:val="ListParagraph"/>
        <w:numPr>
          <w:ilvl w:val="0"/>
          <w:numId w:val="20"/>
        </w:numPr>
        <w:ind w:left="567" w:hanging="283"/>
        <w:jc w:val="both"/>
        <w:rPr>
          <w:noProof/>
          <w:sz w:val="22"/>
        </w:rPr>
      </w:pPr>
      <w:r>
        <w:rPr>
          <w:b/>
          <w:noProof/>
          <w:sz w:val="22"/>
        </w:rPr>
        <w:t>ЕС — Мароко:</w:t>
      </w:r>
      <w:r>
        <w:rPr>
          <w:noProof/>
          <w:sz w:val="22"/>
        </w:rPr>
        <w:t xml:space="preserve"> прилага се от 1 март 2000 г.</w:t>
      </w:r>
    </w:p>
    <w:p w:rsidR="00E1343B" w:rsidRDefault="00EB18D6">
      <w:pPr>
        <w:pStyle w:val="ListParagraph"/>
        <w:numPr>
          <w:ilvl w:val="0"/>
          <w:numId w:val="20"/>
        </w:numPr>
        <w:ind w:left="567" w:hanging="283"/>
        <w:jc w:val="both"/>
        <w:rPr>
          <w:noProof/>
          <w:sz w:val="22"/>
        </w:rPr>
      </w:pPr>
      <w:r>
        <w:rPr>
          <w:b/>
          <w:noProof/>
          <w:sz w:val="22"/>
        </w:rPr>
        <w:t xml:space="preserve">ЕС — Палестина: </w:t>
      </w:r>
      <w:r>
        <w:rPr>
          <w:noProof/>
          <w:sz w:val="22"/>
        </w:rPr>
        <w:t>прилага се от 1 юли 1997 г.</w:t>
      </w:r>
    </w:p>
    <w:p w:rsidR="00E1343B" w:rsidRDefault="00EB18D6">
      <w:pPr>
        <w:pStyle w:val="ListParagraph"/>
        <w:numPr>
          <w:ilvl w:val="0"/>
          <w:numId w:val="20"/>
        </w:numPr>
        <w:ind w:left="567" w:hanging="283"/>
        <w:jc w:val="both"/>
        <w:rPr>
          <w:noProof/>
          <w:sz w:val="22"/>
        </w:rPr>
      </w:pPr>
      <w:r>
        <w:rPr>
          <w:b/>
          <w:noProof/>
          <w:sz w:val="22"/>
        </w:rPr>
        <w:t>ЕС — Тунис:</w:t>
      </w:r>
      <w:r>
        <w:rPr>
          <w:noProof/>
          <w:sz w:val="22"/>
        </w:rPr>
        <w:t xml:space="preserve"> прилага се от 1 март 1998 г.</w:t>
      </w:r>
    </w:p>
    <w:p w:rsidR="00E1343B" w:rsidRDefault="00EB18D6">
      <w:pPr>
        <w:pStyle w:val="ListParagraph"/>
        <w:numPr>
          <w:ilvl w:val="0"/>
          <w:numId w:val="20"/>
        </w:numPr>
        <w:ind w:left="567" w:hanging="283"/>
        <w:jc w:val="both"/>
        <w:rPr>
          <w:noProof/>
          <w:sz w:val="22"/>
        </w:rPr>
      </w:pPr>
      <w:r>
        <w:rPr>
          <w:b/>
          <w:noProof/>
          <w:sz w:val="22"/>
        </w:rPr>
        <w:t xml:space="preserve">Споразумение за търговия, развитие и сътрудничество между ЕС и Южна Африка: </w:t>
      </w:r>
      <w:r>
        <w:rPr>
          <w:noProof/>
          <w:sz w:val="22"/>
        </w:rPr>
        <w:t>прилага се от 1 януари 2000 г.</w:t>
      </w:r>
    </w:p>
    <w:p w:rsidR="00E1343B" w:rsidRDefault="00EB18D6">
      <w:pPr>
        <w:pStyle w:val="ListParagraph"/>
        <w:numPr>
          <w:ilvl w:val="0"/>
          <w:numId w:val="20"/>
        </w:numPr>
        <w:ind w:left="567" w:hanging="283"/>
        <w:jc w:val="both"/>
        <w:rPr>
          <w:noProof/>
          <w:sz w:val="22"/>
        </w:rPr>
      </w:pPr>
      <w:r>
        <w:rPr>
          <w:b/>
          <w:noProof/>
          <w:sz w:val="22"/>
        </w:rPr>
        <w:t>Глобално споразумение между ЕС и Мексико:</w:t>
      </w:r>
      <w:r>
        <w:rPr>
          <w:noProof/>
          <w:sz w:val="22"/>
        </w:rPr>
        <w:t xml:space="preserve"> прилага се от октомври 2000 г.</w:t>
      </w:r>
    </w:p>
    <w:p w:rsidR="00E1343B" w:rsidRDefault="00EB18D6">
      <w:pPr>
        <w:pStyle w:val="ListParagraph"/>
        <w:numPr>
          <w:ilvl w:val="0"/>
          <w:numId w:val="20"/>
        </w:numPr>
        <w:ind w:left="567" w:hanging="283"/>
        <w:jc w:val="both"/>
        <w:rPr>
          <w:noProof/>
          <w:sz w:val="22"/>
        </w:rPr>
      </w:pPr>
      <w:r>
        <w:rPr>
          <w:b/>
          <w:noProof/>
          <w:sz w:val="22"/>
        </w:rPr>
        <w:t>Споразумение за асоцииране между ЕС и Чили:</w:t>
      </w:r>
      <w:r>
        <w:rPr>
          <w:noProof/>
          <w:sz w:val="22"/>
        </w:rPr>
        <w:t xml:space="preserve"> прилага се от 1 февруари 2003 г.</w:t>
      </w:r>
    </w:p>
    <w:p w:rsidR="00E1343B" w:rsidRDefault="00EB18D6">
      <w:pPr>
        <w:pStyle w:val="ListParagraph"/>
        <w:numPr>
          <w:ilvl w:val="0"/>
          <w:numId w:val="20"/>
        </w:numPr>
        <w:ind w:left="567" w:hanging="283"/>
        <w:jc w:val="both"/>
        <w:rPr>
          <w:noProof/>
          <w:sz w:val="22"/>
        </w:rPr>
      </w:pPr>
      <w:r>
        <w:rPr>
          <w:b/>
          <w:noProof/>
          <w:sz w:val="22"/>
        </w:rPr>
        <w:t>Споразумение за стабилизиране и асоцииране между ЕС и Сърбия:</w:t>
      </w:r>
      <w:r>
        <w:rPr>
          <w:noProof/>
          <w:sz w:val="22"/>
        </w:rPr>
        <w:t xml:space="preserve"> прилага се от 1 юли 2008 г.</w:t>
      </w:r>
    </w:p>
    <w:p w:rsidR="00E1343B" w:rsidRDefault="00EB18D6">
      <w:pPr>
        <w:pStyle w:val="Heading1"/>
        <w:numPr>
          <w:ilvl w:val="0"/>
          <w:numId w:val="0"/>
        </w:numPr>
        <w:spacing w:after="360"/>
        <w:ind w:left="482" w:hanging="482"/>
        <w:rPr>
          <w:noProof/>
        </w:rPr>
      </w:pPr>
      <w:r>
        <w:rPr>
          <w:noProof/>
        </w:rPr>
        <w:br w:type="page"/>
      </w:r>
      <w:bookmarkStart w:id="173" w:name="_Toc494126162"/>
      <w:bookmarkStart w:id="174" w:name="_Toc497120818"/>
      <w:r>
        <w:rPr>
          <w:noProof/>
        </w:rPr>
        <w:t>Приложение 3 — Статистически данни относно използването на преференции</w:t>
      </w:r>
      <w:bookmarkEnd w:id="173"/>
      <w:bookmarkEnd w:id="174"/>
    </w:p>
    <w:p w:rsidR="00E1343B" w:rsidRDefault="00EB18D6">
      <w:pPr>
        <w:rPr>
          <w:noProof/>
        </w:rPr>
      </w:pPr>
      <w:r>
        <w:rPr>
          <w:noProof/>
        </w:rPr>
        <w:t xml:space="preserve">Статистическите данни в настоящия доклад относно използването от страна на вносителите на преференциите, предоставяни от споразуменията за свободна търговия на ЕС, се основават на административни данни, събрани от съответната държава вносител. </w:t>
      </w:r>
    </w:p>
    <w:p w:rsidR="00E1343B" w:rsidRDefault="00EB18D6">
      <w:pPr>
        <w:rPr>
          <w:noProof/>
        </w:rPr>
      </w:pPr>
      <w:r>
        <w:rPr>
          <w:noProof/>
        </w:rPr>
        <w:t>Те отразяват вноса в рамките на преференциален режим, при който са използвани наличните преференции („използвани преференции“), като дял от общия внос, който би отговарял на условията за преференции („допустими преференции“). Вносът се взема предвид само в случаите, когато съществува потенциална преференция, т.е. когато прилаганата преференциална тарифа е по-ниска от нормално прилаганата тарифа за най-облагодетелствана нация (НОН).</w:t>
      </w:r>
    </w:p>
    <w:p w:rsidR="00E1343B" w:rsidRDefault="00EB18D6">
      <w:pPr>
        <w:numPr>
          <w:ilvl w:val="0"/>
          <w:numId w:val="22"/>
        </w:numPr>
        <w:ind w:left="357" w:hanging="357"/>
        <w:rPr>
          <w:b/>
          <w:noProof/>
        </w:rPr>
      </w:pPr>
      <w:r>
        <w:rPr>
          <w:b/>
          <w:noProof/>
        </w:rPr>
        <w:t>Използване на преференции върху вноса в ЕС от партньори по ССТ</w:t>
      </w:r>
    </w:p>
    <w:p w:rsidR="00E1343B" w:rsidRDefault="00EB18D6">
      <w:pPr>
        <w:rPr>
          <w:noProof/>
        </w:rPr>
      </w:pPr>
      <w:r>
        <w:rPr>
          <w:noProof/>
        </w:rPr>
        <w:t>Използваният тарифен режим е посочен в единния административен (митнически) документ. В него вносителят указва под какъв режим трябва да се извърши вносът. Тази информация се съпоставя с допустимостта съгласно тарифните данни от ТАРИК. При необходимост и възможност се правят корекции за отстраняване на грешките.</w:t>
      </w:r>
    </w:p>
    <w:p w:rsidR="00E1343B" w:rsidRDefault="00EB18D6">
      <w:pPr>
        <w:rPr>
          <w:noProof/>
        </w:rPr>
      </w:pPr>
      <w:r>
        <w:rPr>
          <w:noProof/>
        </w:rPr>
        <w:t>Полученият набор от данни е съгласуван и дава възможност да се прави сравнение по държави партньори, години и в повечето случаи, тарифни линии. Някои грешки обаче остават незабелязани (например условията за „специфична употреба“), така че резултатите на равнище подробни данни за продукта трябва да се интерпретират внимателно.</w:t>
      </w:r>
    </w:p>
    <w:p w:rsidR="00E1343B" w:rsidRDefault="00EB18D6">
      <w:pPr>
        <w:rPr>
          <w:noProof/>
        </w:rPr>
      </w:pPr>
      <w:r>
        <w:rPr>
          <w:noProof/>
        </w:rPr>
        <w:t>Вж. приложение 4.</w:t>
      </w:r>
    </w:p>
    <w:p w:rsidR="00E1343B" w:rsidRDefault="00EB18D6">
      <w:pPr>
        <w:numPr>
          <w:ilvl w:val="0"/>
          <w:numId w:val="22"/>
        </w:numPr>
        <w:ind w:left="357" w:hanging="357"/>
        <w:rPr>
          <w:b/>
          <w:noProof/>
        </w:rPr>
      </w:pPr>
      <w:r>
        <w:rPr>
          <w:b/>
          <w:noProof/>
        </w:rPr>
        <w:t>Използване на преференции върху износа от ЕС за партньори по ССТ</w:t>
      </w:r>
    </w:p>
    <w:p w:rsidR="00E1343B" w:rsidRDefault="00EB18D6">
      <w:pPr>
        <w:rPr>
          <w:noProof/>
        </w:rPr>
      </w:pPr>
      <w:r>
        <w:rPr>
          <w:noProof/>
        </w:rPr>
        <w:t>Статистическите данни относно използването на преференции върху износа от ЕС за трети държави се основават на административни данни, събрани във всяка отделна трета държава вносител. По дефиниция тези статистически данни не са хармонизирани и сравнението между държавите партньори или с вноса в ЕС носи риск поради нееднородното и често съмнително качество на данните.</w:t>
      </w:r>
    </w:p>
    <w:p w:rsidR="00E1343B" w:rsidRDefault="00EB18D6">
      <w:pPr>
        <w:rPr>
          <w:noProof/>
        </w:rPr>
      </w:pPr>
      <w:r>
        <w:rPr>
          <w:noProof/>
        </w:rPr>
        <w:t>Намерени са несъответствия, като например отчетен преференциален внос по тарифни линии, които не попадат в нито една от преференциите, или големи разлики между отчетения общ внос и износа, отчетен от Евростат. На по-късен етап се прави известна хармонизация чрез премахване на търговията по тарифни линии, за които не съществуват преференции съгласно базата данни за достъпа до пазари на генерална дирекция „Търговия“ (например когато НОН = 0).</w:t>
      </w:r>
    </w:p>
    <w:p w:rsidR="00E1343B" w:rsidRDefault="00EB18D6">
      <w:pPr>
        <w:rPr>
          <w:noProof/>
        </w:rPr>
      </w:pPr>
      <w:r>
        <w:rPr>
          <w:noProof/>
        </w:rPr>
        <w:t xml:space="preserve">Полученият набор от данни за износа на ЕС следователно е съгласуван единствено тогава, когато се използва за сравняване на използването в дадена държава за период от време и до известна степен за сравняване по категории продукти. </w:t>
      </w:r>
      <w:r>
        <w:rPr>
          <w:noProof/>
          <w:u w:val="single"/>
        </w:rPr>
        <w:t>Наборът от данни не трябва да се използва за сравняване на използването в различни държави (включително спрямо вноса от ЕС).</w:t>
      </w:r>
    </w:p>
    <w:p w:rsidR="00E1343B" w:rsidRDefault="00EB18D6">
      <w:pPr>
        <w:rPr>
          <w:noProof/>
        </w:rPr>
      </w:pPr>
      <w:r>
        <w:rPr>
          <w:noProof/>
        </w:rPr>
        <w:t>Вж. приложение 5.</w:t>
      </w:r>
    </w:p>
    <w:p w:rsidR="00E1343B" w:rsidRDefault="00EB18D6">
      <w:pPr>
        <w:spacing w:after="0"/>
        <w:jc w:val="left"/>
        <w:rPr>
          <w:noProof/>
        </w:rPr>
      </w:pPr>
      <w:r>
        <w:rPr>
          <w:noProof/>
        </w:rPr>
        <w:br w:type="page"/>
      </w:r>
    </w:p>
    <w:p w:rsidR="00E1343B" w:rsidRDefault="00EB18D6">
      <w:pPr>
        <w:pStyle w:val="Heading1"/>
        <w:numPr>
          <w:ilvl w:val="0"/>
          <w:numId w:val="0"/>
        </w:numPr>
        <w:ind w:left="480" w:hanging="480"/>
        <w:rPr>
          <w:noProof/>
        </w:rPr>
      </w:pPr>
      <w:bookmarkStart w:id="175" w:name="_Toc494126163"/>
      <w:bookmarkStart w:id="176" w:name="_Toc497120819"/>
      <w:r>
        <w:rPr>
          <w:noProof/>
        </w:rPr>
        <w:t>Приложение 4 — Използване на преференции върху вноса в ЕС</w:t>
      </w:r>
      <w:bookmarkEnd w:id="175"/>
      <w:bookmarkEnd w:id="176"/>
    </w:p>
    <w:p w:rsidR="00E1343B" w:rsidRDefault="00E1343B">
      <w:pPr>
        <w:rPr>
          <w:noProof/>
        </w:rPr>
      </w:pPr>
    </w:p>
    <w:tbl>
      <w:tblPr>
        <w:tblW w:w="8220" w:type="dxa"/>
        <w:jc w:val="center"/>
        <w:tblInd w:w="93" w:type="dxa"/>
        <w:tblLayout w:type="fixed"/>
        <w:tblLook w:val="04A0" w:firstRow="1" w:lastRow="0" w:firstColumn="1" w:lastColumn="0" w:noHBand="0" w:noVBand="1"/>
      </w:tblPr>
      <w:tblGrid>
        <w:gridCol w:w="4477"/>
        <w:gridCol w:w="935"/>
        <w:gridCol w:w="936"/>
        <w:gridCol w:w="936"/>
        <w:gridCol w:w="936"/>
      </w:tblGrid>
      <w:tr w:rsidR="00E1343B">
        <w:trPr>
          <w:trHeight w:val="255"/>
          <w:jc w:val="center"/>
        </w:trPr>
        <w:tc>
          <w:tcPr>
            <w:tcW w:w="4480" w:type="dxa"/>
            <w:tcBorders>
              <w:top w:val="nil"/>
              <w:left w:val="nil"/>
              <w:bottom w:val="single" w:sz="4" w:space="0" w:color="95B3D7"/>
              <w:right w:val="nil"/>
            </w:tcBorders>
            <w:shd w:val="clear" w:color="auto" w:fill="DCE6F1"/>
            <w:noWrap/>
            <w:vAlign w:val="bottom"/>
            <w:hideMark/>
          </w:tcPr>
          <w:p w:rsidR="00E1343B" w:rsidRDefault="00EB18D6">
            <w:pPr>
              <w:spacing w:after="0"/>
              <w:jc w:val="left"/>
              <w:rPr>
                <w:b/>
                <w:bCs/>
                <w:noProof/>
                <w:color w:val="000000"/>
                <w:sz w:val="20"/>
              </w:rPr>
            </w:pPr>
            <w:r>
              <w:rPr>
                <w:b/>
                <w:noProof/>
                <w:color w:val="000000"/>
                <w:sz w:val="20"/>
              </w:rPr>
              <w:t>Държава износител</w:t>
            </w:r>
          </w:p>
        </w:tc>
        <w:tc>
          <w:tcPr>
            <w:tcW w:w="935" w:type="dxa"/>
            <w:tcBorders>
              <w:top w:val="nil"/>
              <w:left w:val="nil"/>
              <w:bottom w:val="single" w:sz="4" w:space="0" w:color="95B3D7"/>
              <w:right w:val="nil"/>
            </w:tcBorders>
            <w:shd w:val="clear" w:color="auto" w:fill="DCE6F1"/>
            <w:noWrap/>
            <w:vAlign w:val="bottom"/>
            <w:hideMark/>
          </w:tcPr>
          <w:p w:rsidR="00E1343B" w:rsidRDefault="00EB18D6">
            <w:pPr>
              <w:spacing w:after="0"/>
              <w:jc w:val="center"/>
              <w:rPr>
                <w:b/>
                <w:bCs/>
                <w:noProof/>
                <w:color w:val="000000"/>
                <w:sz w:val="20"/>
              </w:rPr>
            </w:pPr>
            <w:r>
              <w:rPr>
                <w:b/>
                <w:noProof/>
                <w:color w:val="000000"/>
                <w:sz w:val="20"/>
              </w:rPr>
              <w:t>2013 г.</w:t>
            </w:r>
          </w:p>
        </w:tc>
        <w:tc>
          <w:tcPr>
            <w:tcW w:w="936" w:type="dxa"/>
            <w:tcBorders>
              <w:top w:val="nil"/>
              <w:left w:val="nil"/>
              <w:bottom w:val="single" w:sz="4" w:space="0" w:color="95B3D7"/>
              <w:right w:val="nil"/>
            </w:tcBorders>
            <w:shd w:val="clear" w:color="auto" w:fill="DCE6F1"/>
            <w:noWrap/>
            <w:vAlign w:val="bottom"/>
            <w:hideMark/>
          </w:tcPr>
          <w:p w:rsidR="00E1343B" w:rsidRDefault="00EB18D6">
            <w:pPr>
              <w:spacing w:after="0"/>
              <w:jc w:val="center"/>
              <w:rPr>
                <w:b/>
                <w:bCs/>
                <w:noProof/>
                <w:color w:val="000000"/>
                <w:sz w:val="20"/>
              </w:rPr>
            </w:pPr>
            <w:r>
              <w:rPr>
                <w:b/>
                <w:noProof/>
                <w:color w:val="000000"/>
                <w:sz w:val="20"/>
              </w:rPr>
              <w:t>2014 г.</w:t>
            </w:r>
          </w:p>
        </w:tc>
        <w:tc>
          <w:tcPr>
            <w:tcW w:w="936" w:type="dxa"/>
            <w:tcBorders>
              <w:top w:val="nil"/>
              <w:left w:val="nil"/>
              <w:bottom w:val="single" w:sz="4" w:space="0" w:color="95B3D7"/>
              <w:right w:val="nil"/>
            </w:tcBorders>
            <w:shd w:val="clear" w:color="auto" w:fill="DCE6F1"/>
            <w:noWrap/>
            <w:vAlign w:val="bottom"/>
            <w:hideMark/>
          </w:tcPr>
          <w:p w:rsidR="00E1343B" w:rsidRDefault="00EB18D6">
            <w:pPr>
              <w:spacing w:after="0"/>
              <w:jc w:val="center"/>
              <w:rPr>
                <w:b/>
                <w:bCs/>
                <w:noProof/>
                <w:color w:val="000000"/>
                <w:sz w:val="20"/>
              </w:rPr>
            </w:pPr>
            <w:r>
              <w:rPr>
                <w:b/>
                <w:noProof/>
                <w:color w:val="000000"/>
                <w:sz w:val="20"/>
              </w:rPr>
              <w:t>2015 г.</w:t>
            </w:r>
          </w:p>
        </w:tc>
        <w:tc>
          <w:tcPr>
            <w:tcW w:w="936" w:type="dxa"/>
            <w:tcBorders>
              <w:top w:val="nil"/>
              <w:left w:val="nil"/>
              <w:bottom w:val="single" w:sz="4" w:space="0" w:color="95B3D7"/>
              <w:right w:val="nil"/>
            </w:tcBorders>
            <w:shd w:val="clear" w:color="auto" w:fill="DCE6F1"/>
            <w:noWrap/>
            <w:vAlign w:val="bottom"/>
            <w:hideMark/>
          </w:tcPr>
          <w:p w:rsidR="00E1343B" w:rsidRDefault="00EB18D6">
            <w:pPr>
              <w:spacing w:after="0"/>
              <w:jc w:val="center"/>
              <w:rPr>
                <w:b/>
                <w:bCs/>
                <w:noProof/>
                <w:color w:val="000000"/>
                <w:sz w:val="20"/>
              </w:rPr>
            </w:pPr>
            <w:r>
              <w:rPr>
                <w:b/>
                <w:noProof/>
                <w:color w:val="000000"/>
                <w:sz w:val="20"/>
              </w:rPr>
              <w:t>2016 г.</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Албания</w:t>
            </w:r>
          </w:p>
        </w:tc>
        <w:tc>
          <w:tcPr>
            <w:tcW w:w="935" w:type="dxa"/>
            <w:noWrap/>
            <w:vAlign w:val="bottom"/>
            <w:hideMark/>
          </w:tcPr>
          <w:p w:rsidR="00E1343B" w:rsidRDefault="00EB18D6">
            <w:pPr>
              <w:spacing w:after="0"/>
              <w:jc w:val="center"/>
              <w:rPr>
                <w:noProof/>
                <w:sz w:val="20"/>
              </w:rPr>
            </w:pPr>
            <w:r>
              <w:rPr>
                <w:noProof/>
                <w:sz w:val="20"/>
              </w:rPr>
              <w:t>88 %</w:t>
            </w:r>
          </w:p>
        </w:tc>
        <w:tc>
          <w:tcPr>
            <w:tcW w:w="936" w:type="dxa"/>
            <w:noWrap/>
            <w:vAlign w:val="bottom"/>
            <w:hideMark/>
          </w:tcPr>
          <w:p w:rsidR="00E1343B" w:rsidRDefault="00EB18D6">
            <w:pPr>
              <w:spacing w:after="0"/>
              <w:jc w:val="center"/>
              <w:rPr>
                <w:noProof/>
                <w:sz w:val="20"/>
              </w:rPr>
            </w:pPr>
            <w:r>
              <w:rPr>
                <w:noProof/>
                <w:sz w:val="20"/>
              </w:rPr>
              <w:t>88 %</w:t>
            </w:r>
          </w:p>
        </w:tc>
        <w:tc>
          <w:tcPr>
            <w:tcW w:w="936" w:type="dxa"/>
            <w:noWrap/>
            <w:vAlign w:val="bottom"/>
            <w:hideMark/>
          </w:tcPr>
          <w:p w:rsidR="00E1343B" w:rsidRDefault="00EB18D6">
            <w:pPr>
              <w:spacing w:after="0"/>
              <w:jc w:val="center"/>
              <w:rPr>
                <w:noProof/>
                <w:sz w:val="20"/>
              </w:rPr>
            </w:pPr>
            <w:r>
              <w:rPr>
                <w:noProof/>
                <w:sz w:val="20"/>
              </w:rPr>
              <w:t>87 %</w:t>
            </w:r>
          </w:p>
        </w:tc>
        <w:tc>
          <w:tcPr>
            <w:tcW w:w="936" w:type="dxa"/>
            <w:noWrap/>
            <w:vAlign w:val="bottom"/>
            <w:hideMark/>
          </w:tcPr>
          <w:p w:rsidR="00E1343B" w:rsidRDefault="00EB18D6">
            <w:pPr>
              <w:spacing w:after="0"/>
              <w:jc w:val="center"/>
              <w:rPr>
                <w:noProof/>
                <w:sz w:val="20"/>
              </w:rPr>
            </w:pPr>
            <w:r>
              <w:rPr>
                <w:noProof/>
                <w:sz w:val="20"/>
              </w:rPr>
              <w:t>86 %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Алжир</w:t>
            </w:r>
          </w:p>
        </w:tc>
        <w:tc>
          <w:tcPr>
            <w:tcW w:w="935" w:type="dxa"/>
            <w:noWrap/>
            <w:vAlign w:val="bottom"/>
            <w:hideMark/>
          </w:tcPr>
          <w:p w:rsidR="00E1343B" w:rsidRDefault="00EB18D6">
            <w:pPr>
              <w:spacing w:after="0"/>
              <w:jc w:val="center"/>
              <w:rPr>
                <w:noProof/>
                <w:sz w:val="20"/>
              </w:rPr>
            </w:pPr>
            <w:r>
              <w:rPr>
                <w:noProof/>
                <w:sz w:val="20"/>
              </w:rPr>
              <w:t>95 %</w:t>
            </w:r>
          </w:p>
        </w:tc>
        <w:tc>
          <w:tcPr>
            <w:tcW w:w="936" w:type="dxa"/>
            <w:noWrap/>
            <w:vAlign w:val="bottom"/>
            <w:hideMark/>
          </w:tcPr>
          <w:p w:rsidR="00E1343B" w:rsidRDefault="00EB18D6">
            <w:pPr>
              <w:spacing w:after="0"/>
              <w:jc w:val="center"/>
              <w:rPr>
                <w:noProof/>
                <w:sz w:val="20"/>
              </w:rPr>
            </w:pPr>
            <w:r>
              <w:rPr>
                <w:noProof/>
                <w:sz w:val="20"/>
              </w:rPr>
              <w:t>94 %</w:t>
            </w:r>
          </w:p>
        </w:tc>
        <w:tc>
          <w:tcPr>
            <w:tcW w:w="936" w:type="dxa"/>
            <w:noWrap/>
            <w:vAlign w:val="bottom"/>
            <w:hideMark/>
          </w:tcPr>
          <w:p w:rsidR="00E1343B" w:rsidRDefault="00EB18D6">
            <w:pPr>
              <w:spacing w:after="0"/>
              <w:jc w:val="center"/>
              <w:rPr>
                <w:noProof/>
                <w:sz w:val="20"/>
              </w:rPr>
            </w:pPr>
            <w:r>
              <w:rPr>
                <w:noProof/>
                <w:sz w:val="20"/>
              </w:rPr>
              <w:t>97 %</w:t>
            </w:r>
          </w:p>
        </w:tc>
        <w:tc>
          <w:tcPr>
            <w:tcW w:w="936" w:type="dxa"/>
            <w:noWrap/>
            <w:vAlign w:val="bottom"/>
            <w:hideMark/>
          </w:tcPr>
          <w:p w:rsidR="00E1343B" w:rsidRDefault="00EB18D6">
            <w:pPr>
              <w:spacing w:after="0"/>
              <w:jc w:val="center"/>
              <w:rPr>
                <w:noProof/>
                <w:sz w:val="20"/>
              </w:rPr>
            </w:pPr>
            <w:r>
              <w:rPr>
                <w:noProof/>
                <w:sz w:val="20"/>
              </w:rPr>
              <w:t>95 %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Чили</w:t>
            </w:r>
          </w:p>
        </w:tc>
        <w:tc>
          <w:tcPr>
            <w:tcW w:w="935" w:type="dxa"/>
            <w:noWrap/>
            <w:vAlign w:val="bottom"/>
            <w:hideMark/>
          </w:tcPr>
          <w:p w:rsidR="00E1343B" w:rsidRDefault="00EB18D6">
            <w:pPr>
              <w:spacing w:after="0"/>
              <w:jc w:val="center"/>
              <w:rPr>
                <w:noProof/>
                <w:sz w:val="20"/>
              </w:rPr>
            </w:pPr>
            <w:r>
              <w:rPr>
                <w:noProof/>
                <w:sz w:val="20"/>
              </w:rPr>
              <w:t>93 %</w:t>
            </w:r>
          </w:p>
        </w:tc>
        <w:tc>
          <w:tcPr>
            <w:tcW w:w="936" w:type="dxa"/>
            <w:noWrap/>
            <w:vAlign w:val="bottom"/>
            <w:hideMark/>
          </w:tcPr>
          <w:p w:rsidR="00E1343B" w:rsidRDefault="00EB18D6">
            <w:pPr>
              <w:spacing w:after="0"/>
              <w:jc w:val="center"/>
              <w:rPr>
                <w:noProof/>
                <w:sz w:val="20"/>
              </w:rPr>
            </w:pPr>
            <w:r>
              <w:rPr>
                <w:noProof/>
                <w:sz w:val="20"/>
              </w:rPr>
              <w:t>94 %</w:t>
            </w:r>
          </w:p>
        </w:tc>
        <w:tc>
          <w:tcPr>
            <w:tcW w:w="936" w:type="dxa"/>
            <w:noWrap/>
            <w:vAlign w:val="bottom"/>
            <w:hideMark/>
          </w:tcPr>
          <w:p w:rsidR="00E1343B" w:rsidRDefault="00EB18D6">
            <w:pPr>
              <w:spacing w:after="0"/>
              <w:jc w:val="center"/>
              <w:rPr>
                <w:noProof/>
                <w:sz w:val="20"/>
              </w:rPr>
            </w:pPr>
            <w:r>
              <w:rPr>
                <w:noProof/>
                <w:sz w:val="20"/>
              </w:rPr>
              <w:t>95 %</w:t>
            </w:r>
          </w:p>
        </w:tc>
        <w:tc>
          <w:tcPr>
            <w:tcW w:w="936" w:type="dxa"/>
            <w:noWrap/>
            <w:vAlign w:val="bottom"/>
            <w:hideMark/>
          </w:tcPr>
          <w:p w:rsidR="00E1343B" w:rsidRDefault="00EB18D6">
            <w:pPr>
              <w:spacing w:after="0"/>
              <w:jc w:val="center"/>
              <w:rPr>
                <w:noProof/>
                <w:sz w:val="20"/>
              </w:rPr>
            </w:pPr>
            <w:r>
              <w:rPr>
                <w:noProof/>
                <w:sz w:val="20"/>
              </w:rPr>
              <w:t>95 %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Колумбия</w:t>
            </w:r>
          </w:p>
        </w:tc>
        <w:tc>
          <w:tcPr>
            <w:tcW w:w="935" w:type="dxa"/>
            <w:noWrap/>
            <w:vAlign w:val="bottom"/>
            <w:hideMark/>
          </w:tcPr>
          <w:p w:rsidR="00E1343B" w:rsidRDefault="00EB18D6">
            <w:pPr>
              <w:spacing w:after="0"/>
              <w:jc w:val="center"/>
              <w:rPr>
                <w:noProof/>
                <w:sz w:val="20"/>
              </w:rPr>
            </w:pPr>
            <w:r>
              <w:rPr>
                <w:noProof/>
                <w:sz w:val="20"/>
              </w:rPr>
              <w:t>85 %</w:t>
            </w:r>
          </w:p>
        </w:tc>
        <w:tc>
          <w:tcPr>
            <w:tcW w:w="936" w:type="dxa"/>
            <w:noWrap/>
            <w:vAlign w:val="bottom"/>
            <w:hideMark/>
          </w:tcPr>
          <w:p w:rsidR="00E1343B" w:rsidRDefault="00EB18D6">
            <w:pPr>
              <w:spacing w:after="0"/>
              <w:jc w:val="center"/>
              <w:rPr>
                <w:noProof/>
                <w:sz w:val="20"/>
              </w:rPr>
            </w:pPr>
            <w:r>
              <w:rPr>
                <w:noProof/>
                <w:sz w:val="20"/>
              </w:rPr>
              <w:t>96 %</w:t>
            </w:r>
          </w:p>
        </w:tc>
        <w:tc>
          <w:tcPr>
            <w:tcW w:w="936" w:type="dxa"/>
            <w:noWrap/>
            <w:vAlign w:val="bottom"/>
            <w:hideMark/>
          </w:tcPr>
          <w:p w:rsidR="00E1343B" w:rsidRDefault="00EB18D6">
            <w:pPr>
              <w:spacing w:after="0"/>
              <w:jc w:val="center"/>
              <w:rPr>
                <w:noProof/>
                <w:sz w:val="20"/>
              </w:rPr>
            </w:pPr>
            <w:r>
              <w:rPr>
                <w:noProof/>
                <w:sz w:val="20"/>
              </w:rPr>
              <w:t>97 %</w:t>
            </w:r>
          </w:p>
        </w:tc>
        <w:tc>
          <w:tcPr>
            <w:tcW w:w="936" w:type="dxa"/>
            <w:noWrap/>
            <w:vAlign w:val="bottom"/>
            <w:hideMark/>
          </w:tcPr>
          <w:p w:rsidR="00E1343B" w:rsidRDefault="00EB18D6">
            <w:pPr>
              <w:spacing w:after="0"/>
              <w:jc w:val="center"/>
              <w:rPr>
                <w:noProof/>
                <w:sz w:val="20"/>
              </w:rPr>
            </w:pPr>
            <w:r>
              <w:rPr>
                <w:noProof/>
                <w:sz w:val="20"/>
              </w:rPr>
              <w:t>97 %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Коста Рика</w:t>
            </w:r>
          </w:p>
        </w:tc>
        <w:tc>
          <w:tcPr>
            <w:tcW w:w="935" w:type="dxa"/>
            <w:noWrap/>
            <w:vAlign w:val="bottom"/>
            <w:hideMark/>
          </w:tcPr>
          <w:p w:rsidR="00E1343B" w:rsidRDefault="00EB18D6">
            <w:pPr>
              <w:spacing w:after="0"/>
              <w:jc w:val="center"/>
              <w:rPr>
                <w:noProof/>
                <w:sz w:val="20"/>
              </w:rPr>
            </w:pPr>
            <w:r>
              <w:rPr>
                <w:noProof/>
                <w:sz w:val="20"/>
              </w:rPr>
              <w:t>89 %</w:t>
            </w:r>
          </w:p>
        </w:tc>
        <w:tc>
          <w:tcPr>
            <w:tcW w:w="936" w:type="dxa"/>
            <w:noWrap/>
            <w:vAlign w:val="bottom"/>
            <w:hideMark/>
          </w:tcPr>
          <w:p w:rsidR="00E1343B" w:rsidRDefault="00EB18D6">
            <w:pPr>
              <w:spacing w:after="0"/>
              <w:jc w:val="center"/>
              <w:rPr>
                <w:noProof/>
                <w:sz w:val="20"/>
              </w:rPr>
            </w:pPr>
            <w:r>
              <w:rPr>
                <w:noProof/>
                <w:sz w:val="20"/>
              </w:rPr>
              <w:t>96 %</w:t>
            </w:r>
          </w:p>
        </w:tc>
        <w:tc>
          <w:tcPr>
            <w:tcW w:w="936" w:type="dxa"/>
            <w:noWrap/>
            <w:vAlign w:val="bottom"/>
            <w:hideMark/>
          </w:tcPr>
          <w:p w:rsidR="00E1343B" w:rsidRDefault="00EB18D6">
            <w:pPr>
              <w:spacing w:after="0"/>
              <w:jc w:val="center"/>
              <w:rPr>
                <w:noProof/>
                <w:sz w:val="20"/>
              </w:rPr>
            </w:pPr>
            <w:r>
              <w:rPr>
                <w:noProof/>
                <w:sz w:val="20"/>
              </w:rPr>
              <w:t>96 %</w:t>
            </w:r>
          </w:p>
        </w:tc>
        <w:tc>
          <w:tcPr>
            <w:tcW w:w="936" w:type="dxa"/>
            <w:noWrap/>
            <w:vAlign w:val="bottom"/>
            <w:hideMark/>
          </w:tcPr>
          <w:p w:rsidR="00E1343B" w:rsidRDefault="00EB18D6">
            <w:pPr>
              <w:spacing w:after="0"/>
              <w:jc w:val="center"/>
              <w:rPr>
                <w:noProof/>
                <w:sz w:val="20"/>
              </w:rPr>
            </w:pPr>
            <w:r>
              <w:rPr>
                <w:noProof/>
                <w:sz w:val="20"/>
              </w:rPr>
              <w:t>97 %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Египет</w:t>
            </w:r>
          </w:p>
        </w:tc>
        <w:tc>
          <w:tcPr>
            <w:tcW w:w="935" w:type="dxa"/>
            <w:noWrap/>
            <w:vAlign w:val="bottom"/>
            <w:hideMark/>
          </w:tcPr>
          <w:p w:rsidR="00E1343B" w:rsidRDefault="00EB18D6">
            <w:pPr>
              <w:spacing w:after="0"/>
              <w:jc w:val="center"/>
              <w:rPr>
                <w:noProof/>
                <w:sz w:val="20"/>
              </w:rPr>
            </w:pPr>
            <w:r>
              <w:rPr>
                <w:noProof/>
                <w:sz w:val="20"/>
              </w:rPr>
              <w:t>96 %</w:t>
            </w:r>
          </w:p>
        </w:tc>
        <w:tc>
          <w:tcPr>
            <w:tcW w:w="936" w:type="dxa"/>
            <w:noWrap/>
            <w:vAlign w:val="bottom"/>
            <w:hideMark/>
          </w:tcPr>
          <w:p w:rsidR="00E1343B" w:rsidRDefault="00EB18D6">
            <w:pPr>
              <w:spacing w:after="0"/>
              <w:jc w:val="center"/>
              <w:rPr>
                <w:noProof/>
                <w:sz w:val="20"/>
              </w:rPr>
            </w:pPr>
            <w:r>
              <w:rPr>
                <w:noProof/>
                <w:sz w:val="20"/>
              </w:rPr>
              <w:t>96 %</w:t>
            </w:r>
          </w:p>
        </w:tc>
        <w:tc>
          <w:tcPr>
            <w:tcW w:w="936" w:type="dxa"/>
            <w:noWrap/>
            <w:vAlign w:val="bottom"/>
            <w:hideMark/>
          </w:tcPr>
          <w:p w:rsidR="00E1343B" w:rsidRDefault="00EB18D6">
            <w:pPr>
              <w:spacing w:after="0"/>
              <w:jc w:val="center"/>
              <w:rPr>
                <w:noProof/>
                <w:sz w:val="20"/>
              </w:rPr>
            </w:pPr>
            <w:r>
              <w:rPr>
                <w:noProof/>
                <w:sz w:val="20"/>
              </w:rPr>
              <w:t>95 %</w:t>
            </w:r>
          </w:p>
        </w:tc>
        <w:tc>
          <w:tcPr>
            <w:tcW w:w="936" w:type="dxa"/>
            <w:noWrap/>
            <w:vAlign w:val="bottom"/>
            <w:hideMark/>
          </w:tcPr>
          <w:p w:rsidR="00E1343B" w:rsidRDefault="00EB18D6">
            <w:pPr>
              <w:spacing w:after="0"/>
              <w:jc w:val="center"/>
              <w:rPr>
                <w:noProof/>
                <w:sz w:val="20"/>
              </w:rPr>
            </w:pPr>
            <w:r>
              <w:rPr>
                <w:noProof/>
                <w:sz w:val="20"/>
              </w:rPr>
              <w:t>96 %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Ел Салвадор</w:t>
            </w:r>
          </w:p>
        </w:tc>
        <w:tc>
          <w:tcPr>
            <w:tcW w:w="935" w:type="dxa"/>
            <w:noWrap/>
            <w:vAlign w:val="bottom"/>
            <w:hideMark/>
          </w:tcPr>
          <w:p w:rsidR="00E1343B" w:rsidRDefault="00EB18D6">
            <w:pPr>
              <w:spacing w:after="0"/>
              <w:jc w:val="center"/>
              <w:rPr>
                <w:noProof/>
                <w:sz w:val="20"/>
              </w:rPr>
            </w:pPr>
            <w:r>
              <w:rPr>
                <w:noProof/>
                <w:sz w:val="20"/>
              </w:rPr>
              <w:t>80 %</w:t>
            </w:r>
          </w:p>
        </w:tc>
        <w:tc>
          <w:tcPr>
            <w:tcW w:w="936" w:type="dxa"/>
            <w:noWrap/>
            <w:vAlign w:val="bottom"/>
            <w:hideMark/>
          </w:tcPr>
          <w:p w:rsidR="00E1343B" w:rsidRDefault="00EB18D6">
            <w:pPr>
              <w:spacing w:after="0"/>
              <w:jc w:val="center"/>
              <w:rPr>
                <w:noProof/>
                <w:sz w:val="20"/>
              </w:rPr>
            </w:pPr>
            <w:r>
              <w:rPr>
                <w:noProof/>
                <w:sz w:val="20"/>
              </w:rPr>
              <w:t>91 %</w:t>
            </w:r>
          </w:p>
        </w:tc>
        <w:tc>
          <w:tcPr>
            <w:tcW w:w="936" w:type="dxa"/>
            <w:noWrap/>
            <w:vAlign w:val="bottom"/>
            <w:hideMark/>
          </w:tcPr>
          <w:p w:rsidR="00E1343B" w:rsidRDefault="00EB18D6">
            <w:pPr>
              <w:spacing w:after="0"/>
              <w:jc w:val="center"/>
              <w:rPr>
                <w:noProof/>
                <w:sz w:val="20"/>
              </w:rPr>
            </w:pPr>
            <w:r>
              <w:rPr>
                <w:noProof/>
                <w:sz w:val="20"/>
              </w:rPr>
              <w:t>82 %</w:t>
            </w:r>
          </w:p>
        </w:tc>
        <w:tc>
          <w:tcPr>
            <w:tcW w:w="936" w:type="dxa"/>
            <w:noWrap/>
            <w:vAlign w:val="bottom"/>
            <w:hideMark/>
          </w:tcPr>
          <w:p w:rsidR="00E1343B" w:rsidRDefault="00EB18D6">
            <w:pPr>
              <w:spacing w:after="0"/>
              <w:jc w:val="center"/>
              <w:rPr>
                <w:noProof/>
                <w:sz w:val="20"/>
              </w:rPr>
            </w:pPr>
            <w:r>
              <w:rPr>
                <w:noProof/>
                <w:sz w:val="20"/>
              </w:rPr>
              <w:t>74 %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Грузия</w:t>
            </w:r>
          </w:p>
        </w:tc>
        <w:tc>
          <w:tcPr>
            <w:tcW w:w="935" w:type="dxa"/>
            <w:noWrap/>
            <w:vAlign w:val="bottom"/>
            <w:hideMark/>
          </w:tcPr>
          <w:p w:rsidR="00E1343B" w:rsidRDefault="00EB18D6">
            <w:pPr>
              <w:spacing w:after="0"/>
              <w:jc w:val="center"/>
              <w:rPr>
                <w:noProof/>
                <w:sz w:val="20"/>
              </w:rPr>
            </w:pPr>
            <w:r>
              <w:rPr>
                <w:noProof/>
                <w:sz w:val="20"/>
              </w:rPr>
              <w:t>86 %</w:t>
            </w:r>
          </w:p>
        </w:tc>
        <w:tc>
          <w:tcPr>
            <w:tcW w:w="936" w:type="dxa"/>
            <w:noWrap/>
            <w:vAlign w:val="bottom"/>
            <w:hideMark/>
          </w:tcPr>
          <w:p w:rsidR="00E1343B" w:rsidRDefault="00EB18D6">
            <w:pPr>
              <w:spacing w:after="0"/>
              <w:jc w:val="center"/>
              <w:rPr>
                <w:noProof/>
                <w:sz w:val="20"/>
              </w:rPr>
            </w:pPr>
            <w:r>
              <w:rPr>
                <w:noProof/>
                <w:sz w:val="20"/>
              </w:rPr>
              <w:t>78 %</w:t>
            </w:r>
          </w:p>
        </w:tc>
        <w:tc>
          <w:tcPr>
            <w:tcW w:w="936" w:type="dxa"/>
            <w:noWrap/>
            <w:vAlign w:val="bottom"/>
            <w:hideMark/>
          </w:tcPr>
          <w:p w:rsidR="00E1343B" w:rsidRDefault="00EB18D6">
            <w:pPr>
              <w:spacing w:after="0"/>
              <w:jc w:val="center"/>
              <w:rPr>
                <w:noProof/>
                <w:sz w:val="20"/>
              </w:rPr>
            </w:pPr>
            <w:r>
              <w:rPr>
                <w:noProof/>
                <w:sz w:val="20"/>
              </w:rPr>
              <w:t>83 %</w:t>
            </w:r>
          </w:p>
        </w:tc>
        <w:tc>
          <w:tcPr>
            <w:tcW w:w="936" w:type="dxa"/>
            <w:noWrap/>
            <w:vAlign w:val="bottom"/>
            <w:hideMark/>
          </w:tcPr>
          <w:p w:rsidR="00E1343B" w:rsidRDefault="00EB18D6">
            <w:pPr>
              <w:spacing w:after="0"/>
              <w:jc w:val="center"/>
              <w:rPr>
                <w:noProof/>
                <w:sz w:val="20"/>
              </w:rPr>
            </w:pPr>
            <w:r>
              <w:rPr>
                <w:noProof/>
                <w:sz w:val="20"/>
              </w:rPr>
              <w:t>80 %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Гватемала</w:t>
            </w:r>
          </w:p>
        </w:tc>
        <w:tc>
          <w:tcPr>
            <w:tcW w:w="935" w:type="dxa"/>
            <w:noWrap/>
            <w:vAlign w:val="bottom"/>
            <w:hideMark/>
          </w:tcPr>
          <w:p w:rsidR="00E1343B" w:rsidRDefault="00EB18D6">
            <w:pPr>
              <w:spacing w:after="0"/>
              <w:jc w:val="center"/>
              <w:rPr>
                <w:noProof/>
                <w:sz w:val="20"/>
              </w:rPr>
            </w:pPr>
            <w:r>
              <w:rPr>
                <w:noProof/>
                <w:sz w:val="20"/>
              </w:rPr>
              <w:t>89 %</w:t>
            </w:r>
          </w:p>
        </w:tc>
        <w:tc>
          <w:tcPr>
            <w:tcW w:w="936" w:type="dxa"/>
            <w:noWrap/>
            <w:vAlign w:val="bottom"/>
            <w:hideMark/>
          </w:tcPr>
          <w:p w:rsidR="00E1343B" w:rsidRDefault="00EB18D6">
            <w:pPr>
              <w:spacing w:after="0"/>
              <w:jc w:val="center"/>
              <w:rPr>
                <w:noProof/>
                <w:sz w:val="20"/>
              </w:rPr>
            </w:pPr>
            <w:r>
              <w:rPr>
                <w:noProof/>
                <w:sz w:val="20"/>
              </w:rPr>
              <w:t>94 %</w:t>
            </w:r>
          </w:p>
        </w:tc>
        <w:tc>
          <w:tcPr>
            <w:tcW w:w="936" w:type="dxa"/>
            <w:noWrap/>
            <w:vAlign w:val="bottom"/>
            <w:hideMark/>
          </w:tcPr>
          <w:p w:rsidR="00E1343B" w:rsidRDefault="00EB18D6">
            <w:pPr>
              <w:spacing w:after="0"/>
              <w:jc w:val="center"/>
              <w:rPr>
                <w:noProof/>
                <w:sz w:val="20"/>
              </w:rPr>
            </w:pPr>
            <w:r>
              <w:rPr>
                <w:noProof/>
                <w:sz w:val="20"/>
              </w:rPr>
              <w:t>95 %</w:t>
            </w:r>
          </w:p>
        </w:tc>
        <w:tc>
          <w:tcPr>
            <w:tcW w:w="936" w:type="dxa"/>
            <w:noWrap/>
            <w:vAlign w:val="bottom"/>
            <w:hideMark/>
          </w:tcPr>
          <w:p w:rsidR="00E1343B" w:rsidRDefault="00EB18D6">
            <w:pPr>
              <w:spacing w:after="0"/>
              <w:jc w:val="center"/>
              <w:rPr>
                <w:noProof/>
                <w:sz w:val="20"/>
              </w:rPr>
            </w:pPr>
            <w:r>
              <w:rPr>
                <w:noProof/>
                <w:sz w:val="20"/>
              </w:rPr>
              <w:t>95 %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Хондурас</w:t>
            </w:r>
          </w:p>
        </w:tc>
        <w:tc>
          <w:tcPr>
            <w:tcW w:w="935" w:type="dxa"/>
            <w:noWrap/>
            <w:vAlign w:val="bottom"/>
            <w:hideMark/>
          </w:tcPr>
          <w:p w:rsidR="00E1343B" w:rsidRDefault="00EB18D6">
            <w:pPr>
              <w:spacing w:after="0"/>
              <w:jc w:val="center"/>
              <w:rPr>
                <w:noProof/>
                <w:sz w:val="20"/>
              </w:rPr>
            </w:pPr>
            <w:r>
              <w:rPr>
                <w:noProof/>
                <w:sz w:val="20"/>
              </w:rPr>
              <w:t>84 %</w:t>
            </w:r>
          </w:p>
        </w:tc>
        <w:tc>
          <w:tcPr>
            <w:tcW w:w="936" w:type="dxa"/>
            <w:noWrap/>
            <w:vAlign w:val="bottom"/>
            <w:hideMark/>
          </w:tcPr>
          <w:p w:rsidR="00E1343B" w:rsidRDefault="00EB18D6">
            <w:pPr>
              <w:spacing w:after="0"/>
              <w:jc w:val="center"/>
              <w:rPr>
                <w:noProof/>
                <w:sz w:val="20"/>
              </w:rPr>
            </w:pPr>
            <w:r>
              <w:rPr>
                <w:noProof/>
                <w:sz w:val="20"/>
              </w:rPr>
              <w:t>93 %</w:t>
            </w:r>
          </w:p>
        </w:tc>
        <w:tc>
          <w:tcPr>
            <w:tcW w:w="936" w:type="dxa"/>
            <w:noWrap/>
            <w:vAlign w:val="bottom"/>
            <w:hideMark/>
          </w:tcPr>
          <w:p w:rsidR="00E1343B" w:rsidRDefault="00EB18D6">
            <w:pPr>
              <w:spacing w:after="0"/>
              <w:jc w:val="center"/>
              <w:rPr>
                <w:noProof/>
                <w:sz w:val="20"/>
              </w:rPr>
            </w:pPr>
            <w:r>
              <w:rPr>
                <w:noProof/>
                <w:sz w:val="20"/>
              </w:rPr>
              <w:t>91 %</w:t>
            </w:r>
          </w:p>
        </w:tc>
        <w:tc>
          <w:tcPr>
            <w:tcW w:w="936" w:type="dxa"/>
            <w:noWrap/>
            <w:vAlign w:val="bottom"/>
            <w:hideMark/>
          </w:tcPr>
          <w:p w:rsidR="00E1343B" w:rsidRDefault="00EB18D6">
            <w:pPr>
              <w:spacing w:after="0"/>
              <w:jc w:val="center"/>
              <w:rPr>
                <w:noProof/>
                <w:sz w:val="20"/>
              </w:rPr>
            </w:pPr>
            <w:r>
              <w:rPr>
                <w:noProof/>
                <w:sz w:val="20"/>
              </w:rPr>
              <w:t>92 %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Израел</w:t>
            </w:r>
          </w:p>
        </w:tc>
        <w:tc>
          <w:tcPr>
            <w:tcW w:w="935" w:type="dxa"/>
            <w:noWrap/>
            <w:vAlign w:val="bottom"/>
            <w:hideMark/>
          </w:tcPr>
          <w:p w:rsidR="00E1343B" w:rsidRDefault="00EB18D6">
            <w:pPr>
              <w:spacing w:after="0"/>
              <w:jc w:val="center"/>
              <w:rPr>
                <w:noProof/>
                <w:sz w:val="20"/>
              </w:rPr>
            </w:pPr>
            <w:r>
              <w:rPr>
                <w:noProof/>
                <w:sz w:val="20"/>
              </w:rPr>
              <w:t>89 %</w:t>
            </w:r>
          </w:p>
        </w:tc>
        <w:tc>
          <w:tcPr>
            <w:tcW w:w="936" w:type="dxa"/>
            <w:noWrap/>
            <w:vAlign w:val="bottom"/>
            <w:hideMark/>
          </w:tcPr>
          <w:p w:rsidR="00E1343B" w:rsidRDefault="00EB18D6">
            <w:pPr>
              <w:spacing w:after="0"/>
              <w:jc w:val="center"/>
              <w:rPr>
                <w:noProof/>
                <w:sz w:val="20"/>
              </w:rPr>
            </w:pPr>
            <w:r>
              <w:rPr>
                <w:noProof/>
                <w:sz w:val="20"/>
              </w:rPr>
              <w:t>89 %</w:t>
            </w:r>
          </w:p>
        </w:tc>
        <w:tc>
          <w:tcPr>
            <w:tcW w:w="936" w:type="dxa"/>
            <w:noWrap/>
            <w:vAlign w:val="bottom"/>
            <w:hideMark/>
          </w:tcPr>
          <w:p w:rsidR="00E1343B" w:rsidRDefault="00EB18D6">
            <w:pPr>
              <w:spacing w:after="0"/>
              <w:jc w:val="center"/>
              <w:rPr>
                <w:noProof/>
                <w:sz w:val="20"/>
              </w:rPr>
            </w:pPr>
            <w:r>
              <w:rPr>
                <w:noProof/>
                <w:sz w:val="20"/>
              </w:rPr>
              <w:t>89 %</w:t>
            </w:r>
          </w:p>
        </w:tc>
        <w:tc>
          <w:tcPr>
            <w:tcW w:w="936" w:type="dxa"/>
            <w:noWrap/>
            <w:vAlign w:val="bottom"/>
            <w:hideMark/>
          </w:tcPr>
          <w:p w:rsidR="00E1343B" w:rsidRDefault="00EB18D6">
            <w:pPr>
              <w:spacing w:after="0"/>
              <w:jc w:val="center"/>
              <w:rPr>
                <w:noProof/>
                <w:sz w:val="20"/>
              </w:rPr>
            </w:pPr>
            <w:r>
              <w:rPr>
                <w:noProof/>
                <w:sz w:val="20"/>
              </w:rPr>
              <w:t>90 %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Йордания</w:t>
            </w:r>
          </w:p>
        </w:tc>
        <w:tc>
          <w:tcPr>
            <w:tcW w:w="935" w:type="dxa"/>
            <w:noWrap/>
            <w:vAlign w:val="bottom"/>
            <w:hideMark/>
          </w:tcPr>
          <w:p w:rsidR="00E1343B" w:rsidRDefault="00EB18D6">
            <w:pPr>
              <w:spacing w:after="0"/>
              <w:jc w:val="center"/>
              <w:rPr>
                <w:noProof/>
                <w:sz w:val="20"/>
              </w:rPr>
            </w:pPr>
            <w:r>
              <w:rPr>
                <w:noProof/>
                <w:sz w:val="20"/>
              </w:rPr>
              <w:t>76 %</w:t>
            </w:r>
          </w:p>
        </w:tc>
        <w:tc>
          <w:tcPr>
            <w:tcW w:w="936" w:type="dxa"/>
            <w:noWrap/>
            <w:vAlign w:val="bottom"/>
            <w:hideMark/>
          </w:tcPr>
          <w:p w:rsidR="00E1343B" w:rsidRDefault="00EB18D6">
            <w:pPr>
              <w:spacing w:after="0"/>
              <w:jc w:val="center"/>
              <w:rPr>
                <w:noProof/>
                <w:sz w:val="20"/>
              </w:rPr>
            </w:pPr>
            <w:r>
              <w:rPr>
                <w:noProof/>
                <w:sz w:val="20"/>
              </w:rPr>
              <w:t>79 %</w:t>
            </w:r>
          </w:p>
        </w:tc>
        <w:tc>
          <w:tcPr>
            <w:tcW w:w="936" w:type="dxa"/>
            <w:noWrap/>
            <w:vAlign w:val="bottom"/>
            <w:hideMark/>
          </w:tcPr>
          <w:p w:rsidR="00E1343B" w:rsidRDefault="00EB18D6">
            <w:pPr>
              <w:spacing w:after="0"/>
              <w:jc w:val="center"/>
              <w:rPr>
                <w:noProof/>
                <w:sz w:val="20"/>
              </w:rPr>
            </w:pPr>
            <w:r>
              <w:rPr>
                <w:noProof/>
                <w:sz w:val="20"/>
              </w:rPr>
              <w:t>79 %</w:t>
            </w:r>
          </w:p>
        </w:tc>
        <w:tc>
          <w:tcPr>
            <w:tcW w:w="936" w:type="dxa"/>
            <w:noWrap/>
            <w:vAlign w:val="bottom"/>
            <w:hideMark/>
          </w:tcPr>
          <w:p w:rsidR="00E1343B" w:rsidRDefault="00EB18D6">
            <w:pPr>
              <w:spacing w:after="0"/>
              <w:jc w:val="center"/>
              <w:rPr>
                <w:noProof/>
                <w:sz w:val="20"/>
              </w:rPr>
            </w:pPr>
            <w:r>
              <w:rPr>
                <w:noProof/>
                <w:sz w:val="20"/>
              </w:rPr>
              <w:t>68 %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Ливан</w:t>
            </w:r>
          </w:p>
        </w:tc>
        <w:tc>
          <w:tcPr>
            <w:tcW w:w="935" w:type="dxa"/>
            <w:noWrap/>
            <w:vAlign w:val="bottom"/>
            <w:hideMark/>
          </w:tcPr>
          <w:p w:rsidR="00E1343B" w:rsidRDefault="00EB18D6">
            <w:pPr>
              <w:spacing w:after="0"/>
              <w:jc w:val="center"/>
              <w:rPr>
                <w:noProof/>
                <w:sz w:val="20"/>
              </w:rPr>
            </w:pPr>
            <w:r>
              <w:rPr>
                <w:noProof/>
                <w:sz w:val="20"/>
              </w:rPr>
              <w:t>79 %</w:t>
            </w:r>
          </w:p>
        </w:tc>
        <w:tc>
          <w:tcPr>
            <w:tcW w:w="936" w:type="dxa"/>
            <w:noWrap/>
            <w:vAlign w:val="bottom"/>
            <w:hideMark/>
          </w:tcPr>
          <w:p w:rsidR="00E1343B" w:rsidRDefault="00EB18D6">
            <w:pPr>
              <w:spacing w:after="0"/>
              <w:jc w:val="center"/>
              <w:rPr>
                <w:noProof/>
                <w:sz w:val="20"/>
              </w:rPr>
            </w:pPr>
            <w:r>
              <w:rPr>
                <w:noProof/>
                <w:sz w:val="20"/>
              </w:rPr>
              <w:t>87 %</w:t>
            </w:r>
          </w:p>
        </w:tc>
        <w:tc>
          <w:tcPr>
            <w:tcW w:w="936" w:type="dxa"/>
            <w:noWrap/>
            <w:vAlign w:val="bottom"/>
            <w:hideMark/>
          </w:tcPr>
          <w:p w:rsidR="00E1343B" w:rsidRDefault="00EB18D6">
            <w:pPr>
              <w:spacing w:after="0"/>
              <w:jc w:val="center"/>
              <w:rPr>
                <w:noProof/>
                <w:sz w:val="20"/>
              </w:rPr>
            </w:pPr>
            <w:r>
              <w:rPr>
                <w:noProof/>
                <w:sz w:val="20"/>
              </w:rPr>
              <w:t>76 %</w:t>
            </w:r>
          </w:p>
        </w:tc>
        <w:tc>
          <w:tcPr>
            <w:tcW w:w="936" w:type="dxa"/>
            <w:noWrap/>
            <w:vAlign w:val="bottom"/>
            <w:hideMark/>
          </w:tcPr>
          <w:p w:rsidR="00E1343B" w:rsidRDefault="00EB18D6">
            <w:pPr>
              <w:spacing w:after="0"/>
              <w:jc w:val="center"/>
              <w:rPr>
                <w:noProof/>
                <w:sz w:val="20"/>
              </w:rPr>
            </w:pPr>
            <w:r>
              <w:rPr>
                <w:noProof/>
                <w:sz w:val="20"/>
              </w:rPr>
              <w:t>71 %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Мексико</w:t>
            </w:r>
          </w:p>
        </w:tc>
        <w:tc>
          <w:tcPr>
            <w:tcW w:w="935" w:type="dxa"/>
            <w:noWrap/>
            <w:vAlign w:val="bottom"/>
            <w:hideMark/>
          </w:tcPr>
          <w:p w:rsidR="00E1343B" w:rsidRDefault="00EB18D6">
            <w:pPr>
              <w:spacing w:after="0"/>
              <w:jc w:val="center"/>
              <w:rPr>
                <w:noProof/>
                <w:sz w:val="20"/>
              </w:rPr>
            </w:pPr>
            <w:r>
              <w:rPr>
                <w:noProof/>
                <w:sz w:val="20"/>
              </w:rPr>
              <w:t>67 %</w:t>
            </w:r>
          </w:p>
        </w:tc>
        <w:tc>
          <w:tcPr>
            <w:tcW w:w="936" w:type="dxa"/>
            <w:noWrap/>
            <w:vAlign w:val="bottom"/>
            <w:hideMark/>
          </w:tcPr>
          <w:p w:rsidR="00E1343B" w:rsidRDefault="00EB18D6">
            <w:pPr>
              <w:spacing w:after="0"/>
              <w:jc w:val="center"/>
              <w:rPr>
                <w:noProof/>
                <w:sz w:val="20"/>
              </w:rPr>
            </w:pPr>
            <w:r>
              <w:rPr>
                <w:noProof/>
                <w:sz w:val="20"/>
              </w:rPr>
              <w:t>61 %</w:t>
            </w:r>
          </w:p>
        </w:tc>
        <w:tc>
          <w:tcPr>
            <w:tcW w:w="936" w:type="dxa"/>
            <w:noWrap/>
            <w:vAlign w:val="bottom"/>
            <w:hideMark/>
          </w:tcPr>
          <w:p w:rsidR="00E1343B" w:rsidRDefault="00EB18D6">
            <w:pPr>
              <w:spacing w:after="0"/>
              <w:jc w:val="center"/>
              <w:rPr>
                <w:noProof/>
                <w:sz w:val="20"/>
              </w:rPr>
            </w:pPr>
            <w:r>
              <w:rPr>
                <w:noProof/>
                <w:sz w:val="20"/>
              </w:rPr>
              <w:t>52 %</w:t>
            </w:r>
          </w:p>
        </w:tc>
        <w:tc>
          <w:tcPr>
            <w:tcW w:w="936" w:type="dxa"/>
            <w:noWrap/>
            <w:vAlign w:val="bottom"/>
            <w:hideMark/>
          </w:tcPr>
          <w:p w:rsidR="00E1343B" w:rsidRDefault="00EB18D6">
            <w:pPr>
              <w:spacing w:after="0"/>
              <w:jc w:val="center"/>
              <w:rPr>
                <w:noProof/>
                <w:sz w:val="20"/>
              </w:rPr>
            </w:pPr>
            <w:r>
              <w:rPr>
                <w:noProof/>
                <w:sz w:val="20"/>
              </w:rPr>
              <w:t>57 %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Молдова</w:t>
            </w:r>
          </w:p>
        </w:tc>
        <w:tc>
          <w:tcPr>
            <w:tcW w:w="935" w:type="dxa"/>
            <w:noWrap/>
            <w:vAlign w:val="bottom"/>
            <w:hideMark/>
          </w:tcPr>
          <w:p w:rsidR="00E1343B" w:rsidRDefault="00EB18D6">
            <w:pPr>
              <w:spacing w:after="0"/>
              <w:jc w:val="center"/>
              <w:rPr>
                <w:noProof/>
                <w:sz w:val="20"/>
              </w:rPr>
            </w:pPr>
            <w:r>
              <w:rPr>
                <w:noProof/>
                <w:sz w:val="20"/>
              </w:rPr>
              <w:t>89 %</w:t>
            </w:r>
          </w:p>
        </w:tc>
        <w:tc>
          <w:tcPr>
            <w:tcW w:w="936" w:type="dxa"/>
            <w:noWrap/>
            <w:vAlign w:val="bottom"/>
            <w:hideMark/>
          </w:tcPr>
          <w:p w:rsidR="00E1343B" w:rsidRDefault="00EB18D6">
            <w:pPr>
              <w:spacing w:after="0"/>
              <w:jc w:val="center"/>
              <w:rPr>
                <w:noProof/>
                <w:sz w:val="20"/>
              </w:rPr>
            </w:pPr>
            <w:r>
              <w:rPr>
                <w:noProof/>
                <w:sz w:val="20"/>
              </w:rPr>
              <w:t>89 %</w:t>
            </w:r>
          </w:p>
        </w:tc>
        <w:tc>
          <w:tcPr>
            <w:tcW w:w="936" w:type="dxa"/>
            <w:noWrap/>
            <w:vAlign w:val="bottom"/>
            <w:hideMark/>
          </w:tcPr>
          <w:p w:rsidR="00E1343B" w:rsidRDefault="00EB18D6">
            <w:pPr>
              <w:spacing w:after="0"/>
              <w:jc w:val="center"/>
              <w:rPr>
                <w:noProof/>
                <w:sz w:val="20"/>
              </w:rPr>
            </w:pPr>
            <w:r>
              <w:rPr>
                <w:noProof/>
                <w:sz w:val="20"/>
              </w:rPr>
              <w:t>91 %</w:t>
            </w:r>
          </w:p>
        </w:tc>
        <w:tc>
          <w:tcPr>
            <w:tcW w:w="936" w:type="dxa"/>
            <w:noWrap/>
            <w:vAlign w:val="bottom"/>
            <w:hideMark/>
          </w:tcPr>
          <w:p w:rsidR="00E1343B" w:rsidRDefault="00EB18D6">
            <w:pPr>
              <w:spacing w:after="0"/>
              <w:jc w:val="center"/>
              <w:rPr>
                <w:noProof/>
                <w:sz w:val="20"/>
              </w:rPr>
            </w:pPr>
            <w:r>
              <w:rPr>
                <w:noProof/>
                <w:sz w:val="20"/>
              </w:rPr>
              <w:t>88 %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Мароко</w:t>
            </w:r>
          </w:p>
        </w:tc>
        <w:tc>
          <w:tcPr>
            <w:tcW w:w="935" w:type="dxa"/>
            <w:noWrap/>
            <w:vAlign w:val="bottom"/>
            <w:hideMark/>
          </w:tcPr>
          <w:p w:rsidR="00E1343B" w:rsidRDefault="00EB18D6">
            <w:pPr>
              <w:spacing w:after="0"/>
              <w:jc w:val="center"/>
              <w:rPr>
                <w:noProof/>
                <w:sz w:val="20"/>
              </w:rPr>
            </w:pPr>
            <w:r>
              <w:rPr>
                <w:noProof/>
                <w:sz w:val="20"/>
              </w:rPr>
              <w:t>97 %</w:t>
            </w:r>
          </w:p>
        </w:tc>
        <w:tc>
          <w:tcPr>
            <w:tcW w:w="936" w:type="dxa"/>
            <w:noWrap/>
            <w:vAlign w:val="bottom"/>
            <w:hideMark/>
          </w:tcPr>
          <w:p w:rsidR="00E1343B" w:rsidRDefault="00EB18D6">
            <w:pPr>
              <w:spacing w:after="0"/>
              <w:jc w:val="center"/>
              <w:rPr>
                <w:noProof/>
                <w:sz w:val="20"/>
              </w:rPr>
            </w:pPr>
            <w:r>
              <w:rPr>
                <w:noProof/>
                <w:sz w:val="20"/>
              </w:rPr>
              <w:t>97 %</w:t>
            </w:r>
          </w:p>
        </w:tc>
        <w:tc>
          <w:tcPr>
            <w:tcW w:w="936" w:type="dxa"/>
            <w:noWrap/>
            <w:vAlign w:val="bottom"/>
            <w:hideMark/>
          </w:tcPr>
          <w:p w:rsidR="00E1343B" w:rsidRDefault="00EB18D6">
            <w:pPr>
              <w:spacing w:after="0"/>
              <w:jc w:val="center"/>
              <w:rPr>
                <w:noProof/>
                <w:sz w:val="20"/>
              </w:rPr>
            </w:pPr>
            <w:r>
              <w:rPr>
                <w:noProof/>
                <w:sz w:val="20"/>
              </w:rPr>
              <w:t>97 %</w:t>
            </w:r>
          </w:p>
        </w:tc>
        <w:tc>
          <w:tcPr>
            <w:tcW w:w="936" w:type="dxa"/>
            <w:noWrap/>
            <w:vAlign w:val="bottom"/>
            <w:hideMark/>
          </w:tcPr>
          <w:p w:rsidR="00E1343B" w:rsidRDefault="00EB18D6">
            <w:pPr>
              <w:spacing w:after="0"/>
              <w:jc w:val="center"/>
              <w:rPr>
                <w:noProof/>
                <w:sz w:val="20"/>
              </w:rPr>
            </w:pPr>
            <w:r>
              <w:rPr>
                <w:noProof/>
                <w:sz w:val="20"/>
              </w:rPr>
              <w:t>95 %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Никарагуа</w:t>
            </w:r>
          </w:p>
        </w:tc>
        <w:tc>
          <w:tcPr>
            <w:tcW w:w="935" w:type="dxa"/>
            <w:noWrap/>
            <w:vAlign w:val="bottom"/>
            <w:hideMark/>
          </w:tcPr>
          <w:p w:rsidR="00E1343B" w:rsidRDefault="00EB18D6">
            <w:pPr>
              <w:spacing w:after="0"/>
              <w:jc w:val="center"/>
              <w:rPr>
                <w:noProof/>
                <w:sz w:val="20"/>
              </w:rPr>
            </w:pPr>
            <w:r>
              <w:rPr>
                <w:noProof/>
                <w:sz w:val="20"/>
              </w:rPr>
              <w:t>90 %</w:t>
            </w:r>
          </w:p>
        </w:tc>
        <w:tc>
          <w:tcPr>
            <w:tcW w:w="936" w:type="dxa"/>
            <w:noWrap/>
            <w:vAlign w:val="bottom"/>
            <w:hideMark/>
          </w:tcPr>
          <w:p w:rsidR="00E1343B" w:rsidRDefault="00EB18D6">
            <w:pPr>
              <w:spacing w:after="0"/>
              <w:jc w:val="center"/>
              <w:rPr>
                <w:noProof/>
                <w:sz w:val="20"/>
              </w:rPr>
            </w:pPr>
            <w:r>
              <w:rPr>
                <w:noProof/>
                <w:sz w:val="20"/>
              </w:rPr>
              <w:t>96 %</w:t>
            </w:r>
          </w:p>
        </w:tc>
        <w:tc>
          <w:tcPr>
            <w:tcW w:w="936" w:type="dxa"/>
            <w:noWrap/>
            <w:vAlign w:val="bottom"/>
            <w:hideMark/>
          </w:tcPr>
          <w:p w:rsidR="00E1343B" w:rsidRDefault="00EB18D6">
            <w:pPr>
              <w:spacing w:after="0"/>
              <w:jc w:val="center"/>
              <w:rPr>
                <w:noProof/>
                <w:sz w:val="20"/>
              </w:rPr>
            </w:pPr>
            <w:r>
              <w:rPr>
                <w:noProof/>
                <w:sz w:val="20"/>
              </w:rPr>
              <w:t>94 %</w:t>
            </w:r>
          </w:p>
        </w:tc>
        <w:tc>
          <w:tcPr>
            <w:tcW w:w="936" w:type="dxa"/>
            <w:noWrap/>
            <w:vAlign w:val="bottom"/>
            <w:hideMark/>
          </w:tcPr>
          <w:p w:rsidR="00E1343B" w:rsidRDefault="00EB18D6">
            <w:pPr>
              <w:spacing w:after="0"/>
              <w:jc w:val="center"/>
              <w:rPr>
                <w:noProof/>
                <w:sz w:val="20"/>
              </w:rPr>
            </w:pPr>
            <w:r>
              <w:rPr>
                <w:noProof/>
                <w:sz w:val="20"/>
              </w:rPr>
              <w:t>94 %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Норвегия</w:t>
            </w:r>
          </w:p>
        </w:tc>
        <w:tc>
          <w:tcPr>
            <w:tcW w:w="935" w:type="dxa"/>
            <w:noWrap/>
            <w:vAlign w:val="bottom"/>
            <w:hideMark/>
          </w:tcPr>
          <w:p w:rsidR="00E1343B" w:rsidRDefault="00EB18D6">
            <w:pPr>
              <w:spacing w:after="0"/>
              <w:jc w:val="center"/>
              <w:rPr>
                <w:noProof/>
                <w:sz w:val="20"/>
              </w:rPr>
            </w:pPr>
            <w:r>
              <w:rPr>
                <w:noProof/>
                <w:sz w:val="20"/>
              </w:rPr>
              <w:t>74 %</w:t>
            </w:r>
          </w:p>
        </w:tc>
        <w:tc>
          <w:tcPr>
            <w:tcW w:w="936" w:type="dxa"/>
            <w:noWrap/>
            <w:vAlign w:val="bottom"/>
            <w:hideMark/>
          </w:tcPr>
          <w:p w:rsidR="00E1343B" w:rsidRDefault="00EB18D6">
            <w:pPr>
              <w:spacing w:after="0"/>
              <w:jc w:val="center"/>
              <w:rPr>
                <w:noProof/>
                <w:sz w:val="20"/>
              </w:rPr>
            </w:pPr>
            <w:r>
              <w:rPr>
                <w:noProof/>
                <w:sz w:val="20"/>
              </w:rPr>
              <w:t>72 %</w:t>
            </w:r>
          </w:p>
        </w:tc>
        <w:tc>
          <w:tcPr>
            <w:tcW w:w="936" w:type="dxa"/>
            <w:noWrap/>
            <w:vAlign w:val="bottom"/>
            <w:hideMark/>
          </w:tcPr>
          <w:p w:rsidR="00E1343B" w:rsidRDefault="00EB18D6">
            <w:pPr>
              <w:spacing w:after="0"/>
              <w:jc w:val="center"/>
              <w:rPr>
                <w:noProof/>
                <w:sz w:val="20"/>
              </w:rPr>
            </w:pPr>
            <w:r>
              <w:rPr>
                <w:noProof/>
                <w:sz w:val="20"/>
              </w:rPr>
              <w:t>71 %</w:t>
            </w:r>
          </w:p>
        </w:tc>
        <w:tc>
          <w:tcPr>
            <w:tcW w:w="936" w:type="dxa"/>
            <w:noWrap/>
            <w:vAlign w:val="bottom"/>
            <w:hideMark/>
          </w:tcPr>
          <w:p w:rsidR="00E1343B" w:rsidRDefault="00EB18D6">
            <w:pPr>
              <w:spacing w:after="0"/>
              <w:jc w:val="center"/>
              <w:rPr>
                <w:noProof/>
                <w:sz w:val="20"/>
              </w:rPr>
            </w:pPr>
            <w:r>
              <w:rPr>
                <w:noProof/>
                <w:sz w:val="20"/>
              </w:rPr>
              <w:t>66 %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Окупираните палестински територии</w:t>
            </w:r>
          </w:p>
        </w:tc>
        <w:tc>
          <w:tcPr>
            <w:tcW w:w="935" w:type="dxa"/>
            <w:noWrap/>
            <w:vAlign w:val="bottom"/>
            <w:hideMark/>
          </w:tcPr>
          <w:p w:rsidR="00E1343B" w:rsidRDefault="00EB18D6">
            <w:pPr>
              <w:spacing w:after="0"/>
              <w:jc w:val="center"/>
              <w:rPr>
                <w:noProof/>
                <w:sz w:val="20"/>
              </w:rPr>
            </w:pPr>
            <w:r>
              <w:rPr>
                <w:noProof/>
                <w:sz w:val="20"/>
              </w:rPr>
              <w:t>71 %</w:t>
            </w:r>
          </w:p>
        </w:tc>
        <w:tc>
          <w:tcPr>
            <w:tcW w:w="936" w:type="dxa"/>
            <w:noWrap/>
            <w:vAlign w:val="bottom"/>
            <w:hideMark/>
          </w:tcPr>
          <w:p w:rsidR="00E1343B" w:rsidRDefault="00EB18D6">
            <w:pPr>
              <w:spacing w:after="0"/>
              <w:jc w:val="center"/>
              <w:rPr>
                <w:noProof/>
                <w:sz w:val="20"/>
              </w:rPr>
            </w:pPr>
            <w:r>
              <w:rPr>
                <w:noProof/>
                <w:sz w:val="20"/>
              </w:rPr>
              <w:t>78 %</w:t>
            </w:r>
          </w:p>
        </w:tc>
        <w:tc>
          <w:tcPr>
            <w:tcW w:w="936" w:type="dxa"/>
            <w:noWrap/>
            <w:vAlign w:val="bottom"/>
            <w:hideMark/>
          </w:tcPr>
          <w:p w:rsidR="00E1343B" w:rsidRDefault="00EB18D6">
            <w:pPr>
              <w:spacing w:after="0"/>
              <w:jc w:val="center"/>
              <w:rPr>
                <w:noProof/>
                <w:sz w:val="20"/>
              </w:rPr>
            </w:pPr>
            <w:r>
              <w:rPr>
                <w:noProof/>
                <w:sz w:val="20"/>
              </w:rPr>
              <w:t>78 %</w:t>
            </w:r>
          </w:p>
        </w:tc>
        <w:tc>
          <w:tcPr>
            <w:tcW w:w="936" w:type="dxa"/>
            <w:noWrap/>
            <w:vAlign w:val="bottom"/>
            <w:hideMark/>
          </w:tcPr>
          <w:p w:rsidR="00E1343B" w:rsidRDefault="00EB18D6">
            <w:pPr>
              <w:spacing w:after="0"/>
              <w:jc w:val="center"/>
              <w:rPr>
                <w:noProof/>
                <w:sz w:val="20"/>
              </w:rPr>
            </w:pPr>
            <w:r>
              <w:rPr>
                <w:noProof/>
                <w:sz w:val="20"/>
              </w:rPr>
              <w:t>81 %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Панама</w:t>
            </w:r>
          </w:p>
        </w:tc>
        <w:tc>
          <w:tcPr>
            <w:tcW w:w="935" w:type="dxa"/>
            <w:noWrap/>
            <w:vAlign w:val="bottom"/>
            <w:hideMark/>
          </w:tcPr>
          <w:p w:rsidR="00E1343B" w:rsidRDefault="00EB18D6">
            <w:pPr>
              <w:spacing w:after="0"/>
              <w:jc w:val="center"/>
              <w:rPr>
                <w:noProof/>
                <w:sz w:val="20"/>
              </w:rPr>
            </w:pPr>
            <w:r>
              <w:rPr>
                <w:noProof/>
                <w:sz w:val="20"/>
              </w:rPr>
              <w:t>70 %</w:t>
            </w:r>
          </w:p>
        </w:tc>
        <w:tc>
          <w:tcPr>
            <w:tcW w:w="936" w:type="dxa"/>
            <w:noWrap/>
            <w:vAlign w:val="bottom"/>
            <w:hideMark/>
          </w:tcPr>
          <w:p w:rsidR="00E1343B" w:rsidRDefault="00EB18D6">
            <w:pPr>
              <w:spacing w:after="0"/>
              <w:jc w:val="center"/>
              <w:rPr>
                <w:noProof/>
                <w:sz w:val="20"/>
              </w:rPr>
            </w:pPr>
            <w:r>
              <w:rPr>
                <w:noProof/>
                <w:sz w:val="20"/>
              </w:rPr>
              <w:t>81 %</w:t>
            </w:r>
          </w:p>
        </w:tc>
        <w:tc>
          <w:tcPr>
            <w:tcW w:w="936" w:type="dxa"/>
            <w:noWrap/>
            <w:vAlign w:val="bottom"/>
            <w:hideMark/>
          </w:tcPr>
          <w:p w:rsidR="00E1343B" w:rsidRDefault="00EB18D6">
            <w:pPr>
              <w:spacing w:after="0"/>
              <w:jc w:val="center"/>
              <w:rPr>
                <w:noProof/>
                <w:sz w:val="20"/>
              </w:rPr>
            </w:pPr>
            <w:r>
              <w:rPr>
                <w:noProof/>
                <w:sz w:val="20"/>
              </w:rPr>
              <w:t>70 %</w:t>
            </w:r>
          </w:p>
        </w:tc>
        <w:tc>
          <w:tcPr>
            <w:tcW w:w="936" w:type="dxa"/>
            <w:noWrap/>
            <w:vAlign w:val="bottom"/>
            <w:hideMark/>
          </w:tcPr>
          <w:p w:rsidR="00E1343B" w:rsidRDefault="00EB18D6">
            <w:pPr>
              <w:spacing w:after="0"/>
              <w:jc w:val="center"/>
              <w:rPr>
                <w:noProof/>
                <w:sz w:val="20"/>
              </w:rPr>
            </w:pPr>
            <w:r>
              <w:rPr>
                <w:noProof/>
                <w:sz w:val="20"/>
              </w:rPr>
              <w:t>61 %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Перу</w:t>
            </w:r>
          </w:p>
        </w:tc>
        <w:tc>
          <w:tcPr>
            <w:tcW w:w="935" w:type="dxa"/>
            <w:noWrap/>
            <w:vAlign w:val="bottom"/>
            <w:hideMark/>
          </w:tcPr>
          <w:p w:rsidR="00E1343B" w:rsidRDefault="00EB18D6">
            <w:pPr>
              <w:spacing w:after="0"/>
              <w:jc w:val="center"/>
              <w:rPr>
                <w:noProof/>
                <w:sz w:val="20"/>
              </w:rPr>
            </w:pPr>
            <w:r>
              <w:rPr>
                <w:noProof/>
                <w:sz w:val="20"/>
              </w:rPr>
              <w:t>95 %</w:t>
            </w:r>
          </w:p>
        </w:tc>
        <w:tc>
          <w:tcPr>
            <w:tcW w:w="936" w:type="dxa"/>
            <w:noWrap/>
            <w:vAlign w:val="bottom"/>
            <w:hideMark/>
          </w:tcPr>
          <w:p w:rsidR="00E1343B" w:rsidRDefault="00EB18D6">
            <w:pPr>
              <w:spacing w:after="0"/>
              <w:jc w:val="center"/>
              <w:rPr>
                <w:noProof/>
                <w:sz w:val="20"/>
              </w:rPr>
            </w:pPr>
            <w:r>
              <w:rPr>
                <w:noProof/>
                <w:sz w:val="20"/>
              </w:rPr>
              <w:t>97 %</w:t>
            </w:r>
          </w:p>
        </w:tc>
        <w:tc>
          <w:tcPr>
            <w:tcW w:w="936" w:type="dxa"/>
            <w:noWrap/>
            <w:vAlign w:val="bottom"/>
            <w:hideMark/>
          </w:tcPr>
          <w:p w:rsidR="00E1343B" w:rsidRDefault="00EB18D6">
            <w:pPr>
              <w:spacing w:after="0"/>
              <w:jc w:val="center"/>
              <w:rPr>
                <w:noProof/>
                <w:sz w:val="20"/>
              </w:rPr>
            </w:pPr>
            <w:r>
              <w:rPr>
                <w:noProof/>
                <w:sz w:val="20"/>
              </w:rPr>
              <w:t>98 %</w:t>
            </w:r>
          </w:p>
        </w:tc>
        <w:tc>
          <w:tcPr>
            <w:tcW w:w="936" w:type="dxa"/>
            <w:noWrap/>
            <w:vAlign w:val="bottom"/>
            <w:hideMark/>
          </w:tcPr>
          <w:p w:rsidR="00E1343B" w:rsidRDefault="00EB18D6">
            <w:pPr>
              <w:spacing w:after="0"/>
              <w:jc w:val="center"/>
              <w:rPr>
                <w:noProof/>
                <w:sz w:val="20"/>
              </w:rPr>
            </w:pPr>
            <w:r>
              <w:rPr>
                <w:noProof/>
                <w:sz w:val="20"/>
              </w:rPr>
              <w:t>97 %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Сърбия</w:t>
            </w:r>
          </w:p>
        </w:tc>
        <w:tc>
          <w:tcPr>
            <w:tcW w:w="935" w:type="dxa"/>
            <w:noWrap/>
            <w:vAlign w:val="bottom"/>
            <w:hideMark/>
          </w:tcPr>
          <w:p w:rsidR="00E1343B" w:rsidRDefault="00EB18D6">
            <w:pPr>
              <w:spacing w:after="0"/>
              <w:jc w:val="center"/>
              <w:rPr>
                <w:noProof/>
                <w:sz w:val="20"/>
              </w:rPr>
            </w:pPr>
            <w:r>
              <w:rPr>
                <w:noProof/>
                <w:sz w:val="20"/>
              </w:rPr>
              <w:t>92 %</w:t>
            </w:r>
          </w:p>
        </w:tc>
        <w:tc>
          <w:tcPr>
            <w:tcW w:w="936" w:type="dxa"/>
            <w:noWrap/>
            <w:vAlign w:val="bottom"/>
            <w:hideMark/>
          </w:tcPr>
          <w:p w:rsidR="00E1343B" w:rsidRDefault="00EB18D6">
            <w:pPr>
              <w:spacing w:after="0"/>
              <w:jc w:val="center"/>
              <w:rPr>
                <w:noProof/>
                <w:sz w:val="20"/>
              </w:rPr>
            </w:pPr>
            <w:r>
              <w:rPr>
                <w:noProof/>
                <w:sz w:val="20"/>
              </w:rPr>
              <w:t>94 %</w:t>
            </w:r>
          </w:p>
        </w:tc>
        <w:tc>
          <w:tcPr>
            <w:tcW w:w="936" w:type="dxa"/>
            <w:noWrap/>
            <w:vAlign w:val="bottom"/>
            <w:hideMark/>
          </w:tcPr>
          <w:p w:rsidR="00E1343B" w:rsidRDefault="00EB18D6">
            <w:pPr>
              <w:spacing w:after="0"/>
              <w:jc w:val="center"/>
              <w:rPr>
                <w:noProof/>
                <w:sz w:val="20"/>
              </w:rPr>
            </w:pPr>
            <w:r>
              <w:rPr>
                <w:noProof/>
                <w:sz w:val="20"/>
              </w:rPr>
              <w:t>93 %</w:t>
            </w:r>
          </w:p>
        </w:tc>
        <w:tc>
          <w:tcPr>
            <w:tcW w:w="936" w:type="dxa"/>
            <w:noWrap/>
            <w:vAlign w:val="bottom"/>
            <w:hideMark/>
          </w:tcPr>
          <w:p w:rsidR="00E1343B" w:rsidRDefault="00EB18D6">
            <w:pPr>
              <w:spacing w:after="0"/>
              <w:jc w:val="center"/>
              <w:rPr>
                <w:noProof/>
                <w:sz w:val="20"/>
              </w:rPr>
            </w:pPr>
            <w:r>
              <w:rPr>
                <w:noProof/>
                <w:sz w:val="20"/>
              </w:rPr>
              <w:t>90 %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Южна Африка</w:t>
            </w:r>
          </w:p>
        </w:tc>
        <w:tc>
          <w:tcPr>
            <w:tcW w:w="935" w:type="dxa"/>
            <w:noWrap/>
            <w:vAlign w:val="bottom"/>
            <w:hideMark/>
          </w:tcPr>
          <w:p w:rsidR="00E1343B" w:rsidRDefault="00EB18D6">
            <w:pPr>
              <w:spacing w:after="0"/>
              <w:jc w:val="center"/>
              <w:rPr>
                <w:noProof/>
                <w:sz w:val="20"/>
              </w:rPr>
            </w:pPr>
            <w:r>
              <w:rPr>
                <w:noProof/>
                <w:sz w:val="20"/>
              </w:rPr>
              <w:t>91 %</w:t>
            </w:r>
          </w:p>
        </w:tc>
        <w:tc>
          <w:tcPr>
            <w:tcW w:w="936" w:type="dxa"/>
            <w:noWrap/>
            <w:vAlign w:val="bottom"/>
            <w:hideMark/>
          </w:tcPr>
          <w:p w:rsidR="00E1343B" w:rsidRDefault="00EB18D6">
            <w:pPr>
              <w:spacing w:after="0"/>
              <w:jc w:val="center"/>
              <w:rPr>
                <w:noProof/>
                <w:sz w:val="20"/>
              </w:rPr>
            </w:pPr>
            <w:r>
              <w:rPr>
                <w:noProof/>
                <w:sz w:val="20"/>
              </w:rPr>
              <w:t>91 %</w:t>
            </w:r>
          </w:p>
        </w:tc>
        <w:tc>
          <w:tcPr>
            <w:tcW w:w="936" w:type="dxa"/>
            <w:noWrap/>
            <w:vAlign w:val="bottom"/>
            <w:hideMark/>
          </w:tcPr>
          <w:p w:rsidR="00E1343B" w:rsidRDefault="00EB18D6">
            <w:pPr>
              <w:spacing w:after="0"/>
              <w:jc w:val="center"/>
              <w:rPr>
                <w:noProof/>
                <w:sz w:val="20"/>
              </w:rPr>
            </w:pPr>
            <w:r>
              <w:rPr>
                <w:noProof/>
                <w:sz w:val="20"/>
              </w:rPr>
              <w:t>85 %</w:t>
            </w:r>
          </w:p>
        </w:tc>
        <w:tc>
          <w:tcPr>
            <w:tcW w:w="936" w:type="dxa"/>
            <w:noWrap/>
            <w:vAlign w:val="bottom"/>
            <w:hideMark/>
          </w:tcPr>
          <w:p w:rsidR="00E1343B" w:rsidRDefault="00EB18D6">
            <w:pPr>
              <w:spacing w:after="0"/>
              <w:jc w:val="center"/>
              <w:rPr>
                <w:noProof/>
                <w:sz w:val="20"/>
              </w:rPr>
            </w:pPr>
            <w:r>
              <w:rPr>
                <w:noProof/>
                <w:sz w:val="20"/>
              </w:rPr>
              <w:t>79 %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Южна Корея</w:t>
            </w:r>
          </w:p>
        </w:tc>
        <w:tc>
          <w:tcPr>
            <w:tcW w:w="935" w:type="dxa"/>
            <w:noWrap/>
            <w:vAlign w:val="bottom"/>
            <w:hideMark/>
          </w:tcPr>
          <w:p w:rsidR="00E1343B" w:rsidRDefault="00EB18D6">
            <w:pPr>
              <w:spacing w:after="0"/>
              <w:jc w:val="center"/>
              <w:rPr>
                <w:noProof/>
                <w:sz w:val="20"/>
              </w:rPr>
            </w:pPr>
            <w:r>
              <w:rPr>
                <w:noProof/>
                <w:sz w:val="20"/>
              </w:rPr>
              <w:t>82 %</w:t>
            </w:r>
          </w:p>
        </w:tc>
        <w:tc>
          <w:tcPr>
            <w:tcW w:w="936" w:type="dxa"/>
            <w:noWrap/>
            <w:vAlign w:val="bottom"/>
            <w:hideMark/>
          </w:tcPr>
          <w:p w:rsidR="00E1343B" w:rsidRDefault="00EB18D6">
            <w:pPr>
              <w:spacing w:after="0"/>
              <w:jc w:val="center"/>
              <w:rPr>
                <w:noProof/>
                <w:sz w:val="20"/>
              </w:rPr>
            </w:pPr>
            <w:r>
              <w:rPr>
                <w:noProof/>
                <w:sz w:val="20"/>
              </w:rPr>
              <w:t>84 %</w:t>
            </w:r>
          </w:p>
        </w:tc>
        <w:tc>
          <w:tcPr>
            <w:tcW w:w="936" w:type="dxa"/>
            <w:noWrap/>
            <w:vAlign w:val="bottom"/>
            <w:hideMark/>
          </w:tcPr>
          <w:p w:rsidR="00E1343B" w:rsidRDefault="00EB18D6">
            <w:pPr>
              <w:spacing w:after="0"/>
              <w:jc w:val="center"/>
              <w:rPr>
                <w:noProof/>
                <w:sz w:val="20"/>
              </w:rPr>
            </w:pPr>
            <w:r>
              <w:rPr>
                <w:noProof/>
                <w:sz w:val="20"/>
              </w:rPr>
              <w:t>85 %</w:t>
            </w:r>
          </w:p>
        </w:tc>
        <w:tc>
          <w:tcPr>
            <w:tcW w:w="936" w:type="dxa"/>
            <w:noWrap/>
            <w:vAlign w:val="bottom"/>
            <w:hideMark/>
          </w:tcPr>
          <w:p w:rsidR="00E1343B" w:rsidRDefault="00EB18D6">
            <w:pPr>
              <w:spacing w:after="0"/>
              <w:jc w:val="center"/>
              <w:rPr>
                <w:noProof/>
                <w:sz w:val="20"/>
              </w:rPr>
            </w:pPr>
            <w:r>
              <w:rPr>
                <w:noProof/>
                <w:sz w:val="20"/>
              </w:rPr>
              <w:t>87 %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Швейцария</w:t>
            </w:r>
          </w:p>
        </w:tc>
        <w:tc>
          <w:tcPr>
            <w:tcW w:w="935" w:type="dxa"/>
            <w:noWrap/>
            <w:vAlign w:val="bottom"/>
            <w:hideMark/>
          </w:tcPr>
          <w:p w:rsidR="00E1343B" w:rsidRDefault="00EB18D6">
            <w:pPr>
              <w:spacing w:after="0"/>
              <w:jc w:val="center"/>
              <w:rPr>
                <w:noProof/>
                <w:sz w:val="20"/>
              </w:rPr>
            </w:pPr>
            <w:r>
              <w:rPr>
                <w:noProof/>
                <w:sz w:val="20"/>
              </w:rPr>
              <w:t>92 %</w:t>
            </w:r>
          </w:p>
        </w:tc>
        <w:tc>
          <w:tcPr>
            <w:tcW w:w="936" w:type="dxa"/>
            <w:noWrap/>
            <w:vAlign w:val="bottom"/>
            <w:hideMark/>
          </w:tcPr>
          <w:p w:rsidR="00E1343B" w:rsidRDefault="00EB18D6">
            <w:pPr>
              <w:spacing w:after="0"/>
              <w:jc w:val="center"/>
              <w:rPr>
                <w:noProof/>
                <w:sz w:val="20"/>
              </w:rPr>
            </w:pPr>
            <w:r>
              <w:rPr>
                <w:noProof/>
                <w:sz w:val="20"/>
              </w:rPr>
              <w:t>91 %</w:t>
            </w:r>
          </w:p>
        </w:tc>
        <w:tc>
          <w:tcPr>
            <w:tcW w:w="936" w:type="dxa"/>
            <w:noWrap/>
            <w:vAlign w:val="bottom"/>
            <w:hideMark/>
          </w:tcPr>
          <w:p w:rsidR="00E1343B" w:rsidRDefault="00EB18D6">
            <w:pPr>
              <w:spacing w:after="0"/>
              <w:jc w:val="center"/>
              <w:rPr>
                <w:noProof/>
                <w:sz w:val="20"/>
              </w:rPr>
            </w:pPr>
            <w:r>
              <w:rPr>
                <w:noProof/>
                <w:sz w:val="20"/>
              </w:rPr>
              <w:t>86 %</w:t>
            </w:r>
          </w:p>
        </w:tc>
        <w:tc>
          <w:tcPr>
            <w:tcW w:w="936" w:type="dxa"/>
            <w:noWrap/>
            <w:vAlign w:val="bottom"/>
            <w:hideMark/>
          </w:tcPr>
          <w:p w:rsidR="00E1343B" w:rsidRDefault="00EB18D6">
            <w:pPr>
              <w:spacing w:after="0"/>
              <w:jc w:val="center"/>
              <w:rPr>
                <w:noProof/>
                <w:sz w:val="20"/>
              </w:rPr>
            </w:pPr>
            <w:r>
              <w:rPr>
                <w:noProof/>
                <w:sz w:val="20"/>
              </w:rPr>
              <w:t>83 %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Тунис</w:t>
            </w:r>
          </w:p>
        </w:tc>
        <w:tc>
          <w:tcPr>
            <w:tcW w:w="935" w:type="dxa"/>
            <w:noWrap/>
            <w:vAlign w:val="bottom"/>
            <w:hideMark/>
          </w:tcPr>
          <w:p w:rsidR="00E1343B" w:rsidRDefault="00EB18D6">
            <w:pPr>
              <w:spacing w:after="0"/>
              <w:jc w:val="center"/>
              <w:rPr>
                <w:noProof/>
                <w:sz w:val="20"/>
              </w:rPr>
            </w:pPr>
            <w:r>
              <w:rPr>
                <w:noProof/>
                <w:sz w:val="20"/>
              </w:rPr>
              <w:t>95 %</w:t>
            </w:r>
          </w:p>
        </w:tc>
        <w:tc>
          <w:tcPr>
            <w:tcW w:w="936" w:type="dxa"/>
            <w:noWrap/>
            <w:vAlign w:val="bottom"/>
            <w:hideMark/>
          </w:tcPr>
          <w:p w:rsidR="00E1343B" w:rsidRDefault="00EB18D6">
            <w:pPr>
              <w:spacing w:after="0"/>
              <w:jc w:val="center"/>
              <w:rPr>
                <w:noProof/>
                <w:sz w:val="20"/>
              </w:rPr>
            </w:pPr>
            <w:r>
              <w:rPr>
                <w:noProof/>
                <w:sz w:val="20"/>
              </w:rPr>
              <w:t>95 %</w:t>
            </w:r>
          </w:p>
        </w:tc>
        <w:tc>
          <w:tcPr>
            <w:tcW w:w="936" w:type="dxa"/>
            <w:noWrap/>
            <w:vAlign w:val="bottom"/>
            <w:hideMark/>
          </w:tcPr>
          <w:p w:rsidR="00E1343B" w:rsidRDefault="00EB18D6">
            <w:pPr>
              <w:spacing w:after="0"/>
              <w:jc w:val="center"/>
              <w:rPr>
                <w:noProof/>
                <w:sz w:val="20"/>
              </w:rPr>
            </w:pPr>
            <w:r>
              <w:rPr>
                <w:noProof/>
                <w:sz w:val="20"/>
              </w:rPr>
              <w:t>95 %</w:t>
            </w:r>
          </w:p>
        </w:tc>
        <w:tc>
          <w:tcPr>
            <w:tcW w:w="936" w:type="dxa"/>
            <w:noWrap/>
            <w:vAlign w:val="bottom"/>
            <w:hideMark/>
          </w:tcPr>
          <w:p w:rsidR="00E1343B" w:rsidRDefault="00EB18D6">
            <w:pPr>
              <w:spacing w:after="0"/>
              <w:jc w:val="center"/>
              <w:rPr>
                <w:noProof/>
                <w:sz w:val="20"/>
              </w:rPr>
            </w:pPr>
            <w:r>
              <w:rPr>
                <w:noProof/>
                <w:sz w:val="20"/>
              </w:rPr>
              <w:t>96 %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Турция</w:t>
            </w:r>
          </w:p>
        </w:tc>
        <w:tc>
          <w:tcPr>
            <w:tcW w:w="935" w:type="dxa"/>
            <w:noWrap/>
            <w:vAlign w:val="bottom"/>
            <w:hideMark/>
          </w:tcPr>
          <w:p w:rsidR="00E1343B" w:rsidRDefault="00EB18D6">
            <w:pPr>
              <w:spacing w:after="0"/>
              <w:jc w:val="center"/>
              <w:rPr>
                <w:noProof/>
                <w:sz w:val="20"/>
              </w:rPr>
            </w:pPr>
            <w:r>
              <w:rPr>
                <w:noProof/>
                <w:sz w:val="20"/>
              </w:rPr>
              <w:t>92 %</w:t>
            </w:r>
          </w:p>
        </w:tc>
        <w:tc>
          <w:tcPr>
            <w:tcW w:w="936" w:type="dxa"/>
            <w:noWrap/>
            <w:vAlign w:val="bottom"/>
            <w:hideMark/>
          </w:tcPr>
          <w:p w:rsidR="00E1343B" w:rsidRDefault="00EB18D6">
            <w:pPr>
              <w:spacing w:after="0"/>
              <w:jc w:val="center"/>
              <w:rPr>
                <w:noProof/>
                <w:sz w:val="20"/>
              </w:rPr>
            </w:pPr>
            <w:r>
              <w:rPr>
                <w:noProof/>
                <w:sz w:val="20"/>
              </w:rPr>
              <w:t>93 %</w:t>
            </w:r>
          </w:p>
        </w:tc>
        <w:tc>
          <w:tcPr>
            <w:tcW w:w="936" w:type="dxa"/>
            <w:noWrap/>
            <w:vAlign w:val="bottom"/>
            <w:hideMark/>
          </w:tcPr>
          <w:p w:rsidR="00E1343B" w:rsidRDefault="00EB18D6">
            <w:pPr>
              <w:spacing w:after="0"/>
              <w:jc w:val="center"/>
              <w:rPr>
                <w:noProof/>
                <w:sz w:val="20"/>
              </w:rPr>
            </w:pPr>
            <w:r>
              <w:rPr>
                <w:noProof/>
                <w:sz w:val="20"/>
              </w:rPr>
              <w:t>93 %</w:t>
            </w:r>
          </w:p>
        </w:tc>
        <w:tc>
          <w:tcPr>
            <w:tcW w:w="936" w:type="dxa"/>
            <w:noWrap/>
            <w:vAlign w:val="bottom"/>
            <w:hideMark/>
          </w:tcPr>
          <w:p w:rsidR="00E1343B" w:rsidRDefault="00EB18D6">
            <w:pPr>
              <w:spacing w:after="0"/>
              <w:jc w:val="center"/>
              <w:rPr>
                <w:noProof/>
                <w:sz w:val="20"/>
              </w:rPr>
            </w:pPr>
            <w:r>
              <w:rPr>
                <w:noProof/>
                <w:sz w:val="20"/>
              </w:rPr>
              <w:t>93 %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Украйна</w:t>
            </w:r>
          </w:p>
        </w:tc>
        <w:tc>
          <w:tcPr>
            <w:tcW w:w="935" w:type="dxa"/>
            <w:noWrap/>
            <w:vAlign w:val="bottom"/>
            <w:hideMark/>
          </w:tcPr>
          <w:p w:rsidR="00E1343B" w:rsidRDefault="00EB18D6">
            <w:pPr>
              <w:spacing w:after="0"/>
              <w:jc w:val="center"/>
              <w:rPr>
                <w:noProof/>
                <w:sz w:val="20"/>
              </w:rPr>
            </w:pPr>
            <w:r>
              <w:rPr>
                <w:noProof/>
                <w:sz w:val="20"/>
              </w:rPr>
              <w:t>89 %</w:t>
            </w:r>
          </w:p>
        </w:tc>
        <w:tc>
          <w:tcPr>
            <w:tcW w:w="936" w:type="dxa"/>
            <w:noWrap/>
            <w:vAlign w:val="bottom"/>
            <w:hideMark/>
          </w:tcPr>
          <w:p w:rsidR="00E1343B" w:rsidRDefault="00EB18D6">
            <w:pPr>
              <w:spacing w:after="0"/>
              <w:jc w:val="center"/>
              <w:rPr>
                <w:noProof/>
                <w:sz w:val="20"/>
              </w:rPr>
            </w:pPr>
            <w:r>
              <w:rPr>
                <w:noProof/>
                <w:sz w:val="20"/>
              </w:rPr>
              <w:t>86 %</w:t>
            </w:r>
          </w:p>
        </w:tc>
        <w:tc>
          <w:tcPr>
            <w:tcW w:w="936" w:type="dxa"/>
            <w:noWrap/>
            <w:vAlign w:val="bottom"/>
            <w:hideMark/>
          </w:tcPr>
          <w:p w:rsidR="00E1343B" w:rsidRDefault="00EB18D6">
            <w:pPr>
              <w:spacing w:after="0"/>
              <w:jc w:val="center"/>
              <w:rPr>
                <w:noProof/>
                <w:sz w:val="20"/>
              </w:rPr>
            </w:pPr>
            <w:r>
              <w:rPr>
                <w:noProof/>
                <w:sz w:val="20"/>
              </w:rPr>
              <w:t>87 %</w:t>
            </w:r>
          </w:p>
        </w:tc>
        <w:tc>
          <w:tcPr>
            <w:tcW w:w="936" w:type="dxa"/>
            <w:noWrap/>
            <w:vAlign w:val="bottom"/>
            <w:hideMark/>
          </w:tcPr>
          <w:p w:rsidR="00E1343B" w:rsidRDefault="00EB18D6">
            <w:pPr>
              <w:spacing w:after="0"/>
              <w:jc w:val="center"/>
              <w:rPr>
                <w:noProof/>
                <w:sz w:val="20"/>
              </w:rPr>
            </w:pPr>
            <w:r>
              <w:rPr>
                <w:noProof/>
                <w:sz w:val="20"/>
              </w:rPr>
              <w:t>89 %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СИП с Централна Африка (Камерун)</w:t>
            </w:r>
          </w:p>
        </w:tc>
        <w:tc>
          <w:tcPr>
            <w:tcW w:w="935" w:type="dxa"/>
            <w:noWrap/>
            <w:vAlign w:val="bottom"/>
            <w:hideMark/>
          </w:tcPr>
          <w:p w:rsidR="00E1343B" w:rsidRDefault="00EB18D6">
            <w:pPr>
              <w:spacing w:after="0"/>
              <w:jc w:val="center"/>
              <w:rPr>
                <w:noProof/>
                <w:sz w:val="20"/>
              </w:rPr>
            </w:pPr>
            <w:r>
              <w:rPr>
                <w:noProof/>
                <w:sz w:val="20"/>
              </w:rPr>
              <w:t>98 %</w:t>
            </w:r>
          </w:p>
        </w:tc>
        <w:tc>
          <w:tcPr>
            <w:tcW w:w="936" w:type="dxa"/>
            <w:noWrap/>
            <w:vAlign w:val="bottom"/>
            <w:hideMark/>
          </w:tcPr>
          <w:p w:rsidR="00E1343B" w:rsidRDefault="00EB18D6">
            <w:pPr>
              <w:spacing w:after="0"/>
              <w:jc w:val="center"/>
              <w:rPr>
                <w:noProof/>
                <w:sz w:val="20"/>
              </w:rPr>
            </w:pPr>
            <w:r>
              <w:rPr>
                <w:noProof/>
                <w:sz w:val="20"/>
              </w:rPr>
              <w:t>98 %</w:t>
            </w:r>
          </w:p>
        </w:tc>
        <w:tc>
          <w:tcPr>
            <w:tcW w:w="936" w:type="dxa"/>
            <w:noWrap/>
            <w:vAlign w:val="bottom"/>
            <w:hideMark/>
          </w:tcPr>
          <w:p w:rsidR="00E1343B" w:rsidRDefault="00EB18D6">
            <w:pPr>
              <w:spacing w:after="0"/>
              <w:jc w:val="center"/>
              <w:rPr>
                <w:noProof/>
                <w:sz w:val="20"/>
              </w:rPr>
            </w:pPr>
            <w:r>
              <w:rPr>
                <w:noProof/>
                <w:sz w:val="20"/>
              </w:rPr>
              <w:t>91 %</w:t>
            </w:r>
          </w:p>
        </w:tc>
        <w:tc>
          <w:tcPr>
            <w:tcW w:w="936" w:type="dxa"/>
            <w:noWrap/>
            <w:vAlign w:val="bottom"/>
            <w:hideMark/>
          </w:tcPr>
          <w:p w:rsidR="00E1343B" w:rsidRDefault="00EB18D6">
            <w:pPr>
              <w:spacing w:after="0"/>
              <w:jc w:val="center"/>
              <w:rPr>
                <w:noProof/>
                <w:sz w:val="20"/>
              </w:rPr>
            </w:pPr>
            <w:r>
              <w:rPr>
                <w:noProof/>
                <w:sz w:val="20"/>
              </w:rPr>
              <w:t>97 %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СИП с Източна и Южна Африка (ИЮА)</w:t>
            </w:r>
          </w:p>
        </w:tc>
        <w:tc>
          <w:tcPr>
            <w:tcW w:w="935" w:type="dxa"/>
            <w:noWrap/>
            <w:vAlign w:val="bottom"/>
            <w:hideMark/>
          </w:tcPr>
          <w:p w:rsidR="00E1343B" w:rsidRDefault="00EB18D6">
            <w:pPr>
              <w:spacing w:after="0"/>
              <w:jc w:val="center"/>
              <w:rPr>
                <w:noProof/>
                <w:sz w:val="20"/>
              </w:rPr>
            </w:pPr>
            <w:r>
              <w:rPr>
                <w:noProof/>
                <w:sz w:val="20"/>
              </w:rPr>
              <w:t>96 %</w:t>
            </w:r>
          </w:p>
        </w:tc>
        <w:tc>
          <w:tcPr>
            <w:tcW w:w="936" w:type="dxa"/>
            <w:noWrap/>
            <w:vAlign w:val="bottom"/>
            <w:hideMark/>
          </w:tcPr>
          <w:p w:rsidR="00E1343B" w:rsidRDefault="00EB18D6">
            <w:pPr>
              <w:spacing w:after="0"/>
              <w:jc w:val="center"/>
              <w:rPr>
                <w:noProof/>
                <w:sz w:val="20"/>
              </w:rPr>
            </w:pPr>
            <w:r>
              <w:rPr>
                <w:noProof/>
                <w:sz w:val="20"/>
              </w:rPr>
              <w:t>96 %</w:t>
            </w:r>
          </w:p>
        </w:tc>
        <w:tc>
          <w:tcPr>
            <w:tcW w:w="936" w:type="dxa"/>
            <w:noWrap/>
            <w:vAlign w:val="bottom"/>
            <w:hideMark/>
          </w:tcPr>
          <w:p w:rsidR="00E1343B" w:rsidRDefault="00EB18D6">
            <w:pPr>
              <w:spacing w:after="0"/>
              <w:jc w:val="center"/>
              <w:rPr>
                <w:noProof/>
                <w:sz w:val="20"/>
              </w:rPr>
            </w:pPr>
            <w:r>
              <w:rPr>
                <w:noProof/>
                <w:sz w:val="20"/>
              </w:rPr>
              <w:t>97 %</w:t>
            </w:r>
          </w:p>
        </w:tc>
        <w:tc>
          <w:tcPr>
            <w:tcW w:w="936" w:type="dxa"/>
            <w:noWrap/>
            <w:vAlign w:val="bottom"/>
            <w:hideMark/>
          </w:tcPr>
          <w:p w:rsidR="00E1343B" w:rsidRDefault="00EB18D6">
            <w:pPr>
              <w:spacing w:after="0"/>
              <w:jc w:val="center"/>
              <w:rPr>
                <w:noProof/>
                <w:sz w:val="20"/>
              </w:rPr>
            </w:pPr>
            <w:r>
              <w:rPr>
                <w:noProof/>
                <w:sz w:val="20"/>
              </w:rPr>
              <w:t>97 %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СИП с КАРИФОРУМ</w:t>
            </w:r>
          </w:p>
        </w:tc>
        <w:tc>
          <w:tcPr>
            <w:tcW w:w="935" w:type="dxa"/>
            <w:noWrap/>
            <w:vAlign w:val="bottom"/>
            <w:hideMark/>
          </w:tcPr>
          <w:p w:rsidR="00E1343B" w:rsidRDefault="00EB18D6">
            <w:pPr>
              <w:spacing w:after="0"/>
              <w:jc w:val="center"/>
              <w:rPr>
                <w:noProof/>
                <w:sz w:val="20"/>
              </w:rPr>
            </w:pPr>
            <w:r>
              <w:rPr>
                <w:noProof/>
                <w:sz w:val="20"/>
              </w:rPr>
              <w:t>79 %</w:t>
            </w:r>
          </w:p>
        </w:tc>
        <w:tc>
          <w:tcPr>
            <w:tcW w:w="936" w:type="dxa"/>
            <w:noWrap/>
            <w:vAlign w:val="bottom"/>
            <w:hideMark/>
          </w:tcPr>
          <w:p w:rsidR="00E1343B" w:rsidRDefault="00EB18D6">
            <w:pPr>
              <w:spacing w:after="0"/>
              <w:jc w:val="center"/>
              <w:rPr>
                <w:noProof/>
                <w:sz w:val="20"/>
              </w:rPr>
            </w:pPr>
            <w:r>
              <w:rPr>
                <w:noProof/>
                <w:sz w:val="20"/>
              </w:rPr>
              <w:t>80 %</w:t>
            </w:r>
          </w:p>
        </w:tc>
        <w:tc>
          <w:tcPr>
            <w:tcW w:w="936" w:type="dxa"/>
            <w:noWrap/>
            <w:vAlign w:val="bottom"/>
            <w:hideMark/>
          </w:tcPr>
          <w:p w:rsidR="00E1343B" w:rsidRDefault="00EB18D6">
            <w:pPr>
              <w:spacing w:after="0"/>
              <w:jc w:val="center"/>
              <w:rPr>
                <w:noProof/>
                <w:sz w:val="20"/>
              </w:rPr>
            </w:pPr>
            <w:r>
              <w:rPr>
                <w:noProof/>
                <w:sz w:val="20"/>
              </w:rPr>
              <w:t>91 %</w:t>
            </w:r>
          </w:p>
        </w:tc>
        <w:tc>
          <w:tcPr>
            <w:tcW w:w="936" w:type="dxa"/>
            <w:noWrap/>
            <w:vAlign w:val="bottom"/>
            <w:hideMark/>
          </w:tcPr>
          <w:p w:rsidR="00E1343B" w:rsidRDefault="00EB18D6">
            <w:pPr>
              <w:spacing w:after="0"/>
              <w:jc w:val="center"/>
              <w:rPr>
                <w:noProof/>
                <w:sz w:val="20"/>
              </w:rPr>
            </w:pPr>
            <w:r>
              <w:rPr>
                <w:noProof/>
                <w:sz w:val="20"/>
              </w:rPr>
              <w:t>92 %</w:t>
            </w:r>
          </w:p>
        </w:tc>
      </w:tr>
      <w:tr w:rsidR="00E1343B">
        <w:trPr>
          <w:trHeight w:val="255"/>
          <w:jc w:val="center"/>
        </w:trPr>
        <w:tc>
          <w:tcPr>
            <w:tcW w:w="4480" w:type="dxa"/>
            <w:noWrap/>
            <w:vAlign w:val="bottom"/>
            <w:hideMark/>
          </w:tcPr>
          <w:p w:rsidR="00E1343B" w:rsidRDefault="00EB18D6">
            <w:pPr>
              <w:spacing w:after="0"/>
              <w:jc w:val="left"/>
              <w:rPr>
                <w:noProof/>
                <w:sz w:val="20"/>
              </w:rPr>
            </w:pPr>
            <w:r>
              <w:rPr>
                <w:noProof/>
                <w:sz w:val="20"/>
              </w:rPr>
              <w:t>Централна Америка 6</w:t>
            </w:r>
          </w:p>
        </w:tc>
        <w:tc>
          <w:tcPr>
            <w:tcW w:w="935" w:type="dxa"/>
            <w:noWrap/>
            <w:vAlign w:val="bottom"/>
            <w:hideMark/>
          </w:tcPr>
          <w:p w:rsidR="00E1343B" w:rsidRDefault="00EB18D6">
            <w:pPr>
              <w:spacing w:after="0"/>
              <w:jc w:val="center"/>
              <w:rPr>
                <w:noProof/>
                <w:sz w:val="20"/>
              </w:rPr>
            </w:pPr>
            <w:r>
              <w:rPr>
                <w:noProof/>
                <w:sz w:val="20"/>
              </w:rPr>
              <w:t>86 %</w:t>
            </w:r>
          </w:p>
        </w:tc>
        <w:tc>
          <w:tcPr>
            <w:tcW w:w="936" w:type="dxa"/>
            <w:noWrap/>
            <w:vAlign w:val="bottom"/>
            <w:hideMark/>
          </w:tcPr>
          <w:p w:rsidR="00E1343B" w:rsidRDefault="00EB18D6">
            <w:pPr>
              <w:spacing w:after="0"/>
              <w:jc w:val="center"/>
              <w:rPr>
                <w:noProof/>
                <w:sz w:val="20"/>
              </w:rPr>
            </w:pPr>
            <w:r>
              <w:rPr>
                <w:noProof/>
                <w:sz w:val="20"/>
              </w:rPr>
              <w:t>94 %</w:t>
            </w:r>
          </w:p>
        </w:tc>
        <w:tc>
          <w:tcPr>
            <w:tcW w:w="936" w:type="dxa"/>
            <w:noWrap/>
            <w:vAlign w:val="bottom"/>
            <w:hideMark/>
          </w:tcPr>
          <w:p w:rsidR="00E1343B" w:rsidRDefault="00EB18D6">
            <w:pPr>
              <w:spacing w:after="0"/>
              <w:jc w:val="center"/>
              <w:rPr>
                <w:noProof/>
                <w:sz w:val="20"/>
              </w:rPr>
            </w:pPr>
            <w:r>
              <w:rPr>
                <w:noProof/>
                <w:sz w:val="20"/>
              </w:rPr>
              <w:t>92 %</w:t>
            </w:r>
          </w:p>
        </w:tc>
        <w:tc>
          <w:tcPr>
            <w:tcW w:w="936" w:type="dxa"/>
            <w:noWrap/>
            <w:vAlign w:val="bottom"/>
            <w:hideMark/>
          </w:tcPr>
          <w:p w:rsidR="00E1343B" w:rsidRDefault="00EB18D6">
            <w:pPr>
              <w:spacing w:after="0"/>
              <w:jc w:val="center"/>
              <w:rPr>
                <w:noProof/>
                <w:sz w:val="20"/>
              </w:rPr>
            </w:pPr>
            <w:r>
              <w:rPr>
                <w:noProof/>
                <w:sz w:val="20"/>
              </w:rPr>
              <w:t>92 %</w:t>
            </w:r>
          </w:p>
        </w:tc>
      </w:tr>
    </w:tbl>
    <w:p w:rsidR="00E1343B" w:rsidRDefault="00E1343B">
      <w:pPr>
        <w:jc w:val="center"/>
        <w:rPr>
          <w:b/>
          <w:noProof/>
        </w:rPr>
      </w:pPr>
    </w:p>
    <w:p w:rsidR="00E1343B" w:rsidRDefault="00EB18D6">
      <w:pPr>
        <w:spacing w:after="0"/>
        <w:jc w:val="left"/>
        <w:rPr>
          <w:b/>
          <w:noProof/>
        </w:rPr>
      </w:pPr>
      <w:r>
        <w:rPr>
          <w:noProof/>
        </w:rPr>
        <w:br w:type="page"/>
      </w:r>
    </w:p>
    <w:p w:rsidR="00E1343B" w:rsidRDefault="00EB18D6">
      <w:pPr>
        <w:pStyle w:val="Heading1"/>
        <w:numPr>
          <w:ilvl w:val="0"/>
          <w:numId w:val="0"/>
        </w:numPr>
        <w:ind w:left="480" w:hanging="480"/>
        <w:rPr>
          <w:noProof/>
        </w:rPr>
      </w:pPr>
      <w:bookmarkStart w:id="177" w:name="_Toc494126164"/>
      <w:bookmarkStart w:id="178" w:name="_Toc497120820"/>
      <w:r>
        <w:rPr>
          <w:noProof/>
        </w:rPr>
        <w:t>Приложение 5 — Използване на преференции върху износа от ЕС</w:t>
      </w:r>
      <w:bookmarkEnd w:id="177"/>
      <w:bookmarkEnd w:id="178"/>
    </w:p>
    <w:p w:rsidR="00E1343B" w:rsidRDefault="00E1343B">
      <w:pPr>
        <w:rPr>
          <w:noProof/>
        </w:rPr>
      </w:pPr>
    </w:p>
    <w:tbl>
      <w:tblPr>
        <w:tblW w:w="5355" w:type="dxa"/>
        <w:jc w:val="center"/>
        <w:tblInd w:w="93" w:type="dxa"/>
        <w:tblLayout w:type="fixed"/>
        <w:tblLook w:val="04A0" w:firstRow="1" w:lastRow="0" w:firstColumn="1" w:lastColumn="0" w:noHBand="0" w:noVBand="1"/>
      </w:tblPr>
      <w:tblGrid>
        <w:gridCol w:w="2177"/>
        <w:gridCol w:w="794"/>
        <w:gridCol w:w="795"/>
        <w:gridCol w:w="794"/>
        <w:gridCol w:w="795"/>
      </w:tblGrid>
      <w:tr w:rsidR="00E1343B">
        <w:trPr>
          <w:trHeight w:val="255"/>
          <w:jc w:val="center"/>
        </w:trPr>
        <w:tc>
          <w:tcPr>
            <w:tcW w:w="2175" w:type="dxa"/>
            <w:tcBorders>
              <w:top w:val="nil"/>
              <w:left w:val="nil"/>
              <w:bottom w:val="single" w:sz="4" w:space="0" w:color="95B3D7"/>
              <w:right w:val="nil"/>
            </w:tcBorders>
            <w:shd w:val="clear" w:color="auto" w:fill="DCE6F1"/>
            <w:noWrap/>
            <w:vAlign w:val="bottom"/>
            <w:hideMark/>
          </w:tcPr>
          <w:p w:rsidR="00E1343B" w:rsidRDefault="00EB18D6">
            <w:pPr>
              <w:spacing w:after="0"/>
              <w:jc w:val="left"/>
              <w:rPr>
                <w:b/>
                <w:bCs/>
                <w:noProof/>
                <w:color w:val="000000"/>
                <w:sz w:val="20"/>
              </w:rPr>
            </w:pPr>
            <w:r>
              <w:rPr>
                <w:b/>
                <w:noProof/>
                <w:color w:val="000000"/>
                <w:sz w:val="20"/>
              </w:rPr>
              <w:t>Държава вносител</w:t>
            </w:r>
          </w:p>
        </w:tc>
        <w:tc>
          <w:tcPr>
            <w:tcW w:w="793" w:type="dxa"/>
            <w:tcBorders>
              <w:top w:val="nil"/>
              <w:left w:val="nil"/>
              <w:bottom w:val="single" w:sz="4" w:space="0" w:color="95B3D7"/>
              <w:right w:val="nil"/>
            </w:tcBorders>
            <w:shd w:val="clear" w:color="auto" w:fill="DCE6F1"/>
            <w:noWrap/>
            <w:vAlign w:val="bottom"/>
            <w:hideMark/>
          </w:tcPr>
          <w:p w:rsidR="00E1343B" w:rsidRDefault="00EB18D6">
            <w:pPr>
              <w:spacing w:after="0"/>
              <w:jc w:val="center"/>
              <w:rPr>
                <w:b/>
                <w:bCs/>
                <w:noProof/>
                <w:color w:val="000000"/>
                <w:sz w:val="20"/>
              </w:rPr>
            </w:pPr>
            <w:r>
              <w:rPr>
                <w:b/>
                <w:noProof/>
                <w:color w:val="000000"/>
                <w:sz w:val="20"/>
              </w:rPr>
              <w:t>2013 г.</w:t>
            </w:r>
          </w:p>
        </w:tc>
        <w:tc>
          <w:tcPr>
            <w:tcW w:w="794" w:type="dxa"/>
            <w:tcBorders>
              <w:top w:val="nil"/>
              <w:left w:val="nil"/>
              <w:bottom w:val="single" w:sz="4" w:space="0" w:color="95B3D7"/>
              <w:right w:val="nil"/>
            </w:tcBorders>
            <w:shd w:val="clear" w:color="auto" w:fill="DCE6F1"/>
            <w:noWrap/>
            <w:vAlign w:val="bottom"/>
            <w:hideMark/>
          </w:tcPr>
          <w:p w:rsidR="00E1343B" w:rsidRDefault="00EB18D6">
            <w:pPr>
              <w:spacing w:after="0"/>
              <w:jc w:val="center"/>
              <w:rPr>
                <w:b/>
                <w:bCs/>
                <w:noProof/>
                <w:color w:val="000000"/>
                <w:sz w:val="20"/>
              </w:rPr>
            </w:pPr>
            <w:r>
              <w:rPr>
                <w:b/>
                <w:noProof/>
                <w:color w:val="000000"/>
                <w:sz w:val="20"/>
              </w:rPr>
              <w:t>2014 г.</w:t>
            </w:r>
          </w:p>
        </w:tc>
        <w:tc>
          <w:tcPr>
            <w:tcW w:w="793" w:type="dxa"/>
            <w:tcBorders>
              <w:top w:val="nil"/>
              <w:left w:val="nil"/>
              <w:bottom w:val="single" w:sz="4" w:space="0" w:color="95B3D7"/>
              <w:right w:val="nil"/>
            </w:tcBorders>
            <w:shd w:val="clear" w:color="auto" w:fill="DCE6F1"/>
            <w:noWrap/>
            <w:vAlign w:val="bottom"/>
            <w:hideMark/>
          </w:tcPr>
          <w:p w:rsidR="00E1343B" w:rsidRDefault="00EB18D6">
            <w:pPr>
              <w:spacing w:after="0"/>
              <w:jc w:val="center"/>
              <w:rPr>
                <w:b/>
                <w:bCs/>
                <w:noProof/>
                <w:color w:val="000000"/>
                <w:sz w:val="20"/>
              </w:rPr>
            </w:pPr>
            <w:r>
              <w:rPr>
                <w:b/>
                <w:noProof/>
                <w:color w:val="000000"/>
                <w:sz w:val="20"/>
              </w:rPr>
              <w:t>2015 г.</w:t>
            </w:r>
          </w:p>
        </w:tc>
        <w:tc>
          <w:tcPr>
            <w:tcW w:w="794" w:type="dxa"/>
            <w:tcBorders>
              <w:top w:val="nil"/>
              <w:left w:val="nil"/>
              <w:bottom w:val="single" w:sz="4" w:space="0" w:color="95B3D7"/>
              <w:right w:val="nil"/>
            </w:tcBorders>
            <w:shd w:val="clear" w:color="auto" w:fill="DCE6F1"/>
            <w:noWrap/>
            <w:vAlign w:val="bottom"/>
            <w:hideMark/>
          </w:tcPr>
          <w:p w:rsidR="00E1343B" w:rsidRDefault="00EB18D6">
            <w:pPr>
              <w:spacing w:after="0"/>
              <w:jc w:val="center"/>
              <w:rPr>
                <w:b/>
                <w:bCs/>
                <w:noProof/>
                <w:color w:val="000000"/>
                <w:sz w:val="20"/>
              </w:rPr>
            </w:pPr>
            <w:r>
              <w:rPr>
                <w:b/>
                <w:noProof/>
                <w:color w:val="000000"/>
                <w:sz w:val="20"/>
              </w:rPr>
              <w:t>2016 г.</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Албания</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73 %</w:t>
            </w:r>
          </w:p>
        </w:tc>
        <w:tc>
          <w:tcPr>
            <w:tcW w:w="793" w:type="dxa"/>
            <w:noWrap/>
            <w:vAlign w:val="bottom"/>
            <w:hideMark/>
          </w:tcPr>
          <w:p w:rsidR="00E1343B" w:rsidRDefault="00EB18D6">
            <w:pPr>
              <w:spacing w:after="0"/>
              <w:jc w:val="center"/>
              <w:rPr>
                <w:noProof/>
                <w:sz w:val="20"/>
              </w:rPr>
            </w:pPr>
            <w:r>
              <w:rPr>
                <w:noProof/>
                <w:sz w:val="20"/>
              </w:rPr>
              <w:t>76 %</w:t>
            </w:r>
          </w:p>
        </w:tc>
        <w:tc>
          <w:tcPr>
            <w:tcW w:w="794" w:type="dxa"/>
            <w:noWrap/>
            <w:vAlign w:val="bottom"/>
            <w:hideMark/>
          </w:tcPr>
          <w:p w:rsidR="00E1343B" w:rsidRDefault="00EB18D6">
            <w:pPr>
              <w:spacing w:after="0"/>
              <w:jc w:val="center"/>
              <w:rPr>
                <w:noProof/>
                <w:sz w:val="20"/>
              </w:rPr>
            </w:pPr>
            <w:r>
              <w:rPr>
                <w:noProof/>
                <w:sz w:val="20"/>
              </w:rPr>
              <w:t>80 %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Чили</w:t>
            </w:r>
          </w:p>
        </w:tc>
        <w:tc>
          <w:tcPr>
            <w:tcW w:w="793" w:type="dxa"/>
            <w:noWrap/>
            <w:vAlign w:val="bottom"/>
            <w:hideMark/>
          </w:tcPr>
          <w:p w:rsidR="00E1343B" w:rsidRDefault="00EB18D6">
            <w:pPr>
              <w:spacing w:after="0"/>
              <w:jc w:val="center"/>
              <w:rPr>
                <w:noProof/>
                <w:sz w:val="20"/>
              </w:rPr>
            </w:pPr>
            <w:r>
              <w:rPr>
                <w:noProof/>
                <w:sz w:val="20"/>
              </w:rPr>
              <w:t>78 %</w:t>
            </w:r>
          </w:p>
        </w:tc>
        <w:tc>
          <w:tcPr>
            <w:tcW w:w="794" w:type="dxa"/>
            <w:noWrap/>
            <w:vAlign w:val="bottom"/>
            <w:hideMark/>
          </w:tcPr>
          <w:p w:rsidR="00E1343B" w:rsidRDefault="00EB18D6">
            <w:pPr>
              <w:spacing w:after="0"/>
              <w:jc w:val="center"/>
              <w:rPr>
                <w:noProof/>
                <w:sz w:val="20"/>
              </w:rPr>
            </w:pPr>
            <w:r>
              <w:rPr>
                <w:noProof/>
                <w:sz w:val="20"/>
              </w:rPr>
              <w:t>78 %</w:t>
            </w:r>
          </w:p>
        </w:tc>
        <w:tc>
          <w:tcPr>
            <w:tcW w:w="793" w:type="dxa"/>
            <w:noWrap/>
            <w:vAlign w:val="bottom"/>
            <w:hideMark/>
          </w:tcPr>
          <w:p w:rsidR="00E1343B" w:rsidRDefault="00EB18D6">
            <w:pPr>
              <w:spacing w:after="0"/>
              <w:jc w:val="center"/>
              <w:rPr>
                <w:noProof/>
                <w:sz w:val="20"/>
              </w:rPr>
            </w:pPr>
            <w:r>
              <w:rPr>
                <w:noProof/>
                <w:sz w:val="20"/>
              </w:rPr>
              <w:t>76 %</w:t>
            </w:r>
          </w:p>
        </w:tc>
        <w:tc>
          <w:tcPr>
            <w:tcW w:w="794" w:type="dxa"/>
            <w:noWrap/>
            <w:vAlign w:val="bottom"/>
            <w:hideMark/>
          </w:tcPr>
          <w:p w:rsidR="00E1343B" w:rsidRDefault="00EB18D6">
            <w:pPr>
              <w:spacing w:after="0"/>
              <w:jc w:val="center"/>
              <w:rPr>
                <w:noProof/>
                <w:sz w:val="20"/>
              </w:rPr>
            </w:pPr>
            <w:r>
              <w:rPr>
                <w:noProof/>
                <w:sz w:val="20"/>
              </w:rPr>
              <w:t>74 %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Колумбия</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56 %</w:t>
            </w:r>
          </w:p>
        </w:tc>
        <w:tc>
          <w:tcPr>
            <w:tcW w:w="793" w:type="dxa"/>
            <w:noWrap/>
            <w:vAlign w:val="bottom"/>
            <w:hideMark/>
          </w:tcPr>
          <w:p w:rsidR="00E1343B" w:rsidRDefault="00EB18D6">
            <w:pPr>
              <w:spacing w:after="0"/>
              <w:jc w:val="center"/>
              <w:rPr>
                <w:noProof/>
                <w:sz w:val="20"/>
              </w:rPr>
            </w:pPr>
            <w:r>
              <w:rPr>
                <w:noProof/>
                <w:sz w:val="20"/>
              </w:rPr>
              <w:t>63 %</w:t>
            </w:r>
          </w:p>
        </w:tc>
        <w:tc>
          <w:tcPr>
            <w:tcW w:w="794" w:type="dxa"/>
            <w:noWrap/>
            <w:vAlign w:val="bottom"/>
            <w:hideMark/>
          </w:tcPr>
          <w:p w:rsidR="00E1343B" w:rsidRDefault="00EB18D6">
            <w:pPr>
              <w:spacing w:after="0"/>
              <w:jc w:val="center"/>
              <w:rPr>
                <w:noProof/>
                <w:sz w:val="20"/>
              </w:rPr>
            </w:pPr>
            <w:r>
              <w:rPr>
                <w:noProof/>
                <w:sz w:val="20"/>
              </w:rPr>
              <w:t>71 %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Коста Рика</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18 %</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38 %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Египет</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1343B">
            <w:pPr>
              <w:spacing w:after="0"/>
              <w:jc w:val="left"/>
              <w:rPr>
                <w:noProof/>
                <w:sz w:val="20"/>
              </w:rPr>
            </w:pPr>
          </w:p>
        </w:tc>
        <w:tc>
          <w:tcPr>
            <w:tcW w:w="793" w:type="dxa"/>
            <w:noWrap/>
            <w:vAlign w:val="bottom"/>
            <w:hideMark/>
          </w:tcPr>
          <w:p w:rsidR="00E1343B" w:rsidRDefault="00EB18D6">
            <w:pPr>
              <w:spacing w:after="0"/>
              <w:jc w:val="center"/>
              <w:rPr>
                <w:noProof/>
                <w:sz w:val="20"/>
              </w:rPr>
            </w:pPr>
            <w:r>
              <w:rPr>
                <w:noProof/>
                <w:sz w:val="20"/>
              </w:rPr>
              <w:t>78 %</w:t>
            </w:r>
          </w:p>
        </w:tc>
        <w:tc>
          <w:tcPr>
            <w:tcW w:w="794" w:type="dxa"/>
            <w:noWrap/>
            <w:vAlign w:val="bottom"/>
            <w:hideMark/>
          </w:tcPr>
          <w:p w:rsidR="00E1343B" w:rsidRDefault="00EB18D6">
            <w:pPr>
              <w:spacing w:after="0"/>
              <w:jc w:val="center"/>
              <w:rPr>
                <w:noProof/>
                <w:sz w:val="20"/>
              </w:rPr>
            </w:pPr>
            <w:r>
              <w:rPr>
                <w:noProof/>
                <w:sz w:val="20"/>
              </w:rPr>
              <w:t>85 %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бивша юг. реп. Македония</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90 %</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90 %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Израел</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1343B">
            <w:pPr>
              <w:spacing w:after="0"/>
              <w:jc w:val="left"/>
              <w:rPr>
                <w:noProof/>
                <w:sz w:val="20"/>
              </w:rPr>
            </w:pP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89 %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Косово</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1343B">
            <w:pPr>
              <w:spacing w:after="0"/>
              <w:jc w:val="left"/>
              <w:rPr>
                <w:noProof/>
                <w:sz w:val="20"/>
              </w:rPr>
            </w:pP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44 %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Ливан</w:t>
            </w:r>
          </w:p>
        </w:tc>
        <w:tc>
          <w:tcPr>
            <w:tcW w:w="793" w:type="dxa"/>
            <w:noWrap/>
            <w:vAlign w:val="bottom"/>
            <w:hideMark/>
          </w:tcPr>
          <w:p w:rsidR="00E1343B" w:rsidRDefault="00EB18D6">
            <w:pPr>
              <w:spacing w:after="0"/>
              <w:jc w:val="center"/>
              <w:rPr>
                <w:noProof/>
                <w:sz w:val="20"/>
              </w:rPr>
            </w:pPr>
            <w:r>
              <w:rPr>
                <w:noProof/>
                <w:sz w:val="20"/>
              </w:rPr>
              <w:t>49 %</w:t>
            </w:r>
          </w:p>
        </w:tc>
        <w:tc>
          <w:tcPr>
            <w:tcW w:w="794" w:type="dxa"/>
            <w:noWrap/>
            <w:vAlign w:val="bottom"/>
            <w:hideMark/>
          </w:tcPr>
          <w:p w:rsidR="00E1343B" w:rsidRDefault="00EB18D6">
            <w:pPr>
              <w:spacing w:after="0"/>
              <w:jc w:val="center"/>
              <w:rPr>
                <w:noProof/>
                <w:sz w:val="20"/>
              </w:rPr>
            </w:pPr>
            <w:r>
              <w:rPr>
                <w:noProof/>
                <w:sz w:val="20"/>
              </w:rPr>
              <w:t>74 %</w:t>
            </w:r>
          </w:p>
        </w:tc>
        <w:tc>
          <w:tcPr>
            <w:tcW w:w="793" w:type="dxa"/>
            <w:noWrap/>
            <w:vAlign w:val="bottom"/>
            <w:hideMark/>
          </w:tcPr>
          <w:p w:rsidR="00E1343B" w:rsidRDefault="00EB18D6">
            <w:pPr>
              <w:spacing w:after="0"/>
              <w:jc w:val="center"/>
              <w:rPr>
                <w:noProof/>
                <w:sz w:val="20"/>
              </w:rPr>
            </w:pPr>
            <w:r>
              <w:rPr>
                <w:noProof/>
                <w:sz w:val="20"/>
              </w:rPr>
              <w:t>74 %</w:t>
            </w:r>
          </w:p>
        </w:tc>
        <w:tc>
          <w:tcPr>
            <w:tcW w:w="794" w:type="dxa"/>
            <w:noWrap/>
            <w:vAlign w:val="bottom"/>
            <w:hideMark/>
          </w:tcPr>
          <w:p w:rsidR="00E1343B" w:rsidRDefault="00E1343B">
            <w:pPr>
              <w:spacing w:after="0"/>
              <w:jc w:val="left"/>
              <w:rPr>
                <w:noProof/>
                <w:sz w:val="20"/>
              </w:rPr>
            </w:pP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Мексико</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68 %</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1343B">
            <w:pPr>
              <w:spacing w:after="0"/>
              <w:jc w:val="left"/>
              <w:rPr>
                <w:noProof/>
                <w:sz w:val="20"/>
              </w:rPr>
            </w:pP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Черна гора</w:t>
            </w:r>
          </w:p>
        </w:tc>
        <w:tc>
          <w:tcPr>
            <w:tcW w:w="793" w:type="dxa"/>
            <w:noWrap/>
            <w:vAlign w:val="bottom"/>
            <w:hideMark/>
          </w:tcPr>
          <w:p w:rsidR="00E1343B" w:rsidRDefault="00EB18D6">
            <w:pPr>
              <w:spacing w:after="0"/>
              <w:jc w:val="center"/>
              <w:rPr>
                <w:noProof/>
                <w:sz w:val="20"/>
              </w:rPr>
            </w:pPr>
            <w:r>
              <w:rPr>
                <w:noProof/>
                <w:sz w:val="20"/>
              </w:rPr>
              <w:t>86 %</w:t>
            </w:r>
          </w:p>
        </w:tc>
        <w:tc>
          <w:tcPr>
            <w:tcW w:w="794" w:type="dxa"/>
            <w:noWrap/>
            <w:vAlign w:val="bottom"/>
            <w:hideMark/>
          </w:tcPr>
          <w:p w:rsidR="00E1343B" w:rsidRDefault="00EB18D6">
            <w:pPr>
              <w:spacing w:after="0"/>
              <w:jc w:val="center"/>
              <w:rPr>
                <w:noProof/>
                <w:sz w:val="20"/>
              </w:rPr>
            </w:pPr>
            <w:r>
              <w:rPr>
                <w:noProof/>
                <w:sz w:val="20"/>
              </w:rPr>
              <w:t>86 %</w:t>
            </w:r>
          </w:p>
        </w:tc>
        <w:tc>
          <w:tcPr>
            <w:tcW w:w="793" w:type="dxa"/>
            <w:noWrap/>
            <w:vAlign w:val="bottom"/>
            <w:hideMark/>
          </w:tcPr>
          <w:p w:rsidR="00E1343B" w:rsidRDefault="00EB18D6">
            <w:pPr>
              <w:spacing w:after="0"/>
              <w:jc w:val="center"/>
              <w:rPr>
                <w:noProof/>
                <w:sz w:val="20"/>
              </w:rPr>
            </w:pPr>
            <w:r>
              <w:rPr>
                <w:noProof/>
                <w:sz w:val="20"/>
              </w:rPr>
              <w:t>85 %</w:t>
            </w:r>
          </w:p>
        </w:tc>
        <w:tc>
          <w:tcPr>
            <w:tcW w:w="794" w:type="dxa"/>
            <w:noWrap/>
            <w:vAlign w:val="bottom"/>
            <w:hideMark/>
          </w:tcPr>
          <w:p w:rsidR="00E1343B" w:rsidRDefault="00EB18D6">
            <w:pPr>
              <w:spacing w:after="0"/>
              <w:jc w:val="center"/>
              <w:rPr>
                <w:noProof/>
                <w:sz w:val="20"/>
              </w:rPr>
            </w:pPr>
            <w:r>
              <w:rPr>
                <w:noProof/>
                <w:sz w:val="20"/>
              </w:rPr>
              <w:t>85 %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Мароко</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1343B">
            <w:pPr>
              <w:spacing w:after="0"/>
              <w:jc w:val="left"/>
              <w:rPr>
                <w:noProof/>
                <w:sz w:val="20"/>
              </w:rPr>
            </w:pP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52 %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Никарагуа</w:t>
            </w:r>
          </w:p>
        </w:tc>
        <w:tc>
          <w:tcPr>
            <w:tcW w:w="793" w:type="dxa"/>
            <w:noWrap/>
            <w:vAlign w:val="bottom"/>
            <w:hideMark/>
          </w:tcPr>
          <w:p w:rsidR="00E1343B" w:rsidRDefault="00EB18D6">
            <w:pPr>
              <w:spacing w:after="0"/>
              <w:jc w:val="center"/>
              <w:rPr>
                <w:noProof/>
                <w:sz w:val="20"/>
              </w:rPr>
            </w:pPr>
            <w:r>
              <w:rPr>
                <w:noProof/>
                <w:sz w:val="20"/>
              </w:rPr>
              <w:t>0 %</w:t>
            </w:r>
          </w:p>
        </w:tc>
        <w:tc>
          <w:tcPr>
            <w:tcW w:w="794" w:type="dxa"/>
            <w:noWrap/>
            <w:vAlign w:val="bottom"/>
            <w:hideMark/>
          </w:tcPr>
          <w:p w:rsidR="00E1343B" w:rsidRDefault="00EB18D6">
            <w:pPr>
              <w:spacing w:after="0"/>
              <w:jc w:val="center"/>
              <w:rPr>
                <w:noProof/>
                <w:sz w:val="20"/>
              </w:rPr>
            </w:pPr>
            <w:r>
              <w:rPr>
                <w:noProof/>
                <w:sz w:val="20"/>
              </w:rPr>
              <w:t>12 %</w:t>
            </w:r>
          </w:p>
        </w:tc>
        <w:tc>
          <w:tcPr>
            <w:tcW w:w="793" w:type="dxa"/>
            <w:noWrap/>
            <w:vAlign w:val="bottom"/>
            <w:hideMark/>
          </w:tcPr>
          <w:p w:rsidR="00E1343B" w:rsidRDefault="00EB18D6">
            <w:pPr>
              <w:spacing w:after="0"/>
              <w:jc w:val="center"/>
              <w:rPr>
                <w:noProof/>
                <w:sz w:val="20"/>
              </w:rPr>
            </w:pPr>
            <w:r>
              <w:rPr>
                <w:noProof/>
                <w:sz w:val="20"/>
              </w:rPr>
              <w:t>22 %</w:t>
            </w:r>
          </w:p>
        </w:tc>
        <w:tc>
          <w:tcPr>
            <w:tcW w:w="794" w:type="dxa"/>
            <w:noWrap/>
            <w:vAlign w:val="bottom"/>
            <w:hideMark/>
          </w:tcPr>
          <w:p w:rsidR="00E1343B" w:rsidRDefault="00E1343B">
            <w:pPr>
              <w:spacing w:after="0"/>
              <w:jc w:val="left"/>
              <w:rPr>
                <w:noProof/>
                <w:sz w:val="20"/>
              </w:rPr>
            </w:pP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Перу</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42 %</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1343B">
            <w:pPr>
              <w:spacing w:after="0"/>
              <w:jc w:val="left"/>
              <w:rPr>
                <w:noProof/>
                <w:sz w:val="20"/>
              </w:rPr>
            </w:pP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Сърбия</w:t>
            </w:r>
          </w:p>
        </w:tc>
        <w:tc>
          <w:tcPr>
            <w:tcW w:w="793" w:type="dxa"/>
            <w:noWrap/>
            <w:vAlign w:val="bottom"/>
            <w:hideMark/>
          </w:tcPr>
          <w:p w:rsidR="00E1343B" w:rsidRDefault="00EB18D6">
            <w:pPr>
              <w:spacing w:after="0"/>
              <w:jc w:val="center"/>
              <w:rPr>
                <w:noProof/>
                <w:sz w:val="20"/>
              </w:rPr>
            </w:pPr>
            <w:r>
              <w:rPr>
                <w:noProof/>
                <w:sz w:val="20"/>
              </w:rPr>
              <w:t>89 %</w:t>
            </w:r>
          </w:p>
        </w:tc>
        <w:tc>
          <w:tcPr>
            <w:tcW w:w="794" w:type="dxa"/>
            <w:noWrap/>
            <w:vAlign w:val="bottom"/>
            <w:hideMark/>
          </w:tcPr>
          <w:p w:rsidR="00E1343B" w:rsidRDefault="00EB18D6">
            <w:pPr>
              <w:spacing w:after="0"/>
              <w:jc w:val="center"/>
              <w:rPr>
                <w:noProof/>
                <w:sz w:val="20"/>
              </w:rPr>
            </w:pPr>
            <w:r>
              <w:rPr>
                <w:noProof/>
                <w:sz w:val="20"/>
              </w:rPr>
              <w:t>90 %</w:t>
            </w:r>
          </w:p>
        </w:tc>
        <w:tc>
          <w:tcPr>
            <w:tcW w:w="793" w:type="dxa"/>
            <w:noWrap/>
            <w:vAlign w:val="bottom"/>
            <w:hideMark/>
          </w:tcPr>
          <w:p w:rsidR="00E1343B" w:rsidRDefault="00EB18D6">
            <w:pPr>
              <w:spacing w:after="0"/>
              <w:jc w:val="center"/>
              <w:rPr>
                <w:noProof/>
                <w:sz w:val="20"/>
              </w:rPr>
            </w:pPr>
            <w:r>
              <w:rPr>
                <w:noProof/>
                <w:sz w:val="20"/>
              </w:rPr>
              <w:t>89 %</w:t>
            </w:r>
          </w:p>
        </w:tc>
        <w:tc>
          <w:tcPr>
            <w:tcW w:w="794" w:type="dxa"/>
            <w:noWrap/>
            <w:vAlign w:val="bottom"/>
            <w:hideMark/>
          </w:tcPr>
          <w:p w:rsidR="00E1343B" w:rsidRDefault="00EB18D6">
            <w:pPr>
              <w:spacing w:after="0"/>
              <w:jc w:val="center"/>
              <w:rPr>
                <w:noProof/>
                <w:sz w:val="20"/>
              </w:rPr>
            </w:pPr>
            <w:r>
              <w:rPr>
                <w:noProof/>
                <w:sz w:val="20"/>
              </w:rPr>
              <w:t>90 %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Южна Корея</w:t>
            </w:r>
          </w:p>
        </w:tc>
        <w:tc>
          <w:tcPr>
            <w:tcW w:w="793" w:type="dxa"/>
            <w:noWrap/>
            <w:vAlign w:val="bottom"/>
            <w:hideMark/>
          </w:tcPr>
          <w:p w:rsidR="00E1343B" w:rsidRDefault="00EB18D6">
            <w:pPr>
              <w:spacing w:after="0"/>
              <w:jc w:val="center"/>
              <w:rPr>
                <w:noProof/>
                <w:sz w:val="20"/>
              </w:rPr>
            </w:pPr>
            <w:r>
              <w:rPr>
                <w:noProof/>
                <w:sz w:val="20"/>
              </w:rPr>
              <w:t>65 %</w:t>
            </w:r>
          </w:p>
        </w:tc>
        <w:tc>
          <w:tcPr>
            <w:tcW w:w="794" w:type="dxa"/>
            <w:noWrap/>
            <w:vAlign w:val="bottom"/>
            <w:hideMark/>
          </w:tcPr>
          <w:p w:rsidR="00E1343B" w:rsidRDefault="00EB18D6">
            <w:pPr>
              <w:spacing w:after="0"/>
              <w:jc w:val="center"/>
              <w:rPr>
                <w:noProof/>
                <w:sz w:val="20"/>
              </w:rPr>
            </w:pPr>
            <w:r>
              <w:rPr>
                <w:noProof/>
                <w:sz w:val="20"/>
              </w:rPr>
              <w:t>65 %</w:t>
            </w:r>
          </w:p>
        </w:tc>
        <w:tc>
          <w:tcPr>
            <w:tcW w:w="793" w:type="dxa"/>
            <w:noWrap/>
            <w:vAlign w:val="bottom"/>
            <w:hideMark/>
          </w:tcPr>
          <w:p w:rsidR="00E1343B" w:rsidRDefault="00EB18D6">
            <w:pPr>
              <w:spacing w:after="0"/>
              <w:jc w:val="center"/>
              <w:rPr>
                <w:noProof/>
                <w:sz w:val="20"/>
              </w:rPr>
            </w:pPr>
            <w:r>
              <w:rPr>
                <w:noProof/>
                <w:sz w:val="20"/>
              </w:rPr>
              <w:t>68 %</w:t>
            </w:r>
          </w:p>
        </w:tc>
        <w:tc>
          <w:tcPr>
            <w:tcW w:w="794" w:type="dxa"/>
            <w:noWrap/>
            <w:vAlign w:val="bottom"/>
            <w:hideMark/>
          </w:tcPr>
          <w:p w:rsidR="00E1343B" w:rsidRDefault="00EB18D6">
            <w:pPr>
              <w:spacing w:after="0"/>
              <w:jc w:val="center"/>
              <w:rPr>
                <w:noProof/>
                <w:sz w:val="20"/>
              </w:rPr>
            </w:pPr>
            <w:r>
              <w:rPr>
                <w:noProof/>
                <w:sz w:val="20"/>
              </w:rPr>
              <w:t>71 %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Швейцария</w:t>
            </w:r>
          </w:p>
        </w:tc>
        <w:tc>
          <w:tcPr>
            <w:tcW w:w="793" w:type="dxa"/>
            <w:noWrap/>
            <w:vAlign w:val="bottom"/>
            <w:hideMark/>
          </w:tcPr>
          <w:p w:rsidR="00E1343B" w:rsidRDefault="00EB18D6">
            <w:pPr>
              <w:spacing w:after="0"/>
              <w:jc w:val="center"/>
              <w:rPr>
                <w:noProof/>
                <w:sz w:val="20"/>
              </w:rPr>
            </w:pPr>
            <w:r>
              <w:rPr>
                <w:noProof/>
                <w:sz w:val="20"/>
              </w:rPr>
              <w:t>80 %</w:t>
            </w:r>
          </w:p>
        </w:tc>
        <w:tc>
          <w:tcPr>
            <w:tcW w:w="794" w:type="dxa"/>
            <w:noWrap/>
            <w:vAlign w:val="bottom"/>
            <w:hideMark/>
          </w:tcPr>
          <w:p w:rsidR="00E1343B" w:rsidRDefault="00EB18D6">
            <w:pPr>
              <w:spacing w:after="0"/>
              <w:jc w:val="center"/>
              <w:rPr>
                <w:noProof/>
                <w:sz w:val="20"/>
              </w:rPr>
            </w:pPr>
            <w:r>
              <w:rPr>
                <w:noProof/>
                <w:sz w:val="20"/>
              </w:rPr>
              <w:t>80 %</w:t>
            </w:r>
          </w:p>
        </w:tc>
        <w:tc>
          <w:tcPr>
            <w:tcW w:w="793" w:type="dxa"/>
            <w:noWrap/>
            <w:vAlign w:val="bottom"/>
            <w:hideMark/>
          </w:tcPr>
          <w:p w:rsidR="00E1343B" w:rsidRDefault="00EB18D6">
            <w:pPr>
              <w:spacing w:after="0"/>
              <w:jc w:val="center"/>
              <w:rPr>
                <w:noProof/>
                <w:sz w:val="20"/>
              </w:rPr>
            </w:pPr>
            <w:r>
              <w:rPr>
                <w:noProof/>
                <w:sz w:val="20"/>
              </w:rPr>
              <w:t>78 %</w:t>
            </w:r>
          </w:p>
        </w:tc>
        <w:tc>
          <w:tcPr>
            <w:tcW w:w="794" w:type="dxa"/>
            <w:noWrap/>
            <w:vAlign w:val="bottom"/>
            <w:hideMark/>
          </w:tcPr>
          <w:p w:rsidR="00E1343B" w:rsidRDefault="00EB18D6">
            <w:pPr>
              <w:spacing w:after="0"/>
              <w:jc w:val="center"/>
              <w:rPr>
                <w:noProof/>
                <w:sz w:val="20"/>
              </w:rPr>
            </w:pPr>
            <w:r>
              <w:rPr>
                <w:noProof/>
                <w:sz w:val="20"/>
              </w:rPr>
              <w:t>79 %</w:t>
            </w:r>
          </w:p>
        </w:tc>
      </w:tr>
      <w:tr w:rsidR="00E1343B">
        <w:trPr>
          <w:trHeight w:val="255"/>
          <w:jc w:val="center"/>
        </w:trPr>
        <w:tc>
          <w:tcPr>
            <w:tcW w:w="2175" w:type="dxa"/>
            <w:noWrap/>
            <w:vAlign w:val="bottom"/>
            <w:hideMark/>
          </w:tcPr>
          <w:p w:rsidR="00E1343B" w:rsidRDefault="00EB18D6">
            <w:pPr>
              <w:spacing w:after="0"/>
              <w:jc w:val="left"/>
              <w:rPr>
                <w:noProof/>
                <w:sz w:val="20"/>
              </w:rPr>
            </w:pPr>
            <w:r>
              <w:rPr>
                <w:noProof/>
                <w:sz w:val="20"/>
              </w:rPr>
              <w:t>Турция</w:t>
            </w: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1343B">
            <w:pPr>
              <w:spacing w:after="0"/>
              <w:jc w:val="left"/>
              <w:rPr>
                <w:noProof/>
                <w:sz w:val="20"/>
              </w:rPr>
            </w:pPr>
          </w:p>
        </w:tc>
        <w:tc>
          <w:tcPr>
            <w:tcW w:w="793" w:type="dxa"/>
            <w:noWrap/>
            <w:vAlign w:val="bottom"/>
            <w:hideMark/>
          </w:tcPr>
          <w:p w:rsidR="00E1343B" w:rsidRDefault="00E1343B">
            <w:pPr>
              <w:spacing w:after="0"/>
              <w:jc w:val="left"/>
              <w:rPr>
                <w:noProof/>
                <w:sz w:val="20"/>
              </w:rPr>
            </w:pPr>
          </w:p>
        </w:tc>
        <w:tc>
          <w:tcPr>
            <w:tcW w:w="794" w:type="dxa"/>
            <w:noWrap/>
            <w:vAlign w:val="bottom"/>
            <w:hideMark/>
          </w:tcPr>
          <w:p w:rsidR="00E1343B" w:rsidRDefault="00EB18D6">
            <w:pPr>
              <w:spacing w:after="0"/>
              <w:jc w:val="center"/>
              <w:rPr>
                <w:noProof/>
                <w:sz w:val="20"/>
              </w:rPr>
            </w:pPr>
            <w:r>
              <w:rPr>
                <w:noProof/>
                <w:sz w:val="20"/>
              </w:rPr>
              <w:t>95 %</w:t>
            </w:r>
          </w:p>
        </w:tc>
      </w:tr>
    </w:tbl>
    <w:p w:rsidR="00E1343B" w:rsidRDefault="00E1343B">
      <w:pPr>
        <w:jc w:val="center"/>
        <w:rPr>
          <w:b/>
          <w:noProof/>
        </w:rPr>
      </w:pPr>
    </w:p>
    <w:p w:rsidR="00E1343B" w:rsidRDefault="00E1343B">
      <w:pPr>
        <w:rPr>
          <w:noProof/>
        </w:rPr>
      </w:pPr>
    </w:p>
    <w:p w:rsidR="00E1343B" w:rsidRDefault="00E1343B">
      <w:pPr>
        <w:rPr>
          <w:noProof/>
        </w:rPr>
      </w:pPr>
    </w:p>
    <w:sectPr w:rsidR="00E1343B">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43B" w:rsidRDefault="00EB18D6">
      <w:pPr>
        <w:spacing w:after="0"/>
      </w:pPr>
      <w:r>
        <w:separator/>
      </w:r>
    </w:p>
  </w:endnote>
  <w:endnote w:type="continuationSeparator" w:id="0">
    <w:p w:rsidR="00E1343B" w:rsidRDefault="00EB18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F8" w:rsidRPr="00C34FF8" w:rsidRDefault="00C34FF8" w:rsidP="00C34FF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B18D6">
    <w:pPr>
      <w:pStyle w:val="Footer"/>
      <w:jc w:val="center"/>
    </w:pPr>
    <w:r>
      <w:fldChar w:fldCharType="begin"/>
    </w:r>
    <w:r>
      <w:instrText>PAGE</w:instrText>
    </w:r>
    <w:r>
      <w:fldChar w:fldCharType="separate"/>
    </w:r>
    <w:r w:rsidR="00C34FF8">
      <w:rPr>
        <w:noProof/>
      </w:rPr>
      <w:t>20</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330235"/>
      <w:docPartObj>
        <w:docPartGallery w:val="Page Numbers (Bottom of Page)"/>
        <w:docPartUnique/>
      </w:docPartObj>
    </w:sdtPr>
    <w:sdtEndPr>
      <w:rPr>
        <w:noProof/>
      </w:rPr>
    </w:sdtEndPr>
    <w:sdtContent>
      <w:p w:rsidR="00E1343B" w:rsidRDefault="00EB18D6">
        <w:pPr>
          <w:pStyle w:val="Footer"/>
          <w:jc w:val="center"/>
        </w:pPr>
        <w:r>
          <w:fldChar w:fldCharType="begin"/>
        </w:r>
        <w:r>
          <w:instrText xml:space="preserve"> PAGE   \* MERGEFORMAT </w:instrText>
        </w:r>
        <w:r>
          <w:fldChar w:fldCharType="separate"/>
        </w:r>
        <w:r w:rsidR="00C34FF8">
          <w:rPr>
            <w:noProof/>
          </w:rPr>
          <w:t>7</w:t>
        </w:r>
        <w:r>
          <w:rPr>
            <w:noProof/>
          </w:rPr>
          <w:fldChar w:fldCharType="end"/>
        </w:r>
      </w:p>
    </w:sdtContent>
  </w:sdt>
  <w:p w:rsidR="00E1343B" w:rsidRDefault="00E1343B">
    <w:pPr>
      <w:pStyle w:val="FooterCover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B18D6">
    <w:pPr>
      <w:pStyle w:val="Footer"/>
      <w:jc w:val="center"/>
    </w:pPr>
    <w:r>
      <w:fldChar w:fldCharType="begin"/>
    </w:r>
    <w:r>
      <w:instrText>PAGE</w:instrText>
    </w:r>
    <w:r>
      <w:fldChar w:fldCharType="separate"/>
    </w:r>
    <w:r>
      <w:rPr>
        <w:noProof/>
      </w:rPr>
      <w:t>22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109379"/>
      <w:docPartObj>
        <w:docPartGallery w:val="Page Numbers (Bottom of Page)"/>
        <w:docPartUnique/>
      </w:docPartObj>
    </w:sdtPr>
    <w:sdtEndPr>
      <w:rPr>
        <w:noProof/>
      </w:rPr>
    </w:sdtEndPr>
    <w:sdtContent>
      <w:p w:rsidR="00E1343B" w:rsidRDefault="00EB18D6">
        <w:pPr>
          <w:pStyle w:val="Footer"/>
          <w:jc w:val="center"/>
        </w:pPr>
        <w:r>
          <w:fldChar w:fldCharType="begin"/>
        </w:r>
        <w:r>
          <w:instrText xml:space="preserve"> PAGE   \* MERGEFORMAT </w:instrText>
        </w:r>
        <w:r>
          <w:fldChar w:fldCharType="separate"/>
        </w:r>
        <w:r w:rsidR="00C34FF8">
          <w:rPr>
            <w:noProof/>
          </w:rPr>
          <w:t>21</w:t>
        </w:r>
        <w:r>
          <w:rPr>
            <w:noProof/>
          </w:rPr>
          <w:fldChar w:fldCharType="end"/>
        </w:r>
      </w:p>
    </w:sdtContent>
  </w:sdt>
  <w:p w:rsidR="00E1343B" w:rsidRDefault="00E1343B">
    <w:pPr>
      <w:pStyle w:val="FooterCover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B18D6">
    <w:pPr>
      <w:pStyle w:val="Footer"/>
      <w:jc w:val="center"/>
    </w:pPr>
    <w:r>
      <w:fldChar w:fldCharType="begin"/>
    </w:r>
    <w:r>
      <w:instrText>PAGE</w:instrText>
    </w:r>
    <w:r>
      <w:fldChar w:fldCharType="separate"/>
    </w:r>
    <w:r w:rsidR="00C34FF8">
      <w:rPr>
        <w:noProof/>
      </w:rPr>
      <w:t>45</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577406"/>
      <w:docPartObj>
        <w:docPartGallery w:val="Page Numbers (Bottom of Page)"/>
        <w:docPartUnique/>
      </w:docPartObj>
    </w:sdtPr>
    <w:sdtEndPr>
      <w:rPr>
        <w:noProof/>
      </w:rPr>
    </w:sdtEndPr>
    <w:sdtContent>
      <w:p w:rsidR="00E1343B" w:rsidRDefault="00EB18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1343B" w:rsidRDefault="00E1343B">
    <w:pPr>
      <w:pStyle w:val="FooterCover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F8" w:rsidRPr="00C34FF8" w:rsidRDefault="00C34FF8" w:rsidP="00C34FF8">
    <w:pPr>
      <w:pStyle w:val="FooterCoverPage"/>
      <w:rPr>
        <w:rFonts w:ascii="Arial" w:hAnsi="Arial" w:cs="Arial"/>
        <w:b/>
        <w:sz w:val="48"/>
      </w:rPr>
    </w:pPr>
    <w:r w:rsidRPr="00C34FF8">
      <w:rPr>
        <w:rFonts w:ascii="Arial" w:hAnsi="Arial" w:cs="Arial"/>
        <w:b/>
        <w:sz w:val="48"/>
      </w:rPr>
      <w:t>BG</w:t>
    </w:r>
    <w:r w:rsidRPr="00C34FF8">
      <w:rPr>
        <w:rFonts w:ascii="Arial" w:hAnsi="Arial" w:cs="Arial"/>
        <w:b/>
        <w:sz w:val="48"/>
      </w:rPr>
      <w:tab/>
    </w:r>
    <w:r w:rsidRPr="00C34FF8">
      <w:rPr>
        <w:rFonts w:ascii="Arial" w:hAnsi="Arial" w:cs="Arial"/>
        <w:b/>
        <w:sz w:val="48"/>
      </w:rPr>
      <w:tab/>
    </w:r>
    <w:r w:rsidRPr="00C34FF8">
      <w:tab/>
    </w:r>
    <w:r w:rsidRPr="00C34FF8">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F8" w:rsidRPr="00C34FF8" w:rsidRDefault="00C34FF8" w:rsidP="00C34FF8">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B18D6">
    <w:pPr>
      <w:pStyle w:val="Footer"/>
      <w:jc w:val="center"/>
    </w:pPr>
    <w:r>
      <w:fldChar w:fldCharType="begin"/>
    </w:r>
    <w:r>
      <w:instrText>PAGE</w:instrText>
    </w:r>
    <w:r>
      <w:fldChar w:fldCharType="separate"/>
    </w:r>
    <w:r w:rsidR="00C34FF8">
      <w:rPr>
        <w:noProof/>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094845"/>
      <w:docPartObj>
        <w:docPartGallery w:val="Page Numbers (Bottom of Page)"/>
        <w:docPartUnique/>
      </w:docPartObj>
    </w:sdtPr>
    <w:sdtEndPr>
      <w:rPr>
        <w:noProof/>
      </w:rPr>
    </w:sdtEndPr>
    <w:sdtContent>
      <w:p w:rsidR="00E1343B" w:rsidRDefault="00EB18D6">
        <w:pPr>
          <w:pStyle w:val="Footer"/>
          <w:jc w:val="center"/>
        </w:pPr>
        <w:r>
          <w:fldChar w:fldCharType="begin"/>
        </w:r>
        <w:r>
          <w:instrText xml:space="preserve"> PAGE   \* MERGEFORMAT </w:instrText>
        </w:r>
        <w:r>
          <w:fldChar w:fldCharType="separate"/>
        </w:r>
        <w:r w:rsidR="00C34FF8">
          <w:rPr>
            <w:noProof/>
          </w:rPr>
          <w:t>2</w:t>
        </w:r>
        <w:r>
          <w:rPr>
            <w:noProof/>
          </w:rPr>
          <w:fldChar w:fldCharType="end"/>
        </w:r>
      </w:p>
    </w:sdtContent>
  </w:sdt>
  <w:p w:rsidR="00E1343B" w:rsidRDefault="00E1343B">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B18D6">
    <w:pPr>
      <w:pStyle w:val="Footer"/>
      <w:jc w:val="center"/>
    </w:pPr>
    <w:r>
      <w:fldChar w:fldCharType="begin"/>
    </w:r>
    <w:r>
      <w:instrText>PAGE</w:instrText>
    </w:r>
    <w:r>
      <w:fldChar w:fldCharType="separate"/>
    </w:r>
    <w:r>
      <w:rPr>
        <w:noProof/>
      </w:rPr>
      <w:t>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235988"/>
      <w:docPartObj>
        <w:docPartGallery w:val="Page Numbers (Bottom of Page)"/>
        <w:docPartUnique/>
      </w:docPartObj>
    </w:sdtPr>
    <w:sdtEndPr>
      <w:rPr>
        <w:noProof/>
      </w:rPr>
    </w:sdtEndPr>
    <w:sdtContent>
      <w:p w:rsidR="00E1343B" w:rsidRDefault="00EB18D6">
        <w:pPr>
          <w:pStyle w:val="Footer"/>
          <w:jc w:val="center"/>
        </w:pPr>
        <w:r>
          <w:fldChar w:fldCharType="begin"/>
        </w:r>
        <w:r>
          <w:instrText xml:space="preserve"> PAGE   \* MERGEFORMAT </w:instrText>
        </w:r>
        <w:r>
          <w:fldChar w:fldCharType="separate"/>
        </w:r>
        <w:r w:rsidR="00C34FF8">
          <w:rPr>
            <w:noProof/>
          </w:rPr>
          <w:t>6</w:t>
        </w:r>
        <w:r>
          <w:rPr>
            <w:noProof/>
          </w:rPr>
          <w:fldChar w:fldCharType="end"/>
        </w:r>
      </w:p>
    </w:sdtContent>
  </w:sdt>
  <w:p w:rsidR="00E1343B" w:rsidRDefault="00E1343B">
    <w:pPr>
      <w:pStyle w:val="FooterCover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43B" w:rsidRDefault="00EB18D6">
      <w:pPr>
        <w:spacing w:after="0"/>
      </w:pPr>
      <w:r>
        <w:separator/>
      </w:r>
    </w:p>
  </w:footnote>
  <w:footnote w:type="continuationSeparator" w:id="0">
    <w:p w:rsidR="00E1343B" w:rsidRDefault="00EB18D6">
      <w:pPr>
        <w:spacing w:after="0"/>
      </w:pPr>
      <w:r>
        <w:continuationSeparator/>
      </w:r>
    </w:p>
  </w:footnote>
  <w:footnote w:id="1">
    <w:p w:rsidR="00E1343B" w:rsidRDefault="00EB18D6">
      <w:pPr>
        <w:pStyle w:val="FootnoteText"/>
        <w:spacing w:after="120"/>
        <w:ind w:left="284" w:hanging="284"/>
      </w:pPr>
      <w:r>
        <w:rPr>
          <w:rStyle w:val="FootnoteReference"/>
        </w:rPr>
        <w:footnoteRef/>
      </w:r>
      <w:r>
        <w:t xml:space="preserve"> </w:t>
      </w:r>
      <w:r>
        <w:tab/>
        <w:t xml:space="preserve">Европейска комисия, съобщение „Търговията — за всички. Към една по-отговорна търговска и инвестиционна политика“, COM(2015) 497. </w:t>
      </w:r>
      <w:hyperlink w:history="1"/>
      <w:r>
        <w:t>Тези послания бяха потвърдени в доклада относно изпълнението на стратегията за търговска политика „</w:t>
      </w:r>
      <w:r>
        <w:rPr>
          <w:i/>
        </w:rPr>
        <w:t>Търговията — за всички</w:t>
      </w:r>
      <w:r>
        <w:t>“ на Европейската комисия, COM (2017) 491.</w:t>
      </w:r>
    </w:p>
  </w:footnote>
  <w:footnote w:id="2">
    <w:p w:rsidR="00E1343B" w:rsidRDefault="00EB18D6">
      <w:pPr>
        <w:pStyle w:val="Default"/>
        <w:spacing w:after="120"/>
        <w:ind w:left="284" w:hanging="284"/>
      </w:pPr>
      <w:r>
        <w:rPr>
          <w:rStyle w:val="FootnoteReference"/>
        </w:rPr>
        <w:footnoteRef/>
      </w:r>
      <w:r>
        <w:t xml:space="preserve"> </w:t>
      </w:r>
      <w:r>
        <w:tab/>
      </w:r>
      <w:r>
        <w:rPr>
          <w:color w:val="auto"/>
          <w:sz w:val="20"/>
        </w:rPr>
        <w:t>За разглеждания период на докладване такъв е случаят със споразуменията за свободна търговия на ЕС с Южна Корея (вж. последния годишен доклад в COM (2017) 614), с Централна Америка (вж. COM (2017) 160) и с Колумбия и Перу (вж. COM (2017) 585).</w:t>
      </w:r>
    </w:p>
  </w:footnote>
  <w:footnote w:id="3">
    <w:p w:rsidR="00E1343B" w:rsidRDefault="00EB18D6">
      <w:pPr>
        <w:pStyle w:val="FootnoteText"/>
        <w:spacing w:after="120"/>
        <w:ind w:left="284" w:hanging="284"/>
      </w:pPr>
      <w:r>
        <w:rPr>
          <w:rStyle w:val="FootnoteReference"/>
        </w:rPr>
        <w:footnoteRef/>
      </w:r>
      <w:r>
        <w:t xml:space="preserve"> </w:t>
      </w:r>
      <w:r>
        <w:tab/>
        <w:t>Европейска комисия, съобщение „Global Europe: Competing in the world“ („Глобална Европа: конкурентоспособна в световен мащаб“), COM (2006) 567.</w:t>
      </w:r>
    </w:p>
  </w:footnote>
  <w:footnote w:id="4">
    <w:p w:rsidR="00E1343B" w:rsidRDefault="00EB18D6">
      <w:pPr>
        <w:pStyle w:val="FootnoteText"/>
      </w:pPr>
      <w:r>
        <w:rPr>
          <w:rStyle w:val="FootnoteReference"/>
        </w:rPr>
        <w:footnoteRef/>
      </w:r>
      <w:r>
        <w:t xml:space="preserve"> </w:t>
      </w:r>
      <w:r>
        <w:tab/>
        <w:t>ССТ между ЕС и Корея се прилага от юли 2011 г.</w:t>
      </w:r>
    </w:p>
  </w:footnote>
  <w:footnote w:id="5">
    <w:p w:rsidR="00E1343B" w:rsidRDefault="00EB18D6">
      <w:pPr>
        <w:pStyle w:val="FootnoteText"/>
        <w:spacing w:after="120"/>
        <w:ind w:left="284" w:hanging="284"/>
      </w:pPr>
      <w:r>
        <w:rPr>
          <w:rStyle w:val="FootnoteReference"/>
        </w:rPr>
        <w:footnoteRef/>
      </w:r>
      <w:r>
        <w:t xml:space="preserve"> </w:t>
      </w:r>
      <w:r>
        <w:tab/>
        <w:t>ССТ между ЕС и Перу се прилага от март 2013 г., а ССТ между ЕС и Колумбия — от август 2013 г.</w:t>
      </w:r>
    </w:p>
  </w:footnote>
  <w:footnote w:id="6">
    <w:p w:rsidR="00E1343B" w:rsidRDefault="00EB18D6">
      <w:pPr>
        <w:pStyle w:val="FootnoteText"/>
        <w:spacing w:after="120"/>
        <w:ind w:left="284" w:hanging="284"/>
      </w:pPr>
      <w:r>
        <w:rPr>
          <w:rStyle w:val="FootnoteReference"/>
        </w:rPr>
        <w:footnoteRef/>
      </w:r>
      <w:r>
        <w:t xml:space="preserve"> </w:t>
      </w:r>
      <w:r>
        <w:tab/>
        <w:t xml:space="preserve">ССТ се прилага временно от 1 август 2013 г. с Хондурас, Никарагуа и Панама, от 1 октомври 2013 г. — с Коста Рика и Ел Салвадор, и от 1 декември 2013 г. — с </w:t>
      </w:r>
      <w:hyperlink r:id="rId1">
        <w:r>
          <w:t>Гватемала</w:t>
        </w:r>
      </w:hyperlink>
      <w:r>
        <w:t>, като обхваща всичките шест партньори от Централна Америка.</w:t>
      </w:r>
    </w:p>
  </w:footnote>
  <w:footnote w:id="7">
    <w:p w:rsidR="00E1343B" w:rsidRDefault="00EB18D6">
      <w:pPr>
        <w:pStyle w:val="FootnoteText"/>
      </w:pPr>
      <w:r>
        <w:rPr>
          <w:rStyle w:val="FootnoteReference"/>
        </w:rPr>
        <w:footnoteRef/>
      </w:r>
      <w:r>
        <w:t xml:space="preserve"> Вж. по-подробно обяснение в приложение 3.</w:t>
      </w:r>
    </w:p>
  </w:footnote>
  <w:footnote w:id="8">
    <w:p w:rsidR="00E1343B" w:rsidRDefault="00EB18D6">
      <w:pPr>
        <w:pStyle w:val="FootnoteText"/>
        <w:spacing w:after="120"/>
        <w:ind w:left="284" w:hanging="284"/>
      </w:pPr>
      <w:r>
        <w:rPr>
          <w:rStyle w:val="FootnoteReference"/>
        </w:rPr>
        <w:footnoteRef/>
      </w:r>
      <w:r>
        <w:t xml:space="preserve"> </w:t>
      </w:r>
      <w:r>
        <w:tab/>
        <w:t>Зоната за всеобхватна и задълбочена свободна търговия между ЕС и Украйна се прилага временно от 1 януари 2016 г. Зоните за всеобхватна и задълбочена свободна търговия с Грузия и с Молдова се прилагат временно от 1 септември 2014 г.</w:t>
      </w:r>
    </w:p>
  </w:footnote>
  <w:footnote w:id="9">
    <w:p w:rsidR="00E1343B" w:rsidRDefault="00EB18D6">
      <w:pPr>
        <w:pStyle w:val="FootnoteText"/>
        <w:spacing w:after="120"/>
        <w:ind w:left="284" w:hanging="284"/>
      </w:pPr>
      <w:r>
        <w:rPr>
          <w:rStyle w:val="FootnoteReference"/>
        </w:rPr>
        <w:footnoteRef/>
      </w:r>
      <w:r>
        <w:t xml:space="preserve"> </w:t>
      </w:r>
      <w:r>
        <w:tab/>
        <w:t>Няма налични данни за търговията с услуги между ЕС и Украйна за периода след началото на прилагането на ЗВЗСТ.</w:t>
      </w:r>
    </w:p>
  </w:footnote>
  <w:footnote w:id="10">
    <w:p w:rsidR="00E1343B" w:rsidRDefault="00EB18D6">
      <w:pPr>
        <w:pStyle w:val="FootnoteText"/>
        <w:spacing w:after="120"/>
        <w:ind w:left="284" w:hanging="284"/>
      </w:pPr>
      <w:r>
        <w:rPr>
          <w:rStyle w:val="FootnoteReference"/>
        </w:rPr>
        <w:footnoteRef/>
      </w:r>
      <w:r>
        <w:t xml:space="preserve"> </w:t>
      </w:r>
      <w:r>
        <w:tab/>
        <w:t>И в двете индивидуални СИП е предвидено те да бъдат заменени от СИП между Западна Африка и ЕС, когато то влезе в сила.</w:t>
      </w:r>
    </w:p>
  </w:footnote>
  <w:footnote w:id="11">
    <w:p w:rsidR="00E1343B" w:rsidRDefault="00EB18D6">
      <w:pPr>
        <w:pStyle w:val="FootnoteText"/>
        <w:spacing w:after="120"/>
        <w:ind w:left="284" w:hanging="284"/>
      </w:pPr>
      <w:r>
        <w:rPr>
          <w:rStyle w:val="FootnoteReference"/>
        </w:rPr>
        <w:footnoteRef/>
      </w:r>
      <w:r>
        <w:t xml:space="preserve"> </w:t>
      </w:r>
      <w:r>
        <w:tab/>
        <w:t>Споразумението за Европейското икономическо пространство (ЕИП) от 1992 г. с Исландия и Норвегия засили свободното движение на стоки, услуги, инвестиции и хора в това пространство. То не е предмет на настоящия доклад.</w:t>
      </w:r>
    </w:p>
  </w:footnote>
  <w:footnote w:id="12">
    <w:p w:rsidR="00E1343B" w:rsidRDefault="00EB18D6">
      <w:pPr>
        <w:pStyle w:val="FootnoteText"/>
        <w:spacing w:after="120"/>
        <w:ind w:left="284" w:hanging="284"/>
      </w:pPr>
      <w:r>
        <w:rPr>
          <w:rStyle w:val="FootnoteReference"/>
        </w:rPr>
        <w:footnoteRef/>
      </w:r>
      <w:r>
        <w:t xml:space="preserve"> </w:t>
      </w:r>
      <w:r>
        <w:tab/>
        <w:t>Алжир, Египет, Израел, Йордания, Ливан, Мароко, Палестина и Тунис.</w:t>
      </w:r>
    </w:p>
  </w:footnote>
  <w:footnote w:id="13">
    <w:p w:rsidR="00E1343B" w:rsidRDefault="00EB18D6">
      <w:pPr>
        <w:pStyle w:val="FootnoteText"/>
        <w:spacing w:after="120"/>
        <w:ind w:left="284" w:hanging="284"/>
      </w:pPr>
      <w:r>
        <w:rPr>
          <w:rStyle w:val="FootnoteReference"/>
        </w:rPr>
        <w:footnoteRef/>
      </w:r>
      <w:r>
        <w:t xml:space="preserve"> </w:t>
      </w:r>
      <w:r>
        <w:tab/>
        <w:t>Вж. пълния списък в приложение 2.</w:t>
      </w:r>
    </w:p>
  </w:footnote>
  <w:footnote w:id="14">
    <w:p w:rsidR="00E1343B" w:rsidRDefault="00EB18D6">
      <w:pPr>
        <w:pStyle w:val="FootnoteText"/>
        <w:spacing w:after="120"/>
        <w:ind w:left="284" w:hanging="284"/>
      </w:pPr>
      <w:r>
        <w:rPr>
          <w:rStyle w:val="FootnoteReference"/>
        </w:rPr>
        <w:footnoteRef/>
      </w:r>
      <w:r>
        <w:rPr>
          <w:rStyle w:val="FootnoteReference"/>
        </w:rPr>
        <w:t xml:space="preserve"> </w:t>
      </w:r>
      <w:r>
        <w:tab/>
        <w:t>С оглед на запазването и укрепването на своята пазарна позиция в Чили, ЕС понастоящем обсъжда с Чили възможността за започване на преговори за модернизиране на съществуващото споразумение.</w:t>
      </w:r>
    </w:p>
  </w:footnote>
  <w:footnote w:id="15">
    <w:p w:rsidR="00E1343B" w:rsidRDefault="00EB18D6">
      <w:pPr>
        <w:pStyle w:val="FootnoteText"/>
        <w:spacing w:after="120"/>
        <w:ind w:left="284" w:hanging="284"/>
      </w:pPr>
      <w:r>
        <w:rPr>
          <w:rStyle w:val="FootnoteReference"/>
        </w:rPr>
        <w:footnoteRef/>
      </w:r>
      <w:r>
        <w:t xml:space="preserve"> Консултация между </w:t>
      </w:r>
      <w:hyperlink r:id="rId2" w:tooltip="Организация на работодателите">
        <w:r>
          <w:t>предприятията</w:t>
        </w:r>
      </w:hyperlink>
      <w:r>
        <w:t xml:space="preserve">, </w:t>
      </w:r>
      <w:hyperlink r:id="rId3" w:tooltip="Работническо движение">
        <w:r>
          <w:t>организациите в областта на труда</w:t>
        </w:r>
      </w:hyperlink>
      <w:r>
        <w:t xml:space="preserve"> и </w:t>
      </w:r>
      <w:hyperlink r:id="rId4" w:tooltip="Държава (държавно устройство)">
        <w:r>
          <w:t>държавните</w:t>
        </w:r>
      </w:hyperlink>
      <w:r>
        <w:t xml:space="preserve"> структури.</w:t>
      </w:r>
    </w:p>
  </w:footnote>
  <w:footnote w:id="16">
    <w:p w:rsidR="00E1343B" w:rsidRDefault="00EB18D6">
      <w:pPr>
        <w:spacing w:after="120"/>
      </w:pPr>
      <w:r>
        <w:rPr>
          <w:rStyle w:val="FootnoteReference"/>
          <w:sz w:val="20"/>
        </w:rPr>
        <w:footnoteRef/>
      </w:r>
      <w:r>
        <w:rPr>
          <w:rStyle w:val="FootnoteReference"/>
        </w:rPr>
        <w:t xml:space="preserve"> </w:t>
      </w:r>
      <w:r>
        <w:rPr>
          <w:sz w:val="20"/>
        </w:rPr>
        <w:t xml:space="preserve">Понастоящем Комисията участва в задълбочени обсъждания с Европейския парламент, Съвета и заинтересованите страни, насочени към подобряването на ефективността на изпълнението и прилагането на разпоредбите относно търговията и устойчивото развитие, съдържащи се в нашите споразумения. На 11 юли 2017 г. Комисията издаде неофициален документ, който служи като основа за този дебат. Вж. на адрес: </w:t>
      </w:r>
      <w:hyperlink r:id="rId5">
        <w:r>
          <w:rPr>
            <w:rStyle w:val="Hyperlink"/>
            <w:sz w:val="20"/>
          </w:rPr>
          <w:t>http://trade.ec.europa.eu/doclib/docs/2017/july/tradoc_155686.pdf</w:t>
        </w:r>
      </w:hyperlink>
    </w:p>
  </w:footnote>
  <w:footnote w:id="17">
    <w:p w:rsidR="00E1343B" w:rsidRDefault="00EB18D6">
      <w:pPr>
        <w:pStyle w:val="FootnoteText"/>
        <w:spacing w:after="0"/>
        <w:ind w:left="284" w:hanging="284"/>
      </w:pPr>
      <w:r>
        <w:rPr>
          <w:rStyle w:val="FootnoteReference"/>
        </w:rPr>
        <w:footnoteRef/>
      </w:r>
      <w:r>
        <w:t xml:space="preserve"> </w:t>
      </w:r>
      <w:r>
        <w:tab/>
        <w:t>Оценката на ССТ с Чили е изготвена през 2012 г. от ITAQA Sarl , а тази на ССТ с Мексико — през 2016 г. от Ecorys. Окончателните доклади са обществено достъпни на следния уебсайт:</w:t>
      </w:r>
    </w:p>
    <w:p w:rsidR="00E1343B" w:rsidRDefault="00EB18D6">
      <w:pPr>
        <w:pStyle w:val="FootnoteText"/>
        <w:spacing w:after="0"/>
        <w:ind w:left="568" w:hanging="284"/>
      </w:pPr>
      <w:r>
        <w:t>http://trade.ec.europa.eu/doclib/docs/2012/august/tradoc_149881.pdf, и</w:t>
      </w:r>
    </w:p>
    <w:p w:rsidR="00E1343B" w:rsidRDefault="00EB18D6">
      <w:pPr>
        <w:pStyle w:val="FootnoteText"/>
        <w:spacing w:after="120"/>
        <w:ind w:left="568" w:hanging="284"/>
      </w:pPr>
      <w:r>
        <w:t>http://trade.ec.europa.eu/doclib/docs/2017/august/tradoc_156011.pdf</w:t>
      </w:r>
    </w:p>
  </w:footnote>
  <w:footnote w:id="18">
    <w:p w:rsidR="00E1343B" w:rsidRDefault="00EB18D6">
      <w:pPr>
        <w:pStyle w:val="FootnoteText"/>
        <w:spacing w:after="120"/>
        <w:ind w:left="284" w:hanging="284"/>
      </w:pPr>
      <w:r>
        <w:rPr>
          <w:rStyle w:val="FootnoteReference"/>
        </w:rPr>
        <w:footnoteRef/>
      </w:r>
      <w:r>
        <w:t xml:space="preserve"> </w:t>
      </w:r>
      <w:r>
        <w:tab/>
        <w:t>Общо споразумение по търговията с услуги</w:t>
      </w:r>
    </w:p>
  </w:footnote>
  <w:footnote w:id="19">
    <w:p w:rsidR="00E1343B" w:rsidRDefault="00EB18D6">
      <w:pPr>
        <w:spacing w:after="120"/>
        <w:ind w:left="284" w:hanging="284"/>
      </w:pPr>
      <w:r>
        <w:rPr>
          <w:rStyle w:val="FootnoteReference"/>
        </w:rPr>
        <w:footnoteRef/>
      </w:r>
      <w:r>
        <w:t xml:space="preserve"> </w:t>
      </w:r>
      <w:r>
        <w:rPr>
          <w:sz w:val="20"/>
        </w:rPr>
        <w:t xml:space="preserve"> </w:t>
      </w:r>
      <w:hyperlink r:id="rId6">
        <w:r>
          <w:rPr>
            <w:rStyle w:val="Hyperlink"/>
            <w:sz w:val="20"/>
          </w:rPr>
          <w:t>http://ec.europa.eu/trade/policy/in-focus/ceta/</w:t>
        </w:r>
      </w:hyperlink>
    </w:p>
  </w:footnote>
  <w:footnote w:id="20">
    <w:p w:rsidR="00E1343B" w:rsidRDefault="00EB18D6">
      <w:pPr>
        <w:pStyle w:val="FootnoteText"/>
        <w:spacing w:after="120"/>
        <w:ind w:left="284" w:hanging="284"/>
      </w:pPr>
      <w:r>
        <w:rPr>
          <w:rStyle w:val="FootnoteReference"/>
        </w:rPr>
        <w:footnoteRef/>
      </w:r>
      <w:r>
        <w:t xml:space="preserve"> http://trade.ec.europa.eu/doclib/docs/2016/june/tradoc_154622.pdf</w:t>
      </w:r>
    </w:p>
  </w:footnote>
  <w:footnote w:id="21">
    <w:p w:rsidR="00E1343B" w:rsidRDefault="00EB18D6">
      <w:pPr>
        <w:pStyle w:val="FootnoteText"/>
        <w:spacing w:after="120"/>
        <w:ind w:left="284" w:hanging="284"/>
      </w:pPr>
      <w:r>
        <w:rPr>
          <w:rStyle w:val="FootnoteReference"/>
        </w:rPr>
        <w:footnoteRef/>
      </w:r>
      <w:r>
        <w:t xml:space="preserve"> http://ec.europa.eu/trade/trade-policy-and-you/in-focus/exporters-stories/</w:t>
      </w:r>
    </w:p>
  </w:footnote>
  <w:footnote w:id="22">
    <w:p w:rsidR="00E1343B" w:rsidRDefault="00EB18D6">
      <w:pPr>
        <w:pStyle w:val="FootnoteText"/>
        <w:spacing w:after="120"/>
        <w:ind w:left="284" w:hanging="284"/>
      </w:pPr>
      <w:r>
        <w:rPr>
          <w:rStyle w:val="FootnoteReference"/>
        </w:rPr>
        <w:footnoteRef/>
      </w:r>
      <w:r>
        <w:t xml:space="preserve"> http://madb.europa.eu/madb/indexPubli.htm</w:t>
      </w:r>
    </w:p>
  </w:footnote>
  <w:footnote w:id="23">
    <w:p w:rsidR="00E1343B" w:rsidRDefault="00EB18D6">
      <w:pPr>
        <w:pStyle w:val="FootnoteText"/>
        <w:spacing w:after="120"/>
        <w:ind w:left="284" w:hanging="284"/>
      </w:pPr>
      <w:r>
        <w:rPr>
          <w:rStyle w:val="FootnoteReference"/>
        </w:rPr>
        <w:footnoteRef/>
      </w:r>
      <w:r>
        <w:t xml:space="preserve"> Така например, сега Комисията се стреми да въведе във всички нови ССТ разпоредби за сътрудничество в областта на хуманното отношение към животните и антимикробната резистентност. Целта е да се гарантират условия на равнопоставеност между стандартите на ЕС за земеделска продукция и тези, прилагани от нашите търговски партньори.</w:t>
      </w:r>
    </w:p>
  </w:footnote>
  <w:footnote w:id="24">
    <w:p w:rsidR="00E1343B" w:rsidRDefault="00EB18D6">
      <w:pPr>
        <w:pStyle w:val="FootnoteText"/>
        <w:spacing w:after="120"/>
        <w:ind w:left="284" w:hanging="284"/>
      </w:pPr>
      <w:r>
        <w:rPr>
          <w:rStyle w:val="FootnoteReference"/>
        </w:rPr>
        <w:footnoteRef/>
      </w:r>
      <w:r>
        <w:t xml:space="preserve"> </w:t>
      </w:r>
      <w:r>
        <w:tab/>
        <w:t xml:space="preserve">Временното прилагане на ССТ започна на 1 август по отношение на Хондурас, Никарагуа и Панама, на 1 октомври по отношение на Коста Рика и Ел Салвадор и на 1 декември по отношение на Гватемала.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F8" w:rsidRPr="00C34FF8" w:rsidRDefault="00C34FF8" w:rsidP="00C34FF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spacing w:after="0"/>
    </w:pPr>
  </w:p>
  <w:p w:rsidR="00E1343B" w:rsidRDefault="00E1343B">
    <w:pPr>
      <w:pStyle w:val="Header"/>
      <w:spacing w:after="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spacing w:after="0"/>
    </w:pPr>
  </w:p>
  <w:p w:rsidR="00E1343B" w:rsidRDefault="00E1343B">
    <w:pPr>
      <w:pStyle w:val="Header"/>
      <w:spacing w:after="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spacing w:after="0"/>
    </w:pPr>
  </w:p>
  <w:p w:rsidR="00E1343B" w:rsidRDefault="00E1343B">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F8" w:rsidRPr="00C34FF8" w:rsidRDefault="00C34FF8" w:rsidP="00C34FF8">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F8" w:rsidRPr="00C34FF8" w:rsidRDefault="00C34FF8" w:rsidP="00C34FF8">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spacing w:after="0"/>
    </w:pPr>
  </w:p>
  <w:p w:rsidR="00E1343B" w:rsidRDefault="00E1343B">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B" w:rsidRDefault="00E1343B">
    <w:pPr>
      <w:pStyle w:val="Header"/>
      <w:spacing w:after="0"/>
    </w:pPr>
  </w:p>
  <w:p w:rsidR="00E1343B" w:rsidRDefault="00E1343B">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7C4951"/>
    <w:multiLevelType w:val="hybridMultilevel"/>
    <w:tmpl w:val="D04EC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750A20"/>
    <w:multiLevelType w:val="hybridMultilevel"/>
    <w:tmpl w:val="1CFE9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263720"/>
    <w:multiLevelType w:val="hybridMultilevel"/>
    <w:tmpl w:val="29585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A767E0B"/>
    <w:multiLevelType w:val="hybridMultilevel"/>
    <w:tmpl w:val="87C88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5F03A82"/>
    <w:multiLevelType w:val="hybridMultilevel"/>
    <w:tmpl w:val="A7B67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AFC7533"/>
    <w:multiLevelType w:val="hybridMultilevel"/>
    <w:tmpl w:val="0FACA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CAD57C0"/>
    <w:multiLevelType w:val="hybridMultilevel"/>
    <w:tmpl w:val="558C5A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F734306"/>
    <w:multiLevelType w:val="multilevel"/>
    <w:tmpl w:val="4CB07FD0"/>
    <w:lvl w:ilvl="0">
      <w:start w:val="1"/>
      <w:numFmt w:val="decimal"/>
      <w:pStyle w:val="Heading1"/>
      <w:lvlText w:val="%1."/>
      <w:lvlJc w:val="left"/>
      <w:pPr>
        <w:tabs>
          <w:tab w:val="num" w:pos="622"/>
        </w:tabs>
        <w:ind w:left="622"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2564"/>
        </w:tabs>
        <w:ind w:left="2564"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7517817"/>
    <w:multiLevelType w:val="hybridMultilevel"/>
    <w:tmpl w:val="CE82E3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32E067DC"/>
    <w:multiLevelType w:val="hybridMultilevel"/>
    <w:tmpl w:val="583EC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7BB3586"/>
    <w:multiLevelType w:val="hybridMultilevel"/>
    <w:tmpl w:val="2C807C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8C75A74"/>
    <w:multiLevelType w:val="hybridMultilevel"/>
    <w:tmpl w:val="D9FC3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97456CC"/>
    <w:multiLevelType w:val="hybridMultilevel"/>
    <w:tmpl w:val="1CA65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AB863E1"/>
    <w:multiLevelType w:val="hybridMultilevel"/>
    <w:tmpl w:val="D116B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nsid w:val="3E28448A"/>
    <w:multiLevelType w:val="hybridMultilevel"/>
    <w:tmpl w:val="33B06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F987DDE"/>
    <w:multiLevelType w:val="hybridMultilevel"/>
    <w:tmpl w:val="DF06A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nsid w:val="498B1AC4"/>
    <w:multiLevelType w:val="hybridMultilevel"/>
    <w:tmpl w:val="F9DE4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9ED59A0"/>
    <w:multiLevelType w:val="hybridMultilevel"/>
    <w:tmpl w:val="12769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54BD2D12"/>
    <w:multiLevelType w:val="hybridMultilevel"/>
    <w:tmpl w:val="7A2C6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3">
    <w:nsid w:val="55AB371D"/>
    <w:multiLevelType w:val="hybridMultilevel"/>
    <w:tmpl w:val="A052D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5">
    <w:nsid w:val="5FA2112C"/>
    <w:multiLevelType w:val="hybridMultilevel"/>
    <w:tmpl w:val="D9183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7">
    <w:nsid w:val="61112655"/>
    <w:multiLevelType w:val="hybridMultilevel"/>
    <w:tmpl w:val="A294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9">
    <w:nsid w:val="661A4084"/>
    <w:multiLevelType w:val="hybridMultilevel"/>
    <w:tmpl w:val="A6F45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6436675"/>
    <w:multiLevelType w:val="hybridMultilevel"/>
    <w:tmpl w:val="A2424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2">
    <w:nsid w:val="70664079"/>
    <w:multiLevelType w:val="hybridMultilevel"/>
    <w:tmpl w:val="2DD21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4471D95"/>
    <w:multiLevelType w:val="hybridMultilevel"/>
    <w:tmpl w:val="0342641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5">
    <w:nsid w:val="7C1A505E"/>
    <w:multiLevelType w:val="hybridMultilevel"/>
    <w:tmpl w:val="CB086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C6B63E6"/>
    <w:multiLevelType w:val="singleLevel"/>
    <w:tmpl w:val="0292EEF0"/>
    <w:name w:val="LegalNumParListTemplate"/>
    <w:lvl w:ilvl="0">
      <w:start w:val="1"/>
      <w:numFmt w:val="decimal"/>
      <w:lvlText w:val="%1."/>
      <w:lvlJc w:val="left"/>
      <w:pPr>
        <w:tabs>
          <w:tab w:val="num" w:pos="476"/>
        </w:tabs>
        <w:ind w:left="476" w:hanging="476"/>
      </w:pPr>
    </w:lvl>
  </w:abstractNum>
  <w:num w:numId="1">
    <w:abstractNumId w:val="1"/>
  </w:num>
  <w:num w:numId="2">
    <w:abstractNumId w:val="0"/>
  </w:num>
  <w:num w:numId="3">
    <w:abstractNumId w:val="11"/>
  </w:num>
  <w:num w:numId="4">
    <w:abstractNumId w:val="25"/>
  </w:num>
  <w:num w:numId="5">
    <w:abstractNumId w:val="14"/>
  </w:num>
  <w:num w:numId="6">
    <w:abstractNumId w:val="24"/>
  </w:num>
  <w:num w:numId="7">
    <w:abstractNumId w:val="38"/>
  </w:num>
  <w:num w:numId="8">
    <w:abstractNumId w:val="41"/>
  </w:num>
  <w:num w:numId="9">
    <w:abstractNumId w:val="18"/>
  </w:num>
  <w:num w:numId="10">
    <w:abstractNumId w:val="36"/>
  </w:num>
  <w:num w:numId="11">
    <w:abstractNumId w:val="34"/>
  </w:num>
  <w:num w:numId="12">
    <w:abstractNumId w:val="28"/>
  </w:num>
  <w:num w:numId="13">
    <w:abstractNumId w:val="32"/>
  </w:num>
  <w:num w:numId="14">
    <w:abstractNumId w:val="12"/>
  </w:num>
  <w:num w:numId="15">
    <w:abstractNumId w:val="19"/>
  </w:num>
  <w:num w:numId="16">
    <w:abstractNumId w:val="9"/>
  </w:num>
  <w:num w:numId="17">
    <w:abstractNumId w:val="15"/>
  </w:num>
  <w:num w:numId="18">
    <w:abstractNumId w:val="43"/>
  </w:num>
  <w:num w:numId="19">
    <w:abstractNumId w:val="16"/>
  </w:num>
  <w:num w:numId="20">
    <w:abstractNumId w:val="37"/>
  </w:num>
  <w:num w:numId="21">
    <w:abstractNumId w:val="33"/>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5"/>
  </w:num>
  <w:num w:numId="25">
    <w:abstractNumId w:val="39"/>
  </w:num>
  <w:num w:numId="26">
    <w:abstractNumId w:val="2"/>
  </w:num>
  <w:num w:numId="27">
    <w:abstractNumId w:val="23"/>
  </w:num>
  <w:num w:numId="28">
    <w:abstractNumId w:val="30"/>
  </w:num>
  <w:num w:numId="29">
    <w:abstractNumId w:val="17"/>
  </w:num>
  <w:num w:numId="30">
    <w:abstractNumId w:val="8"/>
  </w:num>
  <w:num w:numId="31">
    <w:abstractNumId w:val="20"/>
  </w:num>
  <w:num w:numId="32">
    <w:abstractNumId w:val="13"/>
  </w:num>
  <w:num w:numId="33">
    <w:abstractNumId w:val="5"/>
  </w:num>
  <w:num w:numId="34">
    <w:abstractNumId w:val="7"/>
  </w:num>
  <w:num w:numId="35">
    <w:abstractNumId w:val="31"/>
  </w:num>
  <w:num w:numId="36">
    <w:abstractNumId w:val="3"/>
  </w:num>
  <w:num w:numId="37">
    <w:abstractNumId w:val="29"/>
  </w:num>
  <w:num w:numId="38">
    <w:abstractNumId w:val="27"/>
  </w:num>
  <w:num w:numId="39">
    <w:abstractNumId w:val="42"/>
  </w:num>
  <w:num w:numId="40">
    <w:abstractNumId w:val="6"/>
  </w:num>
  <w:num w:numId="41">
    <w:abstractNumId w:val="10"/>
  </w:num>
  <w:num w:numId="42">
    <w:abstractNumId w:val="22"/>
  </w:num>
  <w:num w:numId="43">
    <w:abstractNumId w:val="21"/>
  </w:num>
  <w:num w:numId="44">
    <w:abstractNumId w:val="26"/>
  </w:num>
  <w:num w:numId="45">
    <w:abstractNumId w:val="4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431C7C6-9837-49AC-BC8D-F25C5ED21498"/>
    <w:docVar w:name="LW_COVERPAGE_TYPE" w:val="1"/>
    <w:docVar w:name="LW_CROSSREFERENCE" w:val="{SWD(2017) 364 final}"/>
    <w:docVar w:name="LW_DocType" w:val="NORMAL"/>
    <w:docVar w:name="LW_EMISSION" w:val="9.11.2017"/>
    <w:docVar w:name="LW_EMISSION_ISODATE" w:val="2017-11-09"/>
    <w:docVar w:name="LW_EMISSION_LOCATION" w:val="BRX"/>
    <w:docVar w:name="LW_EMISSION_PREFIX" w:val="\u1041?\u1088?\u1102?\u1082?\u1089?\u1077?\u1083?,"/>
    <w:docVar w:name="LW_EMISSION_SUFFIX" w:val=" \u1075?."/>
    <w:docVar w:name="LW_ID_DOCTYPE_NONLW" w:val="CP-008"/>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65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u1086?\u1090?\u1085?\u1086?\u1089?\u1085?\u1086? \u1080?\u1079?\u1087?\u1098?\u1083?\u1085?\u1077?\u1085?\u1080?\u1077?\u1090?\u1086? \u1085?\u1072? \u1089?\u1087?\u1086?\u1088?\u1072?\u1079?\u1091?\u1084?\u1077?\u1085?\u1080?\u1103?\u1090?\u1072? \u1079?\u1072? \u1089?\u1074?\u1086?\u1073?\u1086?\u1076?\u1085?\u1072? \u1090?\u1098?\u1088?\u1075?\u1086?\u1074?\u1080?\u1103?_x000b__x000b_1 \u1103?\u1085?\u1091?\u1072?\u1088?\u1080? 2016 \u1075?. \u8212? 31 \u1076?\u1077?\u1082?\u1077?\u1084?\u1074?\u1088?\u1080? 2016 \u1075?."/>
    <w:docVar w:name="LW_TYPE.DOC.CP" w:val="\u1044?\u1054?\u1050?\u1051?\u1040?\u1044? \u1053?\u1040? \u1050?\u1054?\u1052?\u1048?\u1057?\u1048?\u1071?\u1058?\u1040? \u1044?\u1054? \u1045?\u1042?\u1056?\u1054?\u1055?\u1045?\u1049?\u1057?\u1050?\u1048?\u1071? \u1055?\u1040?\u1056?\u1051?\u1040?\u1052?\u1045?\u1053?\u1058?, \u1057?\u1066?\u1042?\u1045?\u1058?\u1040?, \u1045?\u1042?\u1056?\u1054?\u1055?\u1045?\u1049?\u1057?\u1050?\u1048?\u1071? \u1048?\u1050?\u1054?\u1053?\u1054?\u1052?\u1048?\u1063?\u1045?\u1057?\u1050?\u1048? \u1048? \u1057?\u1054?\u1062?\u1048?\u1040?\u1051?\u1045?\u1053? \u1050?\u1054?\u1052?\u1048?\u1058?\u1045?\u1058? \u1048? \u1050?\u1054?\u1052?\u1048?\u1058?\u1045?\u1058?\u1040? \u1053?\u1040? \u1056?\u1045?\u1043?\u1048?\u1054?\u1053?\u1048?\u1058?\u1045?"/>
  </w:docVars>
  <w:rsids>
    <w:rsidRoot w:val="00E1343B"/>
    <w:rsid w:val="00C34FF8"/>
    <w:rsid w:val="00E1343B"/>
    <w:rsid w:val="00EB18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bg-BG" w:eastAsia="bg-BG" w:bidi="bg-BG"/>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jc w:val="both"/>
    </w:pPr>
    <w:rPr>
      <w:rFonts w:eastAsia="Times New Roman"/>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tabs>
        <w:tab w:val="clear" w:pos="2564"/>
        <w:tab w:val="num" w:pos="1920"/>
      </w:tabs>
      <w:ind w:left="1920"/>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jc w:val="left"/>
      <w:outlineLvl w:val="4"/>
    </w:pPr>
    <w:rPr>
      <w:b/>
      <w:smallCaps/>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eastAsia="Times New Roman"/>
      <w:b/>
      <w:smallCaps/>
      <w:sz w:val="24"/>
      <w:lang w:val="bg-BG"/>
    </w:rPr>
  </w:style>
  <w:style w:type="character" w:customStyle="1" w:styleId="Heading2Char">
    <w:name w:val="Heading 2 Char"/>
    <w:basedOn w:val="DefaultParagraphFont"/>
    <w:link w:val="Heading2"/>
    <w:rPr>
      <w:rFonts w:eastAsia="Times New Roman"/>
      <w:b/>
      <w:sz w:val="24"/>
      <w:lang w:val="bg-BG"/>
    </w:rPr>
  </w:style>
  <w:style w:type="character" w:customStyle="1" w:styleId="Heading3Char">
    <w:name w:val="Heading 3 Char"/>
    <w:basedOn w:val="DefaultParagraphFont"/>
    <w:link w:val="Heading3"/>
    <w:rPr>
      <w:rFonts w:eastAsia="Times New Roman"/>
      <w:i/>
      <w:sz w:val="24"/>
      <w:lang w:val="bg-BG"/>
    </w:rPr>
  </w:style>
  <w:style w:type="character" w:customStyle="1" w:styleId="Heading4Char">
    <w:name w:val="Heading 4 Char"/>
    <w:basedOn w:val="DefaultParagraphFont"/>
    <w:link w:val="Heading4"/>
    <w:rPr>
      <w:rFonts w:eastAsia="Times New Roman"/>
      <w:sz w:val="24"/>
      <w:lang w:val="bg-BG"/>
    </w:rPr>
  </w:style>
  <w:style w:type="character" w:customStyle="1" w:styleId="Heading5Char">
    <w:name w:val="Heading 5 Char"/>
    <w:basedOn w:val="DefaultParagraphFont"/>
    <w:link w:val="Heading5"/>
    <w:rPr>
      <w:rFonts w:eastAsia="Times New Roman"/>
      <w:b/>
      <w:smallCaps/>
      <w:sz w:val="24"/>
      <w:lang w:val="bg-BG"/>
    </w:rPr>
  </w:style>
  <w:style w:type="character" w:customStyle="1" w:styleId="Heading6Char">
    <w:name w:val="Heading 6 Char"/>
    <w:basedOn w:val="DefaultParagraphFont"/>
    <w:link w:val="Heading6"/>
    <w:rPr>
      <w:rFonts w:ascii="Arial" w:eastAsia="Times New Roman" w:hAnsi="Arial"/>
      <w:i/>
      <w:sz w:val="22"/>
      <w:lang w:val="bg-BG"/>
    </w:rPr>
  </w:style>
  <w:style w:type="character" w:customStyle="1" w:styleId="Heading7Char">
    <w:name w:val="Heading 7 Char"/>
    <w:basedOn w:val="DefaultParagraphFont"/>
    <w:link w:val="Heading7"/>
    <w:rPr>
      <w:rFonts w:ascii="Arial" w:eastAsia="Times New Roman" w:hAnsi="Arial"/>
      <w:lang w:val="bg-BG"/>
    </w:rPr>
  </w:style>
  <w:style w:type="character" w:customStyle="1" w:styleId="Heading8Char">
    <w:name w:val="Heading 8 Char"/>
    <w:basedOn w:val="DefaultParagraphFont"/>
    <w:link w:val="Heading8"/>
    <w:rPr>
      <w:rFonts w:ascii="Arial" w:eastAsia="Times New Roman" w:hAnsi="Arial"/>
      <w:i/>
      <w:lang w:val="bg-BG"/>
    </w:rPr>
  </w:style>
  <w:style w:type="character" w:customStyle="1" w:styleId="Heading9Char">
    <w:name w:val="Heading 9 Char"/>
    <w:basedOn w:val="DefaultParagraphFont"/>
    <w:link w:val="Heading9"/>
    <w:rPr>
      <w:rFonts w:ascii="Arial" w:eastAsia="Times New Roman" w:hAnsi="Arial"/>
      <w:i/>
      <w:sz w:val="18"/>
      <w:lang w:val="bg-BG"/>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eastAsia="Times New Roman"/>
      <w:sz w:val="24"/>
      <w:lang w:val="bg-BG"/>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eastAsia="Times New Roman"/>
      <w:sz w:val="24"/>
      <w:lang w:val="bg-BG"/>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eastAsia="Times New Roman"/>
      <w:sz w:val="16"/>
      <w:lang w:val="bg-BG"/>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eastAsia="Times New Roman"/>
      <w:sz w:val="24"/>
      <w:lang w:val="bg-BG"/>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eastAsia="Times New Roman"/>
      <w:sz w:val="24"/>
      <w:lang w:val="bg-BG"/>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sz w:val="24"/>
      <w:lang w:val="bg-BG"/>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eastAsia="Times New Roman"/>
      <w:sz w:val="24"/>
      <w:lang w:val="bg-BG"/>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eastAsia="Times New Roman"/>
      <w:sz w:val="16"/>
      <w:lang w:val="bg-BG"/>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eastAsia="Times New Roman"/>
      <w:sz w:val="24"/>
      <w:lang w:val="bg-BG"/>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eastAsia="Times New Roman"/>
      <w:lang w:val="bg-BG"/>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eastAsia="Times New Roman"/>
      <w:sz w:val="24"/>
      <w:lang w:val="bg-BG"/>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rPr>
      <w:rFonts w:ascii="Tahoma" w:eastAsia="Times New Roman" w:hAnsi="Tahoma"/>
      <w:sz w:val="24"/>
      <w:shd w:val="clear" w:color="auto" w:fill="000080"/>
      <w:lang w:val="bg-BG"/>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eastAsia="Times New Roman"/>
      <w:lang w:val="bg-BG"/>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bidi="ar-SA"/>
    </w:rPr>
  </w:style>
  <w:style w:type="character" w:customStyle="1" w:styleId="FooterChar">
    <w:name w:val="Footer Char"/>
    <w:basedOn w:val="DefaultParagraphFont"/>
    <w:link w:val="Footer"/>
    <w:uiPriority w:val="99"/>
    <w:rPr>
      <w:sz w:val="24"/>
      <w:szCs w:val="22"/>
      <w:lang w:eastAsia="en-US" w:bidi="ar-SA"/>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pPr>
      <w:ind w:left="357" w:hanging="357"/>
    </w:pPr>
    <w:rPr>
      <w:sz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imes New Roman"/>
      <w:lang w:val="bg-BG"/>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lang w:eastAsia="en-US" w:bidi="ar-SA"/>
    </w:rPr>
  </w:style>
  <w:style w:type="character" w:customStyle="1" w:styleId="HeaderChar">
    <w:name w:val="Header Char"/>
    <w:basedOn w:val="DefaultParagraphFont"/>
    <w:link w:val="Header"/>
    <w:uiPriority w:val="99"/>
    <w:rPr>
      <w:sz w:val="24"/>
      <w:szCs w:val="22"/>
      <w:lang w:eastAsia="en-US" w:bidi="ar-SA"/>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rPr>
  </w:style>
  <w:style w:type="character" w:customStyle="1" w:styleId="MacroTextChar">
    <w:name w:val="Macro Text Char"/>
    <w:basedOn w:val="DefaultParagraphFont"/>
    <w:link w:val="MacroText"/>
    <w:rPr>
      <w:rFonts w:ascii="Courier New" w:eastAsia="Times New Roman" w:hAnsi="Courier New"/>
      <w:lang w:val="bg-BG"/>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sz w:val="24"/>
      <w:shd w:val="pct20" w:color="auto" w:fill="auto"/>
      <w:lang w:val="bg-BG"/>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eastAsia="Times New Roman"/>
      <w:sz w:val="24"/>
      <w:lang w:val="bg-BG"/>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lang w:val="bg-BG"/>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eastAsia="Times New Roman"/>
      <w:sz w:val="24"/>
      <w:lang w:val="bg-BG"/>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eastAsia="Times New Roman"/>
      <w:sz w:val="24"/>
      <w:lang w:val="bg-BG"/>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sz w:val="24"/>
      <w:lang w:val="bg-BG"/>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eastAsia="Times New Roman"/>
      <w:b/>
      <w:kern w:val="28"/>
      <w:sz w:val="48"/>
      <w:lang w:val="bg-BG"/>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eastAsia="Times New Roman"/>
      <w:sz w:val="24"/>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bg-BG"/>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lang w:val="bg-BG"/>
    </w:rPr>
  </w:style>
  <w:style w:type="paragraph" w:styleId="Revision">
    <w:name w:val="Revision"/>
    <w:hidden/>
    <w:uiPriority w:val="99"/>
    <w:semiHidden/>
    <w:rPr>
      <w:rFonts w:eastAsia="Times New Roman"/>
      <w:sz w:val="24"/>
    </w:rPr>
  </w:style>
  <w:style w:type="paragraph" w:styleId="ListParagraph">
    <w:name w:val="List Paragraph"/>
    <w:basedOn w:val="Normal"/>
    <w:uiPriority w:val="34"/>
    <w:qFormat/>
    <w:pPr>
      <w:spacing w:after="200" w:line="276" w:lineRule="auto"/>
      <w:ind w:left="720"/>
      <w:contextualSpacing/>
      <w:jc w:val="left"/>
    </w:pPr>
    <w:rPr>
      <w:rFonts w:eastAsia="Calibri" w:cs="SimSun"/>
      <w:szCs w:val="22"/>
    </w:rPr>
  </w:style>
  <w:style w:type="paragraph" w:customStyle="1" w:styleId="CM1">
    <w:name w:val="CM1"/>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table" w:styleId="TableGrid">
    <w:name w:val="Table Grid"/>
    <w:basedOn w:val="TableNormal"/>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rFonts w:eastAsia="Times New Roman"/>
      <w:b w:val="0"/>
      <w:smallCaps w:val="0"/>
      <w:sz w:val="24"/>
      <w:lang w:val="bg-BG"/>
    </w:rPr>
  </w:style>
  <w:style w:type="paragraph" w:customStyle="1" w:styleId="Default">
    <w:name w:val="Default"/>
    <w:pPr>
      <w:autoSpaceDE w:val="0"/>
      <w:autoSpaceDN w:val="0"/>
      <w:adjustRightInd w:val="0"/>
    </w:pPr>
    <w:rPr>
      <w:rFonts w:eastAsia="Times New Roman"/>
      <w:color w:val="000000"/>
      <w:sz w:val="24"/>
      <w:szCs w:val="24"/>
    </w:rPr>
  </w:style>
  <w:style w:type="paragraph" w:customStyle="1" w:styleId="Declassification">
    <w:name w:val="Declassification"/>
    <w:basedOn w:val="Normal"/>
    <w:next w:val="Normal"/>
    <w:pPr>
      <w:spacing w:after="0"/>
    </w:pPr>
    <w:rPr>
      <w:rFonts w:eastAsiaTheme="minorHAnsi"/>
      <w:szCs w:val="22"/>
      <w:lang w:eastAsia="en-US" w:bidi="ar-SA"/>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bidi="ar-SA"/>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bidi="ar-SA"/>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bg-BG" w:eastAsia="bg-BG" w:bidi="bg-BG"/>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40"/>
      <w:jc w:val="both"/>
    </w:pPr>
    <w:rPr>
      <w:rFonts w:eastAsia="Times New Roman"/>
      <w:sz w:val="24"/>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tabs>
        <w:tab w:val="clear" w:pos="2564"/>
        <w:tab w:val="num" w:pos="1920"/>
      </w:tabs>
      <w:ind w:left="1920"/>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jc w:val="left"/>
      <w:outlineLvl w:val="4"/>
    </w:pPr>
    <w:rPr>
      <w:b/>
      <w:smallCaps/>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eastAsia="Times New Roman"/>
      <w:b/>
      <w:smallCaps/>
      <w:sz w:val="24"/>
      <w:lang w:val="bg-BG"/>
    </w:rPr>
  </w:style>
  <w:style w:type="character" w:customStyle="1" w:styleId="Heading2Char">
    <w:name w:val="Heading 2 Char"/>
    <w:basedOn w:val="DefaultParagraphFont"/>
    <w:link w:val="Heading2"/>
    <w:rPr>
      <w:rFonts w:eastAsia="Times New Roman"/>
      <w:b/>
      <w:sz w:val="24"/>
      <w:lang w:val="bg-BG"/>
    </w:rPr>
  </w:style>
  <w:style w:type="character" w:customStyle="1" w:styleId="Heading3Char">
    <w:name w:val="Heading 3 Char"/>
    <w:basedOn w:val="DefaultParagraphFont"/>
    <w:link w:val="Heading3"/>
    <w:rPr>
      <w:rFonts w:eastAsia="Times New Roman"/>
      <w:i/>
      <w:sz w:val="24"/>
      <w:lang w:val="bg-BG"/>
    </w:rPr>
  </w:style>
  <w:style w:type="character" w:customStyle="1" w:styleId="Heading4Char">
    <w:name w:val="Heading 4 Char"/>
    <w:basedOn w:val="DefaultParagraphFont"/>
    <w:link w:val="Heading4"/>
    <w:rPr>
      <w:rFonts w:eastAsia="Times New Roman"/>
      <w:sz w:val="24"/>
      <w:lang w:val="bg-BG"/>
    </w:rPr>
  </w:style>
  <w:style w:type="character" w:customStyle="1" w:styleId="Heading5Char">
    <w:name w:val="Heading 5 Char"/>
    <w:basedOn w:val="DefaultParagraphFont"/>
    <w:link w:val="Heading5"/>
    <w:rPr>
      <w:rFonts w:eastAsia="Times New Roman"/>
      <w:b/>
      <w:smallCaps/>
      <w:sz w:val="24"/>
      <w:lang w:val="bg-BG"/>
    </w:rPr>
  </w:style>
  <w:style w:type="character" w:customStyle="1" w:styleId="Heading6Char">
    <w:name w:val="Heading 6 Char"/>
    <w:basedOn w:val="DefaultParagraphFont"/>
    <w:link w:val="Heading6"/>
    <w:rPr>
      <w:rFonts w:ascii="Arial" w:eastAsia="Times New Roman" w:hAnsi="Arial"/>
      <w:i/>
      <w:sz w:val="22"/>
      <w:lang w:val="bg-BG"/>
    </w:rPr>
  </w:style>
  <w:style w:type="character" w:customStyle="1" w:styleId="Heading7Char">
    <w:name w:val="Heading 7 Char"/>
    <w:basedOn w:val="DefaultParagraphFont"/>
    <w:link w:val="Heading7"/>
    <w:rPr>
      <w:rFonts w:ascii="Arial" w:eastAsia="Times New Roman" w:hAnsi="Arial"/>
      <w:lang w:val="bg-BG"/>
    </w:rPr>
  </w:style>
  <w:style w:type="character" w:customStyle="1" w:styleId="Heading8Char">
    <w:name w:val="Heading 8 Char"/>
    <w:basedOn w:val="DefaultParagraphFont"/>
    <w:link w:val="Heading8"/>
    <w:rPr>
      <w:rFonts w:ascii="Arial" w:eastAsia="Times New Roman" w:hAnsi="Arial"/>
      <w:i/>
      <w:lang w:val="bg-BG"/>
    </w:rPr>
  </w:style>
  <w:style w:type="character" w:customStyle="1" w:styleId="Heading9Char">
    <w:name w:val="Heading 9 Char"/>
    <w:basedOn w:val="DefaultParagraphFont"/>
    <w:link w:val="Heading9"/>
    <w:rPr>
      <w:rFonts w:ascii="Arial" w:eastAsia="Times New Roman" w:hAnsi="Arial"/>
      <w:i/>
      <w:sz w:val="18"/>
      <w:lang w:val="bg-BG"/>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eastAsia="Times New Roman"/>
      <w:sz w:val="24"/>
      <w:lang w:val="bg-BG"/>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eastAsia="Times New Roman"/>
      <w:sz w:val="24"/>
      <w:lang w:val="bg-BG"/>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eastAsia="Times New Roman"/>
      <w:sz w:val="16"/>
      <w:lang w:val="bg-BG"/>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eastAsia="Times New Roman"/>
      <w:sz w:val="24"/>
      <w:lang w:val="bg-BG"/>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eastAsia="Times New Roman"/>
      <w:sz w:val="24"/>
      <w:lang w:val="bg-BG"/>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sz w:val="24"/>
      <w:lang w:val="bg-BG"/>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eastAsia="Times New Roman"/>
      <w:sz w:val="24"/>
      <w:lang w:val="bg-BG"/>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eastAsia="Times New Roman"/>
      <w:sz w:val="16"/>
      <w:lang w:val="bg-BG"/>
    </w:rPr>
  </w:style>
  <w:style w:type="paragraph" w:styleId="Caption">
    <w:name w:val="caption"/>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eastAsia="Times New Roman"/>
      <w:sz w:val="24"/>
      <w:lang w:val="bg-BG"/>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eastAsia="Times New Roman"/>
      <w:lang w:val="bg-BG"/>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eastAsia="Times New Roman"/>
      <w:sz w:val="24"/>
      <w:lang w:val="bg-BG"/>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basedOn w:val="DefaultParagraphFont"/>
    <w:link w:val="DocumentMap"/>
    <w:rPr>
      <w:rFonts w:ascii="Tahoma" w:eastAsia="Times New Roman" w:hAnsi="Tahoma"/>
      <w:sz w:val="24"/>
      <w:shd w:val="clear" w:color="auto" w:fill="000080"/>
      <w:lang w:val="bg-BG"/>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eastAsia="Times New Roman"/>
      <w:lang w:val="bg-BG"/>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bidi="ar-SA"/>
    </w:rPr>
  </w:style>
  <w:style w:type="character" w:customStyle="1" w:styleId="FooterChar">
    <w:name w:val="Footer Char"/>
    <w:basedOn w:val="DefaultParagraphFont"/>
    <w:link w:val="Footer"/>
    <w:uiPriority w:val="99"/>
    <w:rPr>
      <w:sz w:val="24"/>
      <w:szCs w:val="22"/>
      <w:lang w:eastAsia="en-US" w:bidi="ar-SA"/>
    </w:rPr>
  </w:style>
  <w:style w:type="paragraph" w:styleId="FootnoteText">
    <w:name w:val="footnote text"/>
    <w:aliases w:val="fn,footnote text,Footnotes,Footnote ak,ft,fn cafc,fn Char,footnote text Char,Footnotes Char,Footnote ak Char,Footnotes Char Char,fn Char Char,footnote text Char Char Char Ch,Footnote ak Char Char,C,f,footnote citation,Cha"/>
    <w:basedOn w:val="Normal"/>
    <w:link w:val="FootnoteTextChar"/>
    <w:uiPriority w:val="99"/>
    <w:pPr>
      <w:ind w:left="357" w:hanging="357"/>
    </w:pPr>
    <w:rPr>
      <w:sz w:val="20"/>
    </w:rPr>
  </w:style>
  <w:style w:type="character" w:customStyle="1" w:styleId="FootnoteTextChar">
    <w:name w:val="Footnote Text Char"/>
    <w:aliases w:val="fn Char1,footnote text Char1,Footnotes Char1,Footnote ak Char1,ft Char,fn cafc Char,fn Char Char1,footnote text Char Char,Footnotes Char Char1,Footnote ak Char Char1,Footnotes Char Char Char,fn Char Char Char,C Char,f Char,Cha Char"/>
    <w:basedOn w:val="DefaultParagraphFont"/>
    <w:link w:val="FootnoteText"/>
    <w:uiPriority w:val="99"/>
    <w:rPr>
      <w:rFonts w:eastAsia="Times New Roman"/>
      <w:lang w:val="bg-BG"/>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lang w:eastAsia="en-US" w:bidi="ar-SA"/>
    </w:rPr>
  </w:style>
  <w:style w:type="character" w:customStyle="1" w:styleId="HeaderChar">
    <w:name w:val="Header Char"/>
    <w:basedOn w:val="DefaultParagraphFont"/>
    <w:link w:val="Header"/>
    <w:uiPriority w:val="99"/>
    <w:rPr>
      <w:sz w:val="24"/>
      <w:szCs w:val="22"/>
      <w:lang w:eastAsia="en-US" w:bidi="ar-SA"/>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rPr>
  </w:style>
  <w:style w:type="character" w:customStyle="1" w:styleId="MacroTextChar">
    <w:name w:val="Macro Text Char"/>
    <w:basedOn w:val="DefaultParagraphFont"/>
    <w:link w:val="MacroText"/>
    <w:rPr>
      <w:rFonts w:ascii="Courier New" w:eastAsia="Times New Roman" w:hAnsi="Courier New"/>
      <w:lang w:val="bg-BG"/>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sz w:val="24"/>
      <w:shd w:val="pct20" w:color="auto" w:fill="auto"/>
      <w:lang w:val="bg-BG"/>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eastAsia="Times New Roman"/>
      <w:sz w:val="24"/>
      <w:lang w:val="bg-BG"/>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lang w:val="bg-BG"/>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eastAsia="Times New Roman"/>
      <w:sz w:val="24"/>
      <w:lang w:val="bg-BG"/>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eastAsia="Times New Roman"/>
      <w:sz w:val="24"/>
      <w:lang w:val="bg-BG"/>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sz w:val="24"/>
      <w:lang w:val="bg-BG"/>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pPr>
      <w:ind w:left="240" w:hanging="240"/>
    </w:pPr>
  </w:style>
  <w:style w:type="paragraph" w:styleId="TableofFigures">
    <w:name w:val="table of figures"/>
    <w:basedOn w:val="Normal"/>
    <w:next w:val="Normal"/>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eastAsia="Times New Roman"/>
      <w:b/>
      <w:kern w:val="28"/>
      <w:sz w:val="48"/>
      <w:lang w:val="bg-BG"/>
    </w:rPr>
  </w:style>
  <w:style w:type="paragraph" w:styleId="TOAHeading">
    <w:name w:val="toa heading"/>
    <w:basedOn w:val="Normal"/>
    <w:next w:val="Normal"/>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pPr>
      <w:tabs>
        <w:tab w:val="right" w:leader="dot" w:pos="8641"/>
      </w:tabs>
      <w:spacing w:before="60" w:after="60"/>
      <w:ind w:left="2880" w:right="720" w:hanging="964"/>
    </w:pPr>
  </w:style>
  <w:style w:type="paragraph" w:styleId="TOC5">
    <w:name w:val="toc 5"/>
    <w:basedOn w:val="Normal"/>
    <w:next w:val="Normal"/>
    <w:pPr>
      <w:tabs>
        <w:tab w:val="right" w:leader="dot" w:pos="8641"/>
      </w:tabs>
      <w:spacing w:before="240" w:after="120"/>
      <w:ind w:right="720"/>
    </w:pPr>
    <w:rPr>
      <w:caps/>
    </w:r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link w:val="FooterCoverPage"/>
    <w:rPr>
      <w:rFonts w:eastAsia="Times New Roman"/>
      <w:sz w:val="24"/>
    </w:rPr>
  </w:style>
  <w:style w:type="character" w:styleId="FootnoteReference">
    <w:name w:val="footnote reference"/>
    <w:aliases w:val="Ref,de nota al pie,Footnote Reference1,Ref1,de nota al pie1,註腳內容,de nota al pie + (Asian) MS Mincho,11 pt,-E Fußnotenzeichen,16 Point,Superscript 6 Point,註?腳內—e"/>
    <w:uiPriority w:val="99"/>
    <w:rPr>
      <w:vertAlign w:val="superscript"/>
    </w:rPr>
  </w:style>
  <w:style w:type="paragraph" w:customStyle="1" w:styleId="NormalLinespacingMultiple12li">
    <w:name w:val="Normal + Line spacing:  Multiple 1.2 li"/>
    <w:basedOn w:val="Normal"/>
    <w:rPr>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paragraph" w:styleId="BalloonText">
    <w:name w:val="Balloon Text"/>
    <w:basedOn w:val="Normal"/>
    <w:link w:val="BalloonTextChar"/>
    <w:uiPriority w:val="99"/>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Times New Roman" w:hAnsi="Tahoma" w:cs="Tahoma"/>
      <w:sz w:val="16"/>
      <w:szCs w:val="16"/>
      <w:lang w:val="bg-BG"/>
    </w:rPr>
  </w:style>
  <w:style w:type="character" w:styleId="CommentReference">
    <w:name w:val="annotation reference"/>
    <w:basedOn w:val="DefaultParagraphFont"/>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lang w:val="bg-BG"/>
    </w:rPr>
  </w:style>
  <w:style w:type="paragraph" w:styleId="Revision">
    <w:name w:val="Revision"/>
    <w:hidden/>
    <w:uiPriority w:val="99"/>
    <w:semiHidden/>
    <w:rPr>
      <w:rFonts w:eastAsia="Times New Roman"/>
      <w:sz w:val="24"/>
    </w:rPr>
  </w:style>
  <w:style w:type="paragraph" w:styleId="ListParagraph">
    <w:name w:val="List Paragraph"/>
    <w:basedOn w:val="Normal"/>
    <w:uiPriority w:val="34"/>
    <w:qFormat/>
    <w:pPr>
      <w:spacing w:after="200" w:line="276" w:lineRule="auto"/>
      <w:ind w:left="720"/>
      <w:contextualSpacing/>
      <w:jc w:val="left"/>
    </w:pPr>
    <w:rPr>
      <w:rFonts w:eastAsia="Calibri" w:cs="SimSun"/>
      <w:szCs w:val="22"/>
    </w:rPr>
  </w:style>
  <w:style w:type="paragraph" w:customStyle="1" w:styleId="CM1">
    <w:name w:val="CM1"/>
    <w:basedOn w:val="Normal"/>
    <w:next w:val="Normal"/>
    <w:uiPriority w:val="99"/>
    <w:pPr>
      <w:autoSpaceDE w:val="0"/>
      <w:autoSpaceDN w:val="0"/>
      <w:adjustRightInd w:val="0"/>
      <w:spacing w:after="0"/>
      <w:jc w:val="left"/>
    </w:pPr>
    <w:rPr>
      <w:rFonts w:ascii="EUAlbertina" w:eastAsiaTheme="minorHAnsi" w:hAnsi="EUAlbertina" w:cstheme="minorBidi"/>
      <w:szCs w:val="24"/>
    </w:rPr>
  </w:style>
  <w:style w:type="table" w:styleId="TableGrid">
    <w:name w:val="Table Grid"/>
    <w:basedOn w:val="TableNormal"/>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rFonts w:eastAsia="Times New Roman"/>
      <w:b w:val="0"/>
      <w:smallCaps w:val="0"/>
      <w:sz w:val="24"/>
      <w:lang w:val="bg-BG"/>
    </w:rPr>
  </w:style>
  <w:style w:type="paragraph" w:customStyle="1" w:styleId="Default">
    <w:name w:val="Default"/>
    <w:pPr>
      <w:autoSpaceDE w:val="0"/>
      <w:autoSpaceDN w:val="0"/>
      <w:adjustRightInd w:val="0"/>
    </w:pPr>
    <w:rPr>
      <w:rFonts w:eastAsia="Times New Roman"/>
      <w:color w:val="000000"/>
      <w:sz w:val="24"/>
      <w:szCs w:val="24"/>
    </w:rPr>
  </w:style>
  <w:style w:type="paragraph" w:customStyle="1" w:styleId="Declassification">
    <w:name w:val="Declassification"/>
    <w:basedOn w:val="Normal"/>
    <w:next w:val="Normal"/>
    <w:pPr>
      <w:spacing w:after="0"/>
    </w:pPr>
    <w:rPr>
      <w:rFonts w:eastAsiaTheme="minorHAnsi"/>
      <w:szCs w:val="22"/>
      <w:lang w:eastAsia="en-US" w:bidi="ar-SA"/>
    </w:rPr>
  </w:style>
  <w:style w:type="paragraph" w:customStyle="1" w:styleId="HeaderLandscape">
    <w:name w:val="HeaderLandscape"/>
    <w:basedOn w:val="Normal"/>
    <w:pPr>
      <w:tabs>
        <w:tab w:val="center" w:pos="7285"/>
        <w:tab w:val="right" w:pos="14003"/>
      </w:tabs>
      <w:spacing w:after="120"/>
    </w:pPr>
    <w:rPr>
      <w:rFonts w:eastAsiaTheme="minorHAnsi"/>
      <w:szCs w:val="22"/>
      <w:lang w:eastAsia="en-US" w:bidi="ar-SA"/>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bidi="ar-SA"/>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12.xml"/><Relationship Id="rId42" Type="http://schemas.openxmlformats.org/officeDocument/2006/relationships/header" Target="header16.xml"/><Relationship Id="rId47" Type="http://schemas.openxmlformats.org/officeDocument/2006/relationships/footer" Target="foot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http://biz.liga.net/svoy-biznes/all/stati/3512399-eksport-novogo-pokoleniya-ukraintsy-uchatsya-prodavat-tekhnologii.htm" TargetMode="External"/><Relationship Id="rId36" Type="http://schemas.openxmlformats.org/officeDocument/2006/relationships/header" Target="header14.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2.emf"/><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ntTable" Target="fontTable.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Labour_movement" TargetMode="External"/><Relationship Id="rId2" Type="http://schemas.openxmlformats.org/officeDocument/2006/relationships/hyperlink" Target="https://en.wikipedia.org/wiki/Employers&amp;apos;_organization" TargetMode="External"/><Relationship Id="rId1" Type="http://schemas.openxmlformats.org/officeDocument/2006/relationships/hyperlink" Target="http://trade.ec.europa.eu/doclib/press/index.cfm?id=993" TargetMode="External"/><Relationship Id="rId6" Type="http://schemas.openxmlformats.org/officeDocument/2006/relationships/hyperlink" Target="http://ec.europa.eu/trade/policy/in-focus/ceta/" TargetMode="External"/><Relationship Id="rId5" Type="http://schemas.openxmlformats.org/officeDocument/2006/relationships/hyperlink" Target="http://trade.ec.europa.eu/doclib/docs/2017/july/tradoc_155686.pdf" TargetMode="External"/><Relationship Id="rId4" Type="http://schemas.openxmlformats.org/officeDocument/2006/relationships/hyperlink" Target="https://en.wikipedia.org/wiki/State_(po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45</Pages>
  <Words>12402</Words>
  <Characters>69234</Characters>
  <Application>Microsoft Office Word</Application>
  <DocSecurity>0</DocSecurity>
  <Lines>1648</Lines>
  <Paragraphs>907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27</cp:revision>
  <dcterms:created xsi:type="dcterms:W3CDTF">2017-10-24T13:38:00Z</dcterms:created>
  <dcterms:modified xsi:type="dcterms:W3CDTF">2017-11-08T07:07:00Z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