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67BFEB9C-1EC7-4C35-B27F-D3268F82A7A7" style="width:450.7pt;height:379.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Text1"/>
        <w:ind w:left="0"/>
        <w:rPr>
          <w:noProof/>
        </w:rPr>
      </w:pPr>
      <w:r>
        <w:rPr>
          <w:noProof/>
        </w:rPr>
        <w:t>Споразумението между Европейския съюз и Азербайджанската република за улесняване на издаването на визи за краткосрочно пребиваване на граждани на Република Азербайджан и на Европейския съюз влезе в сила на 1 септември 2014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Със Споразумението бяха установени, на основата на реципрочност, правнообвързващи права и задължения за двете страни с цел да се опростят процедурите за издаване на визи на граждани на Азербайджан и граждани на ЕС. С член 12 от Споразумението беше създаден Съвместен комитет, чиито задачи включват наблюдение на прилагането на Споразумението. В член 12, параграф 4 от Споразумението се предвижда, че Съвместният комитет следва да приеме свой процедурен правилник.</w:t>
      </w:r>
    </w:p>
    <w:p>
      <w:pPr>
        <w:pStyle w:val="Text1"/>
        <w:ind w:left="0"/>
        <w:rPr>
          <w:noProof/>
        </w:rPr>
      </w:pPr>
      <w:r>
        <w:rPr>
          <w:noProof/>
        </w:rPr>
        <w:t>Процедурният правилник следва да бъде приет с решение на Съвместния комитет и няма да бъде част от Споразумението.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Съветът упълномощава представителя на ЕС в Съвместния комитет, т.е. Комисията, да приеме процедурния правилник въз основа на настоящото предложение. Целта на правилника е да организира работата на Съвместния комитет и да спомага за подготовката и управлението на неговите заседания.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  <w:r>
        <w:rPr>
          <w:noProof/>
        </w:rPr>
        <w:tab/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Процедурният правилник, съдържащ се в приложението към настоящото предложение за решение на Съвета, е резултат от консултации с компетентните органи в Азербайджан, проведени на първото и второто заседание на Съвместния комитет и чрез размяна на електронни писма между заседанията (за последен път на 5 юни 2017 г.). Консултации с държавите членки бяха проведени посредством писмена процедура, която приключи на 16 юни 2017 г.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>Настоящото предложение няма отражение върху бюджета на ЕС.</w:t>
      </w:r>
      <w:r>
        <w:rPr>
          <w:noProof/>
        </w:rPr>
        <w:tab/>
      </w: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2017/0295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определяне на позицията, която да бъде заета от името на Европейския съюз в рамките на Съвместния комитет, създаден със Споразумението между Европейския съюз и Азербайджанската република за улесняване на издаването на визи, във връзка с приемането на неговия процедурен правилник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77, параграф 2, буква а)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Решение 2014/242/ЕС на Съвета от 14 април 2014 г. за сключване на Споразумението между Европейския съюз и Азербайджанската република за улесняване на издаването на визи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Европейския съюз и Азербайджанската република за улесняване на издаването на визи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(наричано по-нататък „Споразумението“) влезе в сила на 1 септември 2014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 12 от Споразумението беше създаден Съвместен комитет, който да управлява Споразумението. В параграф 4 от този член на Споразумението се предвижда, че Съвместният комитет приема свой процедурен правилник.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Процедурният правилник е необходим за организиране на работата на Съвместния комитет, натоварен с управлението на Споразумението и с наблюдението на неговото прилагане.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Поради това е целесъобразно да се определи позицията, която да бъде приета от името на Европейския съюз в рамките на Съвместния комитет, във връзка с приемането на процедурния правилник на Съвместния комитет за управление на Споразумението.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Обединеното кралство не участва в съответствие с Решение 2000/365/ЕО на Съвета от 29 май 2000 г. относно искането на Обединеното кралство Великобритания и Северна Ирландия да участва в някои разпоредби от достиженията на правото от Шенген. Следователно Обединеното кралство не участва в неговото приемане и не е обвързано от него, нито от неговото прилагане.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Настоящото решение представлява развитие на разпоредбите на достиженията на правото от Шенген, в които Ирландия не участва в съответствие с Решение </w:t>
      </w:r>
      <w:r>
        <w:rPr>
          <w:noProof/>
        </w:rPr>
        <w:lastRenderedPageBreak/>
        <w:t>2002/192/ЕО на Съвета от 28 февруари 2002 г. относно искането на Ирландия да участва в някои разпоредби от достиженията на правото от Шенген. Следователно Ирландия не участва в неговото приемане и не е обвързанa от него, нито от неговото прилагане.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 съответствие с членове 1 и 2 от Протокол № 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бъде приета от името на Европейския съюз в рамките на Съвместния комитет, създаден с член 12 от Споразумението между Европейския съюз и Азербайджанската република за улесняване на издаването на визи, във връзка с приемането на процедурния правилник на Съвместния комитет, се основава на проекта на решение на Съвместния комитет,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i/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rPr>
          <w:color w:val="444444"/>
          <w:sz w:val="19"/>
        </w:rPr>
        <w:t>ОВ L 128, 30.4.2014 г., стр. 49—60.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rPr>
          <w:color w:val="444444"/>
          <w:sz w:val="19"/>
        </w:rPr>
        <w:t>ОВ L 128, 30.4.2014 г., стр. 47—48.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rPr>
          <w:color w:val="444444"/>
          <w:sz w:val="19"/>
        </w:rPr>
        <w:t>ОВ L 128, 30.4.2014 г., стр. 49—60.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C60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E34DF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152E3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87223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62AA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4EED4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3307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39EF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0-30 12:24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7BFEB9C-1EC7-4C35-B27F-D3268F82A7A7"/>
    <w:docVar w:name="LW_COVERPAGE_TYPE" w:val="1"/>
    <w:docVar w:name="LW_CROSSREFERENCE" w:val="&lt;UNUSED&gt;"/>
    <w:docVar w:name="LW_DocType" w:val="COM"/>
    <w:docVar w:name="LW_EMISSION" w:val="9.11.2017"/>
    <w:docVar w:name="LW_EMISSION_ISODATE" w:val="2017-11-09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95"/>
    <w:docVar w:name="LW_REF.II.NEW.CP_YEAR" w:val="2017"/>
    <w:docVar w:name="LW_REF.INST.NEW" w:val="COM"/>
    <w:docVar w:name="LW_REF.INST.NEW_ADOPTED" w:val="final"/>
    <w:docVar w:name="LW_REF.INST.NEW_TEXT" w:val="(2017) 58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7?\u1076?\u1077?\u1083?\u1103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9?\u1098?\u1089? \u1057?\u1087?\u1086?\u1088?\u1072?\u1079?\u1091?\u1084?\u1077?\u1085?\u1080?\u1077?\u1090?\u1086? \u1084?\u1077?\u1078?\u1076?\u1091? \u1045?\u1074?\u1088?\u1086?\u1087?\u1077?\u1081?\u1089?\u1082?\u1080?\u1103? \u1089?\u1098?\u1102?\u1079? \u1080? \u1040?\u1079?\u1077?\u1088?\u1073?\u1072?\u1081?\u1076?\u1078?\u1072?\u1085?\u1089?\u1082?\u1072?\u1090?\u1072? \u1088?\u1077?\u1087?\u1091?\u1073?\u1083?\u1080?\u1082?\u1072? \u1079?\u1072? \u1091?\u1083?\u1077?\u1089?\u1085?\u1103?\u1074?\u1072?\u1085?\u1077? \u1085?\u1072? \u1080?\u1079?\u1076?\u1072?\u1074?\u1072?\u1085?\u1077?\u1090?\u1086? \u1085?\u1072? \u1074?\u1080?\u1079?\u1080?, \u1074?\u1098?\u1074? \u1074?\u1088?\u1098?\u1079?\u1082?\u1072? \u1089? \u1087?\u1088?\u1080?\u1077?\u1084?\u1072?\u1085?\u1077?\u1090?\u1086? \u1085?\u1072? \u1085?\u1077?\u1075?\u1086?\u1074?\u1080?\u1103? \u1087?\u1088?\u1086?\u1094?\u1077?\u1076?\u1091?\u1088?\u1077?\u1085? \u1087?\u1088?\u1072?\u1074?\u1080?\u1083?\u1085?\u1080?\u1082?"/>
    <w:docVar w:name="LW_TYPE.DOC.CP" w:val="\u1056?\u1045?\u1064?\u1045?\u1053?\u1048?\u1045? \u1053?\u1040? \u1057?\u1066?\u1042?\u1045?\u1058?\u1040?"/>
    <w:docVar w:name="Stamp" w:val="\\dossiers.dgt.cec.eu.int\dossiers\HOME\HOME-2017-00563\HOME-2017-00563-00-00-EN-REV-00.201707181025369267352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  <w:lang w:eastAsia="en-US" w:bidi="ar-SA"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  <w:lang w:eastAsia="en-US" w:bidi="ar-SA"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D54-D9BB-4A04-8A99-8FA599B3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757</Words>
  <Characters>4372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2017-09-07T12:44:00Z</cp:lastPrinted>
  <dcterms:created xsi:type="dcterms:W3CDTF">2017-09-20T08:37:00Z</dcterms:created>
  <dcterms:modified xsi:type="dcterms:W3CDTF">2017-10-30T11:24:00Z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5.8.4, Build 20141001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SJ-019</vt:lpwstr>
  </property>
  <property fmtid="{D5CDD505-2E9C-101B-9397-08002B2CF9AE}" pid="9" name="DQCStatus">
    <vt:lpwstr>Green (DQC version 03)</vt:lpwstr>
  </property>
  <property fmtid="{D5CDD505-2E9C-101B-9397-08002B2CF9AE}" pid="10" name="Level of sensitivity">
    <vt:lpwstr>Standard treatment</vt:lpwstr>
  </property>
</Properties>
</file>