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27D" w:rsidRDefault="00CD232B" w:rsidP="00CD232B">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2169F0C8-918F-42EE-878C-8A904AB14BC6" style="width:450.6pt;height:361.25pt">
            <v:imagedata r:id="rId9" o:title=""/>
          </v:shape>
        </w:pict>
      </w:r>
    </w:p>
    <w:bookmarkEnd w:id="0"/>
    <w:p w:rsidR="002E627D" w:rsidRDefault="002E627D">
      <w:pPr>
        <w:rPr>
          <w:noProof/>
        </w:rPr>
        <w:sectPr w:rsidR="002E627D" w:rsidSect="00CD232B">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299"/>
        </w:sectPr>
      </w:pPr>
    </w:p>
    <w:p w:rsidR="002E627D" w:rsidRDefault="00CD232B">
      <w:pPr>
        <w:pStyle w:val="Heading1"/>
        <w:spacing w:before="0" w:line="240" w:lineRule="auto"/>
        <w:rPr>
          <w:noProof/>
        </w:rPr>
      </w:pPr>
      <w:r>
        <w:rPr>
          <w:noProof/>
        </w:rPr>
        <w:lastRenderedPageBreak/>
        <w:t>Introduction: making Europe a world leader on decarbonisation</w:t>
      </w:r>
    </w:p>
    <w:p w:rsidR="002E627D" w:rsidRDefault="00CD232B">
      <w:pPr>
        <w:pStyle w:val="Text1"/>
        <w:spacing w:line="240" w:lineRule="auto"/>
        <w:ind w:left="0"/>
        <w:jc w:val="both"/>
        <w:rPr>
          <w:rFonts w:ascii="Times New Roman" w:hAnsi="Times New Roman"/>
          <w:noProof/>
          <w:sz w:val="24"/>
          <w:szCs w:val="24"/>
        </w:rPr>
      </w:pPr>
      <w:r>
        <w:rPr>
          <w:rFonts w:ascii="Times New Roman" w:hAnsi="Times New Roman"/>
          <w:noProof/>
          <w:sz w:val="24"/>
          <w:szCs w:val="24"/>
        </w:rPr>
        <w:t xml:space="preserve">As called for by the President of the Commission in his 2017 State of the Union Address in September 2017 the European Union (EU) needs to become a </w:t>
      </w:r>
      <w:r>
        <w:rPr>
          <w:rFonts w:ascii="Times New Roman" w:hAnsi="Times New Roman"/>
          <w:b/>
          <w:noProof/>
          <w:sz w:val="24"/>
          <w:szCs w:val="24"/>
        </w:rPr>
        <w:t>world leader on decarbonisation</w:t>
      </w:r>
      <w:r>
        <w:rPr>
          <w:rFonts w:ascii="Times New Roman" w:hAnsi="Times New Roman"/>
          <w:noProof/>
          <w:sz w:val="24"/>
          <w:szCs w:val="24"/>
        </w:rPr>
        <w:t>. In order to meet the EU's commitments at the 21st Conference of the Parties</w:t>
      </w:r>
      <w:r>
        <w:rPr>
          <w:rFonts w:ascii="Times New Roman" w:hAnsi="Times New Roman"/>
          <w:noProof/>
          <w:sz w:val="24"/>
          <w:szCs w:val="24"/>
        </w:rPr>
        <w:t xml:space="preserve"> to the United Nations Framework Convention on Climate Change held in Paris, the decarbonisation of the transport sector must be accelerated to ensure that greenhouse gas emissions and air pollutant emissions are firmly on the path towards zero-emission by</w:t>
      </w:r>
      <w:r>
        <w:rPr>
          <w:rFonts w:ascii="Times New Roman" w:hAnsi="Times New Roman"/>
          <w:noProof/>
          <w:sz w:val="24"/>
          <w:szCs w:val="24"/>
        </w:rPr>
        <w:t xml:space="preserve"> mid-century.</w:t>
      </w:r>
    </w:p>
    <w:p w:rsidR="002E627D" w:rsidRDefault="00CD232B">
      <w:pPr>
        <w:pStyle w:val="Text1"/>
        <w:spacing w:line="240" w:lineRule="auto"/>
        <w:ind w:left="0"/>
        <w:jc w:val="both"/>
        <w:rPr>
          <w:rFonts w:ascii="Times New Roman" w:hAnsi="Times New Roman"/>
          <w:noProof/>
          <w:sz w:val="24"/>
          <w:szCs w:val="24"/>
        </w:rPr>
      </w:pPr>
      <w:r>
        <w:rPr>
          <w:rFonts w:ascii="Times New Roman" w:hAnsi="Times New Roman"/>
          <w:noProof/>
          <w:sz w:val="24"/>
          <w:szCs w:val="24"/>
        </w:rPr>
        <w:t>With its Strategy for low emission mobility</w:t>
      </w:r>
      <w:r>
        <w:rPr>
          <w:rStyle w:val="FootnoteReference"/>
          <w:rFonts w:ascii="Times New Roman" w:hAnsi="Times New Roman"/>
          <w:noProof/>
          <w:sz w:val="24"/>
          <w:szCs w:val="24"/>
        </w:rPr>
        <w:footnoteReference w:id="2"/>
      </w:r>
      <w:r>
        <w:rPr>
          <w:rFonts w:ascii="Times New Roman" w:hAnsi="Times New Roman"/>
          <w:noProof/>
          <w:sz w:val="24"/>
          <w:szCs w:val="24"/>
        </w:rPr>
        <w:t xml:space="preserve"> the Commission has already set out how the EU can reach this goal. Following this strategy the </w:t>
      </w:r>
      <w:r>
        <w:rPr>
          <w:rFonts w:ascii="Times New Roman" w:eastAsiaTheme="minorHAnsi" w:hAnsi="Times New Roman"/>
          <w:noProof/>
          <w:sz w:val="24"/>
        </w:rPr>
        <w:t>Commission's Communication "</w:t>
      </w:r>
      <w:r>
        <w:rPr>
          <w:rFonts w:ascii="Times New Roman" w:eastAsiaTheme="minorHAnsi" w:hAnsi="Times New Roman"/>
          <w:i/>
          <w:noProof/>
          <w:sz w:val="24"/>
        </w:rPr>
        <w:t>Europe on the Move: an agenda for a socially fair transition towards clean</w:t>
      </w:r>
      <w:r>
        <w:rPr>
          <w:rFonts w:ascii="Times New Roman" w:eastAsiaTheme="minorHAnsi" w:hAnsi="Times New Roman"/>
          <w:i/>
          <w:noProof/>
          <w:sz w:val="24"/>
        </w:rPr>
        <w:t>, competitive and connected mobility for all</w:t>
      </w:r>
      <w:r>
        <w:rPr>
          <w:rFonts w:ascii="Times New Roman" w:eastAsiaTheme="minorHAnsi" w:hAnsi="Times New Roman"/>
          <w:noProof/>
          <w:sz w:val="24"/>
        </w:rPr>
        <w:t>" notes that the EU's</w:t>
      </w:r>
      <w:r>
        <w:rPr>
          <w:rFonts w:ascii="Times New Roman" w:hAnsi="Times New Roman"/>
          <w:noProof/>
          <w:sz w:val="24"/>
          <w:szCs w:val="24"/>
        </w:rPr>
        <w:t xml:space="preserve"> ambition must be to make rapid progress towards a cleaner, more competitive and seamlessly connected mobility system by 2025</w:t>
      </w:r>
      <w:r>
        <w:rPr>
          <w:rStyle w:val="FootnoteReference"/>
          <w:rFonts w:ascii="Times New Roman" w:hAnsi="Times New Roman"/>
          <w:noProof/>
          <w:sz w:val="24"/>
          <w:szCs w:val="24"/>
        </w:rPr>
        <w:footnoteReference w:id="3"/>
      </w:r>
      <w:r>
        <w:rPr>
          <w:rFonts w:ascii="Times New Roman" w:hAnsi="Times New Roman"/>
          <w:noProof/>
          <w:sz w:val="24"/>
          <w:szCs w:val="24"/>
        </w:rPr>
        <w:t xml:space="preserve">. </w:t>
      </w:r>
    </w:p>
    <w:p w:rsidR="002E627D" w:rsidRDefault="00CD232B">
      <w:pPr>
        <w:pStyle w:val="Text1"/>
        <w:spacing w:line="240" w:lineRule="auto"/>
        <w:ind w:left="0"/>
        <w:jc w:val="both"/>
        <w:rPr>
          <w:rFonts w:ascii="Times New Roman" w:hAnsi="Times New Roman"/>
          <w:noProof/>
          <w:sz w:val="24"/>
          <w:szCs w:val="24"/>
        </w:rPr>
      </w:pPr>
      <w:r>
        <w:rPr>
          <w:rFonts w:ascii="Times New Roman" w:eastAsiaTheme="minorHAnsi" w:hAnsi="Times New Roman"/>
          <w:noProof/>
          <w:sz w:val="24"/>
        </w:rPr>
        <w:t>This action plan forms part of a second package of proposals a</w:t>
      </w:r>
      <w:r>
        <w:rPr>
          <w:rFonts w:ascii="Times New Roman" w:eastAsiaTheme="minorHAnsi" w:hAnsi="Times New Roman"/>
          <w:noProof/>
          <w:sz w:val="24"/>
        </w:rPr>
        <w:t>nd initiatives, essential to decarbonising the transport sector. Presented in the Commission's Communication "</w:t>
      </w:r>
      <w:r>
        <w:rPr>
          <w:rFonts w:ascii="Times New Roman" w:eastAsiaTheme="minorHAnsi" w:hAnsi="Times New Roman"/>
          <w:i/>
          <w:noProof/>
          <w:sz w:val="24"/>
        </w:rPr>
        <w:t>Delivering on low-emission mobility - A European Union that protects the planet, empowers its consumers, and defends its industry and workers</w:t>
      </w:r>
      <w:r>
        <w:rPr>
          <w:rFonts w:ascii="Times New Roman" w:eastAsiaTheme="minorHAnsi" w:hAnsi="Times New Roman"/>
          <w:noProof/>
          <w:sz w:val="24"/>
        </w:rPr>
        <w:t xml:space="preserve">" - </w:t>
      </w:r>
      <w:r>
        <w:rPr>
          <w:rFonts w:ascii="Times New Roman" w:eastAsiaTheme="minorHAnsi" w:hAnsi="Times New Roman"/>
          <w:i/>
          <w:noProof/>
          <w:sz w:val="24"/>
        </w:rPr>
        <w:t>C</w:t>
      </w:r>
      <w:r>
        <w:rPr>
          <w:rFonts w:ascii="Times New Roman" w:eastAsiaTheme="minorHAnsi" w:hAnsi="Times New Roman"/>
          <w:i/>
          <w:noProof/>
          <w:sz w:val="24"/>
        </w:rPr>
        <w:t>OM(2017) 675 final</w:t>
      </w:r>
      <w:r>
        <w:rPr>
          <w:rFonts w:ascii="Times New Roman" w:eastAsiaTheme="minorHAnsi" w:hAnsi="Times New Roman"/>
          <w:noProof/>
          <w:sz w:val="24"/>
          <w:szCs w:val="24"/>
        </w:rPr>
        <w:t>, the second mobility package includes a combination of supply- and demand-oriented measures to speed up the transition towards low and zero emission mobility and strengthen the competitiveness of the European mobility and transport secto</w:t>
      </w:r>
      <w:r>
        <w:rPr>
          <w:rFonts w:ascii="Times New Roman" w:eastAsiaTheme="minorHAnsi" w:hAnsi="Times New Roman"/>
          <w:noProof/>
          <w:sz w:val="24"/>
          <w:szCs w:val="24"/>
        </w:rPr>
        <w:t>r</w:t>
      </w:r>
      <w:r>
        <w:rPr>
          <w:rFonts w:ascii="Times New Roman" w:eastAsiaTheme="minorHAnsi" w:hAnsi="Times New Roman"/>
          <w:noProof/>
          <w:sz w:val="24"/>
          <w:szCs w:val="24"/>
          <w:vertAlign w:val="superscript"/>
        </w:rPr>
        <w:footnoteReference w:id="4"/>
      </w:r>
      <w:r>
        <w:rPr>
          <w:rFonts w:ascii="Times New Roman" w:eastAsiaTheme="minorHAnsi" w:hAnsi="Times New Roman"/>
          <w:noProof/>
          <w:sz w:val="24"/>
          <w:szCs w:val="24"/>
        </w:rPr>
        <w:t xml:space="preserve">. </w:t>
      </w:r>
    </w:p>
    <w:p w:rsidR="002E627D" w:rsidRDefault="00CD232B">
      <w:pPr>
        <w:pStyle w:val="Text1"/>
        <w:spacing w:line="240" w:lineRule="auto"/>
        <w:ind w:left="0"/>
        <w:jc w:val="both"/>
        <w:rPr>
          <w:rFonts w:ascii="Times New Roman" w:hAnsi="Times New Roman"/>
          <w:noProof/>
          <w:sz w:val="24"/>
          <w:szCs w:val="24"/>
        </w:rPr>
      </w:pPr>
      <w:r>
        <w:rPr>
          <w:rFonts w:ascii="Times New Roman" w:hAnsi="Times New Roman"/>
          <w:noProof/>
          <w:sz w:val="24"/>
          <w:szCs w:val="24"/>
        </w:rPr>
        <w:t>With around 95% of road vehicles still conventionally fuelled, including renewable biofuels blends, the number of vehicles, and vessels, running on alternative energies</w:t>
      </w:r>
      <w:r>
        <w:rPr>
          <w:rStyle w:val="FootnoteReference"/>
          <w:rFonts w:ascii="Times New Roman" w:hAnsi="Times New Roman"/>
          <w:noProof/>
          <w:sz w:val="24"/>
          <w:szCs w:val="24"/>
        </w:rPr>
        <w:footnoteReference w:id="5"/>
      </w:r>
      <w:r>
        <w:rPr>
          <w:rFonts w:ascii="Times New Roman" w:hAnsi="Times New Roman"/>
          <w:noProof/>
          <w:sz w:val="24"/>
          <w:szCs w:val="24"/>
        </w:rPr>
        <w:t xml:space="preserve"> in the EU is too low. Persistent problems continue creating </w:t>
      </w:r>
      <w:r>
        <w:rPr>
          <w:rFonts w:ascii="Times New Roman" w:hAnsi="Times New Roman"/>
          <w:b/>
          <w:noProof/>
          <w:sz w:val="24"/>
          <w:szCs w:val="24"/>
        </w:rPr>
        <w:t xml:space="preserve">market barriers </w:t>
      </w:r>
      <w:r>
        <w:rPr>
          <w:rFonts w:ascii="Times New Roman" w:hAnsi="Times New Roman"/>
          <w:noProof/>
          <w:sz w:val="24"/>
          <w:szCs w:val="24"/>
        </w:rPr>
        <w:t xml:space="preserve">to their use. These include a lack of infrastructure for recharging and refuelling vehicles and vessels, insufficient smart grid development and difficulties for consumers to easily use the infrastructure. For the EU to successfully make the transition to </w:t>
      </w:r>
      <w:r>
        <w:rPr>
          <w:rFonts w:ascii="Times New Roman" w:hAnsi="Times New Roman"/>
          <w:noProof/>
          <w:sz w:val="24"/>
          <w:szCs w:val="24"/>
        </w:rPr>
        <w:t xml:space="preserve">low and zero emission mobility, an </w:t>
      </w:r>
      <w:r>
        <w:rPr>
          <w:rFonts w:ascii="Times New Roman" w:hAnsi="Times New Roman"/>
          <w:b/>
          <w:noProof/>
          <w:sz w:val="24"/>
          <w:szCs w:val="24"/>
        </w:rPr>
        <w:t>integrated approach is needed</w:t>
      </w:r>
      <w:r>
        <w:rPr>
          <w:rFonts w:ascii="Times New Roman" w:hAnsi="Times New Roman"/>
          <w:noProof/>
          <w:sz w:val="24"/>
          <w:szCs w:val="24"/>
        </w:rPr>
        <w:t xml:space="preserve">. It requires a common policy framework for vehicles, infrastructures, electricity grids, economic incentives and digital services working across EU, national, regional and local levels.  </w:t>
      </w:r>
    </w:p>
    <w:p w:rsidR="002E627D" w:rsidRDefault="00CD232B">
      <w:pPr>
        <w:pStyle w:val="Text1"/>
        <w:spacing w:line="240" w:lineRule="auto"/>
        <w:ind w:left="0"/>
        <w:jc w:val="both"/>
        <w:rPr>
          <w:rFonts w:ascii="Times New Roman" w:hAnsi="Times New Roman"/>
          <w:noProof/>
          <w:sz w:val="24"/>
          <w:szCs w:val="24"/>
        </w:rPr>
      </w:pPr>
      <w:r>
        <w:rPr>
          <w:rFonts w:ascii="Times New Roman" w:hAnsi="Times New Roman"/>
          <w:noProof/>
          <w:sz w:val="24"/>
          <w:szCs w:val="24"/>
        </w:rPr>
        <w:t>Thi</w:t>
      </w:r>
      <w:r>
        <w:rPr>
          <w:rFonts w:ascii="Times New Roman" w:hAnsi="Times New Roman"/>
          <w:noProof/>
          <w:sz w:val="24"/>
          <w:szCs w:val="24"/>
        </w:rPr>
        <w:t xml:space="preserve">s action plan highlights actions to complement and better implement national policy frameworks (NPFs) under Directive 2014/94/EU on alternative fuels infrastructure to help create an </w:t>
      </w:r>
      <w:r>
        <w:rPr>
          <w:rFonts w:ascii="Times New Roman" w:hAnsi="Times New Roman"/>
          <w:b/>
          <w:noProof/>
          <w:sz w:val="24"/>
          <w:szCs w:val="24"/>
        </w:rPr>
        <w:t>interoperable EU backbone infrastructure by 2025</w:t>
      </w:r>
      <w:r>
        <w:rPr>
          <w:rFonts w:ascii="Times New Roman" w:hAnsi="Times New Roman"/>
          <w:noProof/>
          <w:sz w:val="24"/>
          <w:szCs w:val="24"/>
        </w:rPr>
        <w:t>, particularly for the tr</w:t>
      </w:r>
      <w:r>
        <w:rPr>
          <w:rFonts w:ascii="Times New Roman" w:hAnsi="Times New Roman"/>
          <w:noProof/>
          <w:sz w:val="24"/>
          <w:szCs w:val="24"/>
        </w:rPr>
        <w:t xml:space="preserve">ans-European transport network (TEN-T) Core Network corridors so that vehicles and vessels can be easily used across borders and for long distances. Swift agreement between all relevant public and private actors on a common approach to interoperability of </w:t>
      </w:r>
      <w:r>
        <w:rPr>
          <w:rFonts w:ascii="Times New Roman" w:hAnsi="Times New Roman"/>
          <w:noProof/>
          <w:sz w:val="24"/>
          <w:szCs w:val="24"/>
        </w:rPr>
        <w:t xml:space="preserve">services is critical to this. </w:t>
      </w:r>
    </w:p>
    <w:p w:rsidR="002E627D" w:rsidRDefault="00CD232B">
      <w:pPr>
        <w:pStyle w:val="Text1"/>
        <w:spacing w:line="240" w:lineRule="auto"/>
        <w:ind w:left="0"/>
        <w:jc w:val="both"/>
        <w:rPr>
          <w:rFonts w:ascii="Times New Roman" w:hAnsi="Times New Roman"/>
          <w:noProof/>
          <w:sz w:val="24"/>
          <w:szCs w:val="24"/>
        </w:rPr>
      </w:pPr>
      <w:r>
        <w:rPr>
          <w:rFonts w:ascii="Times New Roman" w:hAnsi="Times New Roman"/>
          <w:noProof/>
          <w:sz w:val="24"/>
          <w:szCs w:val="24"/>
        </w:rPr>
        <w:t>Future deployment of infrastructure will require</w:t>
      </w:r>
      <w:r>
        <w:rPr>
          <w:rFonts w:ascii="Times New Roman" w:hAnsi="Times New Roman"/>
          <w:b/>
          <w:noProof/>
          <w:sz w:val="24"/>
          <w:szCs w:val="24"/>
        </w:rPr>
        <w:t xml:space="preserve"> significant public and private investment</w:t>
      </w:r>
      <w:r>
        <w:rPr>
          <w:rFonts w:ascii="Times New Roman" w:hAnsi="Times New Roman"/>
          <w:noProof/>
          <w:sz w:val="24"/>
          <w:szCs w:val="24"/>
        </w:rPr>
        <w:t>. Blending of non-repayable grants with repayable debt finance needs to become a standard, where feasible. Different support instrument</w:t>
      </w:r>
      <w:r>
        <w:rPr>
          <w:rFonts w:ascii="Times New Roman" w:hAnsi="Times New Roman"/>
          <w:noProof/>
          <w:sz w:val="24"/>
          <w:szCs w:val="24"/>
        </w:rPr>
        <w:t xml:space="preserve">s at EU level need to effectively work together. To this end the Commission will strengthen coordination of </w:t>
      </w:r>
      <w:r>
        <w:rPr>
          <w:rFonts w:ascii="Times New Roman" w:hAnsi="Times New Roman"/>
          <w:noProof/>
          <w:sz w:val="24"/>
          <w:szCs w:val="24"/>
        </w:rPr>
        <w:lastRenderedPageBreak/>
        <w:t xml:space="preserve">EU funding instruments and strive for synergies with action at national and local levels to increase the impact of EU funding. It will also address </w:t>
      </w:r>
      <w:r>
        <w:rPr>
          <w:rFonts w:ascii="Times New Roman" w:hAnsi="Times New Roman"/>
          <w:noProof/>
          <w:sz w:val="24"/>
          <w:szCs w:val="24"/>
        </w:rPr>
        <w:t xml:space="preserve">other issues critical for the deployment of alternative fuels infrastructure such as the integration of transport and energy systems. </w:t>
      </w:r>
    </w:p>
    <w:p w:rsidR="002E627D" w:rsidRDefault="00CD232B">
      <w:pPr>
        <w:pStyle w:val="Heading1"/>
        <w:shd w:val="clear" w:color="auto" w:fill="FFFFFF" w:themeFill="background1"/>
        <w:spacing w:before="360" w:line="240" w:lineRule="auto"/>
        <w:ind w:left="482" w:hanging="482"/>
        <w:rPr>
          <w:noProof/>
        </w:rPr>
      </w:pPr>
      <w:r>
        <w:rPr>
          <w:noProof/>
        </w:rPr>
        <w:t>Where do we stand?</w:t>
      </w:r>
    </w:p>
    <w:p w:rsidR="002E627D" w:rsidRDefault="00CD232B">
      <w:pPr>
        <w:pStyle w:val="Heading2"/>
        <w:shd w:val="clear" w:color="auto" w:fill="FFFFFF" w:themeFill="background1"/>
        <w:rPr>
          <w:noProof/>
        </w:rPr>
      </w:pPr>
      <w:r>
        <w:rPr>
          <w:noProof/>
        </w:rPr>
        <w:t>Current situation and needs estimates</w:t>
      </w:r>
    </w:p>
    <w:p w:rsidR="002E627D" w:rsidRDefault="00CD232B">
      <w:pPr>
        <w:pStyle w:val="Text1"/>
        <w:spacing w:line="240" w:lineRule="auto"/>
        <w:ind w:left="0"/>
        <w:jc w:val="both"/>
        <w:rPr>
          <w:rFonts w:ascii="Times New Roman" w:hAnsi="Times New Roman"/>
          <w:noProof/>
          <w:sz w:val="24"/>
          <w:szCs w:val="24"/>
        </w:rPr>
      </w:pPr>
      <w:r>
        <w:rPr>
          <w:rFonts w:ascii="Times New Roman" w:hAnsi="Times New Roman"/>
          <w:noProof/>
          <w:sz w:val="24"/>
          <w:szCs w:val="24"/>
        </w:rPr>
        <w:t xml:space="preserve">Deployment of </w:t>
      </w:r>
      <w:r>
        <w:rPr>
          <w:rFonts w:ascii="Times New Roman" w:hAnsi="Times New Roman"/>
          <w:b/>
          <w:noProof/>
          <w:sz w:val="24"/>
          <w:szCs w:val="24"/>
        </w:rPr>
        <w:t xml:space="preserve">infrastructure for alternative fuels has recently </w:t>
      </w:r>
      <w:r>
        <w:rPr>
          <w:rFonts w:ascii="Times New Roman" w:hAnsi="Times New Roman"/>
          <w:b/>
          <w:noProof/>
          <w:sz w:val="24"/>
          <w:szCs w:val="24"/>
        </w:rPr>
        <w:t>gained momentum</w:t>
      </w:r>
      <w:r>
        <w:rPr>
          <w:rFonts w:ascii="Times New Roman" w:hAnsi="Times New Roman"/>
          <w:noProof/>
          <w:sz w:val="24"/>
          <w:szCs w:val="24"/>
        </w:rPr>
        <w:t>. Important progress has been made in past years, also thanks to EU funding. According to the European Alternative Fuels Observatory, 118.000 publically accessible recharging points for electric vehicles, 3458 refuelling points for compresse</w:t>
      </w:r>
      <w:r>
        <w:rPr>
          <w:rFonts w:ascii="Times New Roman" w:hAnsi="Times New Roman"/>
          <w:noProof/>
          <w:sz w:val="24"/>
          <w:szCs w:val="24"/>
        </w:rPr>
        <w:t xml:space="preserve">d natural gas (CNG) or liquefied natural gas (LNG) vehicles and vessels and 82 refuelling points for hydrogen vehicles were available by the end of September 2017. </w:t>
      </w:r>
    </w:p>
    <w:p w:rsidR="002E627D" w:rsidRDefault="00CD232B">
      <w:pPr>
        <w:pStyle w:val="Text2"/>
        <w:shd w:val="clear" w:color="auto" w:fill="FFFFFF" w:themeFill="background1"/>
        <w:spacing w:line="240" w:lineRule="auto"/>
        <w:ind w:left="0"/>
        <w:jc w:val="both"/>
        <w:rPr>
          <w:rFonts w:ascii="Times New Roman" w:hAnsi="Times New Roman"/>
          <w:noProof/>
          <w:sz w:val="24"/>
          <w:szCs w:val="24"/>
        </w:rPr>
      </w:pPr>
      <w:r>
        <w:rPr>
          <w:rFonts w:ascii="Times New Roman" w:hAnsi="Times New Roman"/>
          <w:noProof/>
          <w:sz w:val="24"/>
          <w:szCs w:val="24"/>
        </w:rPr>
        <w:t xml:space="preserve">The EU must now </w:t>
      </w:r>
      <w:r>
        <w:rPr>
          <w:rFonts w:ascii="Times New Roman" w:hAnsi="Times New Roman"/>
          <w:b/>
          <w:noProof/>
          <w:sz w:val="24"/>
          <w:szCs w:val="24"/>
        </w:rPr>
        <w:t>accelerate deployment in two areas</w:t>
      </w:r>
      <w:r>
        <w:rPr>
          <w:rFonts w:ascii="Times New Roman" w:hAnsi="Times New Roman"/>
          <w:noProof/>
          <w:sz w:val="24"/>
          <w:szCs w:val="24"/>
        </w:rPr>
        <w:t>: first in the TEN-T core and comprehensi</w:t>
      </w:r>
      <w:r>
        <w:rPr>
          <w:rFonts w:ascii="Times New Roman" w:hAnsi="Times New Roman"/>
          <w:noProof/>
          <w:sz w:val="24"/>
          <w:szCs w:val="24"/>
        </w:rPr>
        <w:t>ve network. To this end, the Communication 'Europe on Move' of May 2017</w:t>
      </w:r>
      <w:r>
        <w:rPr>
          <w:rFonts w:ascii="Times New Roman" w:hAnsi="Times New Roman"/>
          <w:b/>
          <w:noProof/>
          <w:sz w:val="24"/>
          <w:szCs w:val="24"/>
        </w:rPr>
        <w:t xml:space="preserve"> </w:t>
      </w:r>
      <w:r>
        <w:rPr>
          <w:rFonts w:ascii="Times New Roman" w:hAnsi="Times New Roman"/>
          <w:noProof/>
          <w:sz w:val="24"/>
          <w:szCs w:val="24"/>
        </w:rPr>
        <w:t>has set a target for a</w:t>
      </w:r>
      <w:r>
        <w:rPr>
          <w:rFonts w:ascii="Times New Roman" w:hAnsi="Times New Roman"/>
          <w:b/>
          <w:noProof/>
          <w:sz w:val="24"/>
          <w:szCs w:val="24"/>
        </w:rPr>
        <w:t xml:space="preserve"> backbone infrastructure to be in place for the core network by 2025 the latest</w:t>
      </w:r>
      <w:r>
        <w:rPr>
          <w:rFonts w:ascii="Times New Roman" w:hAnsi="Times New Roman"/>
          <w:noProof/>
          <w:sz w:val="24"/>
          <w:szCs w:val="24"/>
        </w:rPr>
        <w:t xml:space="preserve">. </w:t>
      </w:r>
    </w:p>
    <w:p w:rsidR="002E627D" w:rsidRDefault="00CD232B">
      <w:pPr>
        <w:pStyle w:val="Text2"/>
        <w:shd w:val="clear" w:color="auto" w:fill="FFFFFF" w:themeFill="background1"/>
        <w:spacing w:line="240" w:lineRule="auto"/>
        <w:ind w:left="0"/>
        <w:jc w:val="both"/>
        <w:rPr>
          <w:rFonts w:ascii="Times New Roman" w:hAnsi="Times New Roman"/>
          <w:noProof/>
          <w:sz w:val="24"/>
          <w:szCs w:val="24"/>
        </w:rPr>
      </w:pPr>
      <w:r>
        <w:rPr>
          <w:rFonts w:ascii="Times New Roman" w:hAnsi="Times New Roman"/>
          <w:noProof/>
          <w:sz w:val="24"/>
          <w:szCs w:val="24"/>
        </w:rPr>
        <w:t xml:space="preserve">Secondly, infrastructure needs to be ramped up in </w:t>
      </w:r>
      <w:r>
        <w:rPr>
          <w:rFonts w:ascii="Times New Roman" w:hAnsi="Times New Roman"/>
          <w:b/>
          <w:noProof/>
          <w:sz w:val="24"/>
          <w:szCs w:val="24"/>
        </w:rPr>
        <w:t>urban and sub-urban areas</w:t>
      </w:r>
      <w:r>
        <w:rPr>
          <w:rFonts w:ascii="Times New Roman" w:hAnsi="Times New Roman"/>
          <w:noProof/>
          <w:sz w:val="24"/>
          <w:szCs w:val="24"/>
        </w:rPr>
        <w:t>, whe</w:t>
      </w:r>
      <w:r>
        <w:rPr>
          <w:rFonts w:ascii="Times New Roman" w:hAnsi="Times New Roman"/>
          <w:noProof/>
          <w:sz w:val="24"/>
          <w:szCs w:val="24"/>
        </w:rPr>
        <w:t>re vehicles are being used for most of the time</w:t>
      </w:r>
      <w:r>
        <w:rPr>
          <w:rFonts w:ascii="Times New Roman" w:hAnsi="Times New Roman"/>
          <w:noProof/>
          <w:sz w:val="24"/>
          <w:szCs w:val="24"/>
          <w:shd w:val="clear" w:color="auto" w:fill="FFFFFF" w:themeFill="background1"/>
        </w:rPr>
        <w:t>. The Commission expects that, investing into these two areas will produce also knock-on effects for the deployment of infrastructure in other areas.</w:t>
      </w:r>
      <w:r>
        <w:rPr>
          <w:rFonts w:ascii="Times New Roman" w:hAnsi="Times New Roman"/>
          <w:noProof/>
          <w:sz w:val="24"/>
          <w:szCs w:val="24"/>
        </w:rPr>
        <w:t xml:space="preserve"> </w:t>
      </w:r>
    </w:p>
    <w:p w:rsidR="002E627D" w:rsidRDefault="00CD232B">
      <w:pPr>
        <w:pStyle w:val="Text2"/>
        <w:shd w:val="clear" w:color="auto" w:fill="FFFFFF" w:themeFill="background1"/>
        <w:spacing w:after="120" w:line="240" w:lineRule="auto"/>
        <w:ind w:left="0"/>
        <w:jc w:val="both"/>
        <w:rPr>
          <w:rFonts w:ascii="Times New Roman" w:hAnsi="Times New Roman"/>
          <w:noProof/>
          <w:sz w:val="24"/>
          <w:szCs w:val="24"/>
        </w:rPr>
      </w:pPr>
      <w:r>
        <w:rPr>
          <w:rFonts w:ascii="Times New Roman" w:hAnsi="Times New Roman"/>
          <w:noProof/>
          <w:sz w:val="24"/>
          <w:szCs w:val="24"/>
        </w:rPr>
        <w:t>Creating the backbone infrastructure in the TEN-T core net</w:t>
      </w:r>
      <w:r>
        <w:rPr>
          <w:rFonts w:ascii="Times New Roman" w:hAnsi="Times New Roman"/>
          <w:noProof/>
          <w:sz w:val="24"/>
          <w:szCs w:val="24"/>
        </w:rPr>
        <w:t xml:space="preserve">work corridors appears least challenging. It is estimated that </w:t>
      </w:r>
      <w:r>
        <w:rPr>
          <w:rFonts w:ascii="Times New Roman" w:hAnsi="Times New Roman"/>
          <w:b/>
          <w:noProof/>
          <w:sz w:val="24"/>
          <w:szCs w:val="24"/>
        </w:rPr>
        <w:t>EUR 1.5 billion will be needed by 2025 to equip the corridors</w:t>
      </w:r>
      <w:r>
        <w:rPr>
          <w:rFonts w:ascii="Times New Roman" w:hAnsi="Times New Roman"/>
          <w:noProof/>
          <w:sz w:val="24"/>
          <w:szCs w:val="24"/>
          <w:vertAlign w:val="superscript"/>
        </w:rPr>
        <w:footnoteReference w:id="6"/>
      </w:r>
      <w:r>
        <w:rPr>
          <w:rFonts w:ascii="Times New Roman" w:hAnsi="Times New Roman"/>
          <w:noProof/>
          <w:sz w:val="24"/>
          <w:szCs w:val="24"/>
        </w:rPr>
        <w:t>. Gaps particularly concern recharging points for electric vehicles, but in some areas also refuelling points for heavy-duty vehicl</w:t>
      </w:r>
      <w:r>
        <w:rPr>
          <w:rFonts w:ascii="Times New Roman" w:hAnsi="Times New Roman"/>
          <w:noProof/>
          <w:sz w:val="24"/>
          <w:szCs w:val="24"/>
        </w:rPr>
        <w:t>es using liquefied natural gas (LNG).</w:t>
      </w:r>
    </w:p>
    <w:p w:rsidR="002E627D" w:rsidRDefault="00CD232B">
      <w:pPr>
        <w:pStyle w:val="Text2"/>
        <w:shd w:val="clear" w:color="auto" w:fill="FFFFFF" w:themeFill="background1"/>
        <w:spacing w:after="120" w:line="240" w:lineRule="auto"/>
        <w:ind w:left="0"/>
        <w:jc w:val="both"/>
        <w:rPr>
          <w:rFonts w:ascii="Times New Roman" w:hAnsi="Times New Roman"/>
          <w:b/>
          <w:noProof/>
          <w:sz w:val="24"/>
          <w:szCs w:val="24"/>
        </w:rPr>
      </w:pPr>
      <w:r>
        <w:rPr>
          <w:rFonts w:ascii="Times New Roman" w:hAnsi="Times New Roman"/>
          <w:b/>
          <w:noProof/>
          <w:sz w:val="24"/>
          <w:szCs w:val="24"/>
        </w:rPr>
        <w:t xml:space="preserve">Addressing the broader transportation network requires greater efforts. </w:t>
      </w:r>
    </w:p>
    <w:p w:rsidR="002E627D" w:rsidRDefault="00CD232B">
      <w:pPr>
        <w:pStyle w:val="Text2"/>
        <w:shd w:val="clear" w:color="auto" w:fill="FFFFFF" w:themeFill="background1"/>
        <w:spacing w:after="120" w:line="240" w:lineRule="auto"/>
        <w:ind w:left="0"/>
        <w:jc w:val="both"/>
        <w:rPr>
          <w:rFonts w:ascii="Times New Roman" w:hAnsi="Times New Roman"/>
          <w:noProof/>
          <w:sz w:val="24"/>
          <w:szCs w:val="24"/>
        </w:rPr>
      </w:pPr>
      <w:r>
        <w:rPr>
          <w:rFonts w:ascii="Times New Roman" w:hAnsi="Times New Roman"/>
          <w:noProof/>
          <w:sz w:val="24"/>
          <w:szCs w:val="24"/>
        </w:rPr>
        <w:t xml:space="preserve">The level of ambition between different Member States varies significantly. </w:t>
      </w:r>
    </w:p>
    <w:p w:rsidR="002E627D" w:rsidRDefault="00CD232B">
      <w:pPr>
        <w:pStyle w:val="Text2"/>
        <w:shd w:val="clear" w:color="auto" w:fill="FFFFFF" w:themeFill="background1"/>
        <w:spacing w:after="120" w:line="240" w:lineRule="auto"/>
        <w:ind w:left="0"/>
        <w:jc w:val="both"/>
        <w:rPr>
          <w:rFonts w:ascii="Times New Roman" w:eastAsia="Arial" w:hAnsi="Times New Roman"/>
          <w:noProof/>
          <w:spacing w:val="-1"/>
          <w:sz w:val="24"/>
          <w:szCs w:val="24"/>
        </w:rPr>
      </w:pPr>
      <w:r>
        <w:rPr>
          <w:rFonts w:ascii="Times New Roman" w:hAnsi="Times New Roman"/>
          <w:noProof/>
          <w:sz w:val="24"/>
          <w:szCs w:val="24"/>
        </w:rPr>
        <w:t xml:space="preserve">For example, only two Member State provide more than 100 recharging </w:t>
      </w:r>
      <w:r>
        <w:rPr>
          <w:rFonts w:ascii="Times New Roman" w:hAnsi="Times New Roman"/>
          <w:noProof/>
          <w:sz w:val="24"/>
          <w:szCs w:val="24"/>
        </w:rPr>
        <w:t xml:space="preserve">points for </w:t>
      </w:r>
      <w:r>
        <w:rPr>
          <w:rFonts w:ascii="Times New Roman" w:hAnsi="Times New Roman"/>
          <w:i/>
          <w:noProof/>
          <w:sz w:val="24"/>
          <w:szCs w:val="24"/>
        </w:rPr>
        <w:t>electric vehicles</w:t>
      </w:r>
      <w:r>
        <w:rPr>
          <w:rFonts w:ascii="Times New Roman" w:hAnsi="Times New Roman"/>
          <w:noProof/>
          <w:sz w:val="24"/>
          <w:szCs w:val="24"/>
        </w:rPr>
        <w:t xml:space="preserve"> per 100.000 city inhabitants</w:t>
      </w:r>
      <w:r>
        <w:rPr>
          <w:rStyle w:val="FootnoteReference"/>
          <w:rFonts w:ascii="Times New Roman" w:hAnsi="Times New Roman"/>
          <w:noProof/>
          <w:sz w:val="24"/>
          <w:szCs w:val="24"/>
        </w:rPr>
        <w:footnoteReference w:id="7"/>
      </w:r>
      <w:r>
        <w:rPr>
          <w:rFonts w:ascii="Times New Roman" w:hAnsi="Times New Roman"/>
          <w:noProof/>
          <w:sz w:val="24"/>
          <w:szCs w:val="24"/>
        </w:rPr>
        <w:t>.</w:t>
      </w:r>
      <w:r>
        <w:rPr>
          <w:rFonts w:ascii="Times New Roman" w:eastAsia="Arial" w:hAnsi="Times New Roman"/>
          <w:noProof/>
          <w:spacing w:val="-1"/>
          <w:sz w:val="24"/>
          <w:szCs w:val="24"/>
        </w:rPr>
        <w:t xml:space="preserve"> </w:t>
      </w:r>
    </w:p>
    <w:p w:rsidR="002E627D" w:rsidRDefault="00CD232B">
      <w:pPr>
        <w:pStyle w:val="Text2"/>
        <w:shd w:val="clear" w:color="auto" w:fill="FFFFFF" w:themeFill="background1"/>
        <w:spacing w:after="120" w:line="240" w:lineRule="auto"/>
        <w:ind w:left="0"/>
        <w:jc w:val="both"/>
        <w:rPr>
          <w:rFonts w:ascii="Times New Roman" w:hAnsi="Times New Roman"/>
          <w:noProof/>
          <w:sz w:val="24"/>
          <w:szCs w:val="24"/>
        </w:rPr>
      </w:pPr>
      <w:r>
        <w:rPr>
          <w:rFonts w:ascii="Times New Roman" w:hAnsi="Times New Roman"/>
          <w:noProof/>
          <w:sz w:val="24"/>
          <w:szCs w:val="24"/>
        </w:rPr>
        <w:t xml:space="preserve">As regards </w:t>
      </w:r>
      <w:r>
        <w:rPr>
          <w:rFonts w:ascii="Times New Roman" w:hAnsi="Times New Roman"/>
          <w:i/>
          <w:noProof/>
          <w:sz w:val="24"/>
          <w:szCs w:val="24"/>
        </w:rPr>
        <w:t>natural gas</w:t>
      </w:r>
      <w:r>
        <w:rPr>
          <w:rFonts w:ascii="Times New Roman" w:hAnsi="Times New Roman"/>
          <w:noProof/>
          <w:sz w:val="24"/>
          <w:szCs w:val="24"/>
        </w:rPr>
        <w:t>, the actions planned by Member States in their NPFs envisage adding 2599 to 2634 additional CNG refuelling points and 256 to 431 LNG refuelling points in 2025, though additional capacity planned under the NPFs will be concentrated in a few Member States o</w:t>
      </w:r>
      <w:r>
        <w:rPr>
          <w:rFonts w:ascii="Times New Roman" w:hAnsi="Times New Roman"/>
          <w:noProof/>
          <w:sz w:val="24"/>
          <w:szCs w:val="24"/>
        </w:rPr>
        <w:t xml:space="preserve">nly.  </w:t>
      </w:r>
    </w:p>
    <w:p w:rsidR="002E627D" w:rsidRDefault="00CD232B">
      <w:pPr>
        <w:pStyle w:val="Text2"/>
        <w:shd w:val="clear" w:color="auto" w:fill="FFFFFF" w:themeFill="background1"/>
        <w:spacing w:after="120" w:line="240" w:lineRule="auto"/>
        <w:ind w:left="0"/>
        <w:jc w:val="both"/>
        <w:rPr>
          <w:rFonts w:ascii="Times New Roman" w:hAnsi="Times New Roman"/>
          <w:noProof/>
          <w:sz w:val="24"/>
          <w:szCs w:val="24"/>
        </w:rPr>
      </w:pPr>
      <w:r>
        <w:rPr>
          <w:rFonts w:ascii="Times New Roman" w:hAnsi="Times New Roman"/>
          <w:noProof/>
          <w:sz w:val="24"/>
          <w:szCs w:val="24"/>
        </w:rPr>
        <w:t xml:space="preserve">For </w:t>
      </w:r>
      <w:r>
        <w:rPr>
          <w:rFonts w:ascii="Times New Roman" w:hAnsi="Times New Roman"/>
          <w:i/>
          <w:noProof/>
          <w:sz w:val="24"/>
          <w:szCs w:val="24"/>
        </w:rPr>
        <w:t>hydrogen</w:t>
      </w:r>
      <w:r>
        <w:rPr>
          <w:rFonts w:ascii="Times New Roman" w:hAnsi="Times New Roman"/>
          <w:noProof/>
          <w:sz w:val="24"/>
          <w:szCs w:val="24"/>
        </w:rPr>
        <w:t>, following the Impact Assessment for the proposal for the CO2 standards for cars and vans post-2020, the possible market share of hydrogen vehicles in 2025 is estimated to be between 0.3-0.4% of the total vehicle stock. The 820-842 refu</w:t>
      </w:r>
      <w:r>
        <w:rPr>
          <w:rFonts w:ascii="Times New Roman" w:hAnsi="Times New Roman"/>
          <w:noProof/>
          <w:sz w:val="24"/>
          <w:szCs w:val="24"/>
        </w:rPr>
        <w:t xml:space="preserve">elling </w:t>
      </w:r>
      <w:r>
        <w:rPr>
          <w:rFonts w:ascii="Times New Roman" w:hAnsi="Times New Roman"/>
          <w:noProof/>
          <w:sz w:val="24"/>
          <w:szCs w:val="24"/>
        </w:rPr>
        <w:lastRenderedPageBreak/>
        <w:t>stations planned under the NPFs are expected to accommodate the refuelling needs of 0.9-1.1 million vehicles in this scenario</w:t>
      </w:r>
      <w:r>
        <w:rPr>
          <w:rStyle w:val="FootnoteReference"/>
          <w:rFonts w:ascii="Times New Roman" w:hAnsi="Times New Roman"/>
          <w:noProof/>
          <w:sz w:val="24"/>
          <w:szCs w:val="24"/>
        </w:rPr>
        <w:footnoteReference w:id="8"/>
      </w:r>
      <w:r>
        <w:rPr>
          <w:rFonts w:ascii="Times New Roman" w:hAnsi="Times New Roman"/>
          <w:noProof/>
          <w:sz w:val="24"/>
          <w:szCs w:val="24"/>
        </w:rPr>
        <w:t xml:space="preserve"> .</w:t>
      </w:r>
    </w:p>
    <w:p w:rsidR="002E627D" w:rsidRDefault="00CD232B">
      <w:pPr>
        <w:pStyle w:val="Text2"/>
        <w:shd w:val="clear" w:color="auto" w:fill="FFFFFF" w:themeFill="background1"/>
        <w:spacing w:after="120" w:line="240" w:lineRule="auto"/>
        <w:ind w:left="0"/>
        <w:jc w:val="both"/>
        <w:rPr>
          <w:rFonts w:ascii="Times New Roman" w:hAnsi="Times New Roman"/>
          <w:noProof/>
          <w:sz w:val="24"/>
          <w:szCs w:val="24"/>
        </w:rPr>
      </w:pPr>
      <w:r>
        <w:rPr>
          <w:rFonts w:ascii="Times New Roman" w:hAnsi="Times New Roman"/>
          <w:noProof/>
          <w:sz w:val="24"/>
          <w:szCs w:val="24"/>
        </w:rPr>
        <w:t xml:space="preserve">Analysis of the NPFs under Directive 2014/94/EU results in the following </w:t>
      </w:r>
      <w:r>
        <w:rPr>
          <w:rFonts w:ascii="Times New Roman" w:hAnsi="Times New Roman"/>
          <w:b/>
          <w:noProof/>
          <w:sz w:val="24"/>
          <w:szCs w:val="24"/>
        </w:rPr>
        <w:t>estimates of infrastructure investment needs by</w:t>
      </w:r>
      <w:r>
        <w:rPr>
          <w:rFonts w:ascii="Times New Roman" w:hAnsi="Times New Roman"/>
          <w:b/>
          <w:noProof/>
          <w:sz w:val="24"/>
          <w:szCs w:val="24"/>
        </w:rPr>
        <w:t xml:space="preserve"> Member States</w:t>
      </w:r>
      <w:r>
        <w:rPr>
          <w:rFonts w:ascii="Times New Roman" w:hAnsi="Times New Roman"/>
          <w:noProof/>
          <w:sz w:val="24"/>
          <w:szCs w:val="24"/>
        </w:rPr>
        <w:t>, including the TEN-T core network corridors</w:t>
      </w:r>
      <w:r>
        <w:rPr>
          <w:rStyle w:val="FootnoteReference"/>
          <w:rFonts w:ascii="Times New Roman" w:hAnsi="Times New Roman"/>
          <w:noProof/>
          <w:sz w:val="24"/>
          <w:szCs w:val="24"/>
        </w:rPr>
        <w:footnoteReference w:id="9"/>
      </w:r>
      <w:r>
        <w:rPr>
          <w:rFonts w:ascii="Times New Roman" w:hAnsi="Times New Roman"/>
          <w:noProof/>
          <w:sz w:val="24"/>
          <w:szCs w:val="24"/>
        </w:rPr>
        <w:t xml:space="preserve">: </w:t>
      </w:r>
    </w:p>
    <w:p w:rsidR="002E627D" w:rsidRDefault="00CD232B">
      <w:pPr>
        <w:pStyle w:val="Text1"/>
        <w:numPr>
          <w:ilvl w:val="0"/>
          <w:numId w:val="45"/>
        </w:numPr>
        <w:shd w:val="clear" w:color="auto" w:fill="FFFFFF" w:themeFill="background1"/>
        <w:spacing w:after="0" w:line="240" w:lineRule="auto"/>
        <w:ind w:left="714" w:hanging="357"/>
        <w:jc w:val="both"/>
        <w:rPr>
          <w:rFonts w:ascii="Times New Roman" w:hAnsi="Times New Roman"/>
          <w:noProof/>
          <w:sz w:val="24"/>
          <w:szCs w:val="24"/>
        </w:rPr>
      </w:pPr>
      <w:r>
        <w:rPr>
          <w:rFonts w:ascii="Times New Roman" w:hAnsi="Times New Roman"/>
          <w:i/>
          <w:noProof/>
          <w:sz w:val="24"/>
          <w:szCs w:val="24"/>
        </w:rPr>
        <w:t xml:space="preserve">Electricity: </w:t>
      </w:r>
      <w:r>
        <w:rPr>
          <w:rFonts w:ascii="Times New Roman" w:hAnsi="Times New Roman"/>
          <w:noProof/>
          <w:sz w:val="24"/>
          <w:szCs w:val="24"/>
        </w:rPr>
        <w:t>up to EUR 904 million by 2020</w:t>
      </w:r>
      <w:r>
        <w:rPr>
          <w:rStyle w:val="FootnoteReference"/>
          <w:rFonts w:ascii="Times New Roman" w:hAnsi="Times New Roman"/>
          <w:noProof/>
          <w:sz w:val="24"/>
          <w:szCs w:val="24"/>
        </w:rPr>
        <w:footnoteReference w:id="10"/>
      </w:r>
      <w:r>
        <w:rPr>
          <w:rFonts w:ascii="Times New Roman" w:hAnsi="Times New Roman"/>
          <w:noProof/>
          <w:sz w:val="24"/>
          <w:szCs w:val="24"/>
        </w:rPr>
        <w:t>.</w:t>
      </w:r>
    </w:p>
    <w:p w:rsidR="002E627D" w:rsidRDefault="00CD232B">
      <w:pPr>
        <w:pStyle w:val="Text1"/>
        <w:numPr>
          <w:ilvl w:val="0"/>
          <w:numId w:val="45"/>
        </w:numPr>
        <w:shd w:val="clear" w:color="auto" w:fill="FFFFFF" w:themeFill="background1"/>
        <w:spacing w:after="60" w:line="240" w:lineRule="auto"/>
        <w:ind w:left="714" w:hanging="357"/>
        <w:jc w:val="both"/>
        <w:rPr>
          <w:rFonts w:ascii="Times New Roman" w:hAnsi="Times New Roman"/>
          <w:noProof/>
          <w:sz w:val="24"/>
          <w:szCs w:val="24"/>
        </w:rPr>
      </w:pPr>
      <w:r>
        <w:rPr>
          <w:rFonts w:ascii="Times New Roman" w:hAnsi="Times New Roman"/>
          <w:i/>
          <w:noProof/>
          <w:sz w:val="24"/>
          <w:szCs w:val="24"/>
        </w:rPr>
        <w:t>CNG:</w:t>
      </w:r>
      <w:r>
        <w:rPr>
          <w:rFonts w:ascii="Times New Roman" w:hAnsi="Times New Roman"/>
          <w:noProof/>
          <w:sz w:val="24"/>
          <w:szCs w:val="24"/>
        </w:rPr>
        <w:t xml:space="preserve"> up to EUR 357 million by 2020 and up to EUR 600 million by 2025 for CNG road vehicles</w:t>
      </w:r>
      <w:r>
        <w:rPr>
          <w:rStyle w:val="FootnoteReference"/>
          <w:rFonts w:ascii="Times New Roman" w:hAnsi="Times New Roman"/>
          <w:noProof/>
          <w:sz w:val="24"/>
          <w:szCs w:val="24"/>
        </w:rPr>
        <w:footnoteReference w:id="11"/>
      </w:r>
      <w:r>
        <w:rPr>
          <w:rFonts w:ascii="Times New Roman" w:hAnsi="Times New Roman"/>
          <w:noProof/>
          <w:sz w:val="24"/>
          <w:szCs w:val="24"/>
        </w:rPr>
        <w:t xml:space="preserve">. </w:t>
      </w:r>
    </w:p>
    <w:p w:rsidR="002E627D" w:rsidRDefault="00CD232B">
      <w:pPr>
        <w:pStyle w:val="Text1"/>
        <w:numPr>
          <w:ilvl w:val="0"/>
          <w:numId w:val="45"/>
        </w:numPr>
        <w:shd w:val="clear" w:color="auto" w:fill="FFFFFF" w:themeFill="background1"/>
        <w:spacing w:after="60" w:line="240" w:lineRule="auto"/>
        <w:ind w:left="714" w:hanging="357"/>
        <w:jc w:val="both"/>
        <w:rPr>
          <w:rFonts w:ascii="Times New Roman" w:hAnsi="Times New Roman"/>
          <w:noProof/>
          <w:sz w:val="24"/>
          <w:szCs w:val="24"/>
        </w:rPr>
      </w:pPr>
      <w:r>
        <w:rPr>
          <w:rFonts w:ascii="Times New Roman" w:hAnsi="Times New Roman"/>
          <w:i/>
          <w:noProof/>
          <w:sz w:val="24"/>
          <w:szCs w:val="24"/>
        </w:rPr>
        <w:t>LNG</w:t>
      </w:r>
      <w:r>
        <w:rPr>
          <w:rFonts w:ascii="Times New Roman" w:hAnsi="Times New Roman"/>
          <w:noProof/>
          <w:sz w:val="24"/>
          <w:szCs w:val="24"/>
        </w:rPr>
        <w:t xml:space="preserve">: up to EUR 257 million by 2025 for LNG road </w:t>
      </w:r>
      <w:r>
        <w:rPr>
          <w:rFonts w:ascii="Times New Roman" w:hAnsi="Times New Roman"/>
          <w:noProof/>
          <w:sz w:val="24"/>
          <w:szCs w:val="24"/>
        </w:rPr>
        <w:t>vehicles. For LNG for waterborne transport, up to EUR 945 million in the TEN-T Core Network Corridor seaports by 2025 and up to EUR 1 billion in the TEN-T Core Network Corridor inland ports by 2030.</w:t>
      </w:r>
    </w:p>
    <w:p w:rsidR="002E627D" w:rsidRDefault="00CD232B">
      <w:pPr>
        <w:pStyle w:val="Text1"/>
        <w:numPr>
          <w:ilvl w:val="0"/>
          <w:numId w:val="45"/>
        </w:numPr>
        <w:shd w:val="clear" w:color="auto" w:fill="FFFFFF" w:themeFill="background1"/>
        <w:spacing w:line="240" w:lineRule="auto"/>
        <w:ind w:left="714" w:hanging="357"/>
        <w:jc w:val="both"/>
        <w:rPr>
          <w:rFonts w:ascii="Times New Roman" w:hAnsi="Times New Roman"/>
          <w:noProof/>
          <w:sz w:val="24"/>
          <w:szCs w:val="24"/>
        </w:rPr>
      </w:pPr>
      <w:r>
        <w:rPr>
          <w:rFonts w:ascii="Times New Roman" w:hAnsi="Times New Roman"/>
          <w:i/>
          <w:noProof/>
          <w:sz w:val="24"/>
          <w:szCs w:val="24"/>
        </w:rPr>
        <w:t xml:space="preserve">Hydrogen: </w:t>
      </w:r>
      <w:r>
        <w:rPr>
          <w:rFonts w:ascii="Times New Roman" w:hAnsi="Times New Roman"/>
          <w:noProof/>
          <w:sz w:val="24"/>
          <w:szCs w:val="24"/>
        </w:rPr>
        <w:t>up to EUR 707 million by 2025.</w:t>
      </w:r>
    </w:p>
    <w:p w:rsidR="002E627D" w:rsidRDefault="00CD232B">
      <w:pPr>
        <w:pStyle w:val="Text1"/>
        <w:shd w:val="clear" w:color="auto" w:fill="FFFFFF" w:themeFill="background1"/>
        <w:spacing w:line="240" w:lineRule="auto"/>
        <w:ind w:left="0"/>
        <w:jc w:val="both"/>
        <w:rPr>
          <w:rFonts w:ascii="Times New Roman" w:hAnsi="Times New Roman"/>
          <w:noProof/>
          <w:sz w:val="24"/>
          <w:szCs w:val="24"/>
        </w:rPr>
      </w:pPr>
      <w:r>
        <w:rPr>
          <w:rFonts w:ascii="Times New Roman" w:hAnsi="Times New Roman"/>
          <w:noProof/>
          <w:sz w:val="24"/>
          <w:szCs w:val="24"/>
        </w:rPr>
        <w:t xml:space="preserve">For </w:t>
      </w:r>
      <w:r>
        <w:rPr>
          <w:rFonts w:ascii="Times New Roman" w:hAnsi="Times New Roman"/>
          <w:b/>
          <w:noProof/>
          <w:sz w:val="24"/>
          <w:szCs w:val="24"/>
        </w:rPr>
        <w:t xml:space="preserve">electricity </w:t>
      </w:r>
      <w:r>
        <w:rPr>
          <w:rFonts w:ascii="Times New Roman" w:hAnsi="Times New Roman"/>
          <w:noProof/>
          <w:sz w:val="24"/>
          <w:szCs w:val="24"/>
        </w:rPr>
        <w:t>these national plans fall short of the Commission's estimates of infrastructure. For electric vehicles, the Impact Assessment for Directive 2014/94/EU considered a conservative benchmark of 4 million electric vehicles on the road by 2020. This represents a</w:t>
      </w:r>
      <w:r>
        <w:rPr>
          <w:rFonts w:ascii="Times New Roman" w:hAnsi="Times New Roman"/>
          <w:noProof/>
          <w:sz w:val="24"/>
          <w:szCs w:val="24"/>
        </w:rPr>
        <w:t xml:space="preserve"> strong increase compared to today, but still corresponds to approximately 1.5 percent of today's vehicle stock only. </w:t>
      </w:r>
    </w:p>
    <w:p w:rsidR="002E627D" w:rsidRDefault="00CD232B">
      <w:pPr>
        <w:pStyle w:val="Text1"/>
        <w:shd w:val="clear" w:color="auto" w:fill="FFFFFF" w:themeFill="background1"/>
        <w:spacing w:line="240" w:lineRule="auto"/>
        <w:ind w:left="0"/>
        <w:jc w:val="both"/>
        <w:rPr>
          <w:rFonts w:ascii="Times New Roman" w:hAnsi="Times New Roman"/>
          <w:noProof/>
          <w:sz w:val="24"/>
          <w:szCs w:val="24"/>
        </w:rPr>
      </w:pPr>
      <w:r>
        <w:rPr>
          <w:rFonts w:ascii="Times New Roman" w:hAnsi="Times New Roman"/>
          <w:noProof/>
          <w:sz w:val="24"/>
          <w:szCs w:val="24"/>
        </w:rPr>
        <w:t>A more rapid increase of electric vehicles, leading to a share of 7 percent in 2025, as assumed by the Impact Assessment for the proposal</w:t>
      </w:r>
      <w:r>
        <w:rPr>
          <w:rFonts w:ascii="Times New Roman" w:hAnsi="Times New Roman"/>
          <w:noProof/>
          <w:sz w:val="24"/>
          <w:szCs w:val="24"/>
        </w:rPr>
        <w:t xml:space="preserve"> for CO</w:t>
      </w:r>
      <w:r>
        <w:rPr>
          <w:rFonts w:ascii="Times New Roman" w:hAnsi="Times New Roman"/>
          <w:noProof/>
          <w:sz w:val="24"/>
          <w:szCs w:val="24"/>
          <w:vertAlign w:val="subscript"/>
        </w:rPr>
        <w:t>2</w:t>
      </w:r>
      <w:r>
        <w:rPr>
          <w:rFonts w:ascii="Times New Roman" w:hAnsi="Times New Roman"/>
          <w:noProof/>
          <w:sz w:val="24"/>
          <w:szCs w:val="24"/>
        </w:rPr>
        <w:t xml:space="preserve"> emission performance standards for cars and vans post 2020</w:t>
      </w:r>
      <w:r>
        <w:rPr>
          <w:rStyle w:val="FootnoteReference"/>
          <w:rFonts w:ascii="Times New Roman" w:hAnsi="Times New Roman"/>
          <w:noProof/>
          <w:sz w:val="24"/>
          <w:szCs w:val="24"/>
        </w:rPr>
        <w:footnoteReference w:id="12"/>
      </w:r>
      <w:r>
        <w:rPr>
          <w:rFonts w:ascii="Times New Roman" w:hAnsi="Times New Roman"/>
          <w:noProof/>
          <w:sz w:val="24"/>
          <w:szCs w:val="24"/>
        </w:rPr>
        <w:t xml:space="preserve">, leads to even higher investment needs:  </w:t>
      </w:r>
    </w:p>
    <w:p w:rsidR="002E627D" w:rsidRDefault="00CD232B">
      <w:pPr>
        <w:pStyle w:val="Text1"/>
        <w:numPr>
          <w:ilvl w:val="0"/>
          <w:numId w:val="46"/>
        </w:numPr>
        <w:shd w:val="clear" w:color="auto" w:fill="FFFFFF" w:themeFill="background1"/>
        <w:spacing w:after="60" w:line="240" w:lineRule="auto"/>
        <w:ind w:left="777" w:hanging="357"/>
        <w:jc w:val="both"/>
        <w:rPr>
          <w:rFonts w:ascii="Times New Roman" w:hAnsi="Times New Roman"/>
          <w:noProof/>
          <w:sz w:val="24"/>
          <w:szCs w:val="24"/>
        </w:rPr>
      </w:pPr>
      <w:r>
        <w:rPr>
          <w:rFonts w:ascii="Times New Roman" w:hAnsi="Times New Roman"/>
          <w:noProof/>
          <w:sz w:val="24"/>
          <w:szCs w:val="24"/>
        </w:rPr>
        <w:t xml:space="preserve">By </w:t>
      </w:r>
      <w:r>
        <w:rPr>
          <w:rFonts w:ascii="Times New Roman" w:hAnsi="Times New Roman"/>
          <w:i/>
          <w:noProof/>
          <w:sz w:val="24"/>
          <w:szCs w:val="24"/>
        </w:rPr>
        <w:t>2020,</w:t>
      </w:r>
      <w:r>
        <w:rPr>
          <w:rFonts w:ascii="Times New Roman" w:hAnsi="Times New Roman"/>
          <w:noProof/>
          <w:sz w:val="24"/>
          <w:szCs w:val="24"/>
        </w:rPr>
        <w:t xml:space="preserve"> 440.000 public accessible recharging points would be needed - a significant increase compared to today.</w:t>
      </w:r>
      <w:r>
        <w:rPr>
          <w:rStyle w:val="FootnoteReference"/>
          <w:rFonts w:ascii="Times New Roman" w:hAnsi="Times New Roman"/>
          <w:noProof/>
          <w:sz w:val="24"/>
          <w:szCs w:val="24"/>
        </w:rPr>
        <w:footnoteReference w:id="13"/>
      </w:r>
      <w:r>
        <w:rPr>
          <w:rFonts w:ascii="Times New Roman" w:hAnsi="Times New Roman"/>
          <w:noProof/>
          <w:sz w:val="24"/>
          <w:szCs w:val="24"/>
        </w:rPr>
        <w:t xml:space="preserve"> This could require investment i</w:t>
      </w:r>
      <w:r>
        <w:rPr>
          <w:rFonts w:ascii="Times New Roman" w:hAnsi="Times New Roman"/>
          <w:noProof/>
          <w:sz w:val="24"/>
          <w:szCs w:val="24"/>
        </w:rPr>
        <w:t xml:space="preserve">nto publicly accessible recharging points of up to EUR 3.9 billion. </w:t>
      </w:r>
    </w:p>
    <w:p w:rsidR="002E627D" w:rsidRDefault="00CD232B">
      <w:pPr>
        <w:pStyle w:val="Text1"/>
        <w:numPr>
          <w:ilvl w:val="0"/>
          <w:numId w:val="46"/>
        </w:numPr>
        <w:shd w:val="clear" w:color="auto" w:fill="FFFFFF" w:themeFill="background1"/>
        <w:spacing w:after="60" w:line="240" w:lineRule="auto"/>
        <w:ind w:left="777" w:hanging="357"/>
        <w:jc w:val="both"/>
        <w:rPr>
          <w:rFonts w:ascii="Times New Roman" w:hAnsi="Times New Roman"/>
          <w:noProof/>
          <w:sz w:val="24"/>
          <w:szCs w:val="24"/>
        </w:rPr>
      </w:pPr>
      <w:r>
        <w:rPr>
          <w:rFonts w:ascii="Times New Roman" w:hAnsi="Times New Roman"/>
          <w:noProof/>
          <w:sz w:val="24"/>
          <w:szCs w:val="24"/>
        </w:rPr>
        <w:t>By 2025, around five times more or some 2 million publicly-accessible recharging points would be needed. If the share of fast-charging infrastructure increases to 5-15% of the overall cha</w:t>
      </w:r>
      <w:r>
        <w:rPr>
          <w:rFonts w:ascii="Times New Roman" w:hAnsi="Times New Roman"/>
          <w:noProof/>
          <w:sz w:val="24"/>
          <w:szCs w:val="24"/>
        </w:rPr>
        <w:t>rging infrastructure, investments in the order of in between EUR 2.7 to 3.8 billion could be required per year, as of 2021.</w:t>
      </w:r>
      <w:r>
        <w:rPr>
          <w:rStyle w:val="FootnoteReference"/>
          <w:rFonts w:ascii="Times New Roman" w:hAnsi="Times New Roman"/>
          <w:noProof/>
          <w:sz w:val="24"/>
          <w:szCs w:val="24"/>
        </w:rPr>
        <w:footnoteReference w:id="14"/>
      </w:r>
      <w:r>
        <w:rPr>
          <w:rFonts w:ascii="Times New Roman" w:hAnsi="Times New Roman"/>
          <w:noProof/>
          <w:sz w:val="24"/>
          <w:szCs w:val="24"/>
        </w:rPr>
        <w:t xml:space="preserve"> The majority of these investment needs would fall into in </w:t>
      </w:r>
      <w:r>
        <w:rPr>
          <w:rFonts w:ascii="Times New Roman" w:hAnsi="Times New Roman"/>
          <w:i/>
          <w:noProof/>
          <w:sz w:val="24"/>
          <w:szCs w:val="24"/>
        </w:rPr>
        <w:t>urban areas</w:t>
      </w:r>
      <w:r>
        <w:rPr>
          <w:rStyle w:val="FootnoteReference"/>
          <w:rFonts w:ascii="Times New Roman" w:hAnsi="Times New Roman"/>
          <w:noProof/>
          <w:sz w:val="24"/>
          <w:szCs w:val="24"/>
        </w:rPr>
        <w:footnoteReference w:id="15"/>
      </w:r>
      <w:r>
        <w:rPr>
          <w:rFonts w:ascii="Times New Roman" w:hAnsi="Times New Roman"/>
          <w:i/>
          <w:noProof/>
          <w:sz w:val="24"/>
          <w:szCs w:val="24"/>
        </w:rPr>
        <w:t>.</w:t>
      </w:r>
      <w:r>
        <w:rPr>
          <w:rFonts w:ascii="Times New Roman" w:hAnsi="Times New Roman"/>
          <w:noProof/>
          <w:sz w:val="24"/>
          <w:szCs w:val="24"/>
        </w:rPr>
        <w:t xml:space="preserve"> </w:t>
      </w:r>
    </w:p>
    <w:p w:rsidR="002E627D" w:rsidRDefault="002E627D">
      <w:pPr>
        <w:pStyle w:val="Text1"/>
        <w:shd w:val="clear" w:color="auto" w:fill="FFFFFF" w:themeFill="background1"/>
        <w:spacing w:after="0" w:line="240" w:lineRule="auto"/>
        <w:ind w:left="0"/>
        <w:jc w:val="both"/>
        <w:rPr>
          <w:rFonts w:ascii="Times New Roman" w:hAnsi="Times New Roman"/>
          <w:noProof/>
          <w:sz w:val="24"/>
          <w:szCs w:val="24"/>
        </w:rPr>
      </w:pPr>
    </w:p>
    <w:p w:rsidR="002E627D" w:rsidRDefault="00CD232B">
      <w:pPr>
        <w:pStyle w:val="Text1"/>
        <w:shd w:val="clear" w:color="auto" w:fill="FFFFFF" w:themeFill="background1"/>
        <w:spacing w:after="0" w:line="240" w:lineRule="auto"/>
        <w:ind w:left="0"/>
        <w:jc w:val="both"/>
        <w:rPr>
          <w:rFonts w:ascii="Times New Roman" w:hAnsi="Times New Roman"/>
          <w:noProof/>
          <w:sz w:val="24"/>
          <w:szCs w:val="24"/>
        </w:rPr>
      </w:pPr>
      <w:r>
        <w:rPr>
          <w:rFonts w:ascii="Times New Roman" w:hAnsi="Times New Roman"/>
          <w:noProof/>
          <w:sz w:val="24"/>
          <w:szCs w:val="24"/>
        </w:rPr>
        <w:lastRenderedPageBreak/>
        <w:t xml:space="preserve">For </w:t>
      </w:r>
      <w:r>
        <w:rPr>
          <w:rFonts w:ascii="Times New Roman" w:hAnsi="Times New Roman"/>
          <w:b/>
          <w:noProof/>
          <w:sz w:val="24"/>
          <w:szCs w:val="24"/>
        </w:rPr>
        <w:t>national gas and hydrogen</w:t>
      </w:r>
      <w:r>
        <w:rPr>
          <w:rFonts w:ascii="Times New Roman" w:hAnsi="Times New Roman"/>
          <w:noProof/>
          <w:sz w:val="24"/>
          <w:szCs w:val="24"/>
        </w:rPr>
        <w:t>, the actions planned by Mem</w:t>
      </w:r>
      <w:r>
        <w:rPr>
          <w:rFonts w:ascii="Times New Roman" w:hAnsi="Times New Roman"/>
          <w:noProof/>
          <w:sz w:val="24"/>
          <w:szCs w:val="24"/>
        </w:rPr>
        <w:t xml:space="preserve">ber States in their NPFs and the Commission estimates are congruent. </w:t>
      </w:r>
    </w:p>
    <w:p w:rsidR="002E627D" w:rsidRDefault="002E627D">
      <w:pPr>
        <w:pStyle w:val="Text1"/>
        <w:shd w:val="clear" w:color="auto" w:fill="FFFFFF" w:themeFill="background1"/>
        <w:spacing w:after="0" w:line="240" w:lineRule="auto"/>
        <w:ind w:left="0"/>
        <w:jc w:val="both"/>
        <w:rPr>
          <w:rFonts w:ascii="Times New Roman" w:hAnsi="Times New Roman"/>
          <w:noProof/>
          <w:sz w:val="24"/>
          <w:szCs w:val="24"/>
        </w:rPr>
      </w:pPr>
    </w:p>
    <w:tbl>
      <w:tblPr>
        <w:tblStyle w:val="TableGrid"/>
        <w:tblW w:w="0" w:type="auto"/>
        <w:tblLook w:val="04A0" w:firstRow="1" w:lastRow="0" w:firstColumn="1" w:lastColumn="0" w:noHBand="0" w:noVBand="1"/>
      </w:tblPr>
      <w:tblGrid>
        <w:gridCol w:w="8835"/>
      </w:tblGrid>
      <w:tr w:rsidR="002E627D">
        <w:tc>
          <w:tcPr>
            <w:tcW w:w="8835" w:type="dxa"/>
            <w:shd w:val="clear" w:color="auto" w:fill="948A54" w:themeFill="background2" w:themeFillShade="80"/>
          </w:tcPr>
          <w:p w:rsidR="002E627D" w:rsidRDefault="00CD232B">
            <w:pPr>
              <w:pStyle w:val="Text1"/>
              <w:spacing w:after="0" w:line="240" w:lineRule="auto"/>
              <w:ind w:left="0"/>
              <w:jc w:val="both"/>
              <w:rPr>
                <w:rFonts w:ascii="Times New Roman" w:hAnsi="Times New Roman"/>
                <w:b/>
                <w:noProof/>
                <w:sz w:val="24"/>
                <w:szCs w:val="24"/>
              </w:rPr>
            </w:pPr>
            <w:r>
              <w:rPr>
                <w:rFonts w:ascii="Times New Roman" w:hAnsi="Times New Roman"/>
                <w:noProof/>
                <w:sz w:val="24"/>
                <w:szCs w:val="24"/>
              </w:rPr>
              <w:t xml:space="preserve">Taken together, the </w:t>
            </w:r>
            <w:r>
              <w:rPr>
                <w:rFonts w:ascii="Times New Roman" w:hAnsi="Times New Roman"/>
                <w:b/>
                <w:noProof/>
                <w:sz w:val="24"/>
                <w:szCs w:val="24"/>
              </w:rPr>
              <w:t>total estimated investment needs</w:t>
            </w:r>
            <w:r>
              <w:rPr>
                <w:rFonts w:ascii="Times New Roman" w:hAnsi="Times New Roman"/>
                <w:noProof/>
                <w:sz w:val="24"/>
                <w:szCs w:val="24"/>
              </w:rPr>
              <w:t xml:space="preserve"> for publicly-accessible alternative fuels infrastructure in the EU amount to about </w:t>
            </w:r>
            <w:r>
              <w:rPr>
                <w:rFonts w:ascii="Times New Roman" w:hAnsi="Times New Roman"/>
                <w:b/>
                <w:noProof/>
                <w:sz w:val="24"/>
                <w:szCs w:val="24"/>
              </w:rPr>
              <w:t>EUR 5.2 billion by 2020</w:t>
            </w:r>
            <w:r>
              <w:rPr>
                <w:rFonts w:ascii="Times New Roman" w:hAnsi="Times New Roman"/>
                <w:noProof/>
                <w:sz w:val="24"/>
                <w:szCs w:val="24"/>
              </w:rPr>
              <w:t xml:space="preserve"> and additional </w:t>
            </w:r>
            <w:r>
              <w:rPr>
                <w:rFonts w:ascii="Times New Roman" w:hAnsi="Times New Roman"/>
                <w:b/>
                <w:noProof/>
                <w:sz w:val="24"/>
                <w:szCs w:val="24"/>
              </w:rPr>
              <w:t xml:space="preserve">EUR 16 </w:t>
            </w:r>
            <w:r>
              <w:rPr>
                <w:rFonts w:ascii="Times New Roman" w:hAnsi="Times New Roman"/>
                <w:b/>
                <w:noProof/>
                <w:sz w:val="24"/>
                <w:szCs w:val="24"/>
              </w:rPr>
              <w:t>billion to EUR 22 billion by 2025.</w:t>
            </w:r>
          </w:p>
          <w:p w:rsidR="002E627D" w:rsidRDefault="002E627D">
            <w:pPr>
              <w:pStyle w:val="Text1"/>
              <w:spacing w:after="0" w:line="240" w:lineRule="auto"/>
              <w:ind w:left="0"/>
              <w:jc w:val="both"/>
              <w:rPr>
                <w:rFonts w:ascii="Times New Roman" w:hAnsi="Times New Roman"/>
                <w:noProof/>
                <w:sz w:val="24"/>
                <w:szCs w:val="24"/>
              </w:rPr>
            </w:pPr>
          </w:p>
          <w:p w:rsidR="002E627D" w:rsidRDefault="00CD232B">
            <w:pPr>
              <w:pStyle w:val="Text1"/>
              <w:spacing w:after="0" w:line="240" w:lineRule="auto"/>
              <w:ind w:left="0"/>
              <w:jc w:val="both"/>
              <w:rPr>
                <w:rFonts w:ascii="Times New Roman" w:hAnsi="Times New Roman"/>
                <w:noProof/>
                <w:sz w:val="24"/>
                <w:szCs w:val="24"/>
              </w:rPr>
            </w:pPr>
            <w:r>
              <w:rPr>
                <w:rFonts w:ascii="Times New Roman" w:hAnsi="Times New Roman"/>
                <w:noProof/>
                <w:sz w:val="24"/>
                <w:szCs w:val="24"/>
              </w:rPr>
              <w:t>To address these significant needs, the public financial support should be used to trigger significant private investment, including through innovative financing.</w:t>
            </w:r>
          </w:p>
        </w:tc>
      </w:tr>
    </w:tbl>
    <w:p w:rsidR="002E627D" w:rsidRDefault="002E627D">
      <w:pPr>
        <w:pStyle w:val="Text1"/>
        <w:spacing w:after="0" w:line="240" w:lineRule="auto"/>
        <w:ind w:left="0"/>
        <w:jc w:val="both"/>
        <w:rPr>
          <w:rFonts w:ascii="Times New Roman" w:hAnsi="Times New Roman"/>
          <w:noProof/>
          <w:sz w:val="24"/>
          <w:szCs w:val="24"/>
        </w:rPr>
      </w:pPr>
    </w:p>
    <w:p w:rsidR="002E627D" w:rsidRDefault="00CD232B">
      <w:pPr>
        <w:pStyle w:val="Text1"/>
        <w:shd w:val="clear" w:color="auto" w:fill="FFFFFF" w:themeFill="background1"/>
        <w:spacing w:line="240" w:lineRule="auto"/>
        <w:ind w:left="0"/>
        <w:jc w:val="both"/>
        <w:rPr>
          <w:rFonts w:ascii="Times New Roman" w:hAnsi="Times New Roman"/>
          <w:noProof/>
          <w:sz w:val="24"/>
          <w:szCs w:val="24"/>
        </w:rPr>
      </w:pPr>
      <w:r>
        <w:rPr>
          <w:rFonts w:ascii="Times New Roman" w:hAnsi="Times New Roman"/>
          <w:noProof/>
          <w:sz w:val="24"/>
          <w:szCs w:val="24"/>
        </w:rPr>
        <w:t xml:space="preserve">It has to be noted that any estimate of investment needs is affected </w:t>
      </w:r>
      <w:r>
        <w:rPr>
          <w:rFonts w:ascii="Times New Roman" w:hAnsi="Times New Roman"/>
          <w:noProof/>
          <w:sz w:val="24"/>
          <w:szCs w:val="24"/>
          <w:shd w:val="clear" w:color="auto" w:fill="FFFFFF" w:themeFill="background1"/>
        </w:rPr>
        <w:t>by</w:t>
      </w:r>
      <w:r>
        <w:rPr>
          <w:rFonts w:ascii="Times New Roman" w:hAnsi="Times New Roman"/>
          <w:noProof/>
          <w:sz w:val="24"/>
          <w:szCs w:val="24"/>
        </w:rPr>
        <w:t xml:space="preserve"> </w:t>
      </w:r>
      <w:r>
        <w:rPr>
          <w:rFonts w:ascii="Times New Roman" w:hAnsi="Times New Roman"/>
          <w:b/>
          <w:noProof/>
          <w:sz w:val="24"/>
          <w:szCs w:val="24"/>
        </w:rPr>
        <w:t>considerable uncertainties</w:t>
      </w:r>
      <w:r>
        <w:rPr>
          <w:rFonts w:ascii="Times New Roman" w:hAnsi="Times New Roman"/>
          <w:noProof/>
          <w:sz w:val="24"/>
          <w:szCs w:val="24"/>
        </w:rPr>
        <w:t xml:space="preserve"> regarding the density of future slow- and fast-charging infrastructure,</w:t>
      </w:r>
      <w:r>
        <w:rPr>
          <w:rFonts w:ascii="Times New Roman" w:hAnsi="Times New Roman"/>
          <w:noProof/>
          <w:sz w:val="24"/>
          <w:szCs w:val="24"/>
          <w:shd w:val="clear" w:color="auto" w:fill="FFFFFF" w:themeFill="background1"/>
        </w:rPr>
        <w:t xml:space="preserve"> vehicle demand and technology developments (e.g. battery power). </w:t>
      </w:r>
    </w:p>
    <w:p w:rsidR="002E627D" w:rsidRDefault="00CD232B">
      <w:pPr>
        <w:pStyle w:val="Text1"/>
        <w:spacing w:line="240" w:lineRule="auto"/>
        <w:ind w:left="0"/>
        <w:jc w:val="both"/>
        <w:rPr>
          <w:rFonts w:ascii="Times New Roman" w:hAnsi="Times New Roman"/>
          <w:noProof/>
          <w:sz w:val="24"/>
          <w:szCs w:val="24"/>
        </w:rPr>
      </w:pPr>
      <w:r>
        <w:rPr>
          <w:rFonts w:ascii="Times New Roman" w:hAnsi="Times New Roman"/>
          <w:noProof/>
          <w:sz w:val="24"/>
          <w:szCs w:val="24"/>
        </w:rPr>
        <w:t>The</w:t>
      </w:r>
      <w:r>
        <w:rPr>
          <w:rFonts w:ascii="Times New Roman" w:hAnsi="Times New Roman"/>
          <w:b/>
          <w:noProof/>
          <w:sz w:val="24"/>
          <w:szCs w:val="24"/>
        </w:rPr>
        <w:t xml:space="preserve"> </w:t>
      </w:r>
      <w:r>
        <w:rPr>
          <w:rFonts w:ascii="Times New Roman" w:hAnsi="Times New Roman"/>
          <w:noProof/>
          <w:sz w:val="24"/>
          <w:szCs w:val="24"/>
        </w:rPr>
        <w:t>Commission</w:t>
      </w:r>
      <w:r>
        <w:rPr>
          <w:rFonts w:ascii="Times New Roman" w:hAnsi="Times New Roman"/>
          <w:b/>
          <w:noProof/>
          <w:sz w:val="24"/>
          <w:szCs w:val="24"/>
        </w:rPr>
        <w:t xml:space="preserve"> </w:t>
      </w:r>
      <w:r>
        <w:rPr>
          <w:rFonts w:ascii="Times New Roman" w:hAnsi="Times New Roman"/>
          <w:noProof/>
          <w:sz w:val="24"/>
          <w:szCs w:val="24"/>
        </w:rPr>
        <w:t>ther</w:t>
      </w:r>
      <w:r>
        <w:rPr>
          <w:rFonts w:ascii="Times New Roman" w:hAnsi="Times New Roman"/>
          <w:noProof/>
          <w:sz w:val="24"/>
          <w:szCs w:val="24"/>
        </w:rPr>
        <w:t>efore</w:t>
      </w:r>
      <w:r>
        <w:rPr>
          <w:rFonts w:ascii="Times New Roman" w:hAnsi="Times New Roman"/>
          <w:b/>
          <w:noProof/>
          <w:sz w:val="24"/>
          <w:szCs w:val="24"/>
        </w:rPr>
        <w:t xml:space="preserve"> </w:t>
      </w:r>
      <w:r>
        <w:rPr>
          <w:rFonts w:ascii="Times New Roman" w:hAnsi="Times New Roman"/>
          <w:noProof/>
          <w:sz w:val="24"/>
          <w:szCs w:val="24"/>
        </w:rPr>
        <w:t>welcomes that major European automakers have recently pledged to bring a greater number of battery-electric vehicles into the market by 2020</w:t>
      </w:r>
      <w:r>
        <w:rPr>
          <w:rStyle w:val="FootnoteReference"/>
          <w:rFonts w:ascii="Times New Roman" w:hAnsi="Times New Roman"/>
          <w:noProof/>
          <w:sz w:val="24"/>
          <w:szCs w:val="24"/>
        </w:rPr>
        <w:footnoteReference w:id="16"/>
      </w:r>
      <w:r>
        <w:rPr>
          <w:rFonts w:ascii="Times New Roman" w:hAnsi="Times New Roman"/>
          <w:noProof/>
          <w:sz w:val="24"/>
          <w:szCs w:val="24"/>
        </w:rPr>
        <w:t xml:space="preserve">. It creates greater certainty for investments into infrastructure. The Commission calls upon the automotive </w:t>
      </w:r>
      <w:r>
        <w:rPr>
          <w:rFonts w:ascii="Times New Roman" w:hAnsi="Times New Roman"/>
          <w:noProof/>
          <w:sz w:val="24"/>
          <w:szCs w:val="24"/>
        </w:rPr>
        <w:t xml:space="preserve">sector to maintain and step up investment into other relevant low- and zero-emission technologies too. </w:t>
      </w:r>
    </w:p>
    <w:p w:rsidR="002E627D" w:rsidRDefault="00CD232B">
      <w:pPr>
        <w:pStyle w:val="Text1"/>
        <w:spacing w:line="240" w:lineRule="auto"/>
        <w:ind w:left="0"/>
        <w:jc w:val="both"/>
        <w:rPr>
          <w:rFonts w:ascii="Times New Roman" w:eastAsia="Arial" w:hAnsi="Times New Roman"/>
          <w:noProof/>
          <w:spacing w:val="-1"/>
          <w:sz w:val="24"/>
          <w:szCs w:val="24"/>
        </w:rPr>
      </w:pPr>
      <w:r>
        <w:rPr>
          <w:rFonts w:ascii="Times New Roman" w:eastAsia="Arial" w:hAnsi="Times New Roman"/>
          <w:noProof/>
          <w:spacing w:val="-1"/>
          <w:sz w:val="24"/>
          <w:szCs w:val="24"/>
        </w:rPr>
        <w:t>In view of the considerable uncertainties, lowering the risks for private investors with targeted mitigation instruments such dedicated loans or guarant</w:t>
      </w:r>
      <w:r>
        <w:rPr>
          <w:rFonts w:ascii="Times New Roman" w:eastAsia="Arial" w:hAnsi="Times New Roman"/>
          <w:noProof/>
          <w:spacing w:val="-1"/>
          <w:sz w:val="24"/>
          <w:szCs w:val="24"/>
        </w:rPr>
        <w:t xml:space="preserve">ees underwritten by the public sector is crucially important. Furthermore, clear long-term policy orientation is needed. NPFs under Directive 2014/94/EU have a central role to play in this respect.  </w:t>
      </w:r>
    </w:p>
    <w:p w:rsidR="002E627D" w:rsidRDefault="00CD232B">
      <w:pPr>
        <w:pStyle w:val="Heading2"/>
        <w:rPr>
          <w:noProof/>
        </w:rPr>
      </w:pPr>
      <w:r>
        <w:rPr>
          <w:noProof/>
        </w:rPr>
        <w:t>National policy frameworks for alternative fuels infrast</w:t>
      </w:r>
      <w:r>
        <w:rPr>
          <w:noProof/>
        </w:rPr>
        <w:t>ructure</w:t>
      </w:r>
    </w:p>
    <w:p w:rsidR="002E627D" w:rsidRDefault="00CD232B">
      <w:pPr>
        <w:pStyle w:val="Text1"/>
        <w:spacing w:line="240" w:lineRule="auto"/>
        <w:ind w:left="0"/>
        <w:jc w:val="both"/>
        <w:rPr>
          <w:rFonts w:ascii="Times New Roman" w:hAnsi="Times New Roman"/>
          <w:noProof/>
          <w:sz w:val="24"/>
          <w:szCs w:val="24"/>
        </w:rPr>
      </w:pPr>
      <w:r>
        <w:rPr>
          <w:rFonts w:ascii="Times New Roman" w:hAnsi="Times New Roman"/>
          <w:noProof/>
          <w:sz w:val="24"/>
          <w:szCs w:val="24"/>
        </w:rPr>
        <w:t>Directive 2014/94/EU requires Member States to set up national policy frameworks (NPFs) providing for minimum infrastructure coverage by 2020, 2025 and 2030, depending on the fuel, and to notify the NPFs to the Commission by 18 November 2016.</w:t>
      </w:r>
      <w:r>
        <w:rPr>
          <w:rStyle w:val="FootnoteReference"/>
          <w:rFonts w:ascii="Times New Roman" w:hAnsi="Times New Roman"/>
          <w:noProof/>
          <w:sz w:val="24"/>
          <w:szCs w:val="24"/>
        </w:rPr>
        <w:footnoteReference w:id="17"/>
      </w:r>
      <w:r>
        <w:rPr>
          <w:rFonts w:ascii="Times New Roman" w:hAnsi="Times New Roman"/>
          <w:noProof/>
          <w:sz w:val="24"/>
          <w:szCs w:val="24"/>
        </w:rPr>
        <w:t xml:space="preserve"> Purs</w:t>
      </w:r>
      <w:r>
        <w:rPr>
          <w:rFonts w:ascii="Times New Roman" w:hAnsi="Times New Roman"/>
          <w:noProof/>
          <w:sz w:val="24"/>
          <w:szCs w:val="24"/>
        </w:rPr>
        <w:t xml:space="preserve">uant to Article 3(1) of the Directive the NPFs shall </w:t>
      </w:r>
      <w:r>
        <w:rPr>
          <w:rFonts w:ascii="Times New Roman" w:hAnsi="Times New Roman"/>
          <w:b/>
          <w:noProof/>
          <w:sz w:val="24"/>
          <w:szCs w:val="24"/>
        </w:rPr>
        <w:t>set clear long-term targets and objectives as well as stipulate adequate support measures,</w:t>
      </w:r>
      <w:r>
        <w:rPr>
          <w:rFonts w:ascii="Times New Roman" w:hAnsi="Times New Roman"/>
          <w:noProof/>
          <w:sz w:val="24"/>
          <w:szCs w:val="24"/>
        </w:rPr>
        <w:t xml:space="preserve"> to provide long-term policy certainty for markets.</w:t>
      </w:r>
    </w:p>
    <w:p w:rsidR="002E627D" w:rsidRDefault="00CD232B">
      <w:pPr>
        <w:pStyle w:val="Text1"/>
        <w:spacing w:line="240" w:lineRule="auto"/>
        <w:ind w:left="0"/>
        <w:jc w:val="both"/>
        <w:rPr>
          <w:rFonts w:ascii="Times New Roman" w:hAnsi="Times New Roman"/>
          <w:noProof/>
          <w:sz w:val="24"/>
          <w:szCs w:val="24"/>
        </w:rPr>
      </w:pPr>
      <w:r>
        <w:rPr>
          <w:rFonts w:ascii="Times New Roman" w:hAnsi="Times New Roman"/>
          <w:noProof/>
          <w:sz w:val="24"/>
          <w:szCs w:val="24"/>
        </w:rPr>
        <w:t>As required by Article 10(2) of the Directive, the Commission</w:t>
      </w:r>
      <w:r>
        <w:rPr>
          <w:rFonts w:ascii="Times New Roman" w:hAnsi="Times New Roman"/>
          <w:noProof/>
          <w:sz w:val="24"/>
          <w:szCs w:val="24"/>
        </w:rPr>
        <w:t xml:space="preserve"> has assessed the NPFs and their coherence at Union level. It has evaluated if the NPFs enable the Member State in question to attain the targets and objectives it has set itself as required by Article 3(1). This Communication reports on this assessment in</w:t>
      </w:r>
      <w:r>
        <w:rPr>
          <w:rFonts w:ascii="Times New Roman" w:hAnsi="Times New Roman"/>
          <w:noProof/>
          <w:sz w:val="24"/>
          <w:szCs w:val="24"/>
        </w:rPr>
        <w:t xml:space="preserve"> the parts below.</w:t>
      </w:r>
    </w:p>
    <w:p w:rsidR="002E627D" w:rsidRDefault="00CD232B">
      <w:pPr>
        <w:pStyle w:val="Text1"/>
        <w:spacing w:line="240" w:lineRule="auto"/>
        <w:ind w:left="0"/>
        <w:jc w:val="both"/>
        <w:rPr>
          <w:rFonts w:ascii="Times New Roman" w:hAnsi="Times New Roman"/>
          <w:noProof/>
          <w:sz w:val="24"/>
          <w:szCs w:val="24"/>
        </w:rPr>
      </w:pPr>
      <w:r>
        <w:rPr>
          <w:rFonts w:ascii="Times New Roman" w:hAnsi="Times New Roman"/>
          <w:noProof/>
          <w:sz w:val="24"/>
          <w:szCs w:val="24"/>
        </w:rPr>
        <w:t xml:space="preserve">The </w:t>
      </w:r>
      <w:r>
        <w:rPr>
          <w:rFonts w:ascii="Times New Roman" w:hAnsi="Times New Roman"/>
          <w:b/>
          <w:noProof/>
          <w:sz w:val="24"/>
          <w:szCs w:val="24"/>
        </w:rPr>
        <w:t>completeness, coherence and ambition</w:t>
      </w:r>
      <w:r>
        <w:rPr>
          <w:rFonts w:ascii="Times New Roman" w:hAnsi="Times New Roman"/>
          <w:noProof/>
          <w:sz w:val="24"/>
          <w:szCs w:val="24"/>
        </w:rPr>
        <w:t xml:space="preserve"> </w:t>
      </w:r>
      <w:r>
        <w:rPr>
          <w:rFonts w:ascii="Times New Roman" w:hAnsi="Times New Roman"/>
          <w:b/>
          <w:noProof/>
          <w:sz w:val="24"/>
          <w:szCs w:val="24"/>
        </w:rPr>
        <w:t>of the NPFs</w:t>
      </w:r>
      <w:r>
        <w:rPr>
          <w:rFonts w:ascii="Times New Roman" w:hAnsi="Times New Roman"/>
          <w:noProof/>
          <w:sz w:val="24"/>
          <w:szCs w:val="24"/>
        </w:rPr>
        <w:t xml:space="preserve"> </w:t>
      </w:r>
      <w:r>
        <w:rPr>
          <w:rFonts w:ascii="Times New Roman" w:hAnsi="Times New Roman"/>
          <w:b/>
          <w:noProof/>
          <w:sz w:val="24"/>
          <w:szCs w:val="24"/>
        </w:rPr>
        <w:t>vary greatly</w:t>
      </w:r>
      <w:r>
        <w:rPr>
          <w:rFonts w:ascii="Times New Roman" w:hAnsi="Times New Roman"/>
          <w:noProof/>
          <w:sz w:val="24"/>
          <w:szCs w:val="24"/>
        </w:rPr>
        <w:t>.</w:t>
      </w:r>
      <w:r>
        <w:rPr>
          <w:rStyle w:val="FootnoteReference"/>
          <w:rFonts w:ascii="Times New Roman" w:hAnsi="Times New Roman"/>
          <w:noProof/>
          <w:sz w:val="24"/>
          <w:szCs w:val="24"/>
        </w:rPr>
        <w:footnoteReference w:id="18"/>
      </w:r>
      <w:r>
        <w:rPr>
          <w:rFonts w:ascii="Times New Roman" w:hAnsi="Times New Roman"/>
          <w:noProof/>
          <w:sz w:val="24"/>
          <w:szCs w:val="24"/>
        </w:rPr>
        <w:t xml:space="preserve"> By 6 November 2017, only 8 out of 25 NPFs</w:t>
      </w:r>
      <w:r>
        <w:rPr>
          <w:rStyle w:val="FootnoteReference"/>
          <w:rFonts w:ascii="Times New Roman" w:hAnsi="Times New Roman"/>
          <w:noProof/>
          <w:sz w:val="24"/>
          <w:szCs w:val="24"/>
        </w:rPr>
        <w:footnoteReference w:id="19"/>
      </w:r>
      <w:r>
        <w:rPr>
          <w:rFonts w:ascii="Times New Roman" w:hAnsi="Times New Roman"/>
          <w:noProof/>
          <w:sz w:val="24"/>
          <w:szCs w:val="24"/>
        </w:rPr>
        <w:t xml:space="preserve"> fully meet the NPF requirements</w:t>
      </w:r>
      <w:r>
        <w:rPr>
          <w:rStyle w:val="FootnoteReference"/>
          <w:rFonts w:ascii="Times New Roman" w:hAnsi="Times New Roman"/>
          <w:noProof/>
          <w:sz w:val="24"/>
          <w:szCs w:val="24"/>
        </w:rPr>
        <w:footnoteReference w:id="20"/>
      </w:r>
      <w:r>
        <w:rPr>
          <w:rFonts w:ascii="Times New Roman" w:hAnsi="Times New Roman"/>
          <w:noProof/>
          <w:sz w:val="24"/>
          <w:szCs w:val="24"/>
        </w:rPr>
        <w:t>. 2 Member States have not submitted their NPF until today</w:t>
      </w:r>
      <w:r>
        <w:rPr>
          <w:rStyle w:val="FootnoteReference"/>
          <w:rFonts w:ascii="Times New Roman" w:hAnsi="Times New Roman"/>
          <w:noProof/>
          <w:sz w:val="24"/>
          <w:szCs w:val="24"/>
        </w:rPr>
        <w:footnoteReference w:id="21"/>
      </w:r>
      <w:r>
        <w:rPr>
          <w:rFonts w:ascii="Times New Roman" w:hAnsi="Times New Roman"/>
          <w:noProof/>
          <w:sz w:val="24"/>
          <w:szCs w:val="24"/>
        </w:rPr>
        <w:t xml:space="preserve">. The NPFs are not coherent from an </w:t>
      </w:r>
      <w:r>
        <w:rPr>
          <w:rFonts w:ascii="Times New Roman" w:hAnsi="Times New Roman"/>
          <w:noProof/>
          <w:sz w:val="24"/>
          <w:szCs w:val="24"/>
        </w:rPr>
        <w:t xml:space="preserve">EU perspective in terms of the priorities they set and how ambitious they are with regard to </w:t>
      </w:r>
      <w:r>
        <w:rPr>
          <w:rFonts w:ascii="Times New Roman" w:hAnsi="Times New Roman"/>
          <w:noProof/>
          <w:sz w:val="24"/>
          <w:szCs w:val="24"/>
        </w:rPr>
        <w:lastRenderedPageBreak/>
        <w:t>different alternative fuels. Member States’ ambition to change the current state of affairs varies a lot, both in terms of projected deployment of vehicles and ves</w:t>
      </w:r>
      <w:r>
        <w:rPr>
          <w:rFonts w:ascii="Times New Roman" w:hAnsi="Times New Roman"/>
          <w:noProof/>
          <w:sz w:val="24"/>
          <w:szCs w:val="24"/>
        </w:rPr>
        <w:t>sels running on alternative energy and the related infrastructure. Most importantly, only a few NPFs set clear and sufficient targets and objectives and suggest support measures.</w:t>
      </w:r>
      <w:r>
        <w:rPr>
          <w:rStyle w:val="FootnoteReference"/>
          <w:rFonts w:ascii="Times New Roman" w:hAnsi="Times New Roman"/>
          <w:noProof/>
          <w:sz w:val="24"/>
          <w:szCs w:val="24"/>
        </w:rPr>
        <w:footnoteReference w:id="22"/>
      </w:r>
      <w:r>
        <w:rPr>
          <w:rFonts w:ascii="Times New Roman" w:hAnsi="Times New Roman"/>
          <w:noProof/>
          <w:sz w:val="24"/>
          <w:szCs w:val="24"/>
        </w:rPr>
        <w:t xml:space="preserve"> 1 NPF contains no targets.</w:t>
      </w:r>
    </w:p>
    <w:p w:rsidR="002E627D" w:rsidRDefault="00CD232B" w:rsidP="00CD232B">
      <w:pPr>
        <w:keepNext/>
        <w:spacing w:line="240" w:lineRule="auto"/>
        <w:jc w:val="both"/>
        <w:rPr>
          <w:rFonts w:ascii="Times New Roman" w:hAnsi="Times New Roman"/>
          <w:i/>
          <w:noProof/>
          <w:sz w:val="24"/>
          <w:szCs w:val="24"/>
        </w:rPr>
      </w:pPr>
      <w:r>
        <w:rPr>
          <w:rFonts w:ascii="Times New Roman" w:hAnsi="Times New Roman"/>
          <w:i/>
          <w:noProof/>
          <w:sz w:val="24"/>
          <w:szCs w:val="24"/>
        </w:rPr>
        <w:t>Electricity</w:t>
      </w:r>
    </w:p>
    <w:p w:rsidR="002E627D" w:rsidRDefault="00CD232B">
      <w:pPr>
        <w:spacing w:line="240" w:lineRule="auto"/>
        <w:jc w:val="both"/>
        <w:rPr>
          <w:rFonts w:ascii="Times New Roman" w:hAnsi="Times New Roman"/>
          <w:noProof/>
          <w:sz w:val="24"/>
          <w:szCs w:val="24"/>
        </w:rPr>
      </w:pPr>
      <w:r>
        <w:rPr>
          <w:rFonts w:ascii="Times New Roman" w:hAnsi="Times New Roman"/>
          <w:noProof/>
          <w:sz w:val="24"/>
          <w:szCs w:val="24"/>
        </w:rPr>
        <w:t>All</w:t>
      </w:r>
      <w:r>
        <w:rPr>
          <w:rFonts w:ascii="Times New Roman" w:hAnsi="Times New Roman"/>
          <w:b/>
          <w:noProof/>
          <w:sz w:val="24"/>
          <w:szCs w:val="24"/>
        </w:rPr>
        <w:t xml:space="preserve"> </w:t>
      </w:r>
      <w:r>
        <w:rPr>
          <w:rFonts w:ascii="Times New Roman" w:hAnsi="Times New Roman"/>
          <w:noProof/>
          <w:sz w:val="24"/>
          <w:szCs w:val="24"/>
        </w:rPr>
        <w:t>NPFs set targets for recharging i</w:t>
      </w:r>
      <w:r>
        <w:rPr>
          <w:rFonts w:ascii="Times New Roman" w:hAnsi="Times New Roman"/>
          <w:noProof/>
          <w:sz w:val="24"/>
          <w:szCs w:val="24"/>
        </w:rPr>
        <w:t xml:space="preserve">nfrastructure for electric vehicles. </w:t>
      </w:r>
      <w:r>
        <w:rPr>
          <w:rFonts w:ascii="Times New Roman" w:hAnsi="Times New Roman"/>
          <w:b/>
          <w:noProof/>
          <w:sz w:val="24"/>
          <w:szCs w:val="24"/>
        </w:rPr>
        <w:t>However, the level of ambition and detail varies considerably among Member States</w:t>
      </w:r>
      <w:r>
        <w:rPr>
          <w:rFonts w:ascii="Times New Roman" w:hAnsi="Times New Roman"/>
          <w:noProof/>
          <w:sz w:val="24"/>
          <w:szCs w:val="24"/>
        </w:rPr>
        <w:t>. In planning for far less than 200 000 publicly accessible recharging points by 2020, NPFs fall short of the Commission’s need assessment</w:t>
      </w:r>
      <w:r>
        <w:rPr>
          <w:rFonts w:ascii="Times New Roman" w:hAnsi="Times New Roman"/>
          <w:noProof/>
          <w:sz w:val="24"/>
          <w:szCs w:val="24"/>
        </w:rPr>
        <w:t xml:space="preserve"> presented in section 2.1. Not very ambitiously, 6 NPFs set targets that have already nearly been reached. Others set ambitious targets that will, however, be difficult to reach with the planned policy measures.</w:t>
      </w:r>
    </w:p>
    <w:p w:rsidR="002E627D" w:rsidRDefault="00CD232B">
      <w:pPr>
        <w:spacing w:line="240" w:lineRule="auto"/>
        <w:jc w:val="both"/>
        <w:rPr>
          <w:rFonts w:ascii="Times New Roman" w:hAnsi="Times New Roman"/>
          <w:noProof/>
          <w:sz w:val="24"/>
          <w:szCs w:val="24"/>
        </w:rPr>
      </w:pPr>
      <w:r>
        <w:rPr>
          <w:rFonts w:ascii="Times New Roman" w:hAnsi="Times New Roman"/>
          <w:noProof/>
          <w:sz w:val="24"/>
          <w:szCs w:val="24"/>
        </w:rPr>
        <w:t xml:space="preserve">All NPFs set out a </w:t>
      </w:r>
      <w:r>
        <w:rPr>
          <w:rFonts w:ascii="Times New Roman" w:hAnsi="Times New Roman"/>
          <w:b/>
          <w:noProof/>
          <w:sz w:val="24"/>
          <w:szCs w:val="24"/>
        </w:rPr>
        <w:t>broad range of support me</w:t>
      </w:r>
      <w:r>
        <w:rPr>
          <w:rFonts w:ascii="Times New Roman" w:hAnsi="Times New Roman"/>
          <w:b/>
          <w:noProof/>
          <w:sz w:val="24"/>
          <w:szCs w:val="24"/>
        </w:rPr>
        <w:t xml:space="preserve">asures, but uncertainties remain. </w:t>
      </w:r>
      <w:r>
        <w:rPr>
          <w:rFonts w:ascii="Times New Roman" w:hAnsi="Times New Roman"/>
          <w:noProof/>
          <w:sz w:val="24"/>
          <w:szCs w:val="24"/>
        </w:rPr>
        <w:t>Either the measures</w:t>
      </w:r>
      <w:r>
        <w:rPr>
          <w:rFonts w:ascii="Times New Roman" w:hAnsi="Times New Roman"/>
          <w:b/>
          <w:noProof/>
          <w:sz w:val="24"/>
          <w:szCs w:val="24"/>
        </w:rPr>
        <w:t xml:space="preserve"> </w:t>
      </w:r>
      <w:r>
        <w:rPr>
          <w:rFonts w:ascii="Times New Roman" w:hAnsi="Times New Roman"/>
          <w:noProof/>
          <w:sz w:val="24"/>
          <w:szCs w:val="24"/>
        </w:rPr>
        <w:t>have not yet been adopted or they seem too limited to have tangible market impacts. All but 2 NPFs set targets for publicly accessible recharging points and 10 Member States do not consider any measures</w:t>
      </w:r>
      <w:r>
        <w:rPr>
          <w:rFonts w:ascii="Times New Roman" w:hAnsi="Times New Roman"/>
          <w:noProof/>
          <w:sz w:val="24"/>
          <w:szCs w:val="24"/>
        </w:rPr>
        <w:t xml:space="preserve"> to increase the number of publicly accessible recharging points. Coverage of the TEN-T core network is progressing, but parts of it could remain without minimal recharging infrastructure if no additional action is taken.</w:t>
      </w:r>
      <w:r>
        <w:rPr>
          <w:rStyle w:val="FootnoteReference"/>
          <w:rFonts w:ascii="Times New Roman" w:hAnsi="Times New Roman"/>
          <w:noProof/>
          <w:sz w:val="24"/>
          <w:szCs w:val="24"/>
        </w:rPr>
        <w:footnoteReference w:id="23"/>
      </w:r>
      <w:r>
        <w:rPr>
          <w:rFonts w:ascii="Times New Roman" w:hAnsi="Times New Roman"/>
          <w:noProof/>
          <w:sz w:val="24"/>
          <w:szCs w:val="24"/>
        </w:rPr>
        <w:t xml:space="preserve"> The roll-out of high-power rechar</w:t>
      </w:r>
      <w:r>
        <w:rPr>
          <w:rFonts w:ascii="Times New Roman" w:hAnsi="Times New Roman"/>
          <w:noProof/>
          <w:sz w:val="24"/>
          <w:szCs w:val="24"/>
        </w:rPr>
        <w:t>ging points at each recharging station along the TEN-T core network is a vital need. NPFs scarcely cover shore-side electricity and electricity supply for stationary airplanes.</w:t>
      </w:r>
    </w:p>
    <w:tbl>
      <w:tblPr>
        <w:tblStyle w:val="TableGrid"/>
        <w:tblW w:w="0" w:type="auto"/>
        <w:shd w:val="clear" w:color="auto" w:fill="C4BC96" w:themeFill="background2" w:themeFillShade="BF"/>
        <w:tblLook w:val="04A0" w:firstRow="1" w:lastRow="0" w:firstColumn="1" w:lastColumn="0" w:noHBand="0" w:noVBand="1"/>
      </w:tblPr>
      <w:tblGrid>
        <w:gridCol w:w="8835"/>
      </w:tblGrid>
      <w:tr w:rsidR="002E627D">
        <w:tc>
          <w:tcPr>
            <w:tcW w:w="8835" w:type="dxa"/>
            <w:shd w:val="clear" w:color="auto" w:fill="C4BC96" w:themeFill="background2" w:themeFillShade="BF"/>
          </w:tcPr>
          <w:p w:rsidR="002E627D" w:rsidRDefault="00CD232B">
            <w:pPr>
              <w:spacing w:line="240" w:lineRule="auto"/>
              <w:jc w:val="both"/>
              <w:rPr>
                <w:rFonts w:ascii="Times New Roman" w:hAnsi="Times New Roman"/>
                <w:noProof/>
                <w:sz w:val="24"/>
                <w:szCs w:val="24"/>
              </w:rPr>
            </w:pPr>
            <w:r>
              <w:rPr>
                <w:rFonts w:ascii="Times New Roman" w:hAnsi="Times New Roman"/>
                <w:noProof/>
              </w:rPr>
              <w:t>The Polish NPF is a good example of an analysis of the needs of agglomerations,</w:t>
            </w:r>
            <w:r>
              <w:rPr>
                <w:rFonts w:ascii="Times New Roman" w:hAnsi="Times New Roman"/>
                <w:noProof/>
              </w:rPr>
              <w:t xml:space="preserve"> densely populated areas and the full TEN-T network relative to alternative fuels infrastructure needs — including market needs.</w:t>
            </w:r>
            <w:r>
              <w:rPr>
                <w:rFonts w:ascii="Times New Roman" w:hAnsi="Times New Roman"/>
                <w:noProof/>
                <w:sz w:val="24"/>
                <w:szCs w:val="24"/>
              </w:rPr>
              <w:t xml:space="preserve"> </w:t>
            </w:r>
            <w:r>
              <w:rPr>
                <w:rFonts w:ascii="Times New Roman" w:hAnsi="Times New Roman"/>
                <w:noProof/>
              </w:rPr>
              <w:t>In Germany, the main motorway service area provider will install high-power recharging points in all its service stations by th</w:t>
            </w:r>
            <w:r>
              <w:rPr>
                <w:rFonts w:ascii="Times New Roman" w:hAnsi="Times New Roman"/>
                <w:noProof/>
              </w:rPr>
              <w:t xml:space="preserve">e end of this year. In the UK, Highways England has undertaken to ensure that there are high-power recharging points at least every 32 km along 95 % of England’s strategic road network. </w:t>
            </w:r>
          </w:p>
        </w:tc>
      </w:tr>
    </w:tbl>
    <w:p w:rsidR="002E627D" w:rsidRDefault="00CD232B" w:rsidP="00CD232B">
      <w:pPr>
        <w:keepNext/>
        <w:spacing w:line="240" w:lineRule="auto"/>
        <w:jc w:val="both"/>
        <w:rPr>
          <w:rFonts w:ascii="Times New Roman" w:hAnsi="Times New Roman"/>
          <w:i/>
          <w:noProof/>
          <w:sz w:val="24"/>
          <w:szCs w:val="24"/>
        </w:rPr>
      </w:pPr>
      <w:r>
        <w:rPr>
          <w:rFonts w:ascii="Times New Roman" w:hAnsi="Times New Roman"/>
          <w:i/>
          <w:noProof/>
          <w:sz w:val="24"/>
          <w:szCs w:val="24"/>
        </w:rPr>
        <w:br/>
        <w:t>Natural gas</w:t>
      </w:r>
    </w:p>
    <w:p w:rsidR="002E627D" w:rsidRDefault="00CD232B">
      <w:pPr>
        <w:spacing w:line="240" w:lineRule="auto"/>
        <w:jc w:val="both"/>
        <w:rPr>
          <w:rFonts w:ascii="Times New Roman" w:hAnsi="Times New Roman"/>
          <w:noProof/>
          <w:sz w:val="24"/>
          <w:szCs w:val="24"/>
        </w:rPr>
      </w:pPr>
      <w:r>
        <w:rPr>
          <w:rFonts w:ascii="Times New Roman" w:hAnsi="Times New Roman"/>
          <w:noProof/>
          <w:sz w:val="24"/>
          <w:szCs w:val="24"/>
        </w:rPr>
        <w:t xml:space="preserve">A </w:t>
      </w:r>
      <w:r>
        <w:rPr>
          <w:rFonts w:ascii="Times New Roman" w:hAnsi="Times New Roman"/>
          <w:b/>
          <w:noProof/>
          <w:sz w:val="24"/>
          <w:szCs w:val="24"/>
        </w:rPr>
        <w:t>majority of Member States do not set targets</w:t>
      </w:r>
      <w:r>
        <w:rPr>
          <w:rFonts w:ascii="Times New Roman" w:hAnsi="Times New Roman"/>
          <w:noProof/>
          <w:sz w:val="24"/>
          <w:szCs w:val="24"/>
        </w:rPr>
        <w:t xml:space="preserve"> </w:t>
      </w:r>
      <w:r>
        <w:rPr>
          <w:rFonts w:ascii="Times New Roman" w:hAnsi="Times New Roman"/>
          <w:b/>
          <w:noProof/>
          <w:sz w:val="24"/>
          <w:szCs w:val="24"/>
        </w:rPr>
        <w:t xml:space="preserve">for CNG </w:t>
      </w:r>
      <w:r>
        <w:rPr>
          <w:rFonts w:ascii="Times New Roman" w:hAnsi="Times New Roman"/>
          <w:b/>
          <w:noProof/>
          <w:sz w:val="24"/>
          <w:szCs w:val="24"/>
        </w:rPr>
        <w:t>vehicles</w:t>
      </w:r>
      <w:r>
        <w:rPr>
          <w:rFonts w:ascii="Times New Roman" w:hAnsi="Times New Roman"/>
          <w:noProof/>
          <w:sz w:val="24"/>
          <w:szCs w:val="24"/>
        </w:rPr>
        <w:t>. However, a few NPFs</w:t>
      </w:r>
      <w:r>
        <w:rPr>
          <w:rStyle w:val="FootnoteReference"/>
          <w:rFonts w:ascii="Times New Roman" w:hAnsi="Times New Roman"/>
          <w:noProof/>
          <w:sz w:val="24"/>
          <w:szCs w:val="24"/>
        </w:rPr>
        <w:footnoteReference w:id="24"/>
      </w:r>
      <w:r>
        <w:rPr>
          <w:rFonts w:ascii="Times New Roman" w:hAnsi="Times New Roman"/>
          <w:noProof/>
          <w:sz w:val="24"/>
          <w:szCs w:val="24"/>
        </w:rPr>
        <w:t xml:space="preserve"> do prioritise the roll-out. Most NPFs lack estimates for future vehicle uptake. The availability of infrastructure could be a problem in the future in Member States that currently have a high number of CNG refuelling points c</w:t>
      </w:r>
      <w:r>
        <w:rPr>
          <w:rFonts w:ascii="Times New Roman" w:hAnsi="Times New Roman"/>
          <w:noProof/>
          <w:sz w:val="24"/>
          <w:szCs w:val="24"/>
        </w:rPr>
        <w:t>ompared to CNG vehicles on the road but state that they have no plans to support a further increase in infrastructure.</w:t>
      </w:r>
      <w:r>
        <w:rPr>
          <w:rStyle w:val="FootnoteReference"/>
          <w:rFonts w:ascii="Times New Roman" w:hAnsi="Times New Roman"/>
          <w:noProof/>
          <w:sz w:val="24"/>
          <w:szCs w:val="24"/>
        </w:rPr>
        <w:footnoteReference w:id="25"/>
      </w:r>
    </w:p>
    <w:p w:rsidR="002E627D" w:rsidRDefault="00CD232B">
      <w:pPr>
        <w:spacing w:line="240" w:lineRule="auto"/>
        <w:jc w:val="both"/>
        <w:rPr>
          <w:rFonts w:ascii="Times New Roman" w:hAnsi="Times New Roman"/>
          <w:noProof/>
          <w:sz w:val="24"/>
          <w:szCs w:val="24"/>
        </w:rPr>
      </w:pPr>
      <w:r>
        <w:rPr>
          <w:rFonts w:ascii="Times New Roman" w:hAnsi="Times New Roman"/>
          <w:b/>
          <w:noProof/>
          <w:sz w:val="24"/>
          <w:szCs w:val="24"/>
        </w:rPr>
        <w:t xml:space="preserve">There are LNG targets for heavy-duty road vehicles </w:t>
      </w:r>
      <w:r>
        <w:rPr>
          <w:rFonts w:ascii="Times New Roman" w:hAnsi="Times New Roman"/>
          <w:noProof/>
          <w:sz w:val="24"/>
          <w:szCs w:val="24"/>
        </w:rPr>
        <w:t>in 19 NPFs, but target-setting and planning of action is not always appropriate and w</w:t>
      </w:r>
      <w:r>
        <w:rPr>
          <w:rFonts w:ascii="Times New Roman" w:hAnsi="Times New Roman"/>
          <w:noProof/>
          <w:sz w:val="24"/>
          <w:szCs w:val="24"/>
        </w:rPr>
        <w:t>ill not result in the necessary coverage of the core TEN-T road network. Only 5 NPFs set estimates for future LNG heavy-duty vehicles deployment.</w:t>
      </w:r>
    </w:p>
    <w:p w:rsidR="002E627D" w:rsidRDefault="00CD232B">
      <w:pPr>
        <w:spacing w:line="240" w:lineRule="auto"/>
        <w:jc w:val="both"/>
        <w:rPr>
          <w:rFonts w:ascii="Times New Roman" w:hAnsi="Times New Roman"/>
          <w:noProof/>
          <w:sz w:val="24"/>
          <w:szCs w:val="24"/>
        </w:rPr>
      </w:pPr>
      <w:r>
        <w:rPr>
          <w:rFonts w:ascii="Times New Roman" w:hAnsi="Times New Roman"/>
          <w:noProof/>
          <w:sz w:val="24"/>
          <w:szCs w:val="24"/>
        </w:rPr>
        <w:lastRenderedPageBreak/>
        <w:t>A few NPFs</w:t>
      </w:r>
      <w:r>
        <w:rPr>
          <w:rStyle w:val="FootnoteReference"/>
          <w:rFonts w:ascii="Times New Roman" w:hAnsi="Times New Roman"/>
          <w:noProof/>
          <w:sz w:val="24"/>
          <w:szCs w:val="24"/>
        </w:rPr>
        <w:footnoteReference w:id="26"/>
      </w:r>
      <w:r>
        <w:rPr>
          <w:rFonts w:ascii="Times New Roman" w:hAnsi="Times New Roman"/>
          <w:noProof/>
          <w:sz w:val="24"/>
          <w:szCs w:val="24"/>
        </w:rPr>
        <w:t xml:space="preserve"> set ambitious </w:t>
      </w:r>
      <w:r>
        <w:rPr>
          <w:rFonts w:ascii="Times New Roman" w:hAnsi="Times New Roman"/>
          <w:b/>
          <w:noProof/>
          <w:sz w:val="24"/>
          <w:szCs w:val="24"/>
        </w:rPr>
        <w:t>targets for future LNG infrastructure deployment in maritime and inland ports.</w:t>
      </w:r>
      <w:r>
        <w:rPr>
          <w:rFonts w:ascii="Times New Roman" w:hAnsi="Times New Roman"/>
          <w:noProof/>
          <w:sz w:val="24"/>
          <w:szCs w:val="24"/>
        </w:rPr>
        <w:t xml:space="preserve"> Howev</w:t>
      </w:r>
      <w:r>
        <w:rPr>
          <w:rFonts w:ascii="Times New Roman" w:hAnsi="Times New Roman"/>
          <w:noProof/>
          <w:sz w:val="24"/>
          <w:szCs w:val="24"/>
        </w:rPr>
        <w:t>er, several of these do not address LNG refuelling point needs in maritime ports by 2025 and inland ports by 2030. A number of ports in the TEN-T core network risk being left without any solution for LNG refuelling. For none of the inland waterway TEN-T co</w:t>
      </w:r>
      <w:r>
        <w:rPr>
          <w:rFonts w:ascii="Times New Roman" w:hAnsi="Times New Roman"/>
          <w:noProof/>
          <w:sz w:val="24"/>
          <w:szCs w:val="24"/>
        </w:rPr>
        <w:t>rridors LNG refuelling infrastructure sufficient to enable the EU wide circulation of LNG inland waterway vessels is planned.</w:t>
      </w:r>
    </w:p>
    <w:p w:rsidR="002E627D" w:rsidRDefault="00CD232B">
      <w:pPr>
        <w:shd w:val="clear" w:color="auto" w:fill="C4BC96" w:themeFill="background2" w:themeFillShade="BF"/>
        <w:spacing w:line="240" w:lineRule="auto"/>
        <w:jc w:val="both"/>
        <w:rPr>
          <w:rFonts w:ascii="Times New Roman" w:hAnsi="Times New Roman"/>
          <w:noProof/>
        </w:rPr>
      </w:pPr>
      <w:r>
        <w:rPr>
          <w:rFonts w:ascii="Times New Roman" w:hAnsi="Times New Roman"/>
          <w:noProof/>
        </w:rPr>
        <w:t>The Italian NPF considers it critical to develop an LNG infrastructure for maritime applications. The plan to develop it, includin</w:t>
      </w:r>
      <w:r>
        <w:rPr>
          <w:rFonts w:ascii="Times New Roman" w:hAnsi="Times New Roman"/>
          <w:noProof/>
        </w:rPr>
        <w:t>g designing storage quantities in all 14 TEN-T core network maritime ports and beyond, is an example of good policy planning. Several NPFs note the significant part the Connecting Europe Facility (CEF) and other EU funds have to play in supporting</w:t>
      </w:r>
      <w:r>
        <w:rPr>
          <w:noProof/>
        </w:rPr>
        <w:t xml:space="preserve"> </w:t>
      </w:r>
      <w:r>
        <w:rPr>
          <w:rFonts w:ascii="Times New Roman" w:hAnsi="Times New Roman"/>
          <w:noProof/>
        </w:rPr>
        <w:t>the depl</w:t>
      </w:r>
      <w:r>
        <w:rPr>
          <w:rFonts w:ascii="Times New Roman" w:hAnsi="Times New Roman"/>
          <w:noProof/>
        </w:rPr>
        <w:t>oyment of LNG refuelling for heavy-duty vehicles and ships.</w:t>
      </w:r>
    </w:p>
    <w:p w:rsidR="002E627D" w:rsidRDefault="00CD232B" w:rsidP="00CD232B">
      <w:pPr>
        <w:keepNext/>
        <w:spacing w:line="240" w:lineRule="auto"/>
        <w:jc w:val="both"/>
        <w:rPr>
          <w:rFonts w:ascii="Times New Roman" w:hAnsi="Times New Roman"/>
          <w:i/>
          <w:noProof/>
          <w:sz w:val="24"/>
          <w:szCs w:val="24"/>
        </w:rPr>
      </w:pPr>
      <w:r>
        <w:rPr>
          <w:rFonts w:ascii="Times New Roman" w:hAnsi="Times New Roman"/>
          <w:i/>
          <w:noProof/>
          <w:sz w:val="24"/>
          <w:szCs w:val="24"/>
        </w:rPr>
        <w:t>Hydrogen</w:t>
      </w:r>
    </w:p>
    <w:p w:rsidR="002E627D" w:rsidRDefault="00CD232B">
      <w:pPr>
        <w:spacing w:line="240" w:lineRule="auto"/>
        <w:jc w:val="both"/>
        <w:rPr>
          <w:rFonts w:ascii="Times New Roman" w:hAnsi="Times New Roman"/>
          <w:noProof/>
          <w:sz w:val="24"/>
          <w:szCs w:val="24"/>
        </w:rPr>
      </w:pPr>
      <w:r>
        <w:rPr>
          <w:rFonts w:ascii="Times New Roman" w:hAnsi="Times New Roman"/>
          <w:noProof/>
          <w:sz w:val="24"/>
          <w:szCs w:val="24"/>
        </w:rPr>
        <w:t xml:space="preserve">Deployment of </w:t>
      </w:r>
      <w:r>
        <w:rPr>
          <w:rFonts w:ascii="Times New Roman" w:hAnsi="Times New Roman"/>
          <w:b/>
          <w:noProof/>
          <w:sz w:val="24"/>
          <w:szCs w:val="24"/>
        </w:rPr>
        <w:t>refuelling infrastructure for hydrogen-powered fuel cell electric vehicles</w:t>
      </w:r>
      <w:r>
        <w:rPr>
          <w:rFonts w:ascii="Times New Roman" w:hAnsi="Times New Roman"/>
          <w:noProof/>
          <w:sz w:val="24"/>
          <w:szCs w:val="24"/>
        </w:rPr>
        <w:t xml:space="preserve"> is optional under Directive 2014/94/EU. 14 Member States address hydrogen infrastructure in their NPFs. In some cases, NPFs contain ambitious targets for the deployment of infrastructure.</w:t>
      </w:r>
      <w:r>
        <w:rPr>
          <w:rStyle w:val="FootnoteReference"/>
          <w:rFonts w:ascii="Times New Roman" w:hAnsi="Times New Roman"/>
          <w:noProof/>
          <w:sz w:val="24"/>
          <w:szCs w:val="24"/>
        </w:rPr>
        <w:footnoteReference w:id="27"/>
      </w:r>
      <w:r>
        <w:rPr>
          <w:rFonts w:ascii="Times New Roman" w:hAnsi="Times New Roman"/>
          <w:noProof/>
          <w:sz w:val="24"/>
          <w:szCs w:val="24"/>
        </w:rPr>
        <w:t xml:space="preserve"> Planning of this kind underlines the importance to deliver reliabl</w:t>
      </w:r>
      <w:r>
        <w:rPr>
          <w:rFonts w:ascii="Times New Roman" w:hAnsi="Times New Roman"/>
          <w:noProof/>
          <w:sz w:val="24"/>
          <w:szCs w:val="24"/>
        </w:rPr>
        <w:t xml:space="preserve">e forecasts for the market deployment of fuel-cell electric vehicles.  </w:t>
      </w:r>
    </w:p>
    <w:p w:rsidR="002E627D" w:rsidRDefault="00CD232B" w:rsidP="00CD232B">
      <w:pPr>
        <w:keepNext/>
        <w:spacing w:line="240" w:lineRule="auto"/>
        <w:jc w:val="both"/>
        <w:rPr>
          <w:rFonts w:ascii="Times New Roman" w:hAnsi="Times New Roman"/>
          <w:i/>
          <w:noProof/>
          <w:sz w:val="24"/>
          <w:szCs w:val="24"/>
        </w:rPr>
      </w:pPr>
      <w:r>
        <w:rPr>
          <w:rFonts w:ascii="Times New Roman" w:hAnsi="Times New Roman"/>
          <w:i/>
          <w:noProof/>
          <w:sz w:val="24"/>
          <w:szCs w:val="24"/>
        </w:rPr>
        <w:t>Support measures</w:t>
      </w:r>
    </w:p>
    <w:p w:rsidR="002E627D" w:rsidRDefault="00CD232B">
      <w:pPr>
        <w:spacing w:line="240" w:lineRule="auto"/>
        <w:jc w:val="both"/>
        <w:rPr>
          <w:rFonts w:ascii="Times New Roman" w:hAnsi="Times New Roman"/>
          <w:noProof/>
          <w:sz w:val="24"/>
          <w:szCs w:val="24"/>
        </w:rPr>
      </w:pPr>
      <w:r>
        <w:rPr>
          <w:rFonts w:ascii="Times New Roman" w:hAnsi="Times New Roman"/>
          <w:noProof/>
          <w:sz w:val="24"/>
          <w:szCs w:val="24"/>
        </w:rPr>
        <w:t xml:space="preserve">Member States are required to put </w:t>
      </w:r>
      <w:r>
        <w:rPr>
          <w:rFonts w:ascii="Times New Roman" w:hAnsi="Times New Roman"/>
          <w:b/>
          <w:noProof/>
          <w:sz w:val="24"/>
          <w:szCs w:val="24"/>
        </w:rPr>
        <w:t xml:space="preserve">support measures </w:t>
      </w:r>
      <w:r>
        <w:rPr>
          <w:rFonts w:ascii="Times New Roman" w:hAnsi="Times New Roman"/>
          <w:noProof/>
          <w:sz w:val="24"/>
          <w:szCs w:val="24"/>
        </w:rPr>
        <w:t>in place to ensure that the targets and objectives contained in the NPFs are reached. NPFs contain a very diverse se</w:t>
      </w:r>
      <w:r>
        <w:rPr>
          <w:rFonts w:ascii="Times New Roman" w:hAnsi="Times New Roman"/>
          <w:noProof/>
          <w:sz w:val="24"/>
          <w:szCs w:val="24"/>
        </w:rPr>
        <w:t>t of measures that inter alia vary in terms of maturity and priority setting (one or several alternative fuels). NPFs also target different modes of transport, for example, trains, buses, taxis, bikes and shared cars. Most NPFs focus on public transport, u</w:t>
      </w:r>
      <w:r>
        <w:rPr>
          <w:rFonts w:ascii="Times New Roman" w:hAnsi="Times New Roman"/>
          <w:noProof/>
          <w:sz w:val="24"/>
          <w:szCs w:val="24"/>
        </w:rPr>
        <w:t>nderlining the role that public procurement can play in supporting market uptake.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5"/>
      </w:tblGrid>
      <w:tr w:rsidR="002E627D">
        <w:tc>
          <w:tcPr>
            <w:tcW w:w="8835" w:type="dxa"/>
            <w:shd w:val="clear" w:color="auto" w:fill="C4BC96" w:themeFill="background2" w:themeFillShade="BF"/>
          </w:tcPr>
          <w:p w:rsidR="002E627D" w:rsidRDefault="00CD232B">
            <w:pPr>
              <w:spacing w:after="0" w:line="240" w:lineRule="auto"/>
              <w:jc w:val="both"/>
              <w:rPr>
                <w:rFonts w:ascii="Times New Roman" w:hAnsi="Times New Roman"/>
                <w:noProof/>
              </w:rPr>
            </w:pPr>
            <w:r>
              <w:rPr>
                <w:rFonts w:ascii="Times New Roman" w:hAnsi="Times New Roman"/>
                <w:noProof/>
              </w:rPr>
              <w:t>The French NPF lists a comprehensive set of electro-mobility support measures. The combined effect of measures like the CO</w:t>
            </w:r>
            <w:r>
              <w:rPr>
                <w:rFonts w:ascii="Times New Roman" w:hAnsi="Times New Roman"/>
                <w:noProof/>
                <w:vertAlign w:val="subscript"/>
              </w:rPr>
              <w:t>2 </w:t>
            </w:r>
            <w:r>
              <w:rPr>
                <w:rFonts w:ascii="Times New Roman" w:hAnsi="Times New Roman"/>
                <w:noProof/>
              </w:rPr>
              <w:t xml:space="preserve">bonus-malus system for vehicles and the promotion </w:t>
            </w:r>
            <w:r>
              <w:rPr>
                <w:rFonts w:ascii="Times New Roman" w:hAnsi="Times New Roman"/>
                <w:noProof/>
              </w:rPr>
              <w:t>of recharging infrastructure are expected to boost the market for electric road transport. The French ‘Energy Transition to a Green Economy Act’ sets clear targets and minimum procurement mandates for the public procurement of low- and zero-emission vehicl</w:t>
            </w:r>
            <w:r>
              <w:rPr>
                <w:rFonts w:ascii="Times New Roman" w:hAnsi="Times New Roman"/>
                <w:noProof/>
              </w:rPr>
              <w:t>es. The Dutch NPF provides a good practice example for stakeholder dialogue, directly involving relevant stakeholders in implementing the ‘Green Deals’ approach.</w:t>
            </w:r>
          </w:p>
        </w:tc>
      </w:tr>
    </w:tbl>
    <w:p w:rsidR="002E627D" w:rsidRDefault="00CD232B">
      <w:pPr>
        <w:pStyle w:val="Heading2"/>
        <w:spacing w:before="240"/>
        <w:rPr>
          <w:noProof/>
        </w:rPr>
      </w:pPr>
      <w:r>
        <w:rPr>
          <w:noProof/>
        </w:rPr>
        <w:t>Are we on the right track?</w:t>
      </w:r>
    </w:p>
    <w:p w:rsidR="002E627D" w:rsidRDefault="00CD232B">
      <w:pPr>
        <w:pStyle w:val="Text1"/>
        <w:shd w:val="clear" w:color="auto" w:fill="FFFFFF" w:themeFill="background1"/>
        <w:spacing w:line="240" w:lineRule="auto"/>
        <w:ind w:left="0"/>
        <w:jc w:val="both"/>
        <w:rPr>
          <w:rFonts w:ascii="Times New Roman" w:hAnsi="Times New Roman"/>
          <w:noProof/>
          <w:sz w:val="24"/>
          <w:szCs w:val="24"/>
        </w:rPr>
      </w:pPr>
      <w:r>
        <w:rPr>
          <w:rFonts w:ascii="Times New Roman" w:hAnsi="Times New Roman"/>
          <w:noProof/>
          <w:sz w:val="24"/>
          <w:szCs w:val="24"/>
        </w:rPr>
        <w:t xml:space="preserve">The analysis of NPFs shows that infrastructure </w:t>
      </w:r>
      <w:r>
        <w:rPr>
          <w:rFonts w:ascii="Times New Roman" w:hAnsi="Times New Roman"/>
          <w:noProof/>
          <w:sz w:val="24"/>
        </w:rPr>
        <w:t>gaps</w:t>
      </w:r>
      <w:r>
        <w:rPr>
          <w:rFonts w:ascii="Times New Roman" w:hAnsi="Times New Roman"/>
          <w:noProof/>
          <w:sz w:val="24"/>
          <w:szCs w:val="24"/>
        </w:rPr>
        <w:t xml:space="preserve"> will remain in the EU if no additional action is taken. This concerns in particular all types of electric light- and heavy-duty vehicles. Relative to the estimates presented in section 2.1. for the NPFs, commitment to roll </w:t>
      </w:r>
      <w:r>
        <w:rPr>
          <w:rFonts w:ascii="Times New Roman" w:hAnsi="Times New Roman"/>
          <w:noProof/>
          <w:sz w:val="24"/>
          <w:szCs w:val="24"/>
          <w:shd w:val="clear" w:color="auto" w:fill="FFFFFF" w:themeFill="background1"/>
        </w:rPr>
        <w:t>out publically accessible rechar</w:t>
      </w:r>
      <w:r>
        <w:rPr>
          <w:rFonts w:ascii="Times New Roman" w:hAnsi="Times New Roman"/>
          <w:noProof/>
          <w:sz w:val="24"/>
          <w:szCs w:val="24"/>
          <w:shd w:val="clear" w:color="auto" w:fill="FFFFFF" w:themeFill="background1"/>
        </w:rPr>
        <w:t>ging points in urban</w:t>
      </w:r>
      <w:r>
        <w:rPr>
          <w:rFonts w:ascii="Times New Roman" w:hAnsi="Times New Roman"/>
          <w:noProof/>
          <w:sz w:val="24"/>
          <w:szCs w:val="24"/>
        </w:rPr>
        <w:t xml:space="preserve"> and suburban agglomerations in the EU needs to strongly increase. Gaps also remain on the TEN-T core network corridors for recharging points.</w:t>
      </w:r>
    </w:p>
    <w:p w:rsidR="002E627D" w:rsidRDefault="00CD232B">
      <w:pPr>
        <w:pStyle w:val="Text1"/>
        <w:spacing w:line="240" w:lineRule="auto"/>
        <w:ind w:left="0"/>
        <w:jc w:val="both"/>
        <w:rPr>
          <w:rFonts w:ascii="Times New Roman" w:hAnsi="Times New Roman"/>
          <w:noProof/>
          <w:sz w:val="24"/>
          <w:szCs w:val="24"/>
        </w:rPr>
      </w:pPr>
      <w:r>
        <w:rPr>
          <w:rFonts w:ascii="Times New Roman" w:hAnsi="Times New Roman"/>
          <w:noProof/>
          <w:sz w:val="24"/>
          <w:szCs w:val="24"/>
        </w:rPr>
        <w:t>Another gap in planning concerns LNG refuelling points for heavy-duty vehicles. The NPF targe</w:t>
      </w:r>
      <w:r>
        <w:rPr>
          <w:rFonts w:ascii="Times New Roman" w:hAnsi="Times New Roman"/>
          <w:noProof/>
          <w:sz w:val="24"/>
          <w:szCs w:val="24"/>
        </w:rPr>
        <w:t xml:space="preserve">ts for the coverage of ports with LNG refuelling points are also not sufficient </w:t>
      </w:r>
      <w:r>
        <w:rPr>
          <w:rFonts w:ascii="Times New Roman" w:hAnsi="Times New Roman"/>
          <w:noProof/>
          <w:sz w:val="24"/>
          <w:szCs w:val="24"/>
        </w:rPr>
        <w:lastRenderedPageBreak/>
        <w:t>for enabling the circulation of inland waterway vessels and seagoing ships throughout the TEN-T core network as required under Directive 2014/94/EU. There are similar risks for</w:t>
      </w:r>
      <w:r>
        <w:rPr>
          <w:rFonts w:ascii="Times New Roman" w:hAnsi="Times New Roman"/>
          <w:noProof/>
          <w:sz w:val="24"/>
          <w:szCs w:val="24"/>
        </w:rPr>
        <w:t xml:space="preserve"> hydrogen: optional under Directive 2014/94/EU and divergently addressed by Member States, there is still a patchwork of infrastructure. To allow vehicles to easily travel throughout the EU ('continuity of service') infrastructure must be spread wider.</w:t>
      </w:r>
    </w:p>
    <w:p w:rsidR="002E627D" w:rsidRDefault="00CD232B">
      <w:pPr>
        <w:pStyle w:val="Text1"/>
        <w:spacing w:line="240" w:lineRule="auto"/>
        <w:ind w:left="0"/>
        <w:jc w:val="both"/>
        <w:rPr>
          <w:rFonts w:ascii="Times New Roman" w:hAnsi="Times New Roman"/>
          <w:noProof/>
          <w:sz w:val="24"/>
          <w:szCs w:val="24"/>
        </w:rPr>
      </w:pPr>
      <w:r>
        <w:rPr>
          <w:rFonts w:ascii="Times New Roman" w:hAnsi="Times New Roman"/>
          <w:noProof/>
          <w:sz w:val="24"/>
          <w:szCs w:val="24"/>
          <w:shd w:val="clear" w:color="auto" w:fill="FFFFFF" w:themeFill="background1"/>
        </w:rPr>
        <w:t>Ove</w:t>
      </w:r>
      <w:r>
        <w:rPr>
          <w:rFonts w:ascii="Times New Roman" w:hAnsi="Times New Roman"/>
          <w:noProof/>
          <w:sz w:val="24"/>
          <w:szCs w:val="24"/>
          <w:shd w:val="clear" w:color="auto" w:fill="FFFFFF" w:themeFill="background1"/>
        </w:rPr>
        <w:t>rall, the analysis of the situation shows that the NPFs combined do not add up to a conclusive picture that provides the long-term market certainty that is needed. In addition, there is a risk that many of NPF targets and objectives may not be reached,</w:t>
      </w:r>
      <w:r>
        <w:rPr>
          <w:rFonts w:ascii="Times New Roman" w:hAnsi="Times New Roman"/>
          <w:b/>
          <w:noProof/>
          <w:sz w:val="24"/>
          <w:szCs w:val="24"/>
          <w:shd w:val="clear" w:color="auto" w:fill="FFFFFF" w:themeFill="background1"/>
        </w:rPr>
        <w:t xml:space="preserve"> </w:t>
      </w:r>
      <w:r>
        <w:rPr>
          <w:rFonts w:ascii="Times New Roman" w:hAnsi="Times New Roman"/>
          <w:noProof/>
          <w:sz w:val="24"/>
          <w:szCs w:val="24"/>
          <w:shd w:val="clear" w:color="auto" w:fill="FFFFFF" w:themeFill="background1"/>
        </w:rPr>
        <w:t>eve</w:t>
      </w:r>
      <w:r>
        <w:rPr>
          <w:rFonts w:ascii="Times New Roman" w:hAnsi="Times New Roman"/>
          <w:noProof/>
          <w:sz w:val="24"/>
          <w:szCs w:val="24"/>
          <w:shd w:val="clear" w:color="auto" w:fill="FFFFFF" w:themeFill="background1"/>
        </w:rPr>
        <w:t>n where ambition is low. The</w:t>
      </w:r>
      <w:r>
        <w:rPr>
          <w:rFonts w:ascii="Times New Roman" w:hAnsi="Times New Roman"/>
          <w:noProof/>
          <w:sz w:val="24"/>
          <w:szCs w:val="24"/>
        </w:rPr>
        <w:t xml:space="preserve"> Commission Staff Working Document (SWD) accompanying this Communication illustrates the limited impact of NPFs on key EU policy objectives if no additional action is taken.</w:t>
      </w:r>
    </w:p>
    <w:tbl>
      <w:tblPr>
        <w:tblStyle w:val="TableGrid"/>
        <w:tblW w:w="8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4BC96" w:themeFill="background2" w:themeFillShade="BF"/>
        <w:tblLook w:val="04A0" w:firstRow="1" w:lastRow="0" w:firstColumn="1" w:lastColumn="0" w:noHBand="0" w:noVBand="1"/>
      </w:tblPr>
      <w:tblGrid>
        <w:gridCol w:w="8835"/>
      </w:tblGrid>
      <w:tr w:rsidR="002E627D">
        <w:tc>
          <w:tcPr>
            <w:tcW w:w="8835" w:type="dxa"/>
            <w:shd w:val="clear" w:color="auto" w:fill="C4BC96" w:themeFill="background2" w:themeFillShade="BF"/>
          </w:tcPr>
          <w:p w:rsidR="002E627D" w:rsidRDefault="00CD232B">
            <w:pPr>
              <w:pStyle w:val="Text1"/>
              <w:spacing w:after="0" w:line="240" w:lineRule="auto"/>
              <w:ind w:left="0"/>
              <w:jc w:val="both"/>
              <w:rPr>
                <w:rFonts w:ascii="Times New Roman" w:hAnsi="Times New Roman"/>
                <w:noProof/>
              </w:rPr>
            </w:pPr>
            <w:r>
              <w:rPr>
                <w:rFonts w:ascii="Times New Roman" w:hAnsi="Times New Roman"/>
                <w:noProof/>
              </w:rPr>
              <w:t>While higher emission reductions are expected for some</w:t>
            </w:r>
            <w:r>
              <w:rPr>
                <w:rFonts w:ascii="Times New Roman" w:hAnsi="Times New Roman"/>
                <w:noProof/>
              </w:rPr>
              <w:t xml:space="preserve"> Member States with ambitious NPFs, marginal impacts on the displacement of fossil oil-based fuels are expected at EU level: 0.4 % of these fuels could be displaced by alternative fuels by 2020, compared to a scenario without NPFs,</w:t>
            </w:r>
            <w:r>
              <w:rPr>
                <w:rStyle w:val="FootnoteReference"/>
                <w:rFonts w:ascii="Times New Roman" w:hAnsi="Times New Roman"/>
                <w:noProof/>
              </w:rPr>
              <w:footnoteReference w:id="28"/>
            </w:r>
            <w:r>
              <w:rPr>
                <w:rFonts w:ascii="Times New Roman" w:hAnsi="Times New Roman"/>
                <w:noProof/>
              </w:rPr>
              <w:t xml:space="preserve"> and 1.4 % by 2030. CO</w:t>
            </w:r>
            <w:r>
              <w:rPr>
                <w:rFonts w:ascii="Times New Roman" w:hAnsi="Times New Roman"/>
                <w:noProof/>
                <w:vertAlign w:val="subscript"/>
              </w:rPr>
              <w:t>2 </w:t>
            </w:r>
            <w:r>
              <w:rPr>
                <w:rFonts w:ascii="Times New Roman" w:hAnsi="Times New Roman"/>
                <w:noProof/>
              </w:rPr>
              <w:t xml:space="preserve"> emissions from transport could be reduced by 0.4 % (or around 3.2 Mt) by 2020 and 1.4 % by 2030 (or around 11.5 Mt) compared to a scenario without NPFs. The reduction in NO</w:t>
            </w:r>
            <w:r>
              <w:rPr>
                <w:rFonts w:ascii="Times New Roman" w:hAnsi="Times New Roman"/>
                <w:noProof/>
                <w:vertAlign w:val="subscript"/>
              </w:rPr>
              <w:t>x</w:t>
            </w:r>
            <w:r>
              <w:rPr>
                <w:rFonts w:ascii="Times New Roman" w:hAnsi="Times New Roman"/>
                <w:noProof/>
              </w:rPr>
              <w:t xml:space="preserve"> emissions from transport as a result of NPFs is estimated to be around 0.37 % by </w:t>
            </w:r>
            <w:r>
              <w:rPr>
                <w:rFonts w:ascii="Times New Roman" w:hAnsi="Times New Roman"/>
                <w:noProof/>
              </w:rPr>
              <w:t>2020 and 1.5 % by 2030 compared to a scenario without NPFs. For PM</w:t>
            </w:r>
            <w:r>
              <w:rPr>
                <w:rFonts w:ascii="Times New Roman" w:hAnsi="Times New Roman"/>
                <w:noProof/>
                <w:vertAlign w:val="subscript"/>
              </w:rPr>
              <w:t>2.5</w:t>
            </w:r>
            <w:r>
              <w:rPr>
                <w:rFonts w:ascii="Times New Roman" w:hAnsi="Times New Roman"/>
                <w:noProof/>
              </w:rPr>
              <w:t>, the NPFs would result in 0.44 % lower PM</w:t>
            </w:r>
            <w:r>
              <w:rPr>
                <w:rFonts w:ascii="Times New Roman" w:hAnsi="Times New Roman"/>
                <w:noProof/>
                <w:vertAlign w:val="subscript"/>
              </w:rPr>
              <w:t xml:space="preserve">2.5 </w:t>
            </w:r>
            <w:r>
              <w:rPr>
                <w:rFonts w:ascii="Times New Roman" w:hAnsi="Times New Roman"/>
                <w:noProof/>
              </w:rPr>
              <w:t>emissions by 2020 and 1.9 % by 2030.</w:t>
            </w:r>
            <w:r>
              <w:rPr>
                <w:rStyle w:val="FootnoteReference"/>
                <w:rFonts w:ascii="Times New Roman" w:hAnsi="Times New Roman"/>
                <w:noProof/>
              </w:rPr>
              <w:footnoteReference w:id="29"/>
            </w:r>
            <w:r>
              <w:rPr>
                <w:rFonts w:ascii="Times New Roman" w:hAnsi="Times New Roman"/>
                <w:noProof/>
              </w:rPr>
              <w:t xml:space="preserve"> These improvements could lead to up to a 5.8 % reduction in NO</w:t>
            </w:r>
            <w:r>
              <w:rPr>
                <w:rFonts w:ascii="Times New Roman" w:hAnsi="Times New Roman"/>
                <w:noProof/>
                <w:vertAlign w:val="subscript"/>
              </w:rPr>
              <w:t>2 </w:t>
            </w:r>
            <w:r>
              <w:rPr>
                <w:rFonts w:ascii="Times New Roman" w:hAnsi="Times New Roman"/>
                <w:noProof/>
              </w:rPr>
              <w:t>concentrations and a 2.1 % reduction in</w:t>
            </w:r>
            <w:r>
              <w:rPr>
                <w:rFonts w:ascii="Times New Roman" w:hAnsi="Times New Roman"/>
                <w:noProof/>
              </w:rPr>
              <w:t xml:space="preserve"> PM</w:t>
            </w:r>
            <w:r>
              <w:rPr>
                <w:rFonts w:ascii="Times New Roman" w:hAnsi="Times New Roman"/>
                <w:noProof/>
                <w:vertAlign w:val="subscript"/>
              </w:rPr>
              <w:t>2.5</w:t>
            </w:r>
            <w:r>
              <w:rPr>
                <w:rFonts w:ascii="Times New Roman" w:hAnsi="Times New Roman"/>
                <w:noProof/>
              </w:rPr>
              <w:t xml:space="preserve"> concentrations in certain areas by 2030.</w:t>
            </w:r>
            <w:r>
              <w:rPr>
                <w:rFonts w:ascii="Times New Roman" w:hAnsi="Times New Roman"/>
                <w:noProof/>
                <w:sz w:val="24"/>
                <w:szCs w:val="24"/>
              </w:rPr>
              <w:t xml:space="preserve"> </w:t>
            </w:r>
            <w:r>
              <w:rPr>
                <w:rFonts w:ascii="Times New Roman" w:hAnsi="Times New Roman"/>
                <w:noProof/>
              </w:rPr>
              <w:t>The creation of jobs building, operating and maintaining the infrastructure is expected to slightly increase under current NPF planning.</w:t>
            </w:r>
          </w:p>
        </w:tc>
      </w:tr>
    </w:tbl>
    <w:p w:rsidR="002E627D" w:rsidRDefault="00CD232B">
      <w:pPr>
        <w:pStyle w:val="Text1"/>
        <w:spacing w:line="240" w:lineRule="auto"/>
        <w:ind w:left="0"/>
        <w:jc w:val="both"/>
        <w:rPr>
          <w:rFonts w:ascii="Times New Roman" w:hAnsi="Times New Roman"/>
          <w:b/>
          <w:noProof/>
          <w:sz w:val="24"/>
          <w:szCs w:val="24"/>
        </w:rPr>
      </w:pPr>
      <w:r>
        <w:rPr>
          <w:rFonts w:ascii="Times New Roman" w:hAnsi="Times New Roman"/>
          <w:noProof/>
          <w:sz w:val="24"/>
          <w:szCs w:val="24"/>
        </w:rPr>
        <w:br/>
      </w:r>
      <w:r>
        <w:rPr>
          <w:rFonts w:ascii="Times New Roman" w:hAnsi="Times New Roman"/>
          <w:b/>
          <w:noProof/>
          <w:sz w:val="24"/>
          <w:szCs w:val="24"/>
        </w:rPr>
        <w:t xml:space="preserve">To accelerate the transition to low and zero emission mobility, decisive action to speed up the roll out of infrastructure for alternative fuels in all Member States is needed now. </w:t>
      </w:r>
    </w:p>
    <w:p w:rsidR="002E627D" w:rsidRDefault="00CD232B">
      <w:pPr>
        <w:pStyle w:val="Text1"/>
        <w:spacing w:line="240" w:lineRule="auto"/>
        <w:ind w:left="0"/>
        <w:jc w:val="both"/>
        <w:rPr>
          <w:rFonts w:ascii="Times New Roman" w:hAnsi="Times New Roman"/>
          <w:noProof/>
          <w:sz w:val="24"/>
          <w:szCs w:val="24"/>
        </w:rPr>
      </w:pPr>
      <w:r>
        <w:rPr>
          <w:rFonts w:ascii="Times New Roman" w:hAnsi="Times New Roman"/>
          <w:noProof/>
          <w:sz w:val="24"/>
          <w:szCs w:val="24"/>
        </w:rPr>
        <w:t>This</w:t>
      </w:r>
      <w:r>
        <w:rPr>
          <w:rFonts w:ascii="Times New Roman" w:hAnsi="Times New Roman"/>
          <w:b/>
          <w:noProof/>
          <w:sz w:val="24"/>
          <w:szCs w:val="24"/>
        </w:rPr>
        <w:t xml:space="preserve"> </w:t>
      </w:r>
      <w:r>
        <w:rPr>
          <w:rFonts w:ascii="Times New Roman" w:hAnsi="Times New Roman"/>
          <w:noProof/>
          <w:sz w:val="24"/>
          <w:szCs w:val="24"/>
        </w:rPr>
        <w:t>requires a greater willingness of public and private actors to invest</w:t>
      </w:r>
      <w:r>
        <w:rPr>
          <w:rFonts w:ascii="Times New Roman" w:hAnsi="Times New Roman"/>
          <w:noProof/>
          <w:sz w:val="24"/>
          <w:szCs w:val="24"/>
        </w:rPr>
        <w:t xml:space="preserve"> into an easily accessible infrastructure for different types of vehicles and vessels</w:t>
      </w:r>
      <w:r>
        <w:rPr>
          <w:rFonts w:ascii="Times New Roman" w:hAnsi="Times New Roman"/>
          <w:b/>
          <w:noProof/>
          <w:sz w:val="24"/>
          <w:szCs w:val="24"/>
        </w:rPr>
        <w:t>.</w:t>
      </w:r>
      <w:r>
        <w:rPr>
          <w:rFonts w:ascii="Times New Roman" w:hAnsi="Times New Roman"/>
          <w:noProof/>
          <w:sz w:val="24"/>
          <w:szCs w:val="24"/>
        </w:rPr>
        <w:t xml:space="preserve"> The Commission stands ready to support these efforts, and therefore proposes this action plan. </w:t>
      </w:r>
    </w:p>
    <w:p w:rsidR="002E627D" w:rsidRDefault="00CD232B">
      <w:pPr>
        <w:pStyle w:val="Heading1"/>
        <w:rPr>
          <w:noProof/>
        </w:rPr>
      </w:pPr>
      <w:r>
        <w:rPr>
          <w:noProof/>
        </w:rPr>
        <w:t>Achieving the broadest use of alternative fuels: action plan</w:t>
      </w:r>
    </w:p>
    <w:p w:rsidR="002E627D" w:rsidRDefault="00CD232B">
      <w:pPr>
        <w:pStyle w:val="Text1"/>
        <w:spacing w:line="240" w:lineRule="auto"/>
        <w:ind w:left="0"/>
        <w:jc w:val="both"/>
        <w:rPr>
          <w:noProof/>
        </w:rPr>
      </w:pPr>
      <w:r>
        <w:rPr>
          <w:rFonts w:ascii="Times New Roman" w:hAnsi="Times New Roman"/>
          <w:noProof/>
          <w:sz w:val="24"/>
          <w:szCs w:val="24"/>
        </w:rPr>
        <w:t>Actions prop</w:t>
      </w:r>
      <w:r>
        <w:rPr>
          <w:rFonts w:ascii="Times New Roman" w:hAnsi="Times New Roman"/>
          <w:noProof/>
          <w:sz w:val="24"/>
          <w:szCs w:val="24"/>
        </w:rPr>
        <w:t xml:space="preserve">osed under this plan can have significant benefits for consumers, industries and public authorities, if coordinated well across all relevant levels. </w:t>
      </w:r>
      <w:r>
        <w:rPr>
          <w:rFonts w:ascii="Times New Roman" w:hAnsi="Times New Roman"/>
          <w:b/>
          <w:noProof/>
          <w:sz w:val="24"/>
          <w:szCs w:val="24"/>
        </w:rPr>
        <w:t>Public authorities and the private sector must understand that they share responsibility</w:t>
      </w:r>
      <w:r>
        <w:rPr>
          <w:rFonts w:ascii="Times New Roman" w:hAnsi="Times New Roman"/>
          <w:noProof/>
          <w:sz w:val="24"/>
          <w:szCs w:val="24"/>
        </w:rPr>
        <w:t>. Public investment</w:t>
      </w:r>
      <w:r>
        <w:rPr>
          <w:rFonts w:ascii="Times New Roman" w:hAnsi="Times New Roman"/>
          <w:noProof/>
          <w:sz w:val="24"/>
          <w:szCs w:val="24"/>
        </w:rPr>
        <w:t xml:space="preserve"> in infrastructure needs to be accompanied by a </w:t>
      </w:r>
      <w:r>
        <w:rPr>
          <w:rFonts w:ascii="Times New Roman" w:hAnsi="Times New Roman"/>
          <w:b/>
          <w:noProof/>
          <w:sz w:val="24"/>
          <w:szCs w:val="24"/>
        </w:rPr>
        <w:t>reliable offering of vehicles and vessels</w:t>
      </w:r>
      <w:r>
        <w:rPr>
          <w:rFonts w:ascii="Times New Roman" w:hAnsi="Times New Roman"/>
          <w:noProof/>
          <w:sz w:val="24"/>
          <w:szCs w:val="24"/>
        </w:rPr>
        <w:t xml:space="preserve"> to reduce uncertainty about future supply and demand.</w:t>
      </w:r>
    </w:p>
    <w:p w:rsidR="002E627D" w:rsidRDefault="00CD232B">
      <w:pPr>
        <w:pStyle w:val="Heading2"/>
        <w:rPr>
          <w:noProof/>
        </w:rPr>
      </w:pPr>
      <w:r>
        <w:rPr>
          <w:noProof/>
        </w:rPr>
        <w:t xml:space="preserve"> Spurring completion and implementation of the NPFs</w:t>
      </w:r>
    </w:p>
    <w:p w:rsidR="002E627D" w:rsidRDefault="00CD232B">
      <w:pPr>
        <w:pStyle w:val="Text1"/>
        <w:spacing w:line="240" w:lineRule="auto"/>
        <w:ind w:left="0"/>
        <w:jc w:val="both"/>
        <w:rPr>
          <w:rFonts w:ascii="Times New Roman" w:hAnsi="Times New Roman"/>
          <w:noProof/>
          <w:sz w:val="24"/>
          <w:szCs w:val="24"/>
        </w:rPr>
      </w:pPr>
      <w:r>
        <w:rPr>
          <w:rFonts w:ascii="Times New Roman" w:hAnsi="Times New Roman"/>
          <w:noProof/>
          <w:sz w:val="24"/>
          <w:szCs w:val="24"/>
        </w:rPr>
        <w:t xml:space="preserve">Member States that have not yet submitted their NPFs to the </w:t>
      </w:r>
      <w:r>
        <w:rPr>
          <w:rFonts w:ascii="Times New Roman" w:hAnsi="Times New Roman"/>
          <w:noProof/>
          <w:sz w:val="24"/>
          <w:szCs w:val="24"/>
        </w:rPr>
        <w:t>Commission should do so as soon as possible. Member States that have submitted their NPFs are encouraged to take into consideration the conclusions of the assessment and the findings of the evaluation set out in the accompanying Staff Working Document.</w:t>
      </w:r>
    </w:p>
    <w:p w:rsidR="002E627D" w:rsidRDefault="00CD232B">
      <w:pPr>
        <w:pStyle w:val="Text1"/>
        <w:spacing w:line="240" w:lineRule="auto"/>
        <w:ind w:left="0"/>
        <w:jc w:val="both"/>
        <w:rPr>
          <w:rFonts w:ascii="Times New Roman" w:hAnsi="Times New Roman"/>
          <w:noProof/>
          <w:sz w:val="24"/>
          <w:szCs w:val="24"/>
        </w:rPr>
      </w:pPr>
      <w:r>
        <w:rPr>
          <w:rFonts w:ascii="Times New Roman" w:hAnsi="Times New Roman"/>
          <w:noProof/>
          <w:sz w:val="24"/>
          <w:szCs w:val="24"/>
        </w:rPr>
        <w:t>Tho</w:t>
      </w:r>
      <w:r>
        <w:rPr>
          <w:rFonts w:ascii="Times New Roman" w:hAnsi="Times New Roman"/>
          <w:noProof/>
          <w:sz w:val="24"/>
          <w:szCs w:val="24"/>
        </w:rPr>
        <w:t>se few NPFs that set ambitious targets and objectives, coupled with a comprehensive mix of policy support measures, provide an adequate response; others should follow suit, as these examples show the largest socio-economic and environmental benefits.</w:t>
      </w:r>
    </w:p>
    <w:p w:rsidR="002E627D" w:rsidRDefault="00CD232B">
      <w:pPr>
        <w:pStyle w:val="Text1"/>
        <w:spacing w:line="240" w:lineRule="auto"/>
        <w:ind w:left="0"/>
        <w:jc w:val="both"/>
        <w:rPr>
          <w:rFonts w:ascii="Times New Roman" w:hAnsi="Times New Roman"/>
          <w:noProof/>
          <w:sz w:val="24"/>
          <w:szCs w:val="24"/>
        </w:rPr>
      </w:pPr>
      <w:r>
        <w:rPr>
          <w:rFonts w:ascii="Times New Roman" w:hAnsi="Times New Roman"/>
          <w:noProof/>
          <w:sz w:val="24"/>
          <w:szCs w:val="24"/>
        </w:rPr>
        <w:t>All M</w:t>
      </w:r>
      <w:r>
        <w:rPr>
          <w:rFonts w:ascii="Times New Roman" w:hAnsi="Times New Roman"/>
          <w:noProof/>
          <w:sz w:val="24"/>
          <w:szCs w:val="24"/>
        </w:rPr>
        <w:t>ember States are encouraged to collaborate and make use of the Commission's s</w:t>
      </w:r>
      <w:r>
        <w:rPr>
          <w:rFonts w:ascii="Times New Roman" w:hAnsi="Times New Roman"/>
          <w:b/>
          <w:noProof/>
          <w:sz w:val="24"/>
          <w:szCs w:val="24"/>
        </w:rPr>
        <w:t>upport for an effective implementation of the NPFs</w:t>
      </w:r>
      <w:r>
        <w:rPr>
          <w:rFonts w:ascii="Times New Roman" w:hAnsi="Times New Roman"/>
          <w:noProof/>
          <w:sz w:val="24"/>
          <w:szCs w:val="24"/>
        </w:rPr>
        <w:t>:</w:t>
      </w:r>
    </w:p>
    <w:p w:rsidR="002E627D" w:rsidRDefault="00CD232B">
      <w:pPr>
        <w:pStyle w:val="Text1"/>
        <w:numPr>
          <w:ilvl w:val="0"/>
          <w:numId w:val="35"/>
        </w:numPr>
        <w:spacing w:line="240" w:lineRule="auto"/>
        <w:jc w:val="both"/>
        <w:rPr>
          <w:rFonts w:ascii="Times New Roman" w:hAnsi="Times New Roman"/>
          <w:noProof/>
          <w:sz w:val="24"/>
          <w:szCs w:val="24"/>
        </w:rPr>
      </w:pPr>
      <w:r>
        <w:rPr>
          <w:rFonts w:ascii="Times New Roman" w:hAnsi="Times New Roman"/>
          <w:noProof/>
          <w:sz w:val="24"/>
          <w:szCs w:val="24"/>
        </w:rPr>
        <w:t xml:space="preserve">The Commission has set up the </w:t>
      </w:r>
      <w:r>
        <w:rPr>
          <w:rFonts w:ascii="Times New Roman" w:hAnsi="Times New Roman"/>
          <w:b/>
          <w:noProof/>
          <w:sz w:val="24"/>
          <w:szCs w:val="24"/>
        </w:rPr>
        <w:t>Sustainable Transport Forum (STF)</w:t>
      </w:r>
      <w:r>
        <w:rPr>
          <w:rStyle w:val="FootnoteReference"/>
          <w:rFonts w:ascii="Times New Roman" w:hAnsi="Times New Roman"/>
          <w:b/>
          <w:noProof/>
          <w:sz w:val="24"/>
          <w:szCs w:val="24"/>
        </w:rPr>
        <w:footnoteReference w:id="30"/>
      </w:r>
      <w:r>
        <w:rPr>
          <w:rFonts w:ascii="Times New Roman" w:hAnsi="Times New Roman"/>
          <w:noProof/>
          <w:sz w:val="24"/>
          <w:szCs w:val="24"/>
        </w:rPr>
        <w:t xml:space="preserve"> to bring together representatives of Member States, the transp</w:t>
      </w:r>
      <w:r>
        <w:rPr>
          <w:rFonts w:ascii="Times New Roman" w:hAnsi="Times New Roman"/>
          <w:noProof/>
          <w:sz w:val="24"/>
          <w:szCs w:val="24"/>
        </w:rPr>
        <w:t xml:space="preserve">ort sector and civil society. Work in the STF on the implementation of Directive 2014/94/EU seeks to ensure the effective implementation of NPFs. The Commission invites Member States to actively participate in this process. The outcome of its work will be </w:t>
      </w:r>
      <w:r>
        <w:rPr>
          <w:rFonts w:ascii="Times New Roman" w:hAnsi="Times New Roman"/>
          <w:noProof/>
          <w:sz w:val="24"/>
          <w:szCs w:val="24"/>
        </w:rPr>
        <w:t xml:space="preserve">reviewed at an </w:t>
      </w:r>
      <w:r>
        <w:rPr>
          <w:rFonts w:ascii="Times New Roman" w:hAnsi="Times New Roman"/>
          <w:b/>
          <w:noProof/>
          <w:sz w:val="24"/>
          <w:szCs w:val="24"/>
        </w:rPr>
        <w:t>annual European conference on clean transport and alternative fuels infrastructure</w:t>
      </w:r>
      <w:r>
        <w:rPr>
          <w:rFonts w:ascii="Times New Roman" w:hAnsi="Times New Roman"/>
          <w:noProof/>
          <w:sz w:val="24"/>
          <w:szCs w:val="24"/>
        </w:rPr>
        <w:t>, starting with a first one in late autumn 2018.</w:t>
      </w:r>
    </w:p>
    <w:p w:rsidR="002E627D" w:rsidRDefault="00CD232B">
      <w:pPr>
        <w:pStyle w:val="Text1"/>
        <w:numPr>
          <w:ilvl w:val="0"/>
          <w:numId w:val="35"/>
        </w:numPr>
        <w:spacing w:line="240" w:lineRule="auto"/>
        <w:jc w:val="both"/>
        <w:rPr>
          <w:rFonts w:ascii="Times New Roman" w:hAnsi="Times New Roman"/>
          <w:noProof/>
          <w:sz w:val="24"/>
          <w:szCs w:val="24"/>
        </w:rPr>
      </w:pPr>
      <w:r>
        <w:rPr>
          <w:rFonts w:ascii="Times New Roman" w:hAnsi="Times New Roman"/>
          <w:noProof/>
          <w:sz w:val="24"/>
          <w:szCs w:val="24"/>
        </w:rPr>
        <w:t xml:space="preserve">The </w:t>
      </w:r>
      <w:r>
        <w:rPr>
          <w:rFonts w:ascii="Times New Roman" w:hAnsi="Times New Roman"/>
          <w:b/>
          <w:noProof/>
          <w:sz w:val="24"/>
          <w:szCs w:val="24"/>
        </w:rPr>
        <w:t>European Sustainable Shipping Forum (ESSF),</w:t>
      </w:r>
      <w:r>
        <w:rPr>
          <w:rStyle w:val="FootnoteReference"/>
          <w:rFonts w:ascii="Times New Roman" w:hAnsi="Times New Roman"/>
          <w:bCs/>
          <w:iCs/>
          <w:noProof/>
          <w:color w:val="1F497D"/>
          <w:sz w:val="24"/>
          <w:szCs w:val="24"/>
        </w:rPr>
        <w:footnoteReference w:id="31"/>
      </w:r>
      <w:r>
        <w:rPr>
          <w:rFonts w:ascii="Times New Roman" w:hAnsi="Times New Roman"/>
          <w:noProof/>
          <w:sz w:val="24"/>
          <w:szCs w:val="24"/>
        </w:rPr>
        <w:t xml:space="preserve"> the Commission expert group created in 2013, plays a role similar to the STF but for the maritime transport sector. It is a platform for structured dialogue, the sharing of technical knowledge as well as for cooperation and coordination amongst relevant a</w:t>
      </w:r>
      <w:r>
        <w:rPr>
          <w:rFonts w:ascii="Times New Roman" w:hAnsi="Times New Roman"/>
          <w:noProof/>
          <w:sz w:val="24"/>
          <w:szCs w:val="24"/>
        </w:rPr>
        <w:t>uthorities and maritime stakeholders to better address the sustainability challenges confronting the sector, including the use of LNG.</w:t>
      </w:r>
    </w:p>
    <w:p w:rsidR="002E627D" w:rsidRDefault="00CD232B">
      <w:pPr>
        <w:pStyle w:val="Text1"/>
        <w:numPr>
          <w:ilvl w:val="0"/>
          <w:numId w:val="35"/>
        </w:numPr>
        <w:spacing w:line="240" w:lineRule="auto"/>
        <w:jc w:val="both"/>
        <w:rPr>
          <w:rFonts w:ascii="Times New Roman" w:hAnsi="Times New Roman"/>
          <w:noProof/>
          <w:sz w:val="24"/>
          <w:szCs w:val="24"/>
        </w:rPr>
      </w:pPr>
      <w:r>
        <w:rPr>
          <w:rFonts w:ascii="Times New Roman" w:hAnsi="Times New Roman"/>
          <w:noProof/>
          <w:sz w:val="24"/>
          <w:szCs w:val="24"/>
        </w:rPr>
        <w:t xml:space="preserve">Under the auspices of the European Maritime Safety Agency, the Commission will put together an </w:t>
      </w:r>
      <w:r>
        <w:rPr>
          <w:rFonts w:ascii="Times New Roman" w:hAnsi="Times New Roman"/>
          <w:b/>
          <w:noProof/>
          <w:sz w:val="24"/>
          <w:szCs w:val="24"/>
        </w:rPr>
        <w:t>EU-wide non-binding LNG bu</w:t>
      </w:r>
      <w:r>
        <w:rPr>
          <w:rFonts w:ascii="Times New Roman" w:hAnsi="Times New Roman"/>
          <w:b/>
          <w:noProof/>
          <w:sz w:val="24"/>
          <w:szCs w:val="24"/>
        </w:rPr>
        <w:t>nkering guidance document</w:t>
      </w:r>
      <w:r>
        <w:rPr>
          <w:rFonts w:ascii="Times New Roman" w:hAnsi="Times New Roman"/>
          <w:noProof/>
          <w:sz w:val="24"/>
          <w:szCs w:val="24"/>
        </w:rPr>
        <w:t>. The latter should help harmonise the approach of authorities in Member States to ensure that LNG bunkering operations are safe.</w:t>
      </w:r>
    </w:p>
    <w:p w:rsidR="002E627D" w:rsidRDefault="00CD232B">
      <w:pPr>
        <w:pStyle w:val="Text1"/>
        <w:spacing w:line="240" w:lineRule="auto"/>
        <w:ind w:left="0"/>
        <w:jc w:val="both"/>
        <w:rPr>
          <w:rFonts w:ascii="Times New Roman" w:hAnsi="Times New Roman"/>
          <w:noProof/>
          <w:sz w:val="24"/>
          <w:szCs w:val="24"/>
        </w:rPr>
      </w:pPr>
      <w:r>
        <w:rPr>
          <w:rFonts w:ascii="Times New Roman" w:hAnsi="Times New Roman"/>
          <w:b/>
          <w:noProof/>
          <w:sz w:val="24"/>
          <w:szCs w:val="24"/>
        </w:rPr>
        <w:t xml:space="preserve">Member States are also invited to consider the following: </w:t>
      </w:r>
    </w:p>
    <w:p w:rsidR="002E627D" w:rsidRDefault="00CD232B">
      <w:pPr>
        <w:pStyle w:val="Text1"/>
        <w:numPr>
          <w:ilvl w:val="0"/>
          <w:numId w:val="24"/>
        </w:numPr>
        <w:spacing w:line="240" w:lineRule="auto"/>
        <w:jc w:val="both"/>
        <w:rPr>
          <w:rFonts w:ascii="Times New Roman" w:hAnsi="Times New Roman"/>
          <w:noProof/>
          <w:sz w:val="24"/>
          <w:szCs w:val="24"/>
        </w:rPr>
      </w:pPr>
      <w:r>
        <w:rPr>
          <w:rFonts w:ascii="Times New Roman" w:hAnsi="Times New Roman"/>
          <w:noProof/>
          <w:sz w:val="24"/>
          <w:szCs w:val="24"/>
        </w:rPr>
        <w:t>If support measures in NPFs are classified</w:t>
      </w:r>
      <w:r>
        <w:rPr>
          <w:rFonts w:ascii="Times New Roman" w:hAnsi="Times New Roman"/>
          <w:noProof/>
          <w:sz w:val="24"/>
          <w:szCs w:val="24"/>
        </w:rPr>
        <w:t xml:space="preserve"> as being under consideration or under adoption, the Commission urges Member States to create clarity by swiftly adopting or removing the measures. </w:t>
      </w:r>
    </w:p>
    <w:p w:rsidR="002E627D" w:rsidRDefault="00CD232B">
      <w:pPr>
        <w:pStyle w:val="Text1"/>
        <w:numPr>
          <w:ilvl w:val="0"/>
          <w:numId w:val="24"/>
        </w:numPr>
        <w:spacing w:line="240" w:lineRule="auto"/>
        <w:jc w:val="both"/>
        <w:rPr>
          <w:rFonts w:ascii="Times New Roman" w:hAnsi="Times New Roman"/>
          <w:noProof/>
          <w:sz w:val="24"/>
          <w:szCs w:val="24"/>
        </w:rPr>
      </w:pPr>
      <w:r>
        <w:rPr>
          <w:rFonts w:ascii="Times New Roman" w:hAnsi="Times New Roman"/>
          <w:noProof/>
          <w:sz w:val="24"/>
          <w:szCs w:val="24"/>
        </w:rPr>
        <w:t>Member States should actively involve all relevant stakeholders in adapting and implementing the NPFs, to e</w:t>
      </w:r>
      <w:r>
        <w:rPr>
          <w:rFonts w:ascii="Times New Roman" w:hAnsi="Times New Roman"/>
          <w:noProof/>
          <w:sz w:val="24"/>
          <w:szCs w:val="24"/>
        </w:rPr>
        <w:t xml:space="preserve">nsure synchronised roll out of vehicle and infrastructure, integration of transport and energy systems and consumer buy-in. </w:t>
      </w:r>
    </w:p>
    <w:p w:rsidR="002E627D" w:rsidRDefault="00CD232B">
      <w:pPr>
        <w:pStyle w:val="Text1"/>
        <w:numPr>
          <w:ilvl w:val="0"/>
          <w:numId w:val="24"/>
        </w:numPr>
        <w:spacing w:line="240" w:lineRule="auto"/>
        <w:jc w:val="both"/>
        <w:rPr>
          <w:rFonts w:ascii="Times New Roman" w:hAnsi="Times New Roman"/>
          <w:noProof/>
          <w:sz w:val="24"/>
          <w:szCs w:val="24"/>
        </w:rPr>
      </w:pPr>
      <w:r>
        <w:rPr>
          <w:rFonts w:ascii="Times New Roman" w:hAnsi="Times New Roman"/>
          <w:noProof/>
          <w:sz w:val="24"/>
          <w:szCs w:val="24"/>
        </w:rPr>
        <w:t>Cooperation between Member States should be intensified to guarantee cross-border continuity for all types of alternative fuelled v</w:t>
      </w:r>
      <w:r>
        <w:rPr>
          <w:rFonts w:ascii="Times New Roman" w:hAnsi="Times New Roman"/>
          <w:noProof/>
          <w:sz w:val="24"/>
          <w:szCs w:val="24"/>
        </w:rPr>
        <w:t>ehicles and vessels.</w:t>
      </w:r>
    </w:p>
    <w:p w:rsidR="002E627D" w:rsidRDefault="00CD232B">
      <w:pPr>
        <w:pStyle w:val="Text1"/>
        <w:numPr>
          <w:ilvl w:val="0"/>
          <w:numId w:val="24"/>
        </w:numPr>
        <w:spacing w:line="240" w:lineRule="auto"/>
        <w:jc w:val="both"/>
        <w:rPr>
          <w:rFonts w:ascii="Times New Roman" w:hAnsi="Times New Roman"/>
          <w:noProof/>
          <w:sz w:val="24"/>
          <w:szCs w:val="24"/>
        </w:rPr>
      </w:pPr>
      <w:r>
        <w:rPr>
          <w:rFonts w:ascii="Times New Roman" w:hAnsi="Times New Roman"/>
          <w:noProof/>
          <w:sz w:val="24"/>
          <w:szCs w:val="24"/>
        </w:rPr>
        <w:t>For long-term motorway service provision contracts, Member States are reminded to factor the need for alternative infrastructure provision into new service provision contracts. Together with service providers, they should look into con</w:t>
      </w:r>
      <w:r>
        <w:rPr>
          <w:rFonts w:ascii="Times New Roman" w:hAnsi="Times New Roman"/>
          <w:noProof/>
          <w:sz w:val="24"/>
          <w:szCs w:val="24"/>
        </w:rPr>
        <w:t>ditions for installing and operating, wherever possible, infrastructure under existing contracts.</w:t>
      </w:r>
    </w:p>
    <w:p w:rsidR="002E627D" w:rsidRDefault="00CD232B">
      <w:pPr>
        <w:pStyle w:val="Text1"/>
        <w:numPr>
          <w:ilvl w:val="0"/>
          <w:numId w:val="24"/>
        </w:numPr>
        <w:spacing w:line="240" w:lineRule="auto"/>
        <w:jc w:val="both"/>
        <w:rPr>
          <w:rFonts w:ascii="Times New Roman" w:hAnsi="Times New Roman"/>
          <w:noProof/>
          <w:sz w:val="24"/>
          <w:szCs w:val="24"/>
        </w:rPr>
      </w:pPr>
      <w:r>
        <w:rPr>
          <w:rFonts w:ascii="Times New Roman" w:hAnsi="Times New Roman"/>
          <w:noProof/>
          <w:sz w:val="24"/>
          <w:szCs w:val="24"/>
        </w:rPr>
        <w:t>To enable the full circulation of LNG-fuelled vessels and ships, Member States are urged to set or refine targets and objectives as well as to adopt financial</w:t>
      </w:r>
      <w:r>
        <w:rPr>
          <w:rFonts w:ascii="Times New Roman" w:hAnsi="Times New Roman"/>
          <w:noProof/>
          <w:sz w:val="24"/>
          <w:szCs w:val="24"/>
        </w:rPr>
        <w:t xml:space="preserve"> and non-financial measures for the provision of LNG refuelling points in maritime and inland ports.</w:t>
      </w:r>
    </w:p>
    <w:p w:rsidR="002E627D" w:rsidRDefault="00CD232B">
      <w:pPr>
        <w:pStyle w:val="Text1"/>
        <w:numPr>
          <w:ilvl w:val="0"/>
          <w:numId w:val="24"/>
        </w:numPr>
        <w:spacing w:line="240" w:lineRule="auto"/>
        <w:jc w:val="both"/>
        <w:rPr>
          <w:rFonts w:ascii="Times New Roman" w:hAnsi="Times New Roman"/>
          <w:noProof/>
          <w:sz w:val="24"/>
          <w:szCs w:val="24"/>
        </w:rPr>
      </w:pPr>
      <w:r>
        <w:rPr>
          <w:rFonts w:ascii="Times New Roman" w:hAnsi="Times New Roman"/>
          <w:noProof/>
          <w:sz w:val="24"/>
          <w:szCs w:val="24"/>
        </w:rPr>
        <w:t xml:space="preserve">Member States are encouraged to step up their efforts to ensure shore-side electricity and electricity supply for use by stationary airplanes, by removing </w:t>
      </w:r>
      <w:r>
        <w:rPr>
          <w:rFonts w:ascii="Times New Roman" w:hAnsi="Times New Roman"/>
          <w:noProof/>
          <w:sz w:val="24"/>
          <w:szCs w:val="24"/>
        </w:rPr>
        <w:t>market barriers to these alternative energy supply sources and supporting the deployment of the related infrastructure.</w:t>
      </w:r>
    </w:p>
    <w:p w:rsidR="002E627D" w:rsidRDefault="00CD232B">
      <w:pPr>
        <w:pStyle w:val="Text1"/>
        <w:spacing w:line="240" w:lineRule="auto"/>
        <w:ind w:left="0"/>
        <w:jc w:val="both"/>
        <w:rPr>
          <w:rFonts w:ascii="Times New Roman" w:hAnsi="Times New Roman"/>
          <w:noProof/>
          <w:sz w:val="24"/>
          <w:szCs w:val="24"/>
        </w:rPr>
      </w:pPr>
      <w:r>
        <w:rPr>
          <w:rFonts w:ascii="Times New Roman" w:hAnsi="Times New Roman"/>
          <w:noProof/>
          <w:sz w:val="24"/>
          <w:szCs w:val="24"/>
        </w:rPr>
        <w:t xml:space="preserve">The Commission invites </w:t>
      </w:r>
      <w:r>
        <w:rPr>
          <w:rFonts w:ascii="Times New Roman" w:hAnsi="Times New Roman"/>
          <w:b/>
          <w:noProof/>
          <w:sz w:val="24"/>
          <w:szCs w:val="24"/>
        </w:rPr>
        <w:t>manufacturers of vehicles and vessels</w:t>
      </w:r>
      <w:r>
        <w:rPr>
          <w:rFonts w:ascii="Times New Roman" w:hAnsi="Times New Roman"/>
          <w:noProof/>
          <w:sz w:val="24"/>
          <w:szCs w:val="24"/>
        </w:rPr>
        <w:t xml:space="preserve"> to share information on future vehicle and vessel development as well as ma</w:t>
      </w:r>
      <w:r>
        <w:rPr>
          <w:rFonts w:ascii="Times New Roman" w:hAnsi="Times New Roman"/>
          <w:noProof/>
          <w:sz w:val="24"/>
          <w:szCs w:val="24"/>
        </w:rPr>
        <w:t>rket forecasts.</w:t>
      </w:r>
    </w:p>
    <w:tbl>
      <w:tblPr>
        <w:tblStyle w:val="TableGrid"/>
        <w:tblW w:w="0" w:type="auto"/>
        <w:tblLook w:val="04A0" w:firstRow="1" w:lastRow="0" w:firstColumn="1" w:lastColumn="0" w:noHBand="0" w:noVBand="1"/>
      </w:tblPr>
      <w:tblGrid>
        <w:gridCol w:w="8835"/>
      </w:tblGrid>
      <w:tr w:rsidR="002E627D">
        <w:tc>
          <w:tcPr>
            <w:tcW w:w="8835" w:type="dxa"/>
          </w:tcPr>
          <w:p w:rsidR="002E627D" w:rsidRDefault="00CD232B">
            <w:pPr>
              <w:pStyle w:val="Text1"/>
              <w:spacing w:after="120" w:line="240" w:lineRule="auto"/>
              <w:ind w:left="0"/>
              <w:jc w:val="both"/>
              <w:rPr>
                <w:rFonts w:ascii="Times New Roman" w:hAnsi="Times New Roman"/>
                <w:b/>
                <w:noProof/>
                <w:sz w:val="24"/>
                <w:szCs w:val="24"/>
              </w:rPr>
            </w:pPr>
            <w:r>
              <w:rPr>
                <w:rFonts w:ascii="Times New Roman" w:hAnsi="Times New Roman"/>
                <w:b/>
                <w:noProof/>
                <w:sz w:val="24"/>
                <w:szCs w:val="24"/>
              </w:rPr>
              <w:t>Key actions</w:t>
            </w:r>
          </w:p>
          <w:p w:rsidR="002E627D" w:rsidRDefault="00CD232B">
            <w:pPr>
              <w:pStyle w:val="Text1"/>
              <w:numPr>
                <w:ilvl w:val="0"/>
                <w:numId w:val="36"/>
              </w:numPr>
              <w:spacing w:after="120" w:line="240" w:lineRule="auto"/>
              <w:jc w:val="both"/>
              <w:rPr>
                <w:rFonts w:ascii="Times New Roman" w:hAnsi="Times New Roman"/>
                <w:noProof/>
                <w:sz w:val="24"/>
                <w:szCs w:val="24"/>
              </w:rPr>
            </w:pPr>
            <w:r>
              <w:rPr>
                <w:rFonts w:ascii="Times New Roman" w:hAnsi="Times New Roman"/>
                <w:noProof/>
                <w:sz w:val="24"/>
                <w:szCs w:val="24"/>
              </w:rPr>
              <w:t>Member States that have not yet submitted their NPFs are urged do so as soon as possible.</w:t>
            </w:r>
          </w:p>
          <w:p w:rsidR="002E627D" w:rsidRDefault="00CD232B">
            <w:pPr>
              <w:pStyle w:val="Text1"/>
              <w:numPr>
                <w:ilvl w:val="0"/>
                <w:numId w:val="36"/>
              </w:numPr>
              <w:spacing w:after="120" w:line="240" w:lineRule="auto"/>
              <w:ind w:left="714" w:hanging="357"/>
              <w:jc w:val="both"/>
              <w:rPr>
                <w:rFonts w:ascii="Times New Roman" w:hAnsi="Times New Roman"/>
                <w:noProof/>
                <w:sz w:val="24"/>
                <w:szCs w:val="24"/>
              </w:rPr>
            </w:pPr>
            <w:r>
              <w:rPr>
                <w:rFonts w:ascii="Times New Roman" w:hAnsi="Times New Roman"/>
                <w:noProof/>
                <w:sz w:val="24"/>
                <w:szCs w:val="24"/>
              </w:rPr>
              <w:t xml:space="preserve">Where necessary, Member States should reinforce their NPFs. The Commission will support information exchange and mutual learning about </w:t>
            </w:r>
            <w:r>
              <w:rPr>
                <w:rFonts w:ascii="Times New Roman" w:hAnsi="Times New Roman"/>
                <w:noProof/>
                <w:sz w:val="24"/>
                <w:szCs w:val="24"/>
              </w:rPr>
              <w:t>implementing NPFs, starting with a STF expert group discussion in March 2018 and annual policy conferences, with a first edition in late autumn 2018</w:t>
            </w:r>
          </w:p>
          <w:p w:rsidR="002E627D" w:rsidRDefault="00CD232B">
            <w:pPr>
              <w:pStyle w:val="Text1"/>
              <w:numPr>
                <w:ilvl w:val="0"/>
                <w:numId w:val="36"/>
              </w:numPr>
              <w:spacing w:after="120" w:line="240" w:lineRule="auto"/>
              <w:ind w:left="714" w:hanging="357"/>
              <w:jc w:val="both"/>
              <w:rPr>
                <w:rFonts w:ascii="Times New Roman" w:hAnsi="Times New Roman"/>
                <w:noProof/>
                <w:sz w:val="24"/>
                <w:szCs w:val="24"/>
              </w:rPr>
            </w:pPr>
            <w:r>
              <w:rPr>
                <w:rFonts w:ascii="Times New Roman" w:hAnsi="Times New Roman"/>
                <w:noProof/>
                <w:sz w:val="24"/>
                <w:szCs w:val="24"/>
              </w:rPr>
              <w:t>The Commission will consider how to best reflect priorities of NPFs in the allocation of EU project funding</w:t>
            </w:r>
            <w:r>
              <w:rPr>
                <w:rFonts w:ascii="Times New Roman" w:hAnsi="Times New Roman"/>
                <w:noProof/>
                <w:sz w:val="24"/>
                <w:szCs w:val="24"/>
              </w:rPr>
              <w:t xml:space="preserve"> and in European Semester reporting. </w:t>
            </w:r>
          </w:p>
          <w:p w:rsidR="002E627D" w:rsidRDefault="00CD232B">
            <w:pPr>
              <w:pStyle w:val="Text1"/>
              <w:numPr>
                <w:ilvl w:val="0"/>
                <w:numId w:val="36"/>
              </w:numPr>
              <w:spacing w:after="120" w:line="240" w:lineRule="auto"/>
              <w:ind w:left="714" w:hanging="357"/>
              <w:jc w:val="both"/>
              <w:rPr>
                <w:rFonts w:ascii="Times New Roman" w:hAnsi="Times New Roman"/>
                <w:noProof/>
                <w:sz w:val="24"/>
                <w:szCs w:val="24"/>
              </w:rPr>
            </w:pPr>
            <w:r>
              <w:rPr>
                <w:rFonts w:ascii="Times New Roman" w:hAnsi="Times New Roman"/>
                <w:noProof/>
                <w:sz w:val="24"/>
                <w:szCs w:val="24"/>
              </w:rPr>
              <w:t xml:space="preserve">Member States are invited to closely involve all relevant public and private stakeholders in a dialogue to discuss adaptations of NPFs, where appropriate. </w:t>
            </w:r>
          </w:p>
        </w:tc>
      </w:tr>
    </w:tbl>
    <w:p w:rsidR="002E627D" w:rsidRDefault="002E627D">
      <w:pPr>
        <w:pStyle w:val="Text1"/>
        <w:spacing w:after="0" w:line="240" w:lineRule="auto"/>
        <w:ind w:left="0"/>
        <w:jc w:val="both"/>
        <w:rPr>
          <w:rFonts w:ascii="Times New Roman" w:hAnsi="Times New Roman"/>
          <w:noProof/>
          <w:sz w:val="24"/>
          <w:szCs w:val="24"/>
        </w:rPr>
      </w:pPr>
    </w:p>
    <w:p w:rsidR="002E627D" w:rsidRDefault="00CD232B">
      <w:pPr>
        <w:pStyle w:val="Heading2"/>
        <w:rPr>
          <w:noProof/>
        </w:rPr>
      </w:pPr>
      <w:r>
        <w:rPr>
          <w:noProof/>
        </w:rPr>
        <w:t>Investment support</w:t>
      </w:r>
    </w:p>
    <w:p w:rsidR="002E627D" w:rsidRDefault="00CD232B" w:rsidP="00CD232B">
      <w:pPr>
        <w:keepNext/>
        <w:spacing w:line="240" w:lineRule="auto"/>
        <w:jc w:val="both"/>
        <w:rPr>
          <w:rFonts w:ascii="Times New Roman" w:hAnsi="Times New Roman"/>
          <w:i/>
          <w:noProof/>
          <w:sz w:val="24"/>
          <w:szCs w:val="24"/>
        </w:rPr>
      </w:pPr>
      <w:r>
        <w:rPr>
          <w:rFonts w:ascii="Times New Roman" w:hAnsi="Times New Roman"/>
          <w:i/>
          <w:noProof/>
          <w:sz w:val="24"/>
          <w:szCs w:val="24"/>
        </w:rPr>
        <w:t>Making full use of the TEN-T network corr</w:t>
      </w:r>
      <w:r>
        <w:rPr>
          <w:rFonts w:ascii="Times New Roman" w:hAnsi="Times New Roman"/>
          <w:i/>
          <w:noProof/>
          <w:sz w:val="24"/>
          <w:szCs w:val="24"/>
        </w:rPr>
        <w:t>idor approach</w:t>
      </w:r>
    </w:p>
    <w:p w:rsidR="002E627D" w:rsidRDefault="00CD232B">
      <w:pPr>
        <w:shd w:val="clear" w:color="auto" w:fill="FFFFFF" w:themeFill="background1"/>
        <w:spacing w:line="240" w:lineRule="auto"/>
        <w:jc w:val="both"/>
        <w:rPr>
          <w:rFonts w:ascii="Times New Roman" w:hAnsi="Times New Roman"/>
          <w:noProof/>
          <w:sz w:val="24"/>
          <w:szCs w:val="24"/>
        </w:rPr>
      </w:pPr>
      <w:r>
        <w:rPr>
          <w:rFonts w:ascii="Times New Roman" w:hAnsi="Times New Roman"/>
          <w:noProof/>
          <w:sz w:val="24"/>
          <w:szCs w:val="24"/>
        </w:rPr>
        <w:t xml:space="preserve">The TEN-T core and comprehensive networks are crucial for the implementation of EU transport policy objectives. </w:t>
      </w:r>
      <w:r>
        <w:rPr>
          <w:rFonts w:ascii="Times New Roman" w:hAnsi="Times New Roman"/>
          <w:b/>
          <w:noProof/>
          <w:sz w:val="24"/>
          <w:szCs w:val="24"/>
        </w:rPr>
        <w:t>Effective use of the TEN-T approach</w:t>
      </w:r>
      <w:r>
        <w:rPr>
          <w:rFonts w:ascii="Times New Roman" w:hAnsi="Times New Roman"/>
          <w:noProof/>
          <w:sz w:val="24"/>
          <w:szCs w:val="24"/>
        </w:rPr>
        <w:t xml:space="preserve"> </w:t>
      </w:r>
      <w:r>
        <w:rPr>
          <w:rFonts w:ascii="Times New Roman" w:hAnsi="Times New Roman"/>
          <w:b/>
          <w:noProof/>
          <w:sz w:val="24"/>
          <w:szCs w:val="24"/>
        </w:rPr>
        <w:t>should be made</w:t>
      </w:r>
      <w:r>
        <w:rPr>
          <w:rFonts w:ascii="Times New Roman" w:hAnsi="Times New Roman"/>
          <w:noProof/>
          <w:sz w:val="24"/>
          <w:szCs w:val="24"/>
        </w:rPr>
        <w:t xml:space="preserve"> to build up the backbone of EU-wide recharging and refuelling infrastructure by</w:t>
      </w:r>
      <w:r>
        <w:rPr>
          <w:rFonts w:ascii="Times New Roman" w:hAnsi="Times New Roman"/>
          <w:noProof/>
          <w:sz w:val="24"/>
          <w:szCs w:val="24"/>
        </w:rPr>
        <w:t xml:space="preserve"> 2025 at the latest. The corridor concept makes it possible to identify gaps in terms of cross-border long-distance mobility and to involve all relevant stakeholders in the planning and execution of projects. </w:t>
      </w:r>
    </w:p>
    <w:p w:rsidR="002E627D" w:rsidRDefault="00CD232B">
      <w:pPr>
        <w:shd w:val="clear" w:color="auto" w:fill="FFFFFF" w:themeFill="background1"/>
        <w:spacing w:line="240" w:lineRule="auto"/>
        <w:jc w:val="both"/>
        <w:rPr>
          <w:rFonts w:ascii="Times New Roman" w:hAnsi="Times New Roman"/>
          <w:noProof/>
          <w:sz w:val="24"/>
          <w:szCs w:val="24"/>
        </w:rPr>
      </w:pPr>
      <w:r>
        <w:rPr>
          <w:rFonts w:ascii="Times New Roman" w:hAnsi="Times New Roman"/>
          <w:noProof/>
          <w:sz w:val="24"/>
          <w:szCs w:val="24"/>
        </w:rPr>
        <w:t>In this context, this action plan underlines t</w:t>
      </w:r>
      <w:r>
        <w:rPr>
          <w:rFonts w:ascii="Times New Roman" w:hAnsi="Times New Roman"/>
          <w:noProof/>
          <w:sz w:val="24"/>
          <w:szCs w:val="24"/>
        </w:rPr>
        <w:t>he relevance of the Member States providing</w:t>
      </w:r>
      <w:r>
        <w:rPr>
          <w:rFonts w:ascii="Times New Roman" w:hAnsi="Times New Roman"/>
          <w:b/>
          <w:noProof/>
          <w:sz w:val="24"/>
          <w:szCs w:val="24"/>
        </w:rPr>
        <w:t xml:space="preserve"> TEN-T core network corridors with a full backbone of alternative fuels infrastructure by 2025</w:t>
      </w:r>
      <w:r>
        <w:rPr>
          <w:rFonts w:ascii="Times New Roman" w:hAnsi="Times New Roman"/>
          <w:noProof/>
          <w:sz w:val="24"/>
          <w:szCs w:val="24"/>
        </w:rPr>
        <w:t>. Related needs and requirements should be taken into account in location planning and related authorisation procedures</w:t>
      </w:r>
      <w:r>
        <w:rPr>
          <w:rFonts w:ascii="Times New Roman" w:hAnsi="Times New Roman"/>
          <w:noProof/>
          <w:sz w:val="24"/>
          <w:szCs w:val="24"/>
        </w:rPr>
        <w:t>. Equipping at least the urban nodes of the TEN-T core and comprehensive networks with enough publicly accessible recharging and refuelling points is expected to boost investor and consumer confidence. Recharging and refuelling infrastructure also need dig</w:t>
      </w:r>
      <w:r>
        <w:rPr>
          <w:rFonts w:ascii="Times New Roman" w:hAnsi="Times New Roman"/>
          <w:noProof/>
          <w:sz w:val="24"/>
          <w:szCs w:val="24"/>
        </w:rPr>
        <w:t>ital infrastructure for the development of open and interoperable services for the benefit of the consumer.</w:t>
      </w:r>
    </w:p>
    <w:p w:rsidR="002E627D" w:rsidRDefault="00CD232B">
      <w:pPr>
        <w:spacing w:line="240" w:lineRule="auto"/>
        <w:jc w:val="both"/>
        <w:rPr>
          <w:rFonts w:ascii="Times New Roman" w:hAnsi="Times New Roman"/>
          <w:noProof/>
          <w:sz w:val="24"/>
          <w:szCs w:val="24"/>
        </w:rPr>
      </w:pPr>
      <w:r>
        <w:rPr>
          <w:rFonts w:ascii="Times New Roman" w:hAnsi="Times New Roman"/>
          <w:noProof/>
          <w:sz w:val="24"/>
          <w:szCs w:val="24"/>
        </w:rPr>
        <w:t xml:space="preserve">The Commission is therefore facilitating the work of key public and private stakeholders to develop </w:t>
      </w:r>
      <w:r>
        <w:rPr>
          <w:rFonts w:ascii="Times New Roman" w:hAnsi="Times New Roman"/>
          <w:b/>
          <w:noProof/>
          <w:sz w:val="24"/>
          <w:szCs w:val="24"/>
        </w:rPr>
        <w:t>flagship</w:t>
      </w:r>
      <w:r>
        <w:rPr>
          <w:rFonts w:ascii="Times New Roman" w:hAnsi="Times New Roman"/>
          <w:noProof/>
          <w:sz w:val="24"/>
          <w:szCs w:val="24"/>
        </w:rPr>
        <w:t xml:space="preserve"> </w:t>
      </w:r>
      <w:r>
        <w:rPr>
          <w:rFonts w:ascii="Times New Roman" w:hAnsi="Times New Roman"/>
          <w:b/>
          <w:noProof/>
          <w:sz w:val="24"/>
          <w:szCs w:val="24"/>
        </w:rPr>
        <w:t xml:space="preserve">actions on the TEN-T networks, including alternative fuels infrastructure. </w:t>
      </w:r>
      <w:r>
        <w:rPr>
          <w:rFonts w:ascii="Times New Roman" w:hAnsi="Times New Roman"/>
          <w:noProof/>
          <w:sz w:val="24"/>
          <w:szCs w:val="24"/>
        </w:rPr>
        <w:t>These actions will seek to bundle projects and mobilise a wider range of actors. The Commission intends to announce these flagship actions in the context of the third TEN-T corridor</w:t>
      </w:r>
      <w:r>
        <w:rPr>
          <w:rFonts w:ascii="Times New Roman" w:hAnsi="Times New Roman"/>
          <w:noProof/>
          <w:sz w:val="24"/>
          <w:szCs w:val="24"/>
        </w:rPr>
        <w:t xml:space="preserve"> work plans by spring 2018. Implementation will benefit from collaboration between public authorities and other actors in the TEN-T corridor fora. Capacity building on the TEN-T network will be supported through appropriate mechanisms under the CEF.</w:t>
      </w:r>
    </w:p>
    <w:p w:rsidR="002E627D" w:rsidRDefault="00CD232B" w:rsidP="00CD232B">
      <w:pPr>
        <w:keepNext/>
        <w:spacing w:line="240" w:lineRule="auto"/>
        <w:jc w:val="both"/>
        <w:rPr>
          <w:rFonts w:ascii="Times New Roman" w:hAnsi="Times New Roman"/>
          <w:noProof/>
          <w:sz w:val="24"/>
          <w:szCs w:val="24"/>
        </w:rPr>
      </w:pPr>
      <w:r>
        <w:rPr>
          <w:rFonts w:ascii="Times New Roman" w:hAnsi="Times New Roman"/>
          <w:noProof/>
          <w:sz w:val="24"/>
          <w:szCs w:val="24"/>
        </w:rPr>
        <w:t>Key is</w:t>
      </w:r>
      <w:r>
        <w:rPr>
          <w:rFonts w:ascii="Times New Roman" w:hAnsi="Times New Roman"/>
          <w:noProof/>
          <w:sz w:val="24"/>
          <w:szCs w:val="24"/>
        </w:rPr>
        <w:t>sues need to be addressed:</w:t>
      </w:r>
    </w:p>
    <w:p w:rsidR="002E627D" w:rsidRDefault="00CD232B">
      <w:pPr>
        <w:pStyle w:val="ListParagraph"/>
        <w:numPr>
          <w:ilvl w:val="0"/>
          <w:numId w:val="25"/>
        </w:numPr>
        <w:spacing w:line="240" w:lineRule="auto"/>
        <w:ind w:left="714" w:hanging="357"/>
        <w:contextualSpacing w:val="0"/>
        <w:jc w:val="both"/>
        <w:rPr>
          <w:rFonts w:ascii="Times New Roman" w:hAnsi="Times New Roman"/>
          <w:noProof/>
          <w:sz w:val="24"/>
          <w:szCs w:val="24"/>
        </w:rPr>
      </w:pPr>
      <w:r>
        <w:rPr>
          <w:rFonts w:ascii="Times New Roman" w:hAnsi="Times New Roman"/>
          <w:b/>
          <w:noProof/>
          <w:sz w:val="24"/>
          <w:szCs w:val="24"/>
        </w:rPr>
        <w:t>Maximising synergies</w:t>
      </w:r>
      <w:r>
        <w:rPr>
          <w:rFonts w:ascii="Times New Roman" w:hAnsi="Times New Roman"/>
          <w:noProof/>
          <w:sz w:val="24"/>
          <w:szCs w:val="24"/>
        </w:rPr>
        <w:t xml:space="preserve"> between transport, energy and information and communication technologies in relation to both long-distance and urban mobility. It is essential to integrate the decarbonisation of transport and energy supply, smart grids and innovative energy storage solut</w:t>
      </w:r>
      <w:r>
        <w:rPr>
          <w:rFonts w:ascii="Times New Roman" w:hAnsi="Times New Roman"/>
          <w:noProof/>
          <w:sz w:val="24"/>
          <w:szCs w:val="24"/>
        </w:rPr>
        <w:t>ions.</w:t>
      </w:r>
    </w:p>
    <w:p w:rsidR="002E627D" w:rsidRDefault="00CD232B">
      <w:pPr>
        <w:pStyle w:val="ListParagraph"/>
        <w:numPr>
          <w:ilvl w:val="0"/>
          <w:numId w:val="25"/>
        </w:numPr>
        <w:shd w:val="clear" w:color="auto" w:fill="FFFFFF" w:themeFill="background1"/>
        <w:spacing w:line="240" w:lineRule="auto"/>
        <w:ind w:left="714" w:hanging="357"/>
        <w:contextualSpacing w:val="0"/>
        <w:jc w:val="both"/>
        <w:rPr>
          <w:rFonts w:ascii="Times New Roman" w:hAnsi="Times New Roman"/>
          <w:noProof/>
          <w:sz w:val="24"/>
          <w:szCs w:val="24"/>
        </w:rPr>
      </w:pPr>
      <w:r>
        <w:rPr>
          <w:rFonts w:ascii="Times New Roman" w:hAnsi="Times New Roman"/>
          <w:b/>
          <w:noProof/>
          <w:sz w:val="24"/>
          <w:szCs w:val="24"/>
        </w:rPr>
        <w:t xml:space="preserve">Fleet solutions should be promoted </w:t>
      </w:r>
      <w:r>
        <w:rPr>
          <w:rFonts w:ascii="Times New Roman" w:hAnsi="Times New Roman"/>
          <w:noProof/>
          <w:sz w:val="24"/>
          <w:szCs w:val="24"/>
        </w:rPr>
        <w:t xml:space="preserve">in conjunction with alternative fuel infrastructure on TEN-T and its urban nodes. </w:t>
      </w:r>
    </w:p>
    <w:p w:rsidR="002E627D" w:rsidRDefault="00CD232B">
      <w:pPr>
        <w:pStyle w:val="ListParagraph"/>
        <w:numPr>
          <w:ilvl w:val="0"/>
          <w:numId w:val="25"/>
        </w:numPr>
        <w:shd w:val="clear" w:color="auto" w:fill="FFFFFF" w:themeFill="background1"/>
        <w:spacing w:line="240" w:lineRule="auto"/>
        <w:ind w:left="714" w:hanging="357"/>
        <w:contextualSpacing w:val="0"/>
        <w:jc w:val="both"/>
        <w:rPr>
          <w:rFonts w:ascii="Times New Roman" w:hAnsi="Times New Roman"/>
          <w:noProof/>
          <w:sz w:val="24"/>
          <w:szCs w:val="24"/>
        </w:rPr>
      </w:pPr>
      <w:r>
        <w:rPr>
          <w:rFonts w:ascii="Times New Roman" w:hAnsi="Times New Roman"/>
          <w:noProof/>
          <w:sz w:val="24"/>
          <w:szCs w:val="24"/>
        </w:rPr>
        <w:t>In urban nodes, e</w:t>
      </w:r>
      <w:r>
        <w:rPr>
          <w:rFonts w:ascii="Times New Roman" w:hAnsi="Times New Roman"/>
          <w:b/>
          <w:noProof/>
          <w:sz w:val="24"/>
          <w:szCs w:val="24"/>
        </w:rPr>
        <w:t xml:space="preserve">lectrifying railway lines </w:t>
      </w:r>
      <w:r>
        <w:rPr>
          <w:rFonts w:ascii="Times New Roman" w:hAnsi="Times New Roman"/>
          <w:noProof/>
          <w:sz w:val="24"/>
          <w:szCs w:val="24"/>
        </w:rPr>
        <w:t xml:space="preserve">could be promoted; where this not viable the opportunity to switch from Diesel to LNG or </w:t>
      </w:r>
      <w:r>
        <w:rPr>
          <w:rFonts w:ascii="Times New Roman" w:hAnsi="Times New Roman"/>
          <w:noProof/>
          <w:sz w:val="24"/>
          <w:szCs w:val="24"/>
        </w:rPr>
        <w:t>hydrogen could be assessed.</w:t>
      </w:r>
    </w:p>
    <w:p w:rsidR="002E627D" w:rsidRDefault="00CD232B">
      <w:pPr>
        <w:pStyle w:val="ListParagraph"/>
        <w:numPr>
          <w:ilvl w:val="0"/>
          <w:numId w:val="25"/>
        </w:numPr>
        <w:spacing w:line="240" w:lineRule="auto"/>
        <w:ind w:left="714" w:hanging="357"/>
        <w:contextualSpacing w:val="0"/>
        <w:jc w:val="both"/>
        <w:rPr>
          <w:rFonts w:ascii="Times New Roman" w:hAnsi="Times New Roman"/>
          <w:noProof/>
          <w:sz w:val="24"/>
          <w:szCs w:val="24"/>
        </w:rPr>
      </w:pPr>
      <w:r>
        <w:rPr>
          <w:rFonts w:ascii="Times New Roman" w:hAnsi="Times New Roman"/>
          <w:noProof/>
          <w:sz w:val="24"/>
          <w:szCs w:val="24"/>
        </w:rPr>
        <w:t xml:space="preserve">Private market actors should go further in the action they take. This includes </w:t>
      </w:r>
      <w:r>
        <w:rPr>
          <w:rFonts w:ascii="Times New Roman" w:hAnsi="Times New Roman"/>
          <w:b/>
          <w:noProof/>
          <w:sz w:val="24"/>
          <w:szCs w:val="24"/>
        </w:rPr>
        <w:t>commercialising LNG trucks</w:t>
      </w:r>
      <w:r>
        <w:rPr>
          <w:rFonts w:ascii="Times New Roman" w:hAnsi="Times New Roman"/>
          <w:noProof/>
          <w:sz w:val="24"/>
          <w:szCs w:val="24"/>
        </w:rPr>
        <w:t xml:space="preserve"> by means of fleet solutions with refuelling stations, for which the TEN-T could provide the test-bed for scaling up soluti</w:t>
      </w:r>
      <w:r>
        <w:rPr>
          <w:rFonts w:ascii="Times New Roman" w:hAnsi="Times New Roman"/>
          <w:noProof/>
          <w:sz w:val="24"/>
          <w:szCs w:val="24"/>
        </w:rPr>
        <w:t>ons.</w:t>
      </w:r>
    </w:p>
    <w:p w:rsidR="002E627D" w:rsidRDefault="00CD232B">
      <w:pPr>
        <w:pStyle w:val="ListParagraph"/>
        <w:numPr>
          <w:ilvl w:val="0"/>
          <w:numId w:val="25"/>
        </w:numPr>
        <w:spacing w:line="240" w:lineRule="auto"/>
        <w:ind w:left="714" w:right="-28" w:hanging="357"/>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Given the </w:t>
      </w:r>
      <w:r>
        <w:rPr>
          <w:rFonts w:ascii="Times New Roman" w:eastAsia="Calibri" w:hAnsi="Times New Roman" w:cs="Times New Roman"/>
          <w:b/>
          <w:noProof/>
          <w:sz w:val="24"/>
          <w:szCs w:val="24"/>
        </w:rPr>
        <w:t>low market uptake of LNG vessels</w:t>
      </w:r>
      <w:r>
        <w:rPr>
          <w:rFonts w:ascii="Times New Roman" w:eastAsia="Calibri" w:hAnsi="Times New Roman" w:cs="Times New Roman"/>
          <w:noProof/>
          <w:sz w:val="24"/>
          <w:szCs w:val="24"/>
        </w:rPr>
        <w:t xml:space="preserve"> in the EU, LNG operators could benefit from jointly procuring LNG vessels, with a possible extension to LNG refuelling points. Authorities could also consider setting up SO</w:t>
      </w:r>
      <w:r>
        <w:rPr>
          <w:rFonts w:ascii="Times New Roman" w:eastAsia="Calibri" w:hAnsi="Times New Roman" w:cs="Times New Roman"/>
          <w:noProof/>
          <w:sz w:val="24"/>
          <w:szCs w:val="24"/>
          <w:vertAlign w:val="subscript"/>
        </w:rPr>
        <w:t>x</w:t>
      </w:r>
      <w:r>
        <w:rPr>
          <w:rFonts w:ascii="Times New Roman" w:eastAsia="Calibri" w:hAnsi="Times New Roman" w:cs="Times New Roman"/>
          <w:noProof/>
          <w:sz w:val="24"/>
          <w:szCs w:val="24"/>
        </w:rPr>
        <w:t xml:space="preserve"> emission control areas following t</w:t>
      </w:r>
      <w:r>
        <w:rPr>
          <w:rFonts w:ascii="Times New Roman" w:eastAsia="Calibri" w:hAnsi="Times New Roman" w:cs="Times New Roman"/>
          <w:noProof/>
          <w:sz w:val="24"/>
          <w:szCs w:val="24"/>
        </w:rPr>
        <w:t xml:space="preserve">he International Maritime Organisation (IMO) process under Annex VI to MARPOL, as stated in Directive 2012/33/EU. </w:t>
      </w:r>
      <w:r>
        <w:rPr>
          <w:rStyle w:val="FootnoteReference"/>
          <w:rFonts w:ascii="Times New Roman" w:eastAsia="Calibri" w:hAnsi="Times New Roman" w:cs="Times New Roman"/>
          <w:noProof/>
          <w:sz w:val="24"/>
          <w:szCs w:val="24"/>
        </w:rPr>
        <w:footnoteReference w:id="32"/>
      </w:r>
    </w:p>
    <w:p w:rsidR="002E627D" w:rsidRDefault="002E627D">
      <w:pPr>
        <w:pStyle w:val="ListParagraph"/>
        <w:spacing w:line="240" w:lineRule="auto"/>
        <w:ind w:left="714" w:right="-28"/>
        <w:jc w:val="both"/>
        <w:rPr>
          <w:rFonts w:ascii="Times New Roman" w:eastAsia="Calibri" w:hAnsi="Times New Roman" w:cs="Times New Roman"/>
          <w:noProof/>
          <w:sz w:val="24"/>
          <w:szCs w:val="24"/>
        </w:rPr>
      </w:pPr>
    </w:p>
    <w:p w:rsidR="002E627D" w:rsidRDefault="00CD232B">
      <w:pPr>
        <w:pStyle w:val="ListParagraph"/>
        <w:numPr>
          <w:ilvl w:val="0"/>
          <w:numId w:val="25"/>
        </w:numPr>
        <w:shd w:val="clear" w:color="auto" w:fill="FFFFFF" w:themeFill="background1"/>
        <w:spacing w:line="240" w:lineRule="auto"/>
        <w:ind w:left="714" w:right="-28" w:hanging="357"/>
        <w:jc w:val="both"/>
        <w:rPr>
          <w:rFonts w:ascii="Times New Roman" w:eastAsia="Calibri" w:hAnsi="Times New Roman" w:cs="Times New Roman"/>
          <w:noProof/>
          <w:sz w:val="24"/>
          <w:szCs w:val="24"/>
        </w:rPr>
      </w:pPr>
      <w:r>
        <w:rPr>
          <w:rFonts w:ascii="Times New Roman" w:eastAsia="Times New Roman" w:hAnsi="Times New Roman" w:cs="Times New Roman"/>
          <w:noProof/>
          <w:sz w:val="24"/>
          <w:szCs w:val="24"/>
          <w:lang w:eastAsia="en-GB"/>
        </w:rPr>
        <w:t xml:space="preserve">New engines for </w:t>
      </w:r>
      <w:r>
        <w:rPr>
          <w:rFonts w:ascii="Times New Roman" w:eastAsia="Times New Roman" w:hAnsi="Times New Roman" w:cs="Times New Roman"/>
          <w:b/>
          <w:noProof/>
          <w:sz w:val="24"/>
          <w:szCs w:val="24"/>
          <w:lang w:eastAsia="en-GB"/>
        </w:rPr>
        <w:t>inland waterway vessels</w:t>
      </w:r>
      <w:r>
        <w:rPr>
          <w:rFonts w:ascii="Times New Roman" w:eastAsia="Times New Roman" w:hAnsi="Times New Roman" w:cs="Times New Roman"/>
          <w:noProof/>
          <w:sz w:val="24"/>
          <w:szCs w:val="24"/>
          <w:lang w:eastAsia="en-GB"/>
        </w:rPr>
        <w:t xml:space="preserve"> will have to respect new pollutant limits from 2019.</w:t>
      </w:r>
      <w:r>
        <w:rPr>
          <w:rStyle w:val="FootnoteReference"/>
          <w:noProof/>
        </w:rPr>
        <w:footnoteReference w:id="33"/>
      </w:r>
      <w:r>
        <w:rPr>
          <w:rFonts w:ascii="Times New Roman" w:eastAsia="Times New Roman" w:hAnsi="Times New Roman" w:cs="Times New Roman"/>
          <w:noProof/>
          <w:sz w:val="24"/>
          <w:szCs w:val="24"/>
          <w:lang w:eastAsia="en-GB"/>
        </w:rPr>
        <w:t xml:space="preserve"> It is crucial to adopt the use of LNG engines</w:t>
      </w:r>
      <w:r>
        <w:rPr>
          <w:rFonts w:ascii="Times New Roman" w:eastAsia="Times New Roman" w:hAnsi="Times New Roman" w:cs="Times New Roman"/>
          <w:noProof/>
          <w:sz w:val="24"/>
          <w:szCs w:val="24"/>
          <w:lang w:eastAsia="en-GB"/>
        </w:rPr>
        <w:t>. Swiftly putting the necessary LNG infrastructure in place along the TEN-T core network corridors would help. Synergies with other modes of transport should be examined, for example LNG infrastructure in maritime ports or for heavy-duty vehicles.</w:t>
      </w:r>
    </w:p>
    <w:p w:rsidR="002E627D" w:rsidRDefault="00CD232B">
      <w:pPr>
        <w:shd w:val="clear" w:color="auto" w:fill="FFFFFF" w:themeFill="background1"/>
        <w:spacing w:line="240" w:lineRule="auto"/>
        <w:jc w:val="both"/>
        <w:rPr>
          <w:rFonts w:ascii="Times New Roman" w:hAnsi="Times New Roman"/>
          <w:noProof/>
          <w:sz w:val="24"/>
          <w:szCs w:val="24"/>
        </w:rPr>
      </w:pPr>
      <w:r>
        <w:rPr>
          <w:rFonts w:ascii="Times New Roman" w:hAnsi="Times New Roman"/>
          <w:noProof/>
          <w:sz w:val="24"/>
          <w:szCs w:val="24"/>
        </w:rPr>
        <w:t xml:space="preserve">Member States and regions are also encouraged </w:t>
      </w:r>
      <w:r>
        <w:rPr>
          <w:rFonts w:ascii="Times New Roman" w:hAnsi="Times New Roman"/>
          <w:b/>
          <w:noProof/>
          <w:sz w:val="24"/>
          <w:szCs w:val="24"/>
        </w:rPr>
        <w:t>to reinforce their use of cohesion policy support</w:t>
      </w:r>
      <w:r>
        <w:rPr>
          <w:rFonts w:ascii="Times New Roman" w:hAnsi="Times New Roman"/>
          <w:noProof/>
          <w:sz w:val="24"/>
          <w:szCs w:val="24"/>
        </w:rPr>
        <w:t xml:space="preserve"> and, in particular, the European Territorial Cooperation ("Interreg") Programmes to ensure good coordination and coherence in the deployment of alternative fuel</w:t>
      </w:r>
      <w:r>
        <w:rPr>
          <w:rFonts w:ascii="Times New Roman" w:hAnsi="Times New Roman"/>
          <w:noProof/>
          <w:sz w:val="24"/>
          <w:szCs w:val="24"/>
        </w:rPr>
        <w:t>s infrastructure – not only along the TEN-T, but also at regional and local level.</w:t>
      </w:r>
    </w:p>
    <w:p w:rsidR="002E627D" w:rsidRDefault="00CD232B">
      <w:pPr>
        <w:pStyle w:val="Heading2"/>
        <w:numPr>
          <w:ilvl w:val="0"/>
          <w:numId w:val="0"/>
        </w:numPr>
        <w:spacing w:line="240" w:lineRule="auto"/>
        <w:jc w:val="both"/>
        <w:rPr>
          <w:b w:val="0"/>
          <w:i/>
          <w:noProof/>
        </w:rPr>
      </w:pPr>
      <w:r>
        <w:rPr>
          <w:b w:val="0"/>
          <w:i/>
          <w:noProof/>
        </w:rPr>
        <w:t>Increasing the scale and impact of finance</w:t>
      </w:r>
    </w:p>
    <w:p w:rsidR="002E627D" w:rsidRDefault="00CD232B">
      <w:pPr>
        <w:pStyle w:val="Heading2"/>
        <w:numPr>
          <w:ilvl w:val="0"/>
          <w:numId w:val="0"/>
        </w:numPr>
        <w:spacing w:line="240" w:lineRule="auto"/>
        <w:jc w:val="both"/>
        <w:rPr>
          <w:b w:val="0"/>
          <w:noProof/>
        </w:rPr>
      </w:pPr>
      <w:r>
        <w:rPr>
          <w:b w:val="0"/>
          <w:noProof/>
        </w:rPr>
        <w:t xml:space="preserve">Increasing the </w:t>
      </w:r>
      <w:r>
        <w:rPr>
          <w:noProof/>
        </w:rPr>
        <w:t>scale and impact of financing</w:t>
      </w:r>
      <w:r>
        <w:rPr>
          <w:b w:val="0"/>
          <w:noProof/>
        </w:rPr>
        <w:t xml:space="preserve"> is a key priority. Support from the EU should leverage additional public and private </w:t>
      </w:r>
      <w:r>
        <w:rPr>
          <w:b w:val="0"/>
          <w:noProof/>
        </w:rPr>
        <w:t xml:space="preserve">finance to the extent possible. The assessment of financial needs and opportunities related to innovative financing will also feed into the preparation of the post-2020 multi-annual financial framework. </w:t>
      </w:r>
    </w:p>
    <w:p w:rsidR="002E627D" w:rsidRDefault="00CD232B">
      <w:pPr>
        <w:pStyle w:val="Text2"/>
        <w:spacing w:line="240" w:lineRule="auto"/>
        <w:ind w:left="0"/>
        <w:jc w:val="both"/>
        <w:rPr>
          <w:rFonts w:ascii="Times New Roman" w:hAnsi="Times New Roman"/>
          <w:noProof/>
          <w:sz w:val="24"/>
          <w:szCs w:val="24"/>
        </w:rPr>
      </w:pPr>
      <w:r>
        <w:rPr>
          <w:rFonts w:ascii="Times New Roman" w:hAnsi="Times New Roman"/>
          <w:noProof/>
          <w:sz w:val="24"/>
          <w:szCs w:val="24"/>
        </w:rPr>
        <w:t xml:space="preserve">Support to alternative fuels is increasingly about deployment of solutions, not only about innovation. </w:t>
      </w:r>
      <w:r>
        <w:rPr>
          <w:rFonts w:ascii="Times New Roman" w:hAnsi="Times New Roman"/>
          <w:b/>
          <w:noProof/>
          <w:sz w:val="24"/>
          <w:szCs w:val="24"/>
        </w:rPr>
        <w:t xml:space="preserve">Public money needs to be used efficiently. </w:t>
      </w:r>
      <w:r>
        <w:rPr>
          <w:rFonts w:ascii="Times New Roman" w:hAnsi="Times New Roman"/>
          <w:noProof/>
          <w:sz w:val="24"/>
          <w:szCs w:val="24"/>
        </w:rPr>
        <w:t>In some cases, grants are still needed to accelerate the deployment of alternative fuels infrastructure, espec</w:t>
      </w:r>
      <w:r>
        <w:rPr>
          <w:rFonts w:ascii="Times New Roman" w:hAnsi="Times New Roman"/>
          <w:noProof/>
          <w:sz w:val="24"/>
          <w:szCs w:val="24"/>
        </w:rPr>
        <w:t>ially for cross-border and inter-urban projects and for less mature technologies. In most cases private finance should be blended with a public grant where the projects will be financed mainly by other funds, coming for example from public banks or the pri</w:t>
      </w:r>
      <w:r>
        <w:rPr>
          <w:rFonts w:ascii="Times New Roman" w:hAnsi="Times New Roman"/>
          <w:noProof/>
          <w:sz w:val="24"/>
          <w:szCs w:val="24"/>
        </w:rPr>
        <w:t>vate sector, and where the grant covers a smaller part.</w:t>
      </w:r>
    </w:p>
    <w:p w:rsidR="002E627D" w:rsidRDefault="00CD232B">
      <w:pPr>
        <w:pStyle w:val="Text2"/>
        <w:spacing w:line="240" w:lineRule="auto"/>
        <w:ind w:left="0"/>
        <w:jc w:val="both"/>
        <w:rPr>
          <w:rFonts w:ascii="Times New Roman" w:hAnsi="Times New Roman"/>
          <w:noProof/>
          <w:sz w:val="24"/>
          <w:szCs w:val="24"/>
        </w:rPr>
      </w:pPr>
      <w:r>
        <w:rPr>
          <w:rFonts w:ascii="Times New Roman" w:hAnsi="Times New Roman"/>
          <w:b/>
          <w:noProof/>
          <w:sz w:val="24"/>
          <w:szCs w:val="24"/>
        </w:rPr>
        <w:t>Investments need policy certainty</w:t>
      </w:r>
      <w:r>
        <w:rPr>
          <w:rFonts w:ascii="Times New Roman" w:hAnsi="Times New Roman"/>
          <w:noProof/>
          <w:sz w:val="24"/>
          <w:szCs w:val="24"/>
        </w:rPr>
        <w:t>. The proposal for the post-2020 CO</w:t>
      </w:r>
      <w:r>
        <w:rPr>
          <w:rFonts w:ascii="Times New Roman" w:hAnsi="Times New Roman"/>
          <w:noProof/>
          <w:sz w:val="24"/>
          <w:szCs w:val="24"/>
          <w:vertAlign w:val="subscript"/>
        </w:rPr>
        <w:t>2 </w:t>
      </w:r>
      <w:r>
        <w:rPr>
          <w:rFonts w:ascii="Times New Roman" w:hAnsi="Times New Roman"/>
          <w:noProof/>
          <w:sz w:val="24"/>
          <w:szCs w:val="24"/>
        </w:rPr>
        <w:t>emission performance standards for cars and vans,</w:t>
      </w:r>
      <w:r>
        <w:rPr>
          <w:rStyle w:val="FootnoteReference"/>
          <w:rFonts w:ascii="Times New Roman" w:hAnsi="Times New Roman"/>
          <w:noProof/>
          <w:sz w:val="24"/>
          <w:szCs w:val="24"/>
        </w:rPr>
        <w:footnoteReference w:id="34"/>
      </w:r>
      <w:r>
        <w:rPr>
          <w:rFonts w:ascii="Times New Roman" w:hAnsi="Times New Roman"/>
          <w:noProof/>
          <w:sz w:val="24"/>
          <w:szCs w:val="24"/>
        </w:rPr>
        <w:t xml:space="preserve"> published alongside this action plan, tackles this key market barrier, together</w:t>
      </w:r>
      <w:r>
        <w:rPr>
          <w:rFonts w:ascii="Times New Roman" w:hAnsi="Times New Roman"/>
          <w:noProof/>
          <w:sz w:val="24"/>
          <w:szCs w:val="24"/>
        </w:rPr>
        <w:t xml:space="preserve"> with other policy proposals such as the revision of the Clean Vehicles Directive.</w:t>
      </w:r>
      <w:r>
        <w:rPr>
          <w:rStyle w:val="FootnoteReference"/>
          <w:rFonts w:ascii="Times New Roman" w:hAnsi="Times New Roman"/>
          <w:noProof/>
          <w:sz w:val="24"/>
          <w:szCs w:val="24"/>
        </w:rPr>
        <w:footnoteReference w:id="35"/>
      </w:r>
      <w:r>
        <w:rPr>
          <w:rFonts w:ascii="Times New Roman" w:hAnsi="Times New Roman"/>
          <w:noProof/>
          <w:sz w:val="24"/>
          <w:szCs w:val="24"/>
        </w:rPr>
        <w:t xml:space="preserve"> </w:t>
      </w:r>
    </w:p>
    <w:p w:rsidR="002E627D" w:rsidRDefault="00CD232B">
      <w:pPr>
        <w:pStyle w:val="Text2"/>
        <w:spacing w:line="240" w:lineRule="auto"/>
        <w:ind w:left="0"/>
        <w:jc w:val="both"/>
        <w:rPr>
          <w:rFonts w:ascii="Times New Roman" w:hAnsi="Times New Roman"/>
          <w:b/>
          <w:noProof/>
          <w:sz w:val="24"/>
          <w:szCs w:val="24"/>
        </w:rPr>
      </w:pPr>
      <w:r>
        <w:rPr>
          <w:rFonts w:ascii="Times New Roman" w:hAnsi="Times New Roman"/>
          <w:noProof/>
          <w:sz w:val="24"/>
          <w:szCs w:val="24"/>
        </w:rPr>
        <w:t xml:space="preserve">As a rule, </w:t>
      </w:r>
      <w:r>
        <w:rPr>
          <w:rFonts w:ascii="Times New Roman" w:hAnsi="Times New Roman"/>
          <w:b/>
          <w:noProof/>
          <w:sz w:val="24"/>
          <w:szCs w:val="24"/>
        </w:rPr>
        <w:t>projects supported by EU funds should fulfil the requirements of Directive 2014/94/EU and should reflect the priorities set out in the NPFs</w:t>
      </w:r>
      <w:r>
        <w:rPr>
          <w:rFonts w:ascii="Times New Roman" w:hAnsi="Times New Roman"/>
          <w:noProof/>
          <w:sz w:val="24"/>
          <w:szCs w:val="24"/>
        </w:rPr>
        <w:t>. The Commission will</w:t>
      </w:r>
      <w:r>
        <w:rPr>
          <w:rFonts w:ascii="Times New Roman" w:hAnsi="Times New Roman"/>
          <w:noProof/>
          <w:sz w:val="24"/>
          <w:szCs w:val="24"/>
        </w:rPr>
        <w:t xml:space="preserve"> use findings of the assessment of NPFs to inform funding decisions under the Connecting Europe Facility (CEF), the Cohesion Fund (CF)</w:t>
      </w:r>
      <w:r>
        <w:rPr>
          <w:rFonts w:ascii="Times New Roman" w:hAnsi="Times New Roman"/>
          <w:b/>
          <w:noProof/>
          <w:sz w:val="24"/>
          <w:szCs w:val="24"/>
        </w:rPr>
        <w:t xml:space="preserve"> </w:t>
      </w:r>
      <w:r>
        <w:rPr>
          <w:rFonts w:ascii="Times New Roman" w:hAnsi="Times New Roman"/>
          <w:noProof/>
          <w:sz w:val="24"/>
          <w:szCs w:val="24"/>
        </w:rPr>
        <w:t>and</w:t>
      </w:r>
      <w:r>
        <w:rPr>
          <w:rFonts w:ascii="Times New Roman" w:hAnsi="Times New Roman"/>
          <w:b/>
          <w:noProof/>
          <w:sz w:val="24"/>
          <w:szCs w:val="24"/>
        </w:rPr>
        <w:t xml:space="preserve"> </w:t>
      </w:r>
      <w:r>
        <w:rPr>
          <w:rFonts w:ascii="Times New Roman" w:hAnsi="Times New Roman"/>
          <w:noProof/>
          <w:sz w:val="24"/>
          <w:szCs w:val="24"/>
        </w:rPr>
        <w:t>the</w:t>
      </w:r>
      <w:r>
        <w:rPr>
          <w:rFonts w:ascii="Times New Roman" w:hAnsi="Times New Roman"/>
          <w:b/>
          <w:noProof/>
          <w:sz w:val="24"/>
          <w:szCs w:val="24"/>
        </w:rPr>
        <w:t xml:space="preserve"> </w:t>
      </w:r>
      <w:r>
        <w:rPr>
          <w:rFonts w:ascii="Times New Roman" w:hAnsi="Times New Roman"/>
          <w:noProof/>
          <w:sz w:val="24"/>
          <w:szCs w:val="24"/>
        </w:rPr>
        <w:t>European Regional Development Fund (ERDF).</w:t>
      </w:r>
    </w:p>
    <w:p w:rsidR="002E627D" w:rsidRDefault="00CD232B">
      <w:pPr>
        <w:pStyle w:val="Text2"/>
        <w:spacing w:line="240" w:lineRule="auto"/>
        <w:ind w:left="0"/>
        <w:jc w:val="both"/>
        <w:rPr>
          <w:rFonts w:ascii="Times New Roman" w:hAnsi="Times New Roman"/>
          <w:noProof/>
          <w:sz w:val="24"/>
          <w:szCs w:val="24"/>
        </w:rPr>
      </w:pPr>
      <w:r>
        <w:rPr>
          <w:rFonts w:ascii="Times New Roman" w:hAnsi="Times New Roman"/>
          <w:noProof/>
          <w:sz w:val="24"/>
          <w:szCs w:val="24"/>
        </w:rPr>
        <w:t xml:space="preserve">The Commission will launch a </w:t>
      </w:r>
      <w:r>
        <w:rPr>
          <w:rFonts w:ascii="Times New Roman" w:hAnsi="Times New Roman"/>
          <w:b/>
          <w:noProof/>
          <w:sz w:val="24"/>
          <w:szCs w:val="24"/>
        </w:rPr>
        <w:t>roadshow in Member States</w:t>
      </w:r>
      <w:r>
        <w:rPr>
          <w:rFonts w:ascii="Times New Roman" w:hAnsi="Times New Roman"/>
          <w:noProof/>
          <w:sz w:val="24"/>
          <w:szCs w:val="24"/>
        </w:rPr>
        <w:t xml:space="preserve"> to review in a </w:t>
      </w:r>
      <w:r>
        <w:rPr>
          <w:rFonts w:ascii="Times New Roman" w:hAnsi="Times New Roman"/>
          <w:noProof/>
          <w:sz w:val="24"/>
          <w:szCs w:val="24"/>
        </w:rPr>
        <w:t>comprehensive way the ambition of the NPFs and the investment needs for low and zero emission mobility as well as assess the opportunities offered by different EU funding and financial instruments, including in the context of TEN-T flagship actions for alt</w:t>
      </w:r>
      <w:r>
        <w:rPr>
          <w:rFonts w:ascii="Times New Roman" w:hAnsi="Times New Roman"/>
          <w:noProof/>
          <w:sz w:val="24"/>
          <w:szCs w:val="24"/>
        </w:rPr>
        <w:t xml:space="preserve">ernative fuels infrastructure. It will involve all Commission services managing relevant funds, as well as the European Investment Bank (EIB) and national promotional banks, where appropriate. </w:t>
      </w:r>
    </w:p>
    <w:p w:rsidR="002E627D" w:rsidRDefault="00CD232B">
      <w:pPr>
        <w:pStyle w:val="Text2"/>
        <w:spacing w:line="240" w:lineRule="auto"/>
        <w:ind w:left="0"/>
        <w:jc w:val="both"/>
        <w:rPr>
          <w:rFonts w:ascii="Times New Roman" w:hAnsi="Times New Roman"/>
          <w:noProof/>
          <w:sz w:val="24"/>
          <w:szCs w:val="24"/>
        </w:rPr>
      </w:pPr>
      <w:r>
        <w:rPr>
          <w:rFonts w:ascii="Times New Roman" w:hAnsi="Times New Roman"/>
          <w:noProof/>
          <w:sz w:val="24"/>
          <w:szCs w:val="24"/>
        </w:rPr>
        <w:t>The Commission will propose an action plan on sustainable fina</w:t>
      </w:r>
      <w:r>
        <w:rPr>
          <w:rFonts w:ascii="Times New Roman" w:hAnsi="Times New Roman"/>
          <w:noProof/>
          <w:sz w:val="24"/>
          <w:szCs w:val="24"/>
        </w:rPr>
        <w:t>nce, providing incentives to investors and improving the legal framework and enabling conditions, to attract more private investments into green and sustainable projects. The deployment of alternative fuels infrastructure should benefit from such plan.</w:t>
      </w:r>
    </w:p>
    <w:p w:rsidR="002E627D" w:rsidRDefault="00CD232B" w:rsidP="00CD232B">
      <w:pPr>
        <w:keepNext/>
        <w:rPr>
          <w:rFonts w:ascii="Times New Roman" w:hAnsi="Times New Roman"/>
          <w:i/>
          <w:noProof/>
          <w:sz w:val="24"/>
          <w:szCs w:val="24"/>
        </w:rPr>
      </w:pPr>
      <w:r>
        <w:rPr>
          <w:rFonts w:ascii="Times New Roman" w:hAnsi="Times New Roman"/>
          <w:i/>
          <w:noProof/>
          <w:sz w:val="24"/>
          <w:szCs w:val="24"/>
        </w:rPr>
        <w:t>Mak</w:t>
      </w:r>
      <w:r>
        <w:rPr>
          <w:rFonts w:ascii="Times New Roman" w:hAnsi="Times New Roman"/>
          <w:i/>
          <w:noProof/>
          <w:sz w:val="24"/>
          <w:szCs w:val="24"/>
        </w:rPr>
        <w:t>ing better use of EU financing support</w:t>
      </w:r>
    </w:p>
    <w:p w:rsidR="002E627D" w:rsidRDefault="00CD232B">
      <w:pPr>
        <w:spacing w:line="240" w:lineRule="auto"/>
        <w:jc w:val="both"/>
        <w:rPr>
          <w:rFonts w:ascii="Times New Roman" w:hAnsi="Times New Roman"/>
          <w:noProof/>
          <w:sz w:val="24"/>
          <w:szCs w:val="24"/>
        </w:rPr>
      </w:pPr>
      <w:r>
        <w:rPr>
          <w:rFonts w:ascii="Times New Roman" w:hAnsi="Times New Roman"/>
          <w:b/>
          <w:noProof/>
          <w:sz w:val="24"/>
          <w:szCs w:val="24"/>
        </w:rPr>
        <w:t>Considerable support for alternative fuels infrastructure is available under various funding instruments supported by EU budget.</w:t>
      </w:r>
    </w:p>
    <w:p w:rsidR="002E627D" w:rsidRDefault="00CD232B">
      <w:pPr>
        <w:spacing w:line="240" w:lineRule="auto"/>
        <w:jc w:val="both"/>
        <w:rPr>
          <w:rFonts w:ascii="Times New Roman" w:hAnsi="Times New Roman"/>
          <w:i/>
          <w:noProof/>
          <w:sz w:val="24"/>
          <w:szCs w:val="24"/>
        </w:rPr>
      </w:pPr>
      <w:r>
        <w:rPr>
          <w:rFonts w:ascii="Times New Roman" w:hAnsi="Times New Roman"/>
          <w:noProof/>
          <w:sz w:val="24"/>
          <w:szCs w:val="24"/>
        </w:rPr>
        <w:t xml:space="preserve">The </w:t>
      </w:r>
      <w:r>
        <w:rPr>
          <w:rFonts w:ascii="Times New Roman" w:hAnsi="Times New Roman"/>
          <w:b/>
          <w:noProof/>
          <w:sz w:val="24"/>
          <w:szCs w:val="24"/>
        </w:rPr>
        <w:t>Investment Plan for Europe</w:t>
      </w:r>
      <w:r>
        <w:rPr>
          <w:rFonts w:ascii="Times New Roman" w:hAnsi="Times New Roman"/>
          <w:noProof/>
          <w:sz w:val="24"/>
          <w:szCs w:val="24"/>
        </w:rPr>
        <w:t xml:space="preserve"> is increasingly driving investment in the transport sector and in innovation, including in low and zero-emission vehicles and related infrastructure.</w:t>
      </w:r>
      <w:r>
        <w:rPr>
          <w:rStyle w:val="FootnoteReference"/>
          <w:rFonts w:ascii="Times New Roman" w:hAnsi="Times New Roman"/>
          <w:noProof/>
          <w:sz w:val="24"/>
          <w:szCs w:val="24"/>
        </w:rPr>
        <w:footnoteReference w:id="36"/>
      </w:r>
      <w:r>
        <w:rPr>
          <w:rFonts w:ascii="Times New Roman" w:hAnsi="Times New Roman"/>
          <w:noProof/>
          <w:sz w:val="24"/>
          <w:szCs w:val="24"/>
        </w:rPr>
        <w:t xml:space="preserve"> </w:t>
      </w:r>
      <w:r>
        <w:rPr>
          <w:rFonts w:ascii="Times New Roman" w:hAnsi="Times New Roman"/>
          <w:b/>
          <w:noProof/>
          <w:sz w:val="24"/>
          <w:szCs w:val="24"/>
        </w:rPr>
        <w:t>Horizon 2020</w:t>
      </w:r>
      <w:r>
        <w:rPr>
          <w:rFonts w:ascii="Times New Roman" w:hAnsi="Times New Roman"/>
          <w:noProof/>
          <w:sz w:val="24"/>
          <w:szCs w:val="24"/>
        </w:rPr>
        <w:t xml:space="preserve"> provides continued investment in research and development for clean transport, which includ</w:t>
      </w:r>
      <w:r>
        <w:rPr>
          <w:rFonts w:ascii="Times New Roman" w:hAnsi="Times New Roman"/>
          <w:noProof/>
          <w:sz w:val="24"/>
          <w:szCs w:val="24"/>
        </w:rPr>
        <w:t>es alternative fuels infrastructure and advanced biofuels. Initiatives such as the European Green Vehicles Initiative or the Fuel Cells and Hydrogen Joint Undertaking are part of this support.</w:t>
      </w:r>
    </w:p>
    <w:tbl>
      <w:tblPr>
        <w:tblStyle w:val="TableGrid"/>
        <w:tblW w:w="0" w:type="auto"/>
        <w:tblInd w:w="108" w:type="dxa"/>
        <w:tblLook w:val="04A0" w:firstRow="1" w:lastRow="0" w:firstColumn="1" w:lastColumn="0" w:noHBand="0" w:noVBand="1"/>
      </w:tblPr>
      <w:tblGrid>
        <w:gridCol w:w="8727"/>
      </w:tblGrid>
      <w:tr w:rsidR="002E627D">
        <w:tc>
          <w:tcPr>
            <w:tcW w:w="8727" w:type="dxa"/>
            <w:shd w:val="clear" w:color="auto" w:fill="C4BC96" w:themeFill="background2" w:themeFillShade="BF"/>
          </w:tcPr>
          <w:p w:rsidR="002E627D" w:rsidRDefault="00CD232B">
            <w:pPr>
              <w:pStyle w:val="Text2"/>
              <w:spacing w:line="240" w:lineRule="auto"/>
              <w:ind w:left="0"/>
              <w:jc w:val="both"/>
              <w:rPr>
                <w:rFonts w:ascii="Times New Roman" w:hAnsi="Times New Roman"/>
                <w:noProof/>
                <w:sz w:val="24"/>
                <w:szCs w:val="24"/>
              </w:rPr>
            </w:pPr>
            <w:r>
              <w:rPr>
                <w:rFonts w:ascii="Times New Roman" w:hAnsi="Times New Roman"/>
                <w:noProof/>
              </w:rPr>
              <w:t xml:space="preserve">The approximate investment mobilised by </w:t>
            </w:r>
            <w:r>
              <w:rPr>
                <w:rFonts w:ascii="Times New Roman" w:hAnsi="Times New Roman"/>
                <w:b/>
                <w:noProof/>
              </w:rPr>
              <w:t>CEF</w:t>
            </w:r>
            <w:r>
              <w:rPr>
                <w:rFonts w:ascii="Times New Roman" w:hAnsi="Times New Roman"/>
                <w:noProof/>
              </w:rPr>
              <w:t xml:space="preserve"> grant support into </w:t>
            </w:r>
            <w:r>
              <w:rPr>
                <w:rFonts w:ascii="Times New Roman" w:hAnsi="Times New Roman"/>
                <w:noProof/>
              </w:rPr>
              <w:t>alternative fuels for road transport to date is more than EUR 600 million supporting almost 60 projects</w:t>
            </w:r>
            <w:r>
              <w:rPr>
                <w:rStyle w:val="FootnoteReference"/>
                <w:rFonts w:ascii="Times New Roman" w:hAnsi="Times New Roman"/>
                <w:noProof/>
              </w:rPr>
              <w:footnoteReference w:id="37"/>
            </w:r>
            <w:r>
              <w:rPr>
                <w:rFonts w:ascii="Times New Roman" w:hAnsi="Times New Roman"/>
                <w:noProof/>
              </w:rPr>
              <w:t>. The CEF has also provided almost EUR 150 million grant support for shore-side electricity supply and LNG terminals and innovative technology for green</w:t>
            </w:r>
            <w:r>
              <w:rPr>
                <w:rFonts w:ascii="Times New Roman" w:hAnsi="Times New Roman"/>
                <w:noProof/>
              </w:rPr>
              <w:t>er vessels.</w:t>
            </w:r>
          </w:p>
          <w:p w:rsidR="002E627D" w:rsidRDefault="00CD232B">
            <w:pPr>
              <w:pStyle w:val="Text2"/>
              <w:spacing w:line="240" w:lineRule="auto"/>
              <w:ind w:left="0"/>
              <w:jc w:val="both"/>
              <w:rPr>
                <w:rFonts w:ascii="Times New Roman" w:hAnsi="Times New Roman"/>
                <w:noProof/>
              </w:rPr>
            </w:pPr>
            <w:r>
              <w:rPr>
                <w:rFonts w:ascii="Times New Roman" w:hAnsi="Times New Roman"/>
                <w:noProof/>
              </w:rPr>
              <w:t xml:space="preserve">For the 2014-2020 period, </w:t>
            </w:r>
            <w:r>
              <w:rPr>
                <w:rFonts w:ascii="Times New Roman" w:hAnsi="Times New Roman"/>
                <w:b/>
                <w:noProof/>
              </w:rPr>
              <w:t>cohesion policy</w:t>
            </w:r>
            <w:r>
              <w:rPr>
                <w:rFonts w:ascii="Times New Roman" w:hAnsi="Times New Roman"/>
                <w:noProof/>
              </w:rPr>
              <w:t xml:space="preserve"> support for investment in sustainable mobility and transport is envisaged in 209 operational and European territorial cooperation programmes, with a part programmed specifically for alternative fuels in</w:t>
            </w:r>
            <w:r>
              <w:rPr>
                <w:rFonts w:ascii="Times New Roman" w:hAnsi="Times New Roman"/>
                <w:noProof/>
              </w:rPr>
              <w:t>frastructure. Around EUR 70 billion have been programmed in CF and ERDF support for transport, including EUR 35 billion for the TEN-T network and EUR 12 billion for low-carbon, multimodal, sustainable urban mobility. Several Member States and regions are a</w:t>
            </w:r>
            <w:r>
              <w:rPr>
                <w:rFonts w:ascii="Times New Roman" w:hAnsi="Times New Roman"/>
                <w:noProof/>
              </w:rPr>
              <w:t>lready making good use of cohesion policy support to implement their NPFs and deploy alternative fuels infrastructure.</w:t>
            </w:r>
          </w:p>
          <w:p w:rsidR="002E627D" w:rsidRDefault="00CD232B">
            <w:pPr>
              <w:pStyle w:val="Text2"/>
              <w:spacing w:line="240" w:lineRule="auto"/>
              <w:ind w:left="0"/>
              <w:jc w:val="both"/>
              <w:rPr>
                <w:rFonts w:ascii="Times New Roman" w:hAnsi="Times New Roman"/>
                <w:noProof/>
              </w:rPr>
            </w:pPr>
            <w:r>
              <w:rPr>
                <w:rFonts w:ascii="Times New Roman" w:hAnsi="Times New Roman"/>
                <w:noProof/>
              </w:rPr>
              <w:t>For example, EU co-funding from CF will help realise procurement of 177 battery-electric buses in Warsaw, Zielona Góra and Świnoujście in</w:t>
            </w:r>
            <w:r>
              <w:rPr>
                <w:rFonts w:ascii="Times New Roman" w:hAnsi="Times New Roman"/>
                <w:noProof/>
              </w:rPr>
              <w:t xml:space="preserve"> Poland or installation of up to 150 recharging stations in Latvia until 2020.</w:t>
            </w:r>
          </w:p>
        </w:tc>
      </w:tr>
    </w:tbl>
    <w:p w:rsidR="002E627D" w:rsidRDefault="002E627D">
      <w:pPr>
        <w:pStyle w:val="Text2"/>
        <w:spacing w:line="240" w:lineRule="auto"/>
        <w:ind w:left="0"/>
        <w:jc w:val="both"/>
        <w:rPr>
          <w:rFonts w:ascii="Times New Roman" w:hAnsi="Times New Roman"/>
          <w:noProof/>
          <w:sz w:val="24"/>
          <w:szCs w:val="24"/>
        </w:rPr>
      </w:pPr>
    </w:p>
    <w:p w:rsidR="002E627D" w:rsidRDefault="00CD232B">
      <w:pPr>
        <w:pStyle w:val="Text2"/>
        <w:spacing w:line="240" w:lineRule="auto"/>
        <w:ind w:left="0"/>
        <w:jc w:val="both"/>
        <w:rPr>
          <w:rFonts w:ascii="Times New Roman" w:hAnsi="Times New Roman"/>
          <w:noProof/>
          <w:sz w:val="24"/>
        </w:rPr>
      </w:pPr>
      <w:r>
        <w:rPr>
          <w:rFonts w:ascii="Times New Roman" w:hAnsi="Times New Roman"/>
          <w:b/>
          <w:noProof/>
          <w:sz w:val="24"/>
          <w:szCs w:val="24"/>
        </w:rPr>
        <w:t>Blending grants and loans</w:t>
      </w:r>
      <w:r>
        <w:rPr>
          <w:rFonts w:ascii="Times New Roman" w:hAnsi="Times New Roman"/>
          <w:noProof/>
          <w:sz w:val="24"/>
          <w:szCs w:val="24"/>
        </w:rPr>
        <w:t xml:space="preserve"> is a great opportunity to leverage public and private investment. The first </w:t>
      </w:r>
      <w:r>
        <w:rPr>
          <w:rFonts w:ascii="Times New Roman" w:hAnsi="Times New Roman"/>
          <w:b/>
          <w:noProof/>
          <w:sz w:val="24"/>
        </w:rPr>
        <w:t>CEF blending call</w:t>
      </w:r>
      <w:r>
        <w:rPr>
          <w:rFonts w:ascii="Times New Roman" w:hAnsi="Times New Roman"/>
          <w:noProof/>
          <w:sz w:val="24"/>
        </w:rPr>
        <w:t xml:space="preserve"> launched in 2017 provided EUR 150 million for the deplo</w:t>
      </w:r>
      <w:r>
        <w:rPr>
          <w:rFonts w:ascii="Times New Roman" w:hAnsi="Times New Roman"/>
          <w:noProof/>
          <w:sz w:val="24"/>
        </w:rPr>
        <w:t xml:space="preserve">yment of alternative fuels infrastructures along TEN-T core network corridors. Given the positive response to the call, the Commission has decided </w:t>
      </w:r>
      <w:r>
        <w:rPr>
          <w:rFonts w:ascii="Times New Roman" w:hAnsi="Times New Roman"/>
          <w:b/>
          <w:noProof/>
          <w:sz w:val="24"/>
        </w:rPr>
        <w:t>to top up its budget by an additional EUR 350 million</w:t>
      </w:r>
      <w:r>
        <w:rPr>
          <w:rFonts w:ascii="Times New Roman" w:hAnsi="Times New Roman"/>
          <w:noProof/>
          <w:sz w:val="24"/>
        </w:rPr>
        <w:t xml:space="preserve"> for proposals to be submitted by spring 2018,</w:t>
      </w:r>
      <w:r>
        <w:rPr>
          <w:noProof/>
        </w:rPr>
        <w:t xml:space="preserve"> </w:t>
      </w:r>
      <w:r>
        <w:rPr>
          <w:rFonts w:ascii="Times New Roman" w:hAnsi="Times New Roman"/>
          <w:noProof/>
          <w:sz w:val="24"/>
        </w:rPr>
        <w:t>anticipat</w:t>
      </w:r>
      <w:r>
        <w:rPr>
          <w:rFonts w:ascii="Times New Roman" w:hAnsi="Times New Roman"/>
          <w:noProof/>
          <w:sz w:val="24"/>
        </w:rPr>
        <w:t>ing leverage of additional investment of at least EUR 1.75 billion.</w:t>
      </w:r>
    </w:p>
    <w:p w:rsidR="002E627D" w:rsidRDefault="00CD232B">
      <w:pPr>
        <w:pStyle w:val="Text2"/>
        <w:spacing w:line="240" w:lineRule="auto"/>
        <w:ind w:left="0"/>
        <w:jc w:val="both"/>
        <w:rPr>
          <w:rFonts w:ascii="Times New Roman" w:hAnsi="Times New Roman"/>
          <w:noProof/>
          <w:sz w:val="24"/>
        </w:rPr>
      </w:pPr>
      <w:r>
        <w:rPr>
          <w:rFonts w:ascii="Times New Roman" w:hAnsi="Times New Roman"/>
          <w:noProof/>
          <w:sz w:val="24"/>
        </w:rPr>
        <w:t xml:space="preserve">This investment can be combined with additional support provided under the CEF Debt instrument, where </w:t>
      </w:r>
      <w:r>
        <w:rPr>
          <w:rFonts w:ascii="Times New Roman" w:hAnsi="Times New Roman"/>
          <w:b/>
          <w:noProof/>
          <w:sz w:val="24"/>
        </w:rPr>
        <w:t>up to EUR 450 million</w:t>
      </w:r>
      <w:r>
        <w:rPr>
          <w:rFonts w:ascii="Times New Roman" w:hAnsi="Times New Roman"/>
          <w:noProof/>
          <w:sz w:val="24"/>
        </w:rPr>
        <w:t xml:space="preserve"> are being made available through the redeployment of the undisbu</w:t>
      </w:r>
      <w:r>
        <w:rPr>
          <w:rFonts w:ascii="Times New Roman" w:hAnsi="Times New Roman"/>
          <w:noProof/>
          <w:sz w:val="24"/>
        </w:rPr>
        <w:t xml:space="preserve">rsed revenues from the </w:t>
      </w:r>
      <w:r>
        <w:rPr>
          <w:rFonts w:ascii="Times New Roman" w:hAnsi="Times New Roman"/>
          <w:b/>
          <w:noProof/>
          <w:sz w:val="24"/>
        </w:rPr>
        <w:t>New Entrant's Reserve (NER 300)</w:t>
      </w:r>
      <w:r>
        <w:rPr>
          <w:rFonts w:ascii="Times New Roman" w:hAnsi="Times New Roman"/>
          <w:noProof/>
          <w:sz w:val="24"/>
        </w:rPr>
        <w:t xml:space="preserve"> programme under the EU Emissions Trading System, to support innovative projects on renewable energy in the energy and transport sector. </w:t>
      </w:r>
    </w:p>
    <w:p w:rsidR="002E627D" w:rsidRDefault="00CD232B">
      <w:pPr>
        <w:pStyle w:val="Text2"/>
        <w:spacing w:line="240" w:lineRule="auto"/>
        <w:ind w:left="0"/>
        <w:jc w:val="both"/>
        <w:rPr>
          <w:rFonts w:ascii="Times New Roman" w:hAnsi="Times New Roman"/>
          <w:b/>
          <w:noProof/>
          <w:sz w:val="24"/>
        </w:rPr>
      </w:pPr>
      <w:r>
        <w:rPr>
          <w:rFonts w:ascii="Times New Roman" w:hAnsi="Times New Roman"/>
          <w:b/>
          <w:noProof/>
          <w:sz w:val="24"/>
        </w:rPr>
        <w:t>As a result, an additional EU financial support of up to EUR 800</w:t>
      </w:r>
      <w:r>
        <w:rPr>
          <w:rFonts w:ascii="Times New Roman" w:hAnsi="Times New Roman"/>
          <w:b/>
          <w:noProof/>
          <w:sz w:val="24"/>
        </w:rPr>
        <w:t xml:space="preserve"> million from CEF and NER300 is being made available with this action plan for investments into alternative fuels infrastructure.</w:t>
      </w:r>
    </w:p>
    <w:p w:rsidR="002E627D" w:rsidRDefault="002E627D">
      <w:pPr>
        <w:pStyle w:val="Text2"/>
        <w:spacing w:line="240" w:lineRule="auto"/>
        <w:ind w:left="0"/>
        <w:jc w:val="both"/>
        <w:rPr>
          <w:rFonts w:ascii="Times New Roman" w:hAnsi="Times New Roman"/>
          <w:noProof/>
          <w:sz w:val="24"/>
          <w:szCs w:val="24"/>
        </w:rPr>
      </w:pPr>
    </w:p>
    <w:tbl>
      <w:tblPr>
        <w:tblStyle w:val="TableGrid"/>
        <w:tblW w:w="0" w:type="auto"/>
        <w:shd w:val="clear" w:color="auto" w:fill="C4BC96" w:themeFill="background2" w:themeFillShade="BF"/>
        <w:tblLook w:val="04A0" w:firstRow="1" w:lastRow="0" w:firstColumn="1" w:lastColumn="0" w:noHBand="0" w:noVBand="1"/>
      </w:tblPr>
      <w:tblGrid>
        <w:gridCol w:w="8835"/>
      </w:tblGrid>
      <w:tr w:rsidR="002E627D">
        <w:tc>
          <w:tcPr>
            <w:tcW w:w="8835" w:type="dxa"/>
            <w:shd w:val="clear" w:color="auto" w:fill="C4BC96" w:themeFill="background2" w:themeFillShade="BF"/>
          </w:tcPr>
          <w:p w:rsidR="002E627D" w:rsidRDefault="00CD232B">
            <w:pPr>
              <w:keepNext/>
              <w:numPr>
                <w:ilvl w:val="2"/>
                <w:numId w:val="0"/>
              </w:numPr>
              <w:tabs>
                <w:tab w:val="num" w:pos="0"/>
              </w:tabs>
              <w:spacing w:line="240" w:lineRule="auto"/>
              <w:jc w:val="both"/>
              <w:outlineLvl w:val="2"/>
              <w:rPr>
                <w:rFonts w:ascii="Times New Roman" w:hAnsi="Times New Roman"/>
                <w:noProof/>
              </w:rPr>
            </w:pPr>
            <w:r>
              <w:rPr>
                <w:rFonts w:ascii="Times New Roman" w:hAnsi="Times New Roman"/>
                <w:noProof/>
              </w:rPr>
              <w:t xml:space="preserve">The first projects backed by EFSI and the CEF concerned investments into cleaner public transport buses in Riga, Las Palmas, </w:t>
            </w:r>
            <w:r>
              <w:rPr>
                <w:rFonts w:ascii="Times New Roman" w:hAnsi="Times New Roman"/>
                <w:noProof/>
              </w:rPr>
              <w:t>Palma de Mallorca and the Pas-de-Calais Department in northern France. As part of the Bulles project in Pas-de-Calais, the transport company in question will overhaul its bus fleet, shifting from conventional fuels to hybrid power. One line will be operate</w:t>
            </w:r>
            <w:r>
              <w:rPr>
                <w:rFonts w:ascii="Times New Roman" w:hAnsi="Times New Roman"/>
                <w:noProof/>
              </w:rPr>
              <w:t>d exclusively using hydrogen-powered electric buses.</w:t>
            </w:r>
          </w:p>
          <w:p w:rsidR="002E627D" w:rsidRDefault="00CD232B">
            <w:pPr>
              <w:keepNext/>
              <w:numPr>
                <w:ilvl w:val="2"/>
                <w:numId w:val="0"/>
              </w:numPr>
              <w:tabs>
                <w:tab w:val="num" w:pos="0"/>
              </w:tabs>
              <w:spacing w:line="240" w:lineRule="auto"/>
              <w:jc w:val="both"/>
              <w:outlineLvl w:val="2"/>
              <w:rPr>
                <w:rFonts w:ascii="Times New Roman" w:hAnsi="Times New Roman"/>
                <w:noProof/>
                <w:sz w:val="24"/>
                <w:szCs w:val="24"/>
              </w:rPr>
            </w:pPr>
            <w:r>
              <w:rPr>
                <w:rFonts w:ascii="Times New Roman" w:hAnsi="Times New Roman"/>
                <w:noProof/>
              </w:rPr>
              <w:t>The development of innovative financing mechanisms such as the Green Shipping Guarantee Programme (GSGP), supporting the European shipping industry in accelerating investments in sustainable technologies</w:t>
            </w:r>
            <w:r>
              <w:rPr>
                <w:rFonts w:ascii="Times New Roman" w:hAnsi="Times New Roman"/>
                <w:noProof/>
              </w:rPr>
              <w:t xml:space="preserve">. It aims to provide guarantees for green shipping investments of up to EUR 3 billion. It can be used to support investments in enabling the use of LNG for example. The EIB implements the programme under specific arrangements with the Commission. To date, </w:t>
            </w:r>
            <w:r>
              <w:rPr>
                <w:rFonts w:ascii="Times New Roman" w:hAnsi="Times New Roman"/>
                <w:noProof/>
              </w:rPr>
              <w:t>two framework agreements have been signed with commercial banks in France and the Netherlands</w:t>
            </w:r>
            <w:r>
              <w:rPr>
                <w:noProof/>
              </w:rPr>
              <w:t>.</w:t>
            </w:r>
          </w:p>
        </w:tc>
      </w:tr>
    </w:tbl>
    <w:p w:rsidR="002E627D" w:rsidRDefault="00CD232B">
      <w:pPr>
        <w:keepNext/>
        <w:numPr>
          <w:ilvl w:val="2"/>
          <w:numId w:val="0"/>
        </w:numPr>
        <w:tabs>
          <w:tab w:val="num" w:pos="0"/>
        </w:tabs>
        <w:spacing w:line="240" w:lineRule="auto"/>
        <w:jc w:val="both"/>
        <w:outlineLvl w:val="2"/>
        <w:rPr>
          <w:rFonts w:ascii="Times New Roman" w:hAnsi="Times New Roman"/>
          <w:noProof/>
          <w:sz w:val="24"/>
          <w:szCs w:val="24"/>
        </w:rPr>
      </w:pPr>
      <w:r>
        <w:rPr>
          <w:rFonts w:ascii="Times New Roman" w:hAnsi="Times New Roman"/>
          <w:noProof/>
          <w:sz w:val="24"/>
          <w:szCs w:val="24"/>
        </w:rPr>
        <w:br/>
      </w:r>
      <w:r>
        <w:rPr>
          <w:rFonts w:ascii="Times New Roman" w:hAnsi="Times New Roman"/>
          <w:i/>
          <w:noProof/>
          <w:sz w:val="24"/>
          <w:szCs w:val="24"/>
        </w:rPr>
        <w:t>Capacity building</w:t>
      </w:r>
    </w:p>
    <w:p w:rsidR="002E627D" w:rsidRDefault="00CD232B">
      <w:pPr>
        <w:pStyle w:val="Text2"/>
        <w:spacing w:line="240" w:lineRule="auto"/>
        <w:ind w:left="0"/>
        <w:jc w:val="both"/>
        <w:rPr>
          <w:rFonts w:ascii="Times New Roman" w:hAnsi="Times New Roman"/>
          <w:noProof/>
          <w:sz w:val="24"/>
          <w:szCs w:val="24"/>
        </w:rPr>
      </w:pPr>
      <w:r>
        <w:rPr>
          <w:rFonts w:ascii="Times New Roman" w:hAnsi="Times New Roman"/>
          <w:noProof/>
          <w:sz w:val="24"/>
          <w:szCs w:val="24"/>
        </w:rPr>
        <w:t xml:space="preserve">The Commission will further </w:t>
      </w:r>
      <w:r>
        <w:rPr>
          <w:rFonts w:ascii="Times New Roman" w:hAnsi="Times New Roman"/>
          <w:b/>
          <w:noProof/>
          <w:sz w:val="24"/>
          <w:szCs w:val="24"/>
        </w:rPr>
        <w:t>support capacity building</w:t>
      </w:r>
      <w:r>
        <w:rPr>
          <w:rFonts w:ascii="Times New Roman" w:hAnsi="Times New Roman"/>
          <w:noProof/>
          <w:sz w:val="24"/>
          <w:szCs w:val="24"/>
        </w:rPr>
        <w:t xml:space="preserve"> in public authorities, companies and financing institutions. It has broadened its </w:t>
      </w:r>
      <w:r>
        <w:rPr>
          <w:rFonts w:ascii="Times New Roman" w:hAnsi="Times New Roman"/>
          <w:b/>
          <w:noProof/>
          <w:sz w:val="24"/>
          <w:szCs w:val="24"/>
        </w:rPr>
        <w:t>techn</w:t>
      </w:r>
      <w:r>
        <w:rPr>
          <w:rFonts w:ascii="Times New Roman" w:hAnsi="Times New Roman"/>
          <w:b/>
          <w:noProof/>
          <w:sz w:val="24"/>
          <w:szCs w:val="24"/>
        </w:rPr>
        <w:t>ical assistance</w:t>
      </w:r>
      <w:r>
        <w:rPr>
          <w:rFonts w:ascii="Times New Roman" w:hAnsi="Times New Roman"/>
          <w:noProof/>
          <w:sz w:val="24"/>
          <w:szCs w:val="24"/>
        </w:rPr>
        <w:t xml:space="preserve"> schemes such as JASPERS and ELENA</w:t>
      </w:r>
      <w:r>
        <w:rPr>
          <w:rStyle w:val="FootnoteReference"/>
          <w:rFonts w:ascii="Times New Roman" w:hAnsi="Times New Roman"/>
          <w:noProof/>
          <w:sz w:val="24"/>
          <w:szCs w:val="24"/>
        </w:rPr>
        <w:footnoteReference w:id="38"/>
      </w:r>
      <w:r>
        <w:rPr>
          <w:rFonts w:ascii="Times New Roman" w:hAnsi="Times New Roman"/>
          <w:noProof/>
          <w:sz w:val="24"/>
          <w:szCs w:val="24"/>
        </w:rPr>
        <w:t xml:space="preserve"> and experience so far demonstrates the relevance of this form of capacity building.</w:t>
      </w:r>
    </w:p>
    <w:p w:rsidR="002E627D" w:rsidRDefault="00CD232B">
      <w:pPr>
        <w:pStyle w:val="Text2"/>
        <w:spacing w:line="240" w:lineRule="auto"/>
        <w:ind w:left="0"/>
        <w:jc w:val="both"/>
        <w:rPr>
          <w:rFonts w:ascii="Times New Roman" w:hAnsi="Times New Roman"/>
          <w:noProof/>
          <w:sz w:val="24"/>
          <w:szCs w:val="24"/>
        </w:rPr>
      </w:pPr>
      <w:r>
        <w:rPr>
          <w:rFonts w:ascii="Times New Roman" w:hAnsi="Times New Roman"/>
          <w:noProof/>
          <w:sz w:val="24"/>
          <w:szCs w:val="24"/>
        </w:rPr>
        <w:t xml:space="preserve">Better collaboration and coordination of projects is needed to </w:t>
      </w:r>
      <w:r>
        <w:rPr>
          <w:rFonts w:ascii="Times New Roman" w:hAnsi="Times New Roman"/>
          <w:b/>
          <w:noProof/>
          <w:sz w:val="24"/>
          <w:szCs w:val="24"/>
        </w:rPr>
        <w:t xml:space="preserve">create a suitable project pipeline </w:t>
      </w:r>
      <w:r>
        <w:rPr>
          <w:rFonts w:ascii="Times New Roman" w:hAnsi="Times New Roman"/>
          <w:noProof/>
          <w:sz w:val="24"/>
          <w:szCs w:val="24"/>
        </w:rPr>
        <w:t>in the TEN-T and beyond</w:t>
      </w:r>
      <w:r>
        <w:rPr>
          <w:rFonts w:ascii="Times New Roman" w:hAnsi="Times New Roman"/>
          <w:noProof/>
          <w:sz w:val="24"/>
          <w:szCs w:val="24"/>
        </w:rPr>
        <w:t xml:space="preserve">, with a particular focus on urban areas. The Commission encourages public authorities, private actors and promotional and private banks to make use of existing opportunities, particularly in the context of the TEN-T flagship actions. For this reason, the </w:t>
      </w:r>
      <w:r>
        <w:rPr>
          <w:rFonts w:ascii="Times New Roman" w:hAnsi="Times New Roman"/>
          <w:noProof/>
          <w:sz w:val="24"/>
          <w:szCs w:val="24"/>
        </w:rPr>
        <w:t xml:space="preserve">Commission will support </w:t>
      </w:r>
      <w:r>
        <w:rPr>
          <w:rFonts w:ascii="Times New Roman" w:hAnsi="Times New Roman"/>
          <w:b/>
          <w:noProof/>
          <w:sz w:val="24"/>
          <w:szCs w:val="24"/>
        </w:rPr>
        <w:t xml:space="preserve">platforms for sharing knowledge </w:t>
      </w:r>
      <w:r>
        <w:rPr>
          <w:rFonts w:ascii="Times New Roman" w:hAnsi="Times New Roman"/>
          <w:noProof/>
          <w:sz w:val="24"/>
          <w:szCs w:val="24"/>
        </w:rPr>
        <w:t>about alternative fuels infrastructures, tying into the work of the Sustainable Transport Forum (STF).</w:t>
      </w:r>
      <w:bookmarkStart w:id="1" w:name="_GoBack"/>
      <w:bookmarkEnd w:id="1"/>
    </w:p>
    <w:tbl>
      <w:tblPr>
        <w:tblStyle w:val="TableGrid"/>
        <w:tblW w:w="0" w:type="auto"/>
        <w:tblLook w:val="04A0" w:firstRow="1" w:lastRow="0" w:firstColumn="1" w:lastColumn="0" w:noHBand="0" w:noVBand="1"/>
      </w:tblPr>
      <w:tblGrid>
        <w:gridCol w:w="8835"/>
      </w:tblGrid>
      <w:tr w:rsidR="002E627D" w:rsidTr="00CD232B">
        <w:tc>
          <w:tcPr>
            <w:tcW w:w="8835" w:type="dxa"/>
          </w:tcPr>
          <w:p w:rsidR="002E627D" w:rsidRDefault="00CD232B" w:rsidP="00CD232B">
            <w:pPr>
              <w:pStyle w:val="Text2"/>
              <w:keepNext/>
              <w:spacing w:after="120" w:line="240" w:lineRule="auto"/>
              <w:ind w:left="0"/>
              <w:jc w:val="both"/>
              <w:rPr>
                <w:rFonts w:ascii="Times New Roman" w:hAnsi="Times New Roman"/>
                <w:b/>
                <w:noProof/>
                <w:sz w:val="24"/>
                <w:szCs w:val="24"/>
              </w:rPr>
            </w:pPr>
            <w:r>
              <w:rPr>
                <w:rFonts w:ascii="Times New Roman" w:hAnsi="Times New Roman"/>
                <w:b/>
                <w:noProof/>
                <w:sz w:val="24"/>
                <w:szCs w:val="24"/>
              </w:rPr>
              <w:t>Key actions</w:t>
            </w:r>
          </w:p>
          <w:p w:rsidR="002E627D" w:rsidRDefault="00CD232B">
            <w:pPr>
              <w:pStyle w:val="Text1"/>
              <w:numPr>
                <w:ilvl w:val="0"/>
                <w:numId w:val="37"/>
              </w:numPr>
              <w:spacing w:after="120" w:line="240" w:lineRule="auto"/>
              <w:jc w:val="both"/>
              <w:rPr>
                <w:rFonts w:ascii="Times New Roman" w:hAnsi="Times New Roman"/>
                <w:noProof/>
                <w:sz w:val="24"/>
                <w:szCs w:val="24"/>
              </w:rPr>
            </w:pPr>
            <w:r>
              <w:rPr>
                <w:rFonts w:ascii="Times New Roman" w:hAnsi="Times New Roman"/>
                <w:noProof/>
                <w:sz w:val="24"/>
                <w:szCs w:val="24"/>
              </w:rPr>
              <w:t>Public and private stakeholders are invited to finalise flagship actions for alternat</w:t>
            </w:r>
            <w:r>
              <w:rPr>
                <w:rFonts w:ascii="Times New Roman" w:hAnsi="Times New Roman"/>
                <w:noProof/>
                <w:sz w:val="24"/>
                <w:szCs w:val="24"/>
              </w:rPr>
              <w:t>ive fuels infrastructure on the TEN-T network by early 2018.</w:t>
            </w:r>
          </w:p>
          <w:p w:rsidR="002E627D" w:rsidRDefault="00CD232B" w:rsidP="00CD232B">
            <w:pPr>
              <w:pStyle w:val="Text1"/>
              <w:widowControl w:val="0"/>
              <w:numPr>
                <w:ilvl w:val="0"/>
                <w:numId w:val="37"/>
              </w:numPr>
              <w:spacing w:after="120" w:line="240" w:lineRule="auto"/>
              <w:jc w:val="both"/>
              <w:rPr>
                <w:rFonts w:ascii="Times New Roman" w:hAnsi="Times New Roman"/>
                <w:noProof/>
                <w:sz w:val="24"/>
                <w:szCs w:val="24"/>
              </w:rPr>
            </w:pPr>
            <w:r>
              <w:rPr>
                <w:rFonts w:ascii="Times New Roman" w:hAnsi="Times New Roman"/>
                <w:noProof/>
                <w:sz w:val="24"/>
                <w:szCs w:val="24"/>
              </w:rPr>
              <w:t>The Commission will organise roadshows in Member States starting in November 2017 to review in a comprehensive way the ambition of the NPFs and the investment needs for low and zero emission mobi</w:t>
            </w:r>
            <w:r>
              <w:rPr>
                <w:rFonts w:ascii="Times New Roman" w:hAnsi="Times New Roman"/>
                <w:noProof/>
                <w:sz w:val="24"/>
                <w:szCs w:val="24"/>
              </w:rPr>
              <w:t>lity as well as assess the opportunities offered by different EU funding and financial instruments.</w:t>
            </w:r>
          </w:p>
          <w:p w:rsidR="002E627D" w:rsidRDefault="00CD232B" w:rsidP="00CD232B">
            <w:pPr>
              <w:pStyle w:val="Text1"/>
              <w:widowControl w:val="0"/>
              <w:numPr>
                <w:ilvl w:val="0"/>
                <w:numId w:val="37"/>
              </w:numPr>
              <w:spacing w:after="120" w:line="240" w:lineRule="auto"/>
              <w:jc w:val="both"/>
              <w:rPr>
                <w:rFonts w:ascii="Times New Roman" w:hAnsi="Times New Roman"/>
                <w:noProof/>
                <w:sz w:val="24"/>
                <w:szCs w:val="24"/>
              </w:rPr>
            </w:pPr>
            <w:r>
              <w:rPr>
                <w:rFonts w:ascii="Times New Roman" w:hAnsi="Times New Roman"/>
                <w:noProof/>
                <w:sz w:val="24"/>
                <w:szCs w:val="24"/>
              </w:rPr>
              <w:t>Together with industry, public authorities are invited to accelerate the roll-out of alternative fuels vehicles and infrastructure on the TEN-T network, inc</w:t>
            </w:r>
            <w:r>
              <w:rPr>
                <w:rFonts w:ascii="Times New Roman" w:hAnsi="Times New Roman"/>
                <w:noProof/>
                <w:sz w:val="24"/>
                <w:szCs w:val="24"/>
              </w:rPr>
              <w:t>luding all urban nodes, aiming for coverage by 2025, with visible impact of action by 2020.</w:t>
            </w:r>
            <w:r>
              <w:rPr>
                <w:noProof/>
              </w:rPr>
              <w:t xml:space="preserve"> </w:t>
            </w:r>
            <w:r>
              <w:rPr>
                <w:rFonts w:ascii="Times New Roman" w:hAnsi="Times New Roman"/>
                <w:noProof/>
                <w:sz w:val="24"/>
                <w:szCs w:val="24"/>
              </w:rPr>
              <w:t xml:space="preserve">This will be included in the next TEN-T work plans. </w:t>
            </w:r>
          </w:p>
          <w:p w:rsidR="002E627D" w:rsidRDefault="00CD232B" w:rsidP="00CD232B">
            <w:pPr>
              <w:pStyle w:val="Text2"/>
              <w:widowControl w:val="0"/>
              <w:numPr>
                <w:ilvl w:val="0"/>
                <w:numId w:val="37"/>
              </w:numPr>
              <w:spacing w:after="120" w:line="240" w:lineRule="auto"/>
              <w:jc w:val="both"/>
              <w:rPr>
                <w:rFonts w:ascii="Times New Roman" w:hAnsi="Times New Roman"/>
                <w:b/>
                <w:noProof/>
                <w:sz w:val="24"/>
                <w:szCs w:val="24"/>
              </w:rPr>
            </w:pPr>
            <w:r>
              <w:rPr>
                <w:rFonts w:ascii="Times New Roman" w:hAnsi="Times New Roman"/>
                <w:noProof/>
                <w:sz w:val="24"/>
                <w:szCs w:val="24"/>
              </w:rPr>
              <w:t xml:space="preserve">Manufacturers, infrastructure operators and public authorities are encouraged to make use of opportunities for </w:t>
            </w:r>
            <w:r>
              <w:rPr>
                <w:rFonts w:ascii="Times New Roman" w:hAnsi="Times New Roman"/>
                <w:noProof/>
                <w:sz w:val="24"/>
                <w:szCs w:val="24"/>
              </w:rPr>
              <w:t>joined-up projects and innovative financing.</w:t>
            </w:r>
          </w:p>
          <w:p w:rsidR="002E627D" w:rsidRDefault="00CD232B" w:rsidP="00CD232B">
            <w:pPr>
              <w:pStyle w:val="Text2"/>
              <w:widowControl w:val="0"/>
              <w:numPr>
                <w:ilvl w:val="0"/>
                <w:numId w:val="37"/>
              </w:numPr>
              <w:spacing w:after="120" w:line="240" w:lineRule="auto"/>
              <w:jc w:val="both"/>
              <w:rPr>
                <w:rFonts w:ascii="Times New Roman" w:hAnsi="Times New Roman"/>
                <w:b/>
                <w:noProof/>
                <w:sz w:val="24"/>
                <w:szCs w:val="24"/>
              </w:rPr>
            </w:pPr>
            <w:r>
              <w:rPr>
                <w:rFonts w:ascii="Times New Roman" w:hAnsi="Times New Roman"/>
                <w:noProof/>
                <w:sz w:val="24"/>
                <w:szCs w:val="24"/>
              </w:rPr>
              <w:t xml:space="preserve">The Commission will scale up its financial support by up to </w:t>
            </w:r>
            <w:r>
              <w:rPr>
                <w:rFonts w:ascii="Times New Roman" w:hAnsi="Times New Roman"/>
                <w:b/>
                <w:noProof/>
                <w:sz w:val="24"/>
                <w:szCs w:val="24"/>
              </w:rPr>
              <w:t>EUR 800 million</w:t>
            </w:r>
            <w:r>
              <w:rPr>
                <w:rFonts w:ascii="Times New Roman" w:hAnsi="Times New Roman"/>
                <w:noProof/>
                <w:sz w:val="24"/>
                <w:szCs w:val="24"/>
              </w:rPr>
              <w:t xml:space="preserve"> by </w:t>
            </w:r>
            <w:r>
              <w:rPr>
                <w:rFonts w:ascii="Times New Roman" w:hAnsi="Times New Roman"/>
                <w:noProof/>
                <w:sz w:val="24"/>
                <w:szCs w:val="24"/>
              </w:rPr>
              <w:t>: (i) topping up the second CEF blending call by EUR 350 million for proposals submitted by spring 2018; (ii) enabling rapid deploym</w:t>
            </w:r>
            <w:r>
              <w:rPr>
                <w:rFonts w:ascii="Times New Roman" w:hAnsi="Times New Roman"/>
                <w:noProof/>
                <w:sz w:val="24"/>
                <w:szCs w:val="24"/>
              </w:rPr>
              <w:t>ent of unspent NER300 revenues through the InnovFin EDP and CEF debt facilities.</w:t>
            </w:r>
          </w:p>
        </w:tc>
      </w:tr>
    </w:tbl>
    <w:p w:rsidR="002E627D" w:rsidRDefault="00CD232B">
      <w:pPr>
        <w:pStyle w:val="Heading2"/>
        <w:spacing w:before="240"/>
        <w:rPr>
          <w:noProof/>
        </w:rPr>
      </w:pPr>
      <w:r>
        <w:rPr>
          <w:noProof/>
        </w:rPr>
        <w:t>Enabling actions in urban areas</w:t>
      </w:r>
    </w:p>
    <w:p w:rsidR="002E627D" w:rsidRDefault="00CD232B">
      <w:pPr>
        <w:pStyle w:val="Text1"/>
        <w:spacing w:line="240" w:lineRule="auto"/>
        <w:ind w:left="0"/>
        <w:jc w:val="both"/>
        <w:rPr>
          <w:rFonts w:ascii="Times New Roman" w:hAnsi="Times New Roman"/>
          <w:noProof/>
          <w:sz w:val="24"/>
          <w:szCs w:val="24"/>
        </w:rPr>
      </w:pPr>
      <w:r>
        <w:rPr>
          <w:rFonts w:ascii="Times New Roman" w:hAnsi="Times New Roman"/>
          <w:noProof/>
          <w:sz w:val="24"/>
          <w:szCs w:val="24"/>
        </w:rPr>
        <w:t xml:space="preserve">Many European cities and regions are </w:t>
      </w:r>
      <w:r>
        <w:rPr>
          <w:rFonts w:ascii="Times New Roman" w:hAnsi="Times New Roman"/>
          <w:b/>
          <w:noProof/>
          <w:sz w:val="24"/>
          <w:szCs w:val="24"/>
        </w:rPr>
        <w:t xml:space="preserve">frontrunners in the </w:t>
      </w:r>
      <w:r>
        <w:rPr>
          <w:rFonts w:ascii="Times New Roman" w:hAnsi="Times New Roman"/>
          <w:b/>
          <w:noProof/>
          <w:sz w:val="24"/>
          <w:szCs w:val="24"/>
          <w:shd w:val="clear" w:color="auto" w:fill="FFFFFF" w:themeFill="background1"/>
        </w:rPr>
        <w:t>transition to low and zero emission</w:t>
      </w:r>
      <w:r>
        <w:rPr>
          <w:rFonts w:ascii="Times New Roman" w:hAnsi="Times New Roman"/>
          <w:b/>
          <w:noProof/>
          <w:sz w:val="24"/>
          <w:szCs w:val="24"/>
        </w:rPr>
        <w:t xml:space="preserve"> mobility</w:t>
      </w:r>
      <w:r>
        <w:rPr>
          <w:rFonts w:ascii="Times New Roman" w:hAnsi="Times New Roman"/>
          <w:noProof/>
          <w:sz w:val="24"/>
          <w:szCs w:val="24"/>
        </w:rPr>
        <w:t xml:space="preserve">. A significant proportion of public procurement is undertaken by municipal and local authorities. But cities also face </w:t>
      </w:r>
      <w:r>
        <w:rPr>
          <w:rFonts w:ascii="Times New Roman" w:hAnsi="Times New Roman"/>
          <w:b/>
          <w:noProof/>
          <w:sz w:val="24"/>
          <w:szCs w:val="24"/>
        </w:rPr>
        <w:t>unique challenges</w:t>
      </w:r>
      <w:r>
        <w:rPr>
          <w:rFonts w:ascii="Times New Roman" w:hAnsi="Times New Roman"/>
          <w:noProof/>
          <w:sz w:val="24"/>
          <w:szCs w:val="24"/>
        </w:rPr>
        <w:t>. Space limitations mean that alternative fuels infrastructure needs to be aligned with the infrastructure needs of oth</w:t>
      </w:r>
      <w:r>
        <w:rPr>
          <w:rFonts w:ascii="Times New Roman" w:hAnsi="Times New Roman"/>
          <w:noProof/>
          <w:sz w:val="24"/>
          <w:szCs w:val="24"/>
        </w:rPr>
        <w:t>er modes of transport. It is not possible for all users to charge electric vehicles at home. It is therefore necessary to come up with solutions for residential and non-residential buildings or combine charging facilities with other infrastructure (e.g. la</w:t>
      </w:r>
      <w:r>
        <w:rPr>
          <w:rFonts w:ascii="Times New Roman" w:hAnsi="Times New Roman"/>
          <w:noProof/>
          <w:sz w:val="24"/>
          <w:szCs w:val="24"/>
        </w:rPr>
        <w:t>mpposts). Also, the grid impacts of slow and fast-charging infrastructure have to be assessed.</w:t>
      </w:r>
    </w:p>
    <w:p w:rsidR="002E627D" w:rsidRDefault="00CD232B">
      <w:pPr>
        <w:pStyle w:val="Text1"/>
        <w:spacing w:line="240" w:lineRule="auto"/>
        <w:ind w:left="0"/>
        <w:jc w:val="both"/>
        <w:rPr>
          <w:rFonts w:ascii="Times New Roman" w:hAnsi="Times New Roman"/>
          <w:noProof/>
          <w:sz w:val="24"/>
          <w:szCs w:val="24"/>
        </w:rPr>
      </w:pPr>
      <w:r>
        <w:rPr>
          <w:rFonts w:ascii="Times New Roman" w:hAnsi="Times New Roman"/>
          <w:noProof/>
          <w:sz w:val="24"/>
          <w:szCs w:val="24"/>
        </w:rPr>
        <w:t xml:space="preserve">Comprehensive analysis of needs and planning of policy, financial and informational levers at urban level is necessary. Many cities have implemented </w:t>
      </w:r>
      <w:r>
        <w:rPr>
          <w:rFonts w:ascii="Times New Roman" w:hAnsi="Times New Roman"/>
          <w:b/>
          <w:noProof/>
          <w:sz w:val="24"/>
          <w:szCs w:val="24"/>
        </w:rPr>
        <w:t xml:space="preserve">sustainable </w:t>
      </w:r>
      <w:r>
        <w:rPr>
          <w:rFonts w:ascii="Times New Roman" w:hAnsi="Times New Roman"/>
          <w:b/>
          <w:noProof/>
          <w:sz w:val="24"/>
          <w:szCs w:val="24"/>
        </w:rPr>
        <w:t>urban mobility plans (SUMPs</w:t>
      </w:r>
      <w:r>
        <w:rPr>
          <w:rFonts w:ascii="Times New Roman" w:hAnsi="Times New Roman"/>
          <w:noProof/>
          <w:sz w:val="24"/>
          <w:szCs w:val="24"/>
        </w:rPr>
        <w:t>). The concept has proven its value in bringing together different public and private stakeholders in urban mobility planning. The Commission is committed to working with cities on adapting their SUMPs. It will also try to rethin</w:t>
      </w:r>
      <w:r>
        <w:rPr>
          <w:rFonts w:ascii="Times New Roman" w:hAnsi="Times New Roman"/>
          <w:noProof/>
          <w:sz w:val="24"/>
          <w:szCs w:val="24"/>
        </w:rPr>
        <w:t>k the overall SUMP concept to reflect alternative fuels and infrastructure needs and discuss experiences with stakeholders in the next 2018 SUMP forum.</w:t>
      </w:r>
    </w:p>
    <w:p w:rsidR="002E627D" w:rsidRDefault="00CD232B">
      <w:pPr>
        <w:pStyle w:val="Text1"/>
        <w:spacing w:line="240" w:lineRule="auto"/>
        <w:ind w:left="0"/>
        <w:jc w:val="both"/>
        <w:rPr>
          <w:rFonts w:ascii="Times New Roman" w:hAnsi="Times New Roman"/>
          <w:noProof/>
          <w:sz w:val="24"/>
          <w:szCs w:val="24"/>
        </w:rPr>
      </w:pPr>
      <w:r>
        <w:rPr>
          <w:rFonts w:ascii="Times New Roman" w:hAnsi="Times New Roman"/>
          <w:noProof/>
          <w:sz w:val="24"/>
          <w:szCs w:val="24"/>
        </w:rPr>
        <w:t>This action plan further identifies the following actions:</w:t>
      </w:r>
    </w:p>
    <w:p w:rsidR="002E627D" w:rsidRDefault="00CD232B">
      <w:pPr>
        <w:pStyle w:val="Text1"/>
        <w:numPr>
          <w:ilvl w:val="0"/>
          <w:numId w:val="38"/>
        </w:numPr>
        <w:spacing w:line="240" w:lineRule="auto"/>
        <w:jc w:val="both"/>
        <w:rPr>
          <w:rFonts w:ascii="Times New Roman" w:hAnsi="Times New Roman"/>
          <w:noProof/>
          <w:sz w:val="24"/>
          <w:szCs w:val="24"/>
        </w:rPr>
      </w:pPr>
      <w:r>
        <w:rPr>
          <w:rFonts w:ascii="Times New Roman" w:hAnsi="Times New Roman"/>
          <w:noProof/>
          <w:sz w:val="24"/>
          <w:szCs w:val="24"/>
        </w:rPr>
        <w:t>Where feasible, local and regional public aut</w:t>
      </w:r>
      <w:r>
        <w:rPr>
          <w:rFonts w:ascii="Times New Roman" w:hAnsi="Times New Roman"/>
          <w:noProof/>
          <w:sz w:val="24"/>
          <w:szCs w:val="24"/>
        </w:rPr>
        <w:t xml:space="preserve">horities should increasingly use the </w:t>
      </w:r>
      <w:r>
        <w:rPr>
          <w:rFonts w:ascii="Times New Roman" w:hAnsi="Times New Roman"/>
          <w:b/>
          <w:noProof/>
          <w:sz w:val="24"/>
          <w:szCs w:val="24"/>
        </w:rPr>
        <w:t>possibilities of CF and ERDF co-funding for sustainable urban mobility</w:t>
      </w:r>
      <w:r>
        <w:rPr>
          <w:rFonts w:ascii="Times New Roman" w:hAnsi="Times New Roman"/>
          <w:noProof/>
          <w:sz w:val="24"/>
          <w:szCs w:val="24"/>
        </w:rPr>
        <w:t>. Projects on alternative fuels and infrastructure offer significant benefits in terms of quick market absorption and immediate impact on local air q</w:t>
      </w:r>
      <w:r>
        <w:rPr>
          <w:rFonts w:ascii="Times New Roman" w:hAnsi="Times New Roman"/>
          <w:noProof/>
          <w:sz w:val="24"/>
          <w:szCs w:val="24"/>
        </w:rPr>
        <w:t xml:space="preserve">uality. </w:t>
      </w:r>
    </w:p>
    <w:p w:rsidR="002E627D" w:rsidRDefault="00CD232B">
      <w:pPr>
        <w:pStyle w:val="Text1"/>
        <w:numPr>
          <w:ilvl w:val="0"/>
          <w:numId w:val="38"/>
        </w:numPr>
        <w:spacing w:line="240" w:lineRule="auto"/>
        <w:jc w:val="both"/>
        <w:rPr>
          <w:rFonts w:ascii="Times New Roman" w:hAnsi="Times New Roman"/>
          <w:noProof/>
          <w:sz w:val="24"/>
          <w:szCs w:val="24"/>
        </w:rPr>
      </w:pPr>
      <w:r>
        <w:rPr>
          <w:rFonts w:ascii="Times New Roman" w:hAnsi="Times New Roman"/>
          <w:b/>
          <w:noProof/>
          <w:sz w:val="24"/>
          <w:szCs w:val="24"/>
        </w:rPr>
        <w:t xml:space="preserve">Information on urban access regulation schemes </w:t>
      </w:r>
      <w:r>
        <w:rPr>
          <w:rFonts w:ascii="Times New Roman" w:hAnsi="Times New Roman"/>
          <w:noProof/>
          <w:sz w:val="24"/>
          <w:szCs w:val="24"/>
        </w:rPr>
        <w:t>should be made</w:t>
      </w:r>
      <w:r>
        <w:rPr>
          <w:rFonts w:ascii="Times New Roman" w:hAnsi="Times New Roman"/>
          <w:b/>
          <w:noProof/>
          <w:sz w:val="24"/>
          <w:szCs w:val="24"/>
        </w:rPr>
        <w:t xml:space="preserve"> more transparent</w:t>
      </w:r>
      <w:r>
        <w:rPr>
          <w:rFonts w:ascii="Times New Roman" w:hAnsi="Times New Roman"/>
          <w:noProof/>
          <w:sz w:val="24"/>
          <w:szCs w:val="24"/>
        </w:rPr>
        <w:t>. This includes digital solutions, such as apps, for citizens and businesses. The Commission will continue to closely monitor the situation.</w:t>
      </w:r>
    </w:p>
    <w:p w:rsidR="002E627D" w:rsidRDefault="00CD232B">
      <w:pPr>
        <w:pStyle w:val="Text1"/>
        <w:numPr>
          <w:ilvl w:val="0"/>
          <w:numId w:val="38"/>
        </w:numPr>
        <w:spacing w:line="240" w:lineRule="auto"/>
        <w:jc w:val="both"/>
        <w:rPr>
          <w:rFonts w:ascii="Times New Roman" w:hAnsi="Times New Roman"/>
          <w:noProof/>
          <w:sz w:val="24"/>
          <w:szCs w:val="24"/>
        </w:rPr>
      </w:pPr>
      <w:r>
        <w:rPr>
          <w:rFonts w:ascii="Times New Roman" w:hAnsi="Times New Roman"/>
          <w:noProof/>
          <w:sz w:val="24"/>
          <w:szCs w:val="24"/>
        </w:rPr>
        <w:t>Charging infrastructure in c</w:t>
      </w:r>
      <w:r>
        <w:rPr>
          <w:rFonts w:ascii="Times New Roman" w:hAnsi="Times New Roman"/>
          <w:noProof/>
          <w:sz w:val="24"/>
          <w:szCs w:val="24"/>
        </w:rPr>
        <w:t xml:space="preserve">ities should be made available for </w:t>
      </w:r>
      <w:r>
        <w:rPr>
          <w:rFonts w:ascii="Times New Roman" w:hAnsi="Times New Roman"/>
          <w:b/>
          <w:noProof/>
          <w:sz w:val="24"/>
          <w:szCs w:val="24"/>
        </w:rPr>
        <w:t>all types of vehicles</w:t>
      </w:r>
      <w:r>
        <w:rPr>
          <w:rFonts w:ascii="Times New Roman" w:hAnsi="Times New Roman"/>
          <w:noProof/>
          <w:sz w:val="24"/>
          <w:szCs w:val="24"/>
        </w:rPr>
        <w:t xml:space="preserve">, including solutions for fleets of shared vehicles, for electrical bikes and motorised two wheelers. </w:t>
      </w:r>
    </w:p>
    <w:p w:rsidR="002E627D" w:rsidRDefault="00CD232B">
      <w:pPr>
        <w:pStyle w:val="Text1"/>
        <w:numPr>
          <w:ilvl w:val="0"/>
          <w:numId w:val="38"/>
        </w:numPr>
        <w:spacing w:line="240" w:lineRule="auto"/>
        <w:jc w:val="both"/>
        <w:rPr>
          <w:rFonts w:ascii="Times New Roman" w:hAnsi="Times New Roman"/>
          <w:noProof/>
          <w:sz w:val="24"/>
          <w:szCs w:val="24"/>
        </w:rPr>
      </w:pPr>
      <w:r>
        <w:rPr>
          <w:rFonts w:ascii="Times New Roman" w:hAnsi="Times New Roman"/>
          <w:noProof/>
          <w:sz w:val="24"/>
          <w:szCs w:val="24"/>
        </w:rPr>
        <w:t xml:space="preserve">Local and regional authorities under the </w:t>
      </w:r>
      <w:r>
        <w:rPr>
          <w:rFonts w:ascii="Times New Roman" w:hAnsi="Times New Roman"/>
          <w:b/>
          <w:noProof/>
          <w:sz w:val="24"/>
          <w:szCs w:val="24"/>
        </w:rPr>
        <w:t>Covenant of Mayors for Climate and Energy</w:t>
      </w:r>
      <w:r>
        <w:rPr>
          <w:rFonts w:ascii="Times New Roman" w:hAnsi="Times New Roman"/>
          <w:noProof/>
          <w:sz w:val="24"/>
          <w:szCs w:val="24"/>
        </w:rPr>
        <w:t xml:space="preserve"> should strive </w:t>
      </w:r>
      <w:r>
        <w:rPr>
          <w:rFonts w:ascii="Times New Roman" w:hAnsi="Times New Roman"/>
          <w:noProof/>
          <w:sz w:val="24"/>
          <w:szCs w:val="24"/>
        </w:rPr>
        <w:t>to include in their Sustainable Energy and Climate Plans measures aiming at cutting GHG emissions from transport and deliver on the collective estimated reduction of CO2 emissions by 19% by 2020.</w:t>
      </w:r>
    </w:p>
    <w:p w:rsidR="002E627D" w:rsidRDefault="00CD232B">
      <w:pPr>
        <w:pStyle w:val="Text1"/>
        <w:numPr>
          <w:ilvl w:val="0"/>
          <w:numId w:val="38"/>
        </w:numPr>
        <w:spacing w:line="240" w:lineRule="auto"/>
        <w:jc w:val="both"/>
        <w:rPr>
          <w:rFonts w:ascii="Times New Roman" w:hAnsi="Times New Roman"/>
          <w:noProof/>
          <w:sz w:val="24"/>
          <w:szCs w:val="24"/>
        </w:rPr>
      </w:pPr>
      <w:r>
        <w:rPr>
          <w:rFonts w:ascii="Times New Roman" w:hAnsi="Times New Roman"/>
          <w:noProof/>
          <w:sz w:val="24"/>
          <w:szCs w:val="24"/>
        </w:rPr>
        <w:t>The European Parliament and the Council are currently examin</w:t>
      </w:r>
      <w:r>
        <w:rPr>
          <w:rFonts w:ascii="Times New Roman" w:hAnsi="Times New Roman"/>
          <w:noProof/>
          <w:sz w:val="24"/>
          <w:szCs w:val="24"/>
        </w:rPr>
        <w:t>ing the Commission’s proposal for a review of the Energy Performance of Buildings Directive. Ambitious requirements for</w:t>
      </w:r>
      <w:r>
        <w:rPr>
          <w:rFonts w:ascii="Times New Roman" w:hAnsi="Times New Roman"/>
          <w:b/>
          <w:noProof/>
          <w:sz w:val="24"/>
          <w:szCs w:val="24"/>
        </w:rPr>
        <w:t xml:space="preserve"> pre-cabling and charging points in non-residential and residential buildings </w:t>
      </w:r>
      <w:r>
        <w:rPr>
          <w:rFonts w:ascii="Times New Roman" w:hAnsi="Times New Roman"/>
          <w:noProof/>
          <w:sz w:val="24"/>
          <w:szCs w:val="24"/>
        </w:rPr>
        <w:t xml:space="preserve">provided for in this text should encourage more widespread </w:t>
      </w:r>
      <w:r>
        <w:rPr>
          <w:rFonts w:ascii="Times New Roman" w:hAnsi="Times New Roman"/>
          <w:noProof/>
          <w:sz w:val="24"/>
          <w:szCs w:val="24"/>
        </w:rPr>
        <w:t xml:space="preserve">deployment than at present.  </w:t>
      </w:r>
    </w:p>
    <w:p w:rsidR="002E627D" w:rsidRDefault="00CD232B">
      <w:pPr>
        <w:pStyle w:val="Text1"/>
        <w:numPr>
          <w:ilvl w:val="0"/>
          <w:numId w:val="38"/>
        </w:numPr>
        <w:spacing w:line="240" w:lineRule="auto"/>
        <w:jc w:val="both"/>
        <w:rPr>
          <w:rFonts w:ascii="Times New Roman" w:hAnsi="Times New Roman"/>
          <w:noProof/>
          <w:sz w:val="24"/>
          <w:szCs w:val="24"/>
        </w:rPr>
      </w:pPr>
      <w:r>
        <w:rPr>
          <w:rFonts w:ascii="Times New Roman" w:hAnsi="Times New Roman"/>
          <w:noProof/>
          <w:sz w:val="24"/>
          <w:szCs w:val="24"/>
        </w:rPr>
        <w:t xml:space="preserve">The Commission will continue to facilitate the sharing of information in key fora such as the </w:t>
      </w:r>
      <w:r>
        <w:rPr>
          <w:rFonts w:ascii="Times New Roman" w:hAnsi="Times New Roman"/>
          <w:b/>
          <w:noProof/>
          <w:sz w:val="24"/>
          <w:szCs w:val="24"/>
        </w:rPr>
        <w:t>Civitas Forum</w:t>
      </w:r>
      <w:r>
        <w:rPr>
          <w:rFonts w:ascii="Times New Roman" w:hAnsi="Times New Roman"/>
          <w:noProof/>
          <w:sz w:val="24"/>
          <w:szCs w:val="24"/>
        </w:rPr>
        <w:t xml:space="preserve"> and the </w:t>
      </w:r>
      <w:r>
        <w:rPr>
          <w:rFonts w:ascii="Times New Roman" w:hAnsi="Times New Roman"/>
          <w:b/>
          <w:noProof/>
          <w:sz w:val="24"/>
          <w:szCs w:val="24"/>
        </w:rPr>
        <w:t>European Innovation Partnership for Smart Cities,</w:t>
      </w:r>
      <w:r>
        <w:rPr>
          <w:rStyle w:val="FootnoteReference"/>
          <w:rFonts w:ascii="Times New Roman" w:hAnsi="Times New Roman"/>
          <w:noProof/>
          <w:sz w:val="24"/>
          <w:szCs w:val="24"/>
        </w:rPr>
        <w:footnoteReference w:id="39"/>
      </w:r>
      <w:r>
        <w:rPr>
          <w:rFonts w:ascii="Times New Roman" w:hAnsi="Times New Roman"/>
          <w:noProof/>
          <w:sz w:val="24"/>
          <w:szCs w:val="24"/>
        </w:rPr>
        <w:t xml:space="preserve"> to promote integrated approaches to clean transport and ene</w:t>
      </w:r>
      <w:r>
        <w:rPr>
          <w:rFonts w:ascii="Times New Roman" w:hAnsi="Times New Roman"/>
          <w:noProof/>
          <w:sz w:val="24"/>
          <w:szCs w:val="24"/>
        </w:rPr>
        <w:t xml:space="preserve">rgy. </w:t>
      </w:r>
    </w:p>
    <w:p w:rsidR="002E627D" w:rsidRDefault="00CD232B">
      <w:pPr>
        <w:pStyle w:val="Text1"/>
        <w:numPr>
          <w:ilvl w:val="0"/>
          <w:numId w:val="38"/>
        </w:numPr>
        <w:spacing w:line="240" w:lineRule="auto"/>
        <w:jc w:val="both"/>
        <w:rPr>
          <w:rFonts w:ascii="Times New Roman" w:hAnsi="Times New Roman"/>
          <w:noProof/>
          <w:sz w:val="24"/>
          <w:szCs w:val="24"/>
        </w:rPr>
      </w:pPr>
      <w:r>
        <w:rPr>
          <w:rFonts w:ascii="Times New Roman" w:hAnsi="Times New Roman"/>
          <w:noProof/>
          <w:sz w:val="24"/>
          <w:szCs w:val="24"/>
        </w:rPr>
        <w:t xml:space="preserve">The Commission is looking into opportunities to </w:t>
      </w:r>
      <w:r>
        <w:rPr>
          <w:rFonts w:ascii="Times New Roman" w:hAnsi="Times New Roman"/>
          <w:b/>
          <w:noProof/>
          <w:sz w:val="24"/>
          <w:szCs w:val="24"/>
        </w:rPr>
        <w:t>promote fleet solutions</w:t>
      </w:r>
      <w:r>
        <w:rPr>
          <w:rFonts w:ascii="Times New Roman" w:hAnsi="Times New Roman"/>
          <w:noProof/>
          <w:sz w:val="24"/>
          <w:szCs w:val="24"/>
        </w:rPr>
        <w:t xml:space="preserve"> for alternative fuels</w:t>
      </w:r>
      <w:r>
        <w:rPr>
          <w:rFonts w:ascii="Times New Roman" w:hAnsi="Times New Roman"/>
          <w:b/>
          <w:noProof/>
          <w:sz w:val="24"/>
          <w:szCs w:val="24"/>
        </w:rPr>
        <w:t xml:space="preserve"> </w:t>
      </w:r>
      <w:r>
        <w:rPr>
          <w:rFonts w:ascii="Times New Roman" w:hAnsi="Times New Roman"/>
          <w:noProof/>
          <w:sz w:val="24"/>
          <w:szCs w:val="24"/>
        </w:rPr>
        <w:t>in urban areas, including the financing of urban projects with a focus on alternative fuels under the innovation part of the CEF blending call.</w:t>
      </w:r>
    </w:p>
    <w:tbl>
      <w:tblPr>
        <w:tblStyle w:val="TableGrid"/>
        <w:tblW w:w="0" w:type="auto"/>
        <w:tblLook w:val="04A0" w:firstRow="1" w:lastRow="0" w:firstColumn="1" w:lastColumn="0" w:noHBand="0" w:noVBand="1"/>
      </w:tblPr>
      <w:tblGrid>
        <w:gridCol w:w="8835"/>
      </w:tblGrid>
      <w:tr w:rsidR="002E627D">
        <w:tc>
          <w:tcPr>
            <w:tcW w:w="8835" w:type="dxa"/>
          </w:tcPr>
          <w:p w:rsidR="002E627D" w:rsidRDefault="00CD232B" w:rsidP="00CD232B">
            <w:pPr>
              <w:pStyle w:val="Text1"/>
              <w:keepNext/>
              <w:spacing w:line="240" w:lineRule="auto"/>
              <w:ind w:left="0"/>
              <w:jc w:val="both"/>
              <w:rPr>
                <w:rFonts w:ascii="Times New Roman" w:hAnsi="Times New Roman"/>
                <w:b/>
                <w:noProof/>
                <w:sz w:val="24"/>
                <w:szCs w:val="24"/>
              </w:rPr>
            </w:pPr>
            <w:r>
              <w:rPr>
                <w:rFonts w:ascii="Times New Roman" w:hAnsi="Times New Roman"/>
                <w:b/>
                <w:noProof/>
                <w:sz w:val="24"/>
                <w:szCs w:val="24"/>
              </w:rPr>
              <w:t>Key actions</w:t>
            </w:r>
          </w:p>
          <w:p w:rsidR="002E627D" w:rsidRDefault="00CD232B">
            <w:pPr>
              <w:pStyle w:val="Text1"/>
              <w:numPr>
                <w:ilvl w:val="0"/>
                <w:numId w:val="39"/>
              </w:numPr>
              <w:spacing w:line="240" w:lineRule="auto"/>
              <w:jc w:val="both"/>
              <w:rPr>
                <w:rFonts w:ascii="Times New Roman" w:hAnsi="Times New Roman"/>
                <w:noProof/>
                <w:sz w:val="24"/>
                <w:szCs w:val="24"/>
              </w:rPr>
            </w:pPr>
            <w:r>
              <w:rPr>
                <w:rFonts w:ascii="Times New Roman" w:hAnsi="Times New Roman"/>
                <w:noProof/>
                <w:sz w:val="24"/>
                <w:szCs w:val="24"/>
              </w:rPr>
              <w:t>The Commission will use the next annual SUMP forum to work with public authorities on adapting SUMPS by spring 2018.</w:t>
            </w:r>
          </w:p>
          <w:p w:rsidR="002E627D" w:rsidRDefault="00CD232B">
            <w:pPr>
              <w:pStyle w:val="Text1"/>
              <w:numPr>
                <w:ilvl w:val="0"/>
                <w:numId w:val="39"/>
              </w:numPr>
              <w:spacing w:line="240" w:lineRule="auto"/>
              <w:jc w:val="both"/>
              <w:rPr>
                <w:rFonts w:ascii="Times New Roman" w:hAnsi="Times New Roman"/>
                <w:noProof/>
                <w:sz w:val="24"/>
                <w:szCs w:val="24"/>
              </w:rPr>
            </w:pPr>
            <w:r>
              <w:rPr>
                <w:rFonts w:ascii="Times New Roman" w:hAnsi="Times New Roman"/>
                <w:noProof/>
                <w:sz w:val="24"/>
                <w:szCs w:val="24"/>
              </w:rPr>
              <w:t>It will also look into and adapt, where feasible, funding for alternative fuels in urban nodes, including for fleet solutions, by the end o</w:t>
            </w:r>
            <w:r>
              <w:rPr>
                <w:rFonts w:ascii="Times New Roman" w:hAnsi="Times New Roman"/>
                <w:noProof/>
                <w:sz w:val="24"/>
                <w:szCs w:val="24"/>
              </w:rPr>
              <w:t xml:space="preserve">f 2017. </w:t>
            </w:r>
          </w:p>
        </w:tc>
      </w:tr>
    </w:tbl>
    <w:p w:rsidR="002E627D" w:rsidRDefault="002E627D">
      <w:pPr>
        <w:pStyle w:val="Text1"/>
        <w:spacing w:line="240" w:lineRule="auto"/>
        <w:ind w:left="0"/>
        <w:jc w:val="both"/>
        <w:rPr>
          <w:rFonts w:ascii="Times New Roman" w:hAnsi="Times New Roman"/>
          <w:noProof/>
          <w:sz w:val="24"/>
          <w:szCs w:val="24"/>
        </w:rPr>
      </w:pPr>
    </w:p>
    <w:p w:rsidR="002E627D" w:rsidRDefault="00CD232B">
      <w:pPr>
        <w:pStyle w:val="Heading2"/>
        <w:rPr>
          <w:noProof/>
        </w:rPr>
      </w:pPr>
      <w:r>
        <w:rPr>
          <w:noProof/>
        </w:rPr>
        <w:t>Increasing consumer buy-in</w:t>
      </w:r>
    </w:p>
    <w:p w:rsidR="002E627D" w:rsidRDefault="00CD232B">
      <w:pPr>
        <w:pStyle w:val="Briefingtext"/>
        <w:spacing w:after="120"/>
        <w:rPr>
          <w:rFonts w:ascii="Times New Roman" w:hAnsi="Times New Roman"/>
          <w:noProof/>
          <w:sz w:val="24"/>
        </w:rPr>
      </w:pPr>
      <w:r>
        <w:rPr>
          <w:rFonts w:ascii="Times New Roman" w:hAnsi="Times New Roman"/>
          <w:noProof/>
          <w:sz w:val="24"/>
        </w:rPr>
        <w:t xml:space="preserve">The uptake of low-emission mobility depends a lot on consumer buy-in, which is facilitated by smooth access to the infrastructure and its affordability. Enabling consumers to </w:t>
      </w:r>
      <w:r>
        <w:rPr>
          <w:rFonts w:ascii="Times New Roman" w:hAnsi="Times New Roman"/>
          <w:b/>
          <w:noProof/>
          <w:sz w:val="24"/>
        </w:rPr>
        <w:t>experience mobility in a seamless way</w:t>
      </w:r>
      <w:r>
        <w:rPr>
          <w:rFonts w:ascii="Times New Roman" w:hAnsi="Times New Roman"/>
          <w:noProof/>
          <w:sz w:val="24"/>
        </w:rPr>
        <w:t xml:space="preserve">, as </w:t>
      </w:r>
      <w:r>
        <w:rPr>
          <w:rFonts w:ascii="Times New Roman" w:hAnsi="Times New Roman"/>
          <w:noProof/>
          <w:sz w:val="24"/>
        </w:rPr>
        <w:t>they are used to doing with conventionally fuelled vehicles, is therefore a key requirement.</w:t>
      </w:r>
    </w:p>
    <w:p w:rsidR="002E627D" w:rsidRDefault="00CD232B">
      <w:pPr>
        <w:pStyle w:val="Briefingtext"/>
        <w:spacing w:after="120"/>
        <w:rPr>
          <w:rFonts w:ascii="Times New Roman" w:hAnsi="Times New Roman"/>
          <w:noProof/>
          <w:sz w:val="24"/>
        </w:rPr>
      </w:pPr>
      <w:r>
        <w:rPr>
          <w:rFonts w:ascii="Times New Roman" w:hAnsi="Times New Roman"/>
          <w:noProof/>
          <w:sz w:val="24"/>
        </w:rPr>
        <w:t xml:space="preserve">This is why </w:t>
      </w:r>
      <w:r>
        <w:rPr>
          <w:rFonts w:ascii="Times New Roman" w:hAnsi="Times New Roman"/>
          <w:b/>
          <w:noProof/>
          <w:sz w:val="24"/>
        </w:rPr>
        <w:t>greater collaboration between public and private actors</w:t>
      </w:r>
      <w:r>
        <w:rPr>
          <w:rFonts w:ascii="Times New Roman" w:hAnsi="Times New Roman"/>
          <w:noProof/>
          <w:sz w:val="24"/>
        </w:rPr>
        <w:t xml:space="preserve"> is needed. This concerns access to timely, reliable information about the location and availabi</w:t>
      </w:r>
      <w:r>
        <w:rPr>
          <w:rFonts w:ascii="Times New Roman" w:hAnsi="Times New Roman"/>
          <w:noProof/>
          <w:sz w:val="24"/>
        </w:rPr>
        <w:t>lity of recharging or refuelling points. Seamless, interoperable payment services will have a major impact too. However, such services are far from being a reality across the EU, and sometimes even within single Member States. Progress on e-mobility servic</w:t>
      </w:r>
      <w:r>
        <w:rPr>
          <w:rFonts w:ascii="Times New Roman" w:hAnsi="Times New Roman"/>
          <w:noProof/>
          <w:sz w:val="24"/>
        </w:rPr>
        <w:t>es is particularly needed, for which an increasing number of recharging points is being rolled out.</w:t>
      </w:r>
    </w:p>
    <w:p w:rsidR="002E627D" w:rsidRDefault="00CD232B">
      <w:pPr>
        <w:pStyle w:val="Text3"/>
        <w:tabs>
          <w:tab w:val="clear" w:pos="2302"/>
          <w:tab w:val="left" w:pos="0"/>
        </w:tabs>
        <w:spacing w:line="240" w:lineRule="auto"/>
        <w:ind w:left="0"/>
        <w:jc w:val="both"/>
        <w:rPr>
          <w:rFonts w:ascii="Times New Roman" w:hAnsi="Times New Roman"/>
          <w:noProof/>
          <w:sz w:val="24"/>
          <w:szCs w:val="24"/>
        </w:rPr>
      </w:pPr>
      <w:r>
        <w:rPr>
          <w:rFonts w:ascii="Times New Roman" w:hAnsi="Times New Roman"/>
          <w:noProof/>
          <w:sz w:val="24"/>
          <w:szCs w:val="24"/>
        </w:rPr>
        <w:t xml:space="preserve">In the end </w:t>
      </w:r>
      <w:r>
        <w:rPr>
          <w:rFonts w:ascii="Times New Roman" w:hAnsi="Times New Roman"/>
          <w:b/>
          <w:noProof/>
          <w:sz w:val="24"/>
          <w:szCs w:val="24"/>
        </w:rPr>
        <w:t>all parts of the necessary infrastructure need to be digitally connected</w:t>
      </w:r>
      <w:r>
        <w:rPr>
          <w:rFonts w:ascii="Times New Roman" w:hAnsi="Times New Roman"/>
          <w:noProof/>
          <w:sz w:val="24"/>
          <w:szCs w:val="24"/>
        </w:rPr>
        <w:t xml:space="preserve"> (i.e. remotely and in real time for charging stations). This will not on</w:t>
      </w:r>
      <w:r>
        <w:rPr>
          <w:rFonts w:ascii="Times New Roman" w:hAnsi="Times New Roman"/>
          <w:noProof/>
          <w:sz w:val="24"/>
          <w:szCs w:val="24"/>
        </w:rPr>
        <w:t>ly make it possible to monitor the charging point itself. It will also make a variety of charging options using smartphones possible, as well as (future) value-added services (e.g. reservation) that may create the business case for the investors and operat</w:t>
      </w:r>
      <w:r>
        <w:rPr>
          <w:rFonts w:ascii="Times New Roman" w:hAnsi="Times New Roman"/>
          <w:noProof/>
          <w:sz w:val="24"/>
          <w:szCs w:val="24"/>
        </w:rPr>
        <w:t>ors of the infrastructure.</w:t>
      </w:r>
    </w:p>
    <w:p w:rsidR="002E627D" w:rsidRDefault="00CD232B">
      <w:pPr>
        <w:pStyle w:val="Briefingtext"/>
        <w:spacing w:after="120"/>
        <w:rPr>
          <w:rFonts w:ascii="Times New Roman" w:hAnsi="Times New Roman"/>
          <w:noProof/>
          <w:sz w:val="24"/>
        </w:rPr>
      </w:pPr>
      <w:r>
        <w:rPr>
          <w:rFonts w:ascii="Times New Roman" w:hAnsi="Times New Roman"/>
          <w:noProof/>
          <w:sz w:val="24"/>
        </w:rPr>
        <w:t xml:space="preserve">A number of requirements for </w:t>
      </w:r>
      <w:r>
        <w:rPr>
          <w:rFonts w:ascii="Times New Roman" w:hAnsi="Times New Roman"/>
          <w:b/>
          <w:noProof/>
          <w:sz w:val="24"/>
        </w:rPr>
        <w:t xml:space="preserve">accessing, sharing and re-using data </w:t>
      </w:r>
      <w:r>
        <w:rPr>
          <w:rFonts w:ascii="Times New Roman" w:hAnsi="Times New Roman"/>
          <w:noProof/>
          <w:sz w:val="24"/>
        </w:rPr>
        <w:t>have already been agreed as part of the implementation of the Intelligent Transport Systems (ITS) Directive</w:t>
      </w:r>
      <w:r>
        <w:rPr>
          <w:rStyle w:val="FootnoteReference"/>
          <w:rFonts w:ascii="Times New Roman" w:hAnsi="Times New Roman"/>
          <w:noProof/>
          <w:sz w:val="24"/>
        </w:rPr>
        <w:footnoteReference w:id="40"/>
      </w:r>
      <w:r>
        <w:rPr>
          <w:rFonts w:ascii="Times New Roman" w:hAnsi="Times New Roman"/>
          <w:noProof/>
          <w:sz w:val="24"/>
        </w:rPr>
        <w:t xml:space="preserve"> and its subsequent delegated regulations, where existi</w:t>
      </w:r>
      <w:r>
        <w:rPr>
          <w:rFonts w:ascii="Times New Roman" w:hAnsi="Times New Roman"/>
          <w:noProof/>
          <w:sz w:val="24"/>
        </w:rPr>
        <w:t>ng information on the location and availability of recharging stations have to be provided through national access points. Member States, road authorities and service providers must now ensure that the relevant delegated regulations</w:t>
      </w:r>
      <w:r>
        <w:rPr>
          <w:rStyle w:val="FootnoteReference"/>
          <w:rFonts w:ascii="Times New Roman" w:hAnsi="Times New Roman"/>
          <w:noProof/>
          <w:sz w:val="24"/>
        </w:rPr>
        <w:footnoteReference w:id="41"/>
      </w:r>
      <w:r>
        <w:rPr>
          <w:rFonts w:ascii="Times New Roman" w:hAnsi="Times New Roman"/>
          <w:noProof/>
          <w:sz w:val="24"/>
        </w:rPr>
        <w:t xml:space="preserve"> under the ITS Directiv</w:t>
      </w:r>
      <w:r>
        <w:rPr>
          <w:rFonts w:ascii="Times New Roman" w:hAnsi="Times New Roman"/>
          <w:noProof/>
          <w:sz w:val="24"/>
        </w:rPr>
        <w:t xml:space="preserve">e are swiftly implemented. However, in many cases, </w:t>
      </w:r>
      <w:r>
        <w:rPr>
          <w:rFonts w:ascii="Times New Roman" w:hAnsi="Times New Roman"/>
          <w:b/>
          <w:noProof/>
          <w:sz w:val="24"/>
        </w:rPr>
        <w:t>data is still not available</w:t>
      </w:r>
      <w:r>
        <w:rPr>
          <w:rFonts w:ascii="Times New Roman" w:hAnsi="Times New Roman"/>
          <w:noProof/>
          <w:sz w:val="24"/>
        </w:rPr>
        <w:t xml:space="preserve"> and would need to be collected and processed in Member States. Addressing these shortcomings should be a priority for Member States authorities.</w:t>
      </w:r>
    </w:p>
    <w:p w:rsidR="002E627D" w:rsidRDefault="00CD232B">
      <w:pPr>
        <w:pStyle w:val="Briefingtext"/>
        <w:spacing w:after="120"/>
        <w:rPr>
          <w:rFonts w:ascii="Times New Roman" w:hAnsi="Times New Roman"/>
          <w:noProof/>
          <w:sz w:val="24"/>
        </w:rPr>
      </w:pPr>
      <w:r>
        <w:rPr>
          <w:rFonts w:ascii="Times New Roman" w:hAnsi="Times New Roman"/>
          <w:noProof/>
          <w:sz w:val="24"/>
        </w:rPr>
        <w:t>But to create an open and compet</w:t>
      </w:r>
      <w:r>
        <w:rPr>
          <w:rFonts w:ascii="Times New Roman" w:hAnsi="Times New Roman"/>
          <w:noProof/>
          <w:sz w:val="24"/>
        </w:rPr>
        <w:t xml:space="preserve">itive market — delivering the best possible outcomes for consumers —a </w:t>
      </w:r>
      <w:r>
        <w:rPr>
          <w:rFonts w:ascii="Times New Roman" w:hAnsi="Times New Roman"/>
          <w:b/>
          <w:noProof/>
          <w:sz w:val="24"/>
        </w:rPr>
        <w:t xml:space="preserve">broader range of industry-supported standards, data formats and communications protocols </w:t>
      </w:r>
      <w:r>
        <w:rPr>
          <w:rFonts w:ascii="Times New Roman" w:hAnsi="Times New Roman"/>
          <w:noProof/>
          <w:sz w:val="24"/>
        </w:rPr>
        <w:t>is needed. Public and private market actors have made progress on this in the Sustainable Transpo</w:t>
      </w:r>
      <w:r>
        <w:rPr>
          <w:rFonts w:ascii="Times New Roman" w:hAnsi="Times New Roman"/>
          <w:noProof/>
          <w:sz w:val="24"/>
        </w:rPr>
        <w:t>rt Forum, resulting in a Memorandum of Understanding (MoU) that contains important recommendations for interoperable payment services.</w:t>
      </w:r>
    </w:p>
    <w:p w:rsidR="002E627D" w:rsidRDefault="00CD232B">
      <w:pPr>
        <w:pStyle w:val="Text1"/>
        <w:spacing w:line="240" w:lineRule="auto"/>
        <w:ind w:left="0"/>
        <w:jc w:val="both"/>
        <w:rPr>
          <w:rFonts w:ascii="Times New Roman" w:hAnsi="Times New Roman"/>
          <w:noProof/>
          <w:sz w:val="24"/>
          <w:szCs w:val="24"/>
        </w:rPr>
      </w:pPr>
      <w:r>
        <w:rPr>
          <w:rFonts w:ascii="Times New Roman" w:hAnsi="Times New Roman"/>
          <w:noProof/>
          <w:sz w:val="24"/>
          <w:szCs w:val="24"/>
        </w:rPr>
        <w:t>These include the following:</w:t>
      </w:r>
    </w:p>
    <w:p w:rsidR="002E627D" w:rsidRDefault="00CD232B">
      <w:pPr>
        <w:pStyle w:val="Text1"/>
        <w:numPr>
          <w:ilvl w:val="0"/>
          <w:numId w:val="42"/>
        </w:numPr>
        <w:spacing w:line="240" w:lineRule="auto"/>
        <w:jc w:val="both"/>
        <w:rPr>
          <w:rFonts w:ascii="Times New Roman" w:hAnsi="Times New Roman"/>
          <w:noProof/>
          <w:sz w:val="24"/>
          <w:szCs w:val="24"/>
        </w:rPr>
      </w:pPr>
      <w:r>
        <w:rPr>
          <w:rFonts w:ascii="Times New Roman" w:hAnsi="Times New Roman"/>
          <w:noProof/>
          <w:sz w:val="24"/>
          <w:szCs w:val="24"/>
        </w:rPr>
        <w:t xml:space="preserve">To ensure that e-mobility services are interoperable EU-wide there is a need to uniquely </w:t>
      </w:r>
      <w:r>
        <w:rPr>
          <w:rFonts w:ascii="Times New Roman" w:hAnsi="Times New Roman"/>
          <w:b/>
          <w:noProof/>
          <w:sz w:val="24"/>
          <w:szCs w:val="24"/>
        </w:rPr>
        <w:t>ide</w:t>
      </w:r>
      <w:r>
        <w:rPr>
          <w:rFonts w:ascii="Times New Roman" w:hAnsi="Times New Roman"/>
          <w:b/>
          <w:noProof/>
          <w:sz w:val="24"/>
          <w:szCs w:val="24"/>
        </w:rPr>
        <w:t>ntify e-mobility actors</w:t>
      </w:r>
      <w:r>
        <w:rPr>
          <w:rFonts w:ascii="Times New Roman" w:hAnsi="Times New Roman"/>
          <w:noProof/>
          <w:sz w:val="24"/>
          <w:szCs w:val="24"/>
        </w:rPr>
        <w:t>.</w:t>
      </w:r>
      <w:r>
        <w:rPr>
          <w:rStyle w:val="FootnoteReference"/>
          <w:rFonts w:ascii="Times New Roman" w:hAnsi="Times New Roman"/>
          <w:noProof/>
          <w:sz w:val="24"/>
          <w:szCs w:val="24"/>
        </w:rPr>
        <w:footnoteReference w:id="42"/>
      </w:r>
      <w:r>
        <w:rPr>
          <w:rFonts w:ascii="Times New Roman" w:hAnsi="Times New Roman"/>
          <w:noProof/>
          <w:sz w:val="24"/>
          <w:szCs w:val="24"/>
        </w:rPr>
        <w:t xml:space="preserve"> A registration process based on international standards should therefore be put in place at EU level. It will require Member States to designate an authority competent to register unique e-mobility identification codes. The Commis</w:t>
      </w:r>
      <w:r>
        <w:rPr>
          <w:rFonts w:ascii="Times New Roman" w:hAnsi="Times New Roman"/>
          <w:noProof/>
          <w:sz w:val="24"/>
          <w:szCs w:val="24"/>
        </w:rPr>
        <w:t xml:space="preserve">sion will consider what mechanism (e.g. the CEF) is appropriate for helping to set up of this process. It will provide support for the collection of missing information related to the implementation of the delegated regulations referred to above. It could </w:t>
      </w:r>
      <w:r>
        <w:rPr>
          <w:rFonts w:ascii="Times New Roman" w:hAnsi="Times New Roman"/>
          <w:noProof/>
          <w:sz w:val="24"/>
          <w:szCs w:val="24"/>
        </w:rPr>
        <w:t>also look into the need to support the development of different roaming solutions.</w:t>
      </w:r>
    </w:p>
    <w:p w:rsidR="002E627D" w:rsidRDefault="00CD232B">
      <w:pPr>
        <w:pStyle w:val="Text1"/>
        <w:numPr>
          <w:ilvl w:val="0"/>
          <w:numId w:val="42"/>
        </w:numPr>
        <w:spacing w:line="240" w:lineRule="auto"/>
        <w:jc w:val="both"/>
        <w:rPr>
          <w:rFonts w:ascii="Times New Roman" w:hAnsi="Times New Roman"/>
          <w:noProof/>
          <w:sz w:val="24"/>
          <w:szCs w:val="24"/>
        </w:rPr>
      </w:pPr>
      <w:r>
        <w:rPr>
          <w:rFonts w:ascii="Times New Roman" w:hAnsi="Times New Roman"/>
          <w:noProof/>
          <w:sz w:val="24"/>
          <w:szCs w:val="24"/>
        </w:rPr>
        <w:t xml:space="preserve">Consumers need </w:t>
      </w:r>
      <w:r>
        <w:rPr>
          <w:rFonts w:ascii="Times New Roman" w:hAnsi="Times New Roman"/>
          <w:b/>
          <w:noProof/>
          <w:sz w:val="24"/>
          <w:szCs w:val="24"/>
        </w:rPr>
        <w:t xml:space="preserve">seamless, interoperable e-mobility payment services that should be based on standards which are open </w:t>
      </w:r>
      <w:r>
        <w:rPr>
          <w:rFonts w:ascii="Times New Roman" w:hAnsi="Times New Roman"/>
          <w:noProof/>
          <w:sz w:val="24"/>
        </w:rPr>
        <w:t>and free from intellectual property rights and royalties</w:t>
      </w:r>
      <w:r>
        <w:rPr>
          <w:rFonts w:ascii="Times New Roman" w:hAnsi="Times New Roman"/>
          <w:noProof/>
          <w:sz w:val="24"/>
          <w:szCs w:val="24"/>
        </w:rPr>
        <w:t>.</w:t>
      </w:r>
      <w:r>
        <w:rPr>
          <w:rFonts w:ascii="Times New Roman" w:hAnsi="Times New Roman"/>
          <w:noProof/>
          <w:sz w:val="24"/>
          <w:szCs w:val="24"/>
        </w:rPr>
        <w:t xml:space="preserve"> The Commission will carefully follow developments in this area. It </w:t>
      </w:r>
      <w:r>
        <w:rPr>
          <w:rFonts w:ascii="Times New Roman" w:hAnsi="Times New Roman"/>
          <w:noProof/>
          <w:sz w:val="24"/>
        </w:rPr>
        <w:t>will launch a public consultation on this topic before the end of 2017.</w:t>
      </w:r>
      <w:r>
        <w:rPr>
          <w:rFonts w:ascii="Times New Roman" w:hAnsi="Times New Roman"/>
          <w:noProof/>
          <w:sz w:val="24"/>
          <w:szCs w:val="24"/>
        </w:rPr>
        <w:t xml:space="preserve"> If fragmentation of payment services prevails, it will consider adopting a legislative approach to ensure that servi</w:t>
      </w:r>
      <w:r>
        <w:rPr>
          <w:rFonts w:ascii="Times New Roman" w:hAnsi="Times New Roman"/>
          <w:noProof/>
          <w:sz w:val="24"/>
          <w:szCs w:val="24"/>
        </w:rPr>
        <w:t>ces are interoperable.</w:t>
      </w:r>
    </w:p>
    <w:p w:rsidR="002E627D" w:rsidRDefault="00CD232B">
      <w:pPr>
        <w:pStyle w:val="Text1"/>
        <w:numPr>
          <w:ilvl w:val="0"/>
          <w:numId w:val="42"/>
        </w:numPr>
        <w:spacing w:line="240" w:lineRule="auto"/>
        <w:jc w:val="both"/>
        <w:rPr>
          <w:rFonts w:ascii="Times New Roman" w:hAnsi="Times New Roman"/>
          <w:noProof/>
          <w:sz w:val="24"/>
          <w:szCs w:val="24"/>
        </w:rPr>
      </w:pPr>
      <w:r>
        <w:rPr>
          <w:rFonts w:ascii="Times New Roman" w:hAnsi="Times New Roman"/>
          <w:b/>
          <w:noProof/>
          <w:sz w:val="24"/>
          <w:szCs w:val="24"/>
        </w:rPr>
        <w:t>Predictability of cost</w:t>
      </w:r>
      <w:r>
        <w:rPr>
          <w:rFonts w:ascii="Times New Roman" w:hAnsi="Times New Roman"/>
          <w:noProof/>
          <w:sz w:val="24"/>
          <w:szCs w:val="24"/>
        </w:rPr>
        <w:t xml:space="preserve"> is a major factor. This means having access to transparent, easily understandable and timely price information. Roaming fees should be reasonable and limited. The Commission expects that besides working through</w:t>
      </w:r>
      <w:r>
        <w:rPr>
          <w:rFonts w:ascii="Times New Roman" w:hAnsi="Times New Roman"/>
          <w:noProof/>
          <w:sz w:val="24"/>
          <w:szCs w:val="24"/>
        </w:rPr>
        <w:t xml:space="preserve"> a centralised hub to enable roaming, competing mechanisms (e.g. blockchain) will allow the market to develop the best possible outcome. The Commission will closely monitor market developments, in particular access to price information and roaming fees, an</w:t>
      </w:r>
      <w:r>
        <w:rPr>
          <w:rFonts w:ascii="Times New Roman" w:hAnsi="Times New Roman"/>
          <w:noProof/>
          <w:sz w:val="24"/>
          <w:szCs w:val="24"/>
        </w:rPr>
        <w:t>d review the state of play at the annual conference on clean transport and alternative fuels infrastructure to take place in late autumn 2018.</w:t>
      </w:r>
    </w:p>
    <w:p w:rsidR="002E627D" w:rsidRDefault="00CD232B">
      <w:pPr>
        <w:pStyle w:val="Text1"/>
        <w:spacing w:line="240" w:lineRule="auto"/>
        <w:ind w:left="0"/>
        <w:jc w:val="both"/>
        <w:rPr>
          <w:rFonts w:ascii="Times New Roman" w:hAnsi="Times New Roman"/>
          <w:noProof/>
          <w:sz w:val="24"/>
          <w:szCs w:val="24"/>
        </w:rPr>
      </w:pPr>
      <w:r>
        <w:rPr>
          <w:rFonts w:ascii="Times New Roman" w:hAnsi="Times New Roman"/>
          <w:noProof/>
          <w:sz w:val="24"/>
          <w:szCs w:val="24"/>
        </w:rPr>
        <w:t xml:space="preserve">The Commission will continue to gather expert input and facilitate the sharing of </w:t>
      </w:r>
    </w:p>
    <w:p w:rsidR="002E627D" w:rsidRDefault="00CD232B">
      <w:pPr>
        <w:pStyle w:val="Text1"/>
        <w:spacing w:line="240" w:lineRule="auto"/>
        <w:ind w:left="0"/>
        <w:jc w:val="both"/>
        <w:rPr>
          <w:rFonts w:ascii="Times New Roman" w:hAnsi="Times New Roman"/>
          <w:noProof/>
          <w:sz w:val="24"/>
          <w:szCs w:val="24"/>
        </w:rPr>
      </w:pPr>
      <w:r>
        <w:rPr>
          <w:rFonts w:ascii="Times New Roman" w:hAnsi="Times New Roman"/>
          <w:noProof/>
          <w:sz w:val="24"/>
          <w:szCs w:val="24"/>
        </w:rPr>
        <w:t>The Commission is also working</w:t>
      </w:r>
      <w:r>
        <w:rPr>
          <w:rFonts w:ascii="Times New Roman" w:hAnsi="Times New Roman"/>
          <w:noProof/>
          <w:sz w:val="24"/>
          <w:szCs w:val="24"/>
        </w:rPr>
        <w:t xml:space="preserve"> with Member States on a </w:t>
      </w:r>
      <w:r>
        <w:rPr>
          <w:rFonts w:ascii="Times New Roman" w:hAnsi="Times New Roman"/>
          <w:b/>
          <w:noProof/>
          <w:sz w:val="24"/>
          <w:szCs w:val="24"/>
        </w:rPr>
        <w:t>methodology</w:t>
      </w:r>
      <w:r>
        <w:rPr>
          <w:rFonts w:ascii="Times New Roman" w:hAnsi="Times New Roman"/>
          <w:noProof/>
          <w:sz w:val="24"/>
          <w:szCs w:val="24"/>
        </w:rPr>
        <w:t xml:space="preserve"> </w:t>
      </w:r>
      <w:r>
        <w:rPr>
          <w:rFonts w:ascii="Times New Roman" w:hAnsi="Times New Roman"/>
          <w:b/>
          <w:noProof/>
          <w:sz w:val="24"/>
          <w:szCs w:val="24"/>
        </w:rPr>
        <w:t>to let consumers compare the prices</w:t>
      </w:r>
      <w:r>
        <w:rPr>
          <w:rFonts w:ascii="Times New Roman" w:hAnsi="Times New Roman"/>
          <w:noProof/>
          <w:sz w:val="24"/>
          <w:szCs w:val="24"/>
        </w:rPr>
        <w:t xml:space="preserve"> of conventional and alternative fuels in a common unit, allowing them to estimate the total cost of ownership of different types of vehicles. It will also support Member States in mak</w:t>
      </w:r>
      <w:r>
        <w:rPr>
          <w:rFonts w:ascii="Times New Roman" w:hAnsi="Times New Roman"/>
          <w:noProof/>
          <w:sz w:val="24"/>
          <w:szCs w:val="24"/>
        </w:rPr>
        <w:t>ing this information via digital tools.  </w:t>
      </w:r>
    </w:p>
    <w:p w:rsidR="002E627D" w:rsidRDefault="00CD232B">
      <w:pPr>
        <w:pStyle w:val="Text1"/>
        <w:spacing w:after="120" w:line="240" w:lineRule="auto"/>
        <w:ind w:left="0"/>
        <w:jc w:val="both"/>
        <w:rPr>
          <w:rFonts w:ascii="Times New Roman" w:hAnsi="Times New Roman"/>
          <w:noProof/>
          <w:sz w:val="24"/>
          <w:szCs w:val="24"/>
        </w:rPr>
      </w:pPr>
      <w:r>
        <w:rPr>
          <w:rFonts w:ascii="Times New Roman" w:hAnsi="Times New Roman"/>
          <w:noProof/>
          <w:sz w:val="24"/>
          <w:szCs w:val="24"/>
        </w:rPr>
        <w:t>The recent evaluation of Directive 1999/94/EC</w:t>
      </w:r>
      <w:r>
        <w:rPr>
          <w:rStyle w:val="FootnoteReference"/>
          <w:rFonts w:ascii="Times New Roman" w:hAnsi="Times New Roman"/>
          <w:noProof/>
          <w:sz w:val="24"/>
          <w:szCs w:val="24"/>
        </w:rPr>
        <w:footnoteReference w:id="43"/>
      </w:r>
      <w:r>
        <w:rPr>
          <w:rFonts w:ascii="Times New Roman" w:hAnsi="Times New Roman"/>
          <w:noProof/>
          <w:sz w:val="24"/>
          <w:szCs w:val="24"/>
        </w:rPr>
        <w:t xml:space="preserve"> on car labelling, that seeks to improve consumer information on fuel economy and CO2 emissions, highlighted the lack of specific requirements for alternatively-fuelled vehicles, an issue which needs further attention.</w:t>
      </w:r>
    </w:p>
    <w:p w:rsidR="002E627D" w:rsidRDefault="00CD232B">
      <w:pPr>
        <w:pStyle w:val="Text1"/>
        <w:spacing w:after="120" w:line="240" w:lineRule="auto"/>
        <w:ind w:left="0"/>
        <w:jc w:val="both"/>
        <w:rPr>
          <w:rFonts w:ascii="Times New Roman" w:hAnsi="Times New Roman"/>
          <w:noProof/>
          <w:sz w:val="24"/>
          <w:szCs w:val="24"/>
        </w:rPr>
      </w:pPr>
      <w:r>
        <w:rPr>
          <w:rFonts w:ascii="Times New Roman" w:hAnsi="Times New Roman"/>
          <w:noProof/>
          <w:sz w:val="24"/>
          <w:szCs w:val="24"/>
        </w:rPr>
        <w:t>The Commission will also support Memb</w:t>
      </w:r>
      <w:r>
        <w:rPr>
          <w:rFonts w:ascii="Times New Roman" w:hAnsi="Times New Roman"/>
          <w:noProof/>
          <w:sz w:val="24"/>
          <w:szCs w:val="24"/>
        </w:rPr>
        <w:t>er States in the collection of data related to location and availability of alternative fuels stations.</w:t>
      </w:r>
      <w:r>
        <w:rPr>
          <w:rStyle w:val="FootnoteReference"/>
          <w:rFonts w:ascii="Times New Roman" w:hAnsi="Times New Roman"/>
          <w:noProof/>
          <w:sz w:val="24"/>
          <w:szCs w:val="24"/>
        </w:rPr>
        <w:footnoteReference w:id="44"/>
      </w:r>
      <w:r>
        <w:rPr>
          <w:rFonts w:ascii="Times New Roman" w:hAnsi="Times New Roman"/>
          <w:noProof/>
          <w:sz w:val="24"/>
          <w:szCs w:val="24"/>
        </w:rPr>
        <w:t xml:space="preserve"> This data will then have to be accessible in the national access points referred to under Directive 2010/40/EU.</w:t>
      </w:r>
    </w:p>
    <w:tbl>
      <w:tblPr>
        <w:tblStyle w:val="TableGrid"/>
        <w:tblW w:w="9042" w:type="dxa"/>
        <w:jc w:val="center"/>
        <w:tblLook w:val="04A0" w:firstRow="1" w:lastRow="0" w:firstColumn="1" w:lastColumn="0" w:noHBand="0" w:noVBand="1"/>
      </w:tblPr>
      <w:tblGrid>
        <w:gridCol w:w="9042"/>
      </w:tblGrid>
      <w:tr w:rsidR="002E627D">
        <w:trPr>
          <w:jc w:val="center"/>
        </w:trPr>
        <w:tc>
          <w:tcPr>
            <w:tcW w:w="9042" w:type="dxa"/>
            <w:shd w:val="clear" w:color="auto" w:fill="auto"/>
            <w:vAlign w:val="center"/>
          </w:tcPr>
          <w:p w:rsidR="002E627D" w:rsidRDefault="00CD232B" w:rsidP="00CD232B">
            <w:pPr>
              <w:pStyle w:val="Text1"/>
              <w:keepNext/>
              <w:spacing w:after="120" w:line="240" w:lineRule="auto"/>
              <w:ind w:left="0"/>
              <w:rPr>
                <w:rFonts w:ascii="Times New Roman" w:hAnsi="Times New Roman"/>
                <w:b/>
                <w:noProof/>
                <w:sz w:val="24"/>
                <w:szCs w:val="24"/>
              </w:rPr>
            </w:pPr>
            <w:r>
              <w:rPr>
                <w:rFonts w:ascii="Times New Roman" w:hAnsi="Times New Roman"/>
                <w:b/>
                <w:noProof/>
                <w:sz w:val="24"/>
                <w:szCs w:val="24"/>
              </w:rPr>
              <w:t>Key actions</w:t>
            </w:r>
          </w:p>
          <w:p w:rsidR="002E627D" w:rsidRDefault="00CD232B">
            <w:pPr>
              <w:pStyle w:val="Text1"/>
              <w:numPr>
                <w:ilvl w:val="0"/>
                <w:numId w:val="43"/>
              </w:numPr>
              <w:spacing w:after="120" w:line="240" w:lineRule="auto"/>
              <w:jc w:val="both"/>
              <w:rPr>
                <w:rFonts w:ascii="Times New Roman" w:hAnsi="Times New Roman"/>
                <w:noProof/>
                <w:sz w:val="24"/>
                <w:szCs w:val="24"/>
              </w:rPr>
            </w:pPr>
            <w:r>
              <w:rPr>
                <w:rFonts w:ascii="Times New Roman" w:hAnsi="Times New Roman"/>
                <w:noProof/>
                <w:sz w:val="24"/>
                <w:szCs w:val="24"/>
              </w:rPr>
              <w:t xml:space="preserve">Member States should </w:t>
            </w:r>
            <w:r>
              <w:rPr>
                <w:rFonts w:ascii="Times New Roman" w:hAnsi="Times New Roman"/>
                <w:noProof/>
                <w:sz w:val="24"/>
                <w:szCs w:val="24"/>
              </w:rPr>
              <w:t>designate authorities for the registration of unique e-mobility identification codes. The Commission will consider a related support mechanism.</w:t>
            </w:r>
          </w:p>
          <w:p w:rsidR="002E627D" w:rsidRDefault="00CD232B">
            <w:pPr>
              <w:pStyle w:val="Text1"/>
              <w:numPr>
                <w:ilvl w:val="0"/>
                <w:numId w:val="43"/>
              </w:numPr>
              <w:spacing w:after="120" w:line="240" w:lineRule="auto"/>
              <w:jc w:val="both"/>
              <w:rPr>
                <w:rFonts w:ascii="Times New Roman" w:hAnsi="Times New Roman"/>
                <w:noProof/>
                <w:sz w:val="24"/>
                <w:szCs w:val="24"/>
              </w:rPr>
            </w:pPr>
            <w:r>
              <w:rPr>
                <w:rFonts w:ascii="Times New Roman" w:hAnsi="Times New Roman"/>
                <w:noProof/>
                <w:sz w:val="24"/>
                <w:szCs w:val="24"/>
              </w:rPr>
              <w:t>The Commission will launch a public consultation on seamless, interoperable services, focusing on e-mobility, st</w:t>
            </w:r>
            <w:r>
              <w:rPr>
                <w:rFonts w:ascii="Times New Roman" w:hAnsi="Times New Roman"/>
                <w:noProof/>
                <w:sz w:val="24"/>
                <w:szCs w:val="24"/>
              </w:rPr>
              <w:t>ill in 2017, and will closely monitor market developments related to pricing for charging electric vehicles.</w:t>
            </w:r>
          </w:p>
          <w:p w:rsidR="002E627D" w:rsidRDefault="00CD232B">
            <w:pPr>
              <w:pStyle w:val="Text1"/>
              <w:numPr>
                <w:ilvl w:val="0"/>
                <w:numId w:val="43"/>
              </w:numPr>
              <w:spacing w:after="120" w:line="240" w:lineRule="auto"/>
              <w:jc w:val="both"/>
              <w:rPr>
                <w:rFonts w:ascii="Times New Roman" w:hAnsi="Times New Roman"/>
                <w:noProof/>
                <w:sz w:val="24"/>
                <w:szCs w:val="24"/>
              </w:rPr>
            </w:pPr>
            <w:r>
              <w:rPr>
                <w:rFonts w:ascii="Times New Roman" w:hAnsi="Times New Roman"/>
                <w:noProof/>
                <w:sz w:val="24"/>
                <w:szCs w:val="24"/>
              </w:rPr>
              <w:t>The Commission will adopt an implementing act on fuel price comparison in 2018 the implementation of which will be fostered further by supporting m</w:t>
            </w:r>
            <w:r>
              <w:rPr>
                <w:rFonts w:ascii="Times New Roman" w:hAnsi="Times New Roman"/>
                <w:noProof/>
                <w:sz w:val="24"/>
                <w:szCs w:val="24"/>
              </w:rPr>
              <w:t xml:space="preserve">easures. </w:t>
            </w:r>
          </w:p>
        </w:tc>
      </w:tr>
    </w:tbl>
    <w:p w:rsidR="002E627D" w:rsidRDefault="002E627D">
      <w:pPr>
        <w:pStyle w:val="Briefingtext"/>
        <w:spacing w:after="200"/>
        <w:rPr>
          <w:rFonts w:ascii="Times New Roman" w:eastAsia="Calibri" w:hAnsi="Times New Roman" w:cs="Times New Roman"/>
          <w:noProof/>
          <w:sz w:val="24"/>
        </w:rPr>
      </w:pPr>
    </w:p>
    <w:p w:rsidR="002E627D" w:rsidRDefault="00CD232B">
      <w:pPr>
        <w:pStyle w:val="Heading2"/>
        <w:rPr>
          <w:noProof/>
        </w:rPr>
      </w:pPr>
      <w:r>
        <w:rPr>
          <w:noProof/>
        </w:rPr>
        <w:t>Integrating electric vehicles into the electricity system</w:t>
      </w:r>
    </w:p>
    <w:p w:rsidR="002E627D" w:rsidRDefault="00CD232B">
      <w:pPr>
        <w:pStyle w:val="Text1"/>
        <w:spacing w:line="240" w:lineRule="auto"/>
        <w:ind w:left="0"/>
        <w:jc w:val="both"/>
        <w:rPr>
          <w:rFonts w:ascii="Times New Roman" w:hAnsi="Times New Roman"/>
          <w:noProof/>
          <w:sz w:val="24"/>
          <w:szCs w:val="24"/>
        </w:rPr>
      </w:pPr>
      <w:r>
        <w:rPr>
          <w:rFonts w:ascii="Times New Roman" w:hAnsi="Times New Roman"/>
          <w:noProof/>
          <w:sz w:val="24"/>
          <w:szCs w:val="24"/>
        </w:rPr>
        <w:t xml:space="preserve">A wide uptake of electric vehicles will increase electricity </w:t>
      </w:r>
      <w:r>
        <w:rPr>
          <w:rFonts w:ascii="Times New Roman" w:hAnsi="Times New Roman"/>
          <w:b/>
          <w:noProof/>
          <w:sz w:val="24"/>
          <w:szCs w:val="24"/>
        </w:rPr>
        <w:t xml:space="preserve">demand on an electricity network </w:t>
      </w:r>
      <w:r>
        <w:rPr>
          <w:rFonts w:ascii="Times New Roman" w:hAnsi="Times New Roman"/>
          <w:noProof/>
          <w:sz w:val="24"/>
          <w:szCs w:val="24"/>
        </w:rPr>
        <w:t>that is already constrained at certain times of the day in certain areas. To avoid unnecessa</w:t>
      </w:r>
      <w:r>
        <w:rPr>
          <w:rFonts w:ascii="Times New Roman" w:hAnsi="Times New Roman"/>
          <w:noProof/>
          <w:sz w:val="24"/>
          <w:szCs w:val="24"/>
        </w:rPr>
        <w:t>ry costs and delays in the uptake of electric vehicles due to costly, time-consuming investments in upgrading electricity infrastructure, (slow) charging of vehicles should mostly happen when networks are not constrained and sufficient electricity is being</w:t>
      </w:r>
      <w:r>
        <w:rPr>
          <w:rFonts w:ascii="Times New Roman" w:hAnsi="Times New Roman"/>
          <w:noProof/>
          <w:sz w:val="24"/>
          <w:szCs w:val="24"/>
        </w:rPr>
        <w:t xml:space="preserve"> generated. </w:t>
      </w:r>
    </w:p>
    <w:p w:rsidR="002E627D" w:rsidRDefault="00CD232B">
      <w:pPr>
        <w:pStyle w:val="Text1"/>
        <w:spacing w:line="240" w:lineRule="auto"/>
        <w:ind w:left="0"/>
        <w:jc w:val="both"/>
        <w:rPr>
          <w:rFonts w:ascii="Times New Roman" w:hAnsi="Times New Roman"/>
          <w:noProof/>
          <w:sz w:val="24"/>
          <w:szCs w:val="24"/>
        </w:rPr>
      </w:pPr>
      <w:r>
        <w:rPr>
          <w:rFonts w:ascii="Times New Roman" w:hAnsi="Times New Roman"/>
          <w:noProof/>
          <w:sz w:val="24"/>
          <w:szCs w:val="24"/>
        </w:rPr>
        <w:t xml:space="preserve">The increasing digitalisation of infrastructure already enables </w:t>
      </w:r>
      <w:r>
        <w:rPr>
          <w:rFonts w:ascii="Times New Roman" w:hAnsi="Times New Roman"/>
          <w:b/>
          <w:noProof/>
          <w:sz w:val="24"/>
          <w:szCs w:val="24"/>
        </w:rPr>
        <w:t>smart management of the grid</w:t>
      </w:r>
      <w:r>
        <w:rPr>
          <w:rFonts w:ascii="Times New Roman" w:hAnsi="Times New Roman"/>
          <w:noProof/>
          <w:sz w:val="24"/>
          <w:szCs w:val="24"/>
        </w:rPr>
        <w:t>,</w:t>
      </w:r>
      <w:r>
        <w:rPr>
          <w:rFonts w:ascii="Times New Roman" w:hAnsi="Times New Roman"/>
          <w:b/>
          <w:noProof/>
          <w:sz w:val="24"/>
          <w:szCs w:val="24"/>
        </w:rPr>
        <w:t xml:space="preserve"> </w:t>
      </w:r>
      <w:r>
        <w:rPr>
          <w:rFonts w:ascii="Times New Roman" w:hAnsi="Times New Roman"/>
          <w:noProof/>
          <w:sz w:val="24"/>
          <w:szCs w:val="24"/>
        </w:rPr>
        <w:t xml:space="preserve">hence the management of charging points. This makes </w:t>
      </w:r>
      <w:r>
        <w:rPr>
          <w:rFonts w:ascii="Times New Roman" w:hAnsi="Times New Roman"/>
          <w:b/>
          <w:noProof/>
          <w:sz w:val="24"/>
          <w:szCs w:val="24"/>
        </w:rPr>
        <w:t>‘</w:t>
      </w:r>
      <w:r>
        <w:rPr>
          <w:rFonts w:ascii="Times New Roman" w:hAnsi="Times New Roman"/>
          <w:noProof/>
          <w:sz w:val="24"/>
          <w:szCs w:val="24"/>
        </w:rPr>
        <w:t>smart charging’</w:t>
      </w:r>
      <w:r>
        <w:rPr>
          <w:rFonts w:ascii="Times New Roman" w:hAnsi="Times New Roman"/>
          <w:b/>
          <w:noProof/>
          <w:sz w:val="24"/>
          <w:szCs w:val="24"/>
        </w:rPr>
        <w:t xml:space="preserve"> </w:t>
      </w:r>
      <w:r>
        <w:rPr>
          <w:rFonts w:ascii="Times New Roman" w:hAnsi="Times New Roman"/>
          <w:noProof/>
          <w:sz w:val="24"/>
          <w:szCs w:val="24"/>
        </w:rPr>
        <w:t>possible: charging at the most convenient time for the electricity grid and at t</w:t>
      </w:r>
      <w:r>
        <w:rPr>
          <w:rFonts w:ascii="Times New Roman" w:hAnsi="Times New Roman"/>
          <w:noProof/>
          <w:sz w:val="24"/>
          <w:szCs w:val="24"/>
        </w:rPr>
        <w:t>he lowest cost for consumers. In the future batteries in electric vehicles will also be used for electricity system operations (vehicle to grid), helping to balance the electricity grid in a cost-efficient way. Revenues from these services to network opera</w:t>
      </w:r>
      <w:r>
        <w:rPr>
          <w:rFonts w:ascii="Times New Roman" w:hAnsi="Times New Roman"/>
          <w:noProof/>
          <w:sz w:val="24"/>
          <w:szCs w:val="24"/>
        </w:rPr>
        <w:t xml:space="preserve">tors could be used to refinance investment cost for the infrastructure, especially for workplace charging. </w:t>
      </w:r>
    </w:p>
    <w:p w:rsidR="002E627D" w:rsidRDefault="00CD232B">
      <w:pPr>
        <w:pStyle w:val="Text1"/>
        <w:spacing w:line="240" w:lineRule="auto"/>
        <w:ind w:left="0"/>
        <w:jc w:val="both"/>
        <w:rPr>
          <w:rFonts w:ascii="Times New Roman" w:hAnsi="Times New Roman"/>
          <w:noProof/>
          <w:sz w:val="24"/>
          <w:szCs w:val="24"/>
        </w:rPr>
      </w:pPr>
      <w:r>
        <w:rPr>
          <w:rFonts w:ascii="Times New Roman" w:hAnsi="Times New Roman"/>
          <w:noProof/>
          <w:sz w:val="24"/>
          <w:szCs w:val="24"/>
        </w:rPr>
        <w:t xml:space="preserve">In its proposal for a directive on </w:t>
      </w:r>
      <w:r>
        <w:rPr>
          <w:rFonts w:ascii="Times New Roman" w:hAnsi="Times New Roman"/>
          <w:b/>
          <w:noProof/>
          <w:sz w:val="24"/>
          <w:szCs w:val="24"/>
        </w:rPr>
        <w:t>common rules for the internal market in electricity</w:t>
      </w:r>
      <w:r>
        <w:rPr>
          <w:rFonts w:ascii="Times New Roman" w:hAnsi="Times New Roman"/>
          <w:noProof/>
          <w:sz w:val="24"/>
          <w:szCs w:val="24"/>
        </w:rPr>
        <w:t xml:space="preserve"> (recast),</w:t>
      </w:r>
      <w:r>
        <w:rPr>
          <w:rStyle w:val="FootnoteReference"/>
          <w:rFonts w:ascii="Times New Roman" w:hAnsi="Times New Roman"/>
          <w:noProof/>
          <w:sz w:val="24"/>
          <w:szCs w:val="24"/>
        </w:rPr>
        <w:footnoteReference w:id="45"/>
      </w:r>
      <w:r>
        <w:rPr>
          <w:rFonts w:ascii="Times New Roman" w:hAnsi="Times New Roman"/>
          <w:noProof/>
          <w:sz w:val="24"/>
          <w:szCs w:val="24"/>
        </w:rPr>
        <w:t xml:space="preserve"> which builds upon provisions of the </w:t>
      </w:r>
      <w:r>
        <w:rPr>
          <w:rFonts w:ascii="Times New Roman" w:hAnsi="Times New Roman"/>
          <w:b/>
          <w:noProof/>
          <w:sz w:val="24"/>
          <w:szCs w:val="24"/>
        </w:rPr>
        <w:t>Energy Efficie</w:t>
      </w:r>
      <w:r>
        <w:rPr>
          <w:rFonts w:ascii="Times New Roman" w:hAnsi="Times New Roman"/>
          <w:b/>
          <w:noProof/>
          <w:sz w:val="24"/>
          <w:szCs w:val="24"/>
        </w:rPr>
        <w:t>ncy Directive</w:t>
      </w:r>
      <w:r>
        <w:rPr>
          <w:rStyle w:val="FootnoteReference"/>
          <w:rFonts w:ascii="Times New Roman" w:hAnsi="Times New Roman"/>
          <w:noProof/>
          <w:sz w:val="24"/>
          <w:szCs w:val="24"/>
        </w:rPr>
        <w:footnoteReference w:id="46"/>
      </w:r>
      <w:r>
        <w:rPr>
          <w:rFonts w:ascii="Times New Roman" w:hAnsi="Times New Roman"/>
          <w:noProof/>
          <w:sz w:val="24"/>
          <w:szCs w:val="24"/>
        </w:rPr>
        <w:t>, the Commission proposes a coherent framework for demand response that enables smart charging, gives consumers incentives to charge at off-peak times and gives distribution system operators the ability to actively manage the grid. Swift agre</w:t>
      </w:r>
      <w:r>
        <w:rPr>
          <w:rFonts w:ascii="Times New Roman" w:hAnsi="Times New Roman"/>
          <w:noProof/>
          <w:sz w:val="24"/>
          <w:szCs w:val="24"/>
        </w:rPr>
        <w:t xml:space="preserve">ement to the proposed recast directives and its correct transposition will therefore be a prerequisite for smart charging and ultimately for the large-scale uptake of electric vehicles. </w:t>
      </w:r>
    </w:p>
    <w:p w:rsidR="002E627D" w:rsidRDefault="00CD232B">
      <w:pPr>
        <w:pStyle w:val="Text1"/>
        <w:spacing w:line="240" w:lineRule="auto"/>
        <w:ind w:left="0"/>
        <w:jc w:val="both"/>
        <w:rPr>
          <w:rFonts w:ascii="Times New Roman" w:hAnsi="Times New Roman"/>
          <w:noProof/>
          <w:sz w:val="24"/>
          <w:szCs w:val="24"/>
        </w:rPr>
      </w:pPr>
      <w:r>
        <w:rPr>
          <w:rFonts w:ascii="Times New Roman" w:hAnsi="Times New Roman"/>
          <w:noProof/>
          <w:sz w:val="24"/>
          <w:szCs w:val="24"/>
        </w:rPr>
        <w:t xml:space="preserve">Use of </w:t>
      </w:r>
      <w:r>
        <w:rPr>
          <w:rFonts w:ascii="Times New Roman" w:hAnsi="Times New Roman"/>
          <w:b/>
          <w:noProof/>
          <w:sz w:val="24"/>
          <w:szCs w:val="24"/>
        </w:rPr>
        <w:t>energy storage technologies</w:t>
      </w:r>
      <w:r>
        <w:rPr>
          <w:rFonts w:ascii="Times New Roman" w:hAnsi="Times New Roman"/>
          <w:noProof/>
          <w:sz w:val="24"/>
          <w:szCs w:val="24"/>
        </w:rPr>
        <w:t xml:space="preserve"> and devices (e.g. second-life use </w:t>
      </w:r>
      <w:r>
        <w:rPr>
          <w:rFonts w:ascii="Times New Roman" w:hAnsi="Times New Roman"/>
          <w:noProof/>
          <w:sz w:val="24"/>
          <w:szCs w:val="24"/>
        </w:rPr>
        <w:t xml:space="preserve">of car batteries in building stock as well as renewably generated hydrogen) should be more strongly promoted as a key enabling condition for zero-emission mobility. </w:t>
      </w:r>
    </w:p>
    <w:p w:rsidR="002E627D" w:rsidRDefault="00CD232B">
      <w:pPr>
        <w:pStyle w:val="Text2"/>
        <w:spacing w:line="240" w:lineRule="auto"/>
        <w:ind w:left="0"/>
        <w:jc w:val="both"/>
        <w:rPr>
          <w:rFonts w:ascii="Times New Roman" w:hAnsi="Times New Roman"/>
          <w:noProof/>
          <w:sz w:val="24"/>
          <w:szCs w:val="24"/>
        </w:rPr>
      </w:pPr>
      <w:r>
        <w:rPr>
          <w:rFonts w:ascii="Times New Roman" w:hAnsi="Times New Roman"/>
          <w:noProof/>
          <w:sz w:val="24"/>
          <w:szCs w:val="24"/>
        </w:rPr>
        <w:t>Price transparency is needed to ensure that unnecessary cost and price increases (electric</w:t>
      </w:r>
      <w:r>
        <w:rPr>
          <w:rFonts w:ascii="Times New Roman" w:hAnsi="Times New Roman"/>
          <w:noProof/>
          <w:sz w:val="24"/>
          <w:szCs w:val="24"/>
        </w:rPr>
        <w:t xml:space="preserve">ity) due to the update of electric vehicles, including for lower income households, are avoided. </w:t>
      </w:r>
    </w:p>
    <w:tbl>
      <w:tblPr>
        <w:tblStyle w:val="TableGrid"/>
        <w:tblW w:w="9042" w:type="dxa"/>
        <w:jc w:val="center"/>
        <w:tblLook w:val="04A0" w:firstRow="1" w:lastRow="0" w:firstColumn="1" w:lastColumn="0" w:noHBand="0" w:noVBand="1"/>
      </w:tblPr>
      <w:tblGrid>
        <w:gridCol w:w="9042"/>
      </w:tblGrid>
      <w:tr w:rsidR="002E627D">
        <w:trPr>
          <w:jc w:val="center"/>
        </w:trPr>
        <w:tc>
          <w:tcPr>
            <w:tcW w:w="9042" w:type="dxa"/>
            <w:shd w:val="clear" w:color="auto" w:fill="auto"/>
            <w:vAlign w:val="center"/>
          </w:tcPr>
          <w:p w:rsidR="002E627D" w:rsidRDefault="00CD232B" w:rsidP="00CD232B">
            <w:pPr>
              <w:pStyle w:val="Text1"/>
              <w:keepNext/>
              <w:spacing w:line="240" w:lineRule="auto"/>
              <w:ind w:left="0"/>
              <w:rPr>
                <w:rFonts w:ascii="Times New Roman" w:hAnsi="Times New Roman"/>
                <w:b/>
                <w:noProof/>
                <w:sz w:val="24"/>
                <w:szCs w:val="24"/>
              </w:rPr>
            </w:pPr>
            <w:r>
              <w:rPr>
                <w:rFonts w:ascii="Times New Roman" w:hAnsi="Times New Roman"/>
                <w:b/>
                <w:noProof/>
                <w:sz w:val="24"/>
                <w:szCs w:val="24"/>
              </w:rPr>
              <w:t>Key actions</w:t>
            </w:r>
          </w:p>
          <w:p w:rsidR="002E627D" w:rsidRDefault="00CD232B">
            <w:pPr>
              <w:pStyle w:val="Text1"/>
              <w:numPr>
                <w:ilvl w:val="0"/>
                <w:numId w:val="33"/>
              </w:numPr>
              <w:spacing w:line="240" w:lineRule="auto"/>
              <w:jc w:val="both"/>
              <w:rPr>
                <w:rFonts w:ascii="Times New Roman" w:hAnsi="Times New Roman"/>
                <w:noProof/>
                <w:sz w:val="24"/>
                <w:szCs w:val="24"/>
              </w:rPr>
            </w:pPr>
            <w:r>
              <w:rPr>
                <w:rFonts w:ascii="Times New Roman" w:hAnsi="Times New Roman"/>
                <w:noProof/>
                <w:sz w:val="24"/>
                <w:szCs w:val="24"/>
              </w:rPr>
              <w:t>Member States should fully enable demand response by swiftly transposing the respective provisions of the Energy Efficiency Directive and the related electricity market design, thereby adopting a supportive legislative framework for demand response and sma</w:t>
            </w:r>
            <w:r>
              <w:rPr>
                <w:rFonts w:ascii="Times New Roman" w:hAnsi="Times New Roman"/>
                <w:noProof/>
                <w:sz w:val="24"/>
                <w:szCs w:val="24"/>
              </w:rPr>
              <w:t xml:space="preserve">rt charging.  </w:t>
            </w:r>
          </w:p>
          <w:p w:rsidR="002E627D" w:rsidRDefault="00CD232B">
            <w:pPr>
              <w:pStyle w:val="ListParagraph"/>
              <w:numPr>
                <w:ilvl w:val="0"/>
                <w:numId w:val="33"/>
              </w:num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Member States should promote the deployment of charging points and the pre-cabling of parking spaces in residential and non-residential buildings.   </w:t>
            </w:r>
          </w:p>
          <w:p w:rsidR="002E627D" w:rsidRDefault="00CD232B">
            <w:pPr>
              <w:pStyle w:val="Text1"/>
              <w:numPr>
                <w:ilvl w:val="0"/>
                <w:numId w:val="33"/>
              </w:numPr>
              <w:spacing w:line="240" w:lineRule="auto"/>
              <w:jc w:val="both"/>
              <w:rPr>
                <w:rFonts w:ascii="Times New Roman" w:hAnsi="Times New Roman"/>
                <w:noProof/>
                <w:sz w:val="24"/>
                <w:szCs w:val="24"/>
              </w:rPr>
            </w:pPr>
            <w:r>
              <w:rPr>
                <w:rFonts w:ascii="Times New Roman" w:hAnsi="Times New Roman"/>
                <w:noProof/>
                <w:sz w:val="24"/>
                <w:szCs w:val="24"/>
              </w:rPr>
              <w:t xml:space="preserve">Member States should ensure that the technologies that enable smart charging such as smart meters are rolled out and that already adopted and upcoming smart charging standards for electric vehicles (e.g. ISO 15118 and IEC 63110) are being applied.   </w:t>
            </w:r>
          </w:p>
          <w:p w:rsidR="002E627D" w:rsidRDefault="00CD232B">
            <w:pPr>
              <w:pStyle w:val="Text1"/>
              <w:numPr>
                <w:ilvl w:val="0"/>
                <w:numId w:val="33"/>
              </w:numPr>
              <w:spacing w:line="240" w:lineRule="auto"/>
              <w:ind w:left="357" w:hanging="357"/>
              <w:rPr>
                <w:rFonts w:ascii="Times New Roman" w:hAnsi="Times New Roman"/>
                <w:noProof/>
                <w:sz w:val="24"/>
                <w:szCs w:val="24"/>
              </w:rPr>
            </w:pPr>
            <w:r>
              <w:rPr>
                <w:rFonts w:ascii="Times New Roman" w:hAnsi="Times New Roman"/>
                <w:noProof/>
                <w:sz w:val="24"/>
                <w:szCs w:val="24"/>
              </w:rPr>
              <w:t>Elect</w:t>
            </w:r>
            <w:r>
              <w:rPr>
                <w:rFonts w:ascii="Times New Roman" w:hAnsi="Times New Roman"/>
                <w:noProof/>
                <w:sz w:val="24"/>
                <w:szCs w:val="24"/>
              </w:rPr>
              <w:t>ro-mobility related needs will be taken into account in the context of Horizon 2020 programming as well as in the context of the Strategic Energy Technology Plan (SET-Plan) process and other stakeholder fora.</w:t>
            </w:r>
          </w:p>
          <w:p w:rsidR="002E627D" w:rsidRDefault="00CD232B">
            <w:pPr>
              <w:pStyle w:val="Text1"/>
              <w:numPr>
                <w:ilvl w:val="0"/>
                <w:numId w:val="33"/>
              </w:numPr>
              <w:spacing w:line="240" w:lineRule="auto"/>
              <w:ind w:left="357" w:hanging="357"/>
              <w:jc w:val="both"/>
              <w:rPr>
                <w:rFonts w:ascii="Times New Roman" w:hAnsi="Times New Roman"/>
                <w:noProof/>
                <w:sz w:val="24"/>
                <w:szCs w:val="24"/>
              </w:rPr>
            </w:pPr>
            <w:r>
              <w:rPr>
                <w:rFonts w:ascii="Times New Roman" w:hAnsi="Times New Roman"/>
                <w:noProof/>
                <w:sz w:val="24"/>
                <w:szCs w:val="24"/>
              </w:rPr>
              <w:t>The Sustainable Transport Forum will further de</w:t>
            </w:r>
            <w:r>
              <w:rPr>
                <w:rFonts w:ascii="Times New Roman" w:hAnsi="Times New Roman"/>
                <w:noProof/>
                <w:sz w:val="24"/>
                <w:szCs w:val="24"/>
              </w:rPr>
              <w:t xml:space="preserve">velop necessary recommendations to facilitate an effective implementation of the integration between charging stations and the electricity grid and to ensure interoperability across the EU. </w:t>
            </w:r>
          </w:p>
        </w:tc>
      </w:tr>
    </w:tbl>
    <w:p w:rsidR="002E627D" w:rsidRDefault="00CD232B" w:rsidP="00CD232B">
      <w:pPr>
        <w:pStyle w:val="Heading2"/>
        <w:spacing w:before="240"/>
        <w:rPr>
          <w:noProof/>
        </w:rPr>
      </w:pPr>
      <w:r>
        <w:rPr>
          <w:noProof/>
        </w:rPr>
        <w:t>Emerging issues</w:t>
      </w:r>
    </w:p>
    <w:p w:rsidR="002E627D" w:rsidRDefault="00CD232B">
      <w:pPr>
        <w:pStyle w:val="Text2"/>
        <w:spacing w:line="240" w:lineRule="auto"/>
        <w:ind w:left="0"/>
        <w:jc w:val="both"/>
        <w:rPr>
          <w:rFonts w:ascii="Times New Roman" w:hAnsi="Times New Roman"/>
          <w:noProof/>
          <w:sz w:val="24"/>
          <w:szCs w:val="24"/>
        </w:rPr>
      </w:pPr>
      <w:r>
        <w:rPr>
          <w:rFonts w:ascii="Times New Roman" w:hAnsi="Times New Roman"/>
          <w:noProof/>
          <w:sz w:val="24"/>
          <w:szCs w:val="24"/>
        </w:rPr>
        <w:t xml:space="preserve">The </w:t>
      </w:r>
      <w:r>
        <w:rPr>
          <w:rFonts w:ascii="Times New Roman" w:hAnsi="Times New Roman"/>
          <w:b/>
          <w:noProof/>
          <w:sz w:val="24"/>
          <w:szCs w:val="24"/>
        </w:rPr>
        <w:t xml:space="preserve">use of sustainable bio-methane for blending </w:t>
      </w:r>
      <w:r>
        <w:rPr>
          <w:rFonts w:ascii="Times New Roman" w:hAnsi="Times New Roman"/>
          <w:b/>
          <w:noProof/>
          <w:sz w:val="24"/>
          <w:szCs w:val="24"/>
        </w:rPr>
        <w:t xml:space="preserve">with natural gas or its substitution </w:t>
      </w:r>
      <w:r>
        <w:rPr>
          <w:rFonts w:ascii="Times New Roman" w:hAnsi="Times New Roman"/>
          <w:noProof/>
          <w:sz w:val="24"/>
          <w:szCs w:val="24"/>
        </w:rPr>
        <w:t>in natural gas vehicles should be increased to strengthen the sustainability of natural gas vehicles. Manufacturers and operators could agree on aspirational blending objectives to give market certainty.</w:t>
      </w:r>
    </w:p>
    <w:p w:rsidR="002E627D" w:rsidRDefault="00CD232B">
      <w:pPr>
        <w:pStyle w:val="Text2"/>
        <w:spacing w:line="240" w:lineRule="auto"/>
        <w:ind w:left="0"/>
        <w:jc w:val="both"/>
        <w:rPr>
          <w:rFonts w:ascii="Times New Roman" w:hAnsi="Times New Roman"/>
          <w:noProof/>
          <w:sz w:val="24"/>
          <w:szCs w:val="24"/>
        </w:rPr>
      </w:pPr>
      <w:r>
        <w:rPr>
          <w:rFonts w:ascii="Times New Roman" w:hAnsi="Times New Roman"/>
          <w:noProof/>
          <w:sz w:val="24"/>
          <w:szCs w:val="24"/>
        </w:rPr>
        <w:t xml:space="preserve">Besides promoting airport electricity supply for stationary airplanes as part of NPFs under Directive 2014/94/EU, there is a need to further develop the use of </w:t>
      </w:r>
      <w:r>
        <w:rPr>
          <w:rFonts w:ascii="Times New Roman" w:hAnsi="Times New Roman"/>
          <w:b/>
          <w:noProof/>
          <w:sz w:val="24"/>
          <w:szCs w:val="24"/>
        </w:rPr>
        <w:t xml:space="preserve">alternative fuels in aviation. </w:t>
      </w:r>
      <w:r>
        <w:rPr>
          <w:rFonts w:ascii="Times New Roman" w:hAnsi="Times New Roman"/>
          <w:noProof/>
          <w:sz w:val="24"/>
          <w:szCs w:val="24"/>
        </w:rPr>
        <w:t>A key focus should be on drop-in biofuels, where use and producti</w:t>
      </w:r>
      <w:r>
        <w:rPr>
          <w:rFonts w:ascii="Times New Roman" w:hAnsi="Times New Roman"/>
          <w:noProof/>
          <w:sz w:val="24"/>
          <w:szCs w:val="24"/>
        </w:rPr>
        <w:t>on capacity is still limited, and in the longer-term also on carbon-free propulsion technologies. Multilateral action in this field is also fundamental. Working in ICAO towards further alignment of International Civil Aviation Organization and EU rules and</w:t>
      </w:r>
      <w:r>
        <w:rPr>
          <w:rFonts w:ascii="Times New Roman" w:hAnsi="Times New Roman"/>
          <w:noProof/>
          <w:sz w:val="24"/>
          <w:szCs w:val="24"/>
        </w:rPr>
        <w:t xml:space="preserve"> standards on the sustainability of fuels will help create better market conditions.</w:t>
      </w:r>
    </w:p>
    <w:p w:rsidR="002E627D" w:rsidRDefault="00CD232B">
      <w:pPr>
        <w:pStyle w:val="Text2"/>
        <w:spacing w:line="240" w:lineRule="auto"/>
        <w:ind w:left="0"/>
        <w:jc w:val="both"/>
        <w:rPr>
          <w:rFonts w:ascii="Times New Roman" w:hAnsi="Times New Roman"/>
          <w:noProof/>
          <w:sz w:val="24"/>
          <w:szCs w:val="24"/>
        </w:rPr>
      </w:pPr>
      <w:r>
        <w:rPr>
          <w:rFonts w:ascii="Times New Roman" w:hAnsi="Times New Roman"/>
          <w:noProof/>
          <w:sz w:val="24"/>
          <w:szCs w:val="24"/>
        </w:rPr>
        <w:t>The Commission will encourage further efforts to boost the use of alternative fuels such as hydrogen or other renewable fuels combined with fuels cells to broaden the rang</w:t>
      </w:r>
      <w:r>
        <w:rPr>
          <w:rFonts w:ascii="Times New Roman" w:hAnsi="Times New Roman"/>
          <w:noProof/>
          <w:sz w:val="24"/>
          <w:szCs w:val="24"/>
        </w:rPr>
        <w:t xml:space="preserve">e of clean </w:t>
      </w:r>
      <w:r>
        <w:rPr>
          <w:rFonts w:ascii="Times New Roman" w:hAnsi="Times New Roman"/>
          <w:b/>
          <w:noProof/>
          <w:sz w:val="24"/>
          <w:szCs w:val="24"/>
        </w:rPr>
        <w:t>rail propulsion technologies</w:t>
      </w:r>
      <w:r>
        <w:rPr>
          <w:rFonts w:ascii="Times New Roman" w:hAnsi="Times New Roman"/>
          <w:noProof/>
          <w:sz w:val="24"/>
          <w:szCs w:val="24"/>
        </w:rPr>
        <w:t>. Synergies also exist between hydrogen and LNG in the waterborne sector, alongside advanced biofuels as drop-in solutions in this sector.</w:t>
      </w:r>
    </w:p>
    <w:p w:rsidR="002E627D" w:rsidRDefault="00CD232B">
      <w:pPr>
        <w:pStyle w:val="Heading1"/>
        <w:rPr>
          <w:noProof/>
        </w:rPr>
      </w:pPr>
      <w:r>
        <w:rPr>
          <w:noProof/>
        </w:rPr>
        <w:t>Conclusions</w:t>
      </w:r>
    </w:p>
    <w:p w:rsidR="002E627D" w:rsidRDefault="00CD232B">
      <w:pPr>
        <w:pStyle w:val="Text2"/>
        <w:spacing w:line="240" w:lineRule="auto"/>
        <w:ind w:left="0"/>
        <w:jc w:val="both"/>
        <w:rPr>
          <w:rFonts w:ascii="Times New Roman" w:eastAsiaTheme="minorHAnsi" w:hAnsi="Times New Roman"/>
          <w:noProof/>
          <w:sz w:val="24"/>
          <w:szCs w:val="24"/>
        </w:rPr>
      </w:pPr>
      <w:r>
        <w:rPr>
          <w:rFonts w:ascii="Times New Roman" w:eastAsiaTheme="minorHAnsi" w:hAnsi="Times New Roman"/>
          <w:noProof/>
          <w:sz w:val="24"/>
          <w:szCs w:val="24"/>
        </w:rPr>
        <w:t xml:space="preserve">With the Paris Agreement on Climate Change in force, the </w:t>
      </w:r>
      <w:r>
        <w:rPr>
          <w:rFonts w:ascii="Times New Roman" w:eastAsiaTheme="minorHAnsi" w:hAnsi="Times New Roman"/>
          <w:b/>
          <w:noProof/>
          <w:sz w:val="24"/>
          <w:szCs w:val="24"/>
        </w:rPr>
        <w:t>transitio</w:t>
      </w:r>
      <w:r>
        <w:rPr>
          <w:rFonts w:ascii="Times New Roman" w:eastAsiaTheme="minorHAnsi" w:hAnsi="Times New Roman"/>
          <w:b/>
          <w:noProof/>
          <w:sz w:val="24"/>
          <w:szCs w:val="24"/>
        </w:rPr>
        <w:t>n to a modern and low-carbon economy has to be accelerated</w:t>
      </w:r>
      <w:r>
        <w:rPr>
          <w:rFonts w:ascii="Times New Roman" w:eastAsiaTheme="minorHAnsi" w:hAnsi="Times New Roman"/>
          <w:noProof/>
          <w:sz w:val="24"/>
          <w:szCs w:val="24"/>
        </w:rPr>
        <w:t xml:space="preserve">. The June 2017 European Council recognised the Paris Agreement as a ‘key element for the modernisation of European industry and economy’. </w:t>
      </w:r>
    </w:p>
    <w:p w:rsidR="002E627D" w:rsidRDefault="00CD232B">
      <w:pPr>
        <w:pStyle w:val="Text2"/>
        <w:spacing w:line="240" w:lineRule="auto"/>
        <w:ind w:left="0"/>
        <w:jc w:val="both"/>
        <w:rPr>
          <w:rFonts w:ascii="Times New Roman" w:eastAsiaTheme="minorHAnsi" w:hAnsi="Times New Roman"/>
          <w:noProof/>
          <w:sz w:val="24"/>
          <w:szCs w:val="24"/>
        </w:rPr>
      </w:pPr>
      <w:r>
        <w:rPr>
          <w:rFonts w:ascii="Times New Roman" w:eastAsiaTheme="minorHAnsi" w:hAnsi="Times New Roman"/>
          <w:noProof/>
          <w:sz w:val="24"/>
          <w:szCs w:val="24"/>
        </w:rPr>
        <w:t xml:space="preserve">It is spurring increasingly </w:t>
      </w:r>
      <w:r>
        <w:rPr>
          <w:rFonts w:ascii="Times New Roman" w:eastAsiaTheme="minorHAnsi" w:hAnsi="Times New Roman"/>
          <w:b/>
          <w:noProof/>
          <w:sz w:val="24"/>
          <w:szCs w:val="24"/>
        </w:rPr>
        <w:t>intense global competition</w:t>
      </w:r>
      <w:r>
        <w:rPr>
          <w:rFonts w:ascii="Times New Roman" w:eastAsiaTheme="minorHAnsi" w:hAnsi="Times New Roman"/>
          <w:noProof/>
          <w:sz w:val="24"/>
          <w:szCs w:val="24"/>
        </w:rPr>
        <w:t xml:space="preserve"> for</w:t>
      </w:r>
      <w:r>
        <w:rPr>
          <w:rFonts w:ascii="Times New Roman" w:eastAsiaTheme="minorHAnsi" w:hAnsi="Times New Roman"/>
          <w:noProof/>
          <w:sz w:val="24"/>
          <w:szCs w:val="24"/>
        </w:rPr>
        <w:t xml:space="preserve"> market shares, technology and the brains that will come up with the low-carbon innovations of the future. This is no time for complacency.</w:t>
      </w:r>
    </w:p>
    <w:p w:rsidR="002E627D" w:rsidRDefault="00CD232B">
      <w:pPr>
        <w:pStyle w:val="Text2"/>
        <w:spacing w:line="240" w:lineRule="auto"/>
        <w:ind w:left="0"/>
        <w:jc w:val="both"/>
        <w:rPr>
          <w:rFonts w:ascii="Times New Roman" w:hAnsi="Times New Roman"/>
          <w:noProof/>
          <w:sz w:val="24"/>
          <w:szCs w:val="24"/>
        </w:rPr>
      </w:pPr>
      <w:r>
        <w:rPr>
          <w:rFonts w:ascii="Times New Roman" w:hAnsi="Times New Roman"/>
          <w:noProof/>
          <w:sz w:val="24"/>
          <w:szCs w:val="24"/>
        </w:rPr>
        <w:t>This action plan outlines a number of actions to support an accelerated roll-out of alternative fuels infrastructure</w:t>
      </w:r>
      <w:r>
        <w:rPr>
          <w:rFonts w:ascii="Times New Roman" w:hAnsi="Times New Roman"/>
          <w:noProof/>
          <w:sz w:val="24"/>
          <w:szCs w:val="24"/>
        </w:rPr>
        <w:t xml:space="preserve"> in the EU. They are part of a </w:t>
      </w:r>
      <w:r>
        <w:rPr>
          <w:rFonts w:ascii="Times New Roman" w:hAnsi="Times New Roman"/>
          <w:b/>
          <w:noProof/>
          <w:sz w:val="24"/>
          <w:szCs w:val="24"/>
        </w:rPr>
        <w:t xml:space="preserve">mobility policy package to tackle vehicles, infrastructures, the electricity grid and user services together. </w:t>
      </w:r>
      <w:r>
        <w:rPr>
          <w:rFonts w:ascii="Times New Roman" w:hAnsi="Times New Roman"/>
          <w:noProof/>
          <w:sz w:val="24"/>
          <w:szCs w:val="24"/>
        </w:rPr>
        <w:t>By 2025, the EU should have completed the backbone of recharging and refuelling infrastructure, providing full cove</w:t>
      </w:r>
      <w:r>
        <w:rPr>
          <w:rFonts w:ascii="Times New Roman" w:hAnsi="Times New Roman"/>
          <w:noProof/>
          <w:sz w:val="24"/>
          <w:szCs w:val="24"/>
        </w:rPr>
        <w:t>rage of the TEN-T core network corridors.</w:t>
      </w:r>
    </w:p>
    <w:p w:rsidR="002E627D" w:rsidRDefault="00CD232B">
      <w:pPr>
        <w:pStyle w:val="Text2"/>
        <w:spacing w:line="240" w:lineRule="auto"/>
        <w:ind w:left="0"/>
        <w:jc w:val="both"/>
        <w:rPr>
          <w:rFonts w:ascii="Times New Roman" w:hAnsi="Times New Roman"/>
          <w:noProof/>
          <w:sz w:val="24"/>
          <w:szCs w:val="24"/>
        </w:rPr>
      </w:pPr>
      <w:r>
        <w:rPr>
          <w:rFonts w:ascii="Times New Roman" w:hAnsi="Times New Roman"/>
          <w:noProof/>
          <w:sz w:val="24"/>
          <w:szCs w:val="24"/>
        </w:rPr>
        <w:t>Europe can no longer afford a patchwork of infrastructure solutions for alternative fuels, which risks leaving some regions and consumers behind. The assessment of NPFs under the Alternative Fuels Infrastructure Di</w:t>
      </w:r>
      <w:r>
        <w:rPr>
          <w:rFonts w:ascii="Times New Roman" w:hAnsi="Times New Roman"/>
          <w:noProof/>
          <w:sz w:val="24"/>
          <w:szCs w:val="24"/>
        </w:rPr>
        <w:t xml:space="preserve">rective shows that there is a lot to learn from the positive experiences of some Member States. What is needed now to step up action in this area is </w:t>
      </w:r>
      <w:r>
        <w:rPr>
          <w:rFonts w:ascii="Times New Roman" w:hAnsi="Times New Roman"/>
          <w:b/>
          <w:noProof/>
          <w:sz w:val="24"/>
          <w:szCs w:val="24"/>
        </w:rPr>
        <w:t>serious cross-border and cross-sector collaboration of all public and private stakeholders</w:t>
      </w:r>
      <w:r>
        <w:rPr>
          <w:rFonts w:ascii="Times New Roman" w:hAnsi="Times New Roman"/>
          <w:noProof/>
          <w:sz w:val="24"/>
          <w:szCs w:val="24"/>
        </w:rPr>
        <w:t xml:space="preserve">. The lock-in of </w:t>
      </w:r>
      <w:r>
        <w:rPr>
          <w:rFonts w:ascii="Times New Roman" w:hAnsi="Times New Roman"/>
          <w:noProof/>
          <w:sz w:val="24"/>
          <w:szCs w:val="24"/>
        </w:rPr>
        <w:t>technologies and markets needs to be prevented. For markets to grow, alternative fuels infrastructures and their services need to be open, transparent and interoperable. Users also need to be able to use the whole transport network in a smooth and easy way</w:t>
      </w:r>
      <w:r>
        <w:rPr>
          <w:rFonts w:ascii="Times New Roman" w:hAnsi="Times New Roman"/>
          <w:noProof/>
          <w:sz w:val="24"/>
          <w:szCs w:val="24"/>
        </w:rPr>
        <w:t xml:space="preserve">.  </w:t>
      </w:r>
    </w:p>
    <w:p w:rsidR="002E627D" w:rsidRDefault="00CD232B">
      <w:pPr>
        <w:pStyle w:val="Text2"/>
        <w:spacing w:line="240" w:lineRule="auto"/>
        <w:ind w:left="0"/>
        <w:jc w:val="both"/>
        <w:rPr>
          <w:rFonts w:ascii="Times New Roman" w:hAnsi="Times New Roman"/>
          <w:noProof/>
          <w:sz w:val="24"/>
          <w:szCs w:val="24"/>
        </w:rPr>
      </w:pPr>
      <w:r>
        <w:rPr>
          <w:rFonts w:ascii="Times New Roman" w:hAnsi="Times New Roman"/>
          <w:b/>
          <w:noProof/>
          <w:sz w:val="24"/>
          <w:szCs w:val="24"/>
        </w:rPr>
        <w:t>The Commission stands ready to support</w:t>
      </w:r>
      <w:r>
        <w:rPr>
          <w:rFonts w:ascii="Times New Roman" w:hAnsi="Times New Roman"/>
          <w:noProof/>
          <w:sz w:val="24"/>
          <w:szCs w:val="24"/>
        </w:rPr>
        <w:t xml:space="preserve"> this process through both means of non-legislative and legislative action as noted in this action plan. It will make Europe's transport sector stronger and more competitive, ensure no consumers or regions are left</w:t>
      </w:r>
      <w:r>
        <w:rPr>
          <w:rFonts w:ascii="Times New Roman" w:hAnsi="Times New Roman"/>
          <w:noProof/>
          <w:sz w:val="24"/>
          <w:szCs w:val="24"/>
        </w:rPr>
        <w:t xml:space="preserve"> behind while leading the fight against climate change.</w:t>
      </w:r>
    </w:p>
    <w:p w:rsidR="002E627D" w:rsidRDefault="002E627D">
      <w:pPr>
        <w:pStyle w:val="Text2"/>
        <w:spacing w:line="240" w:lineRule="auto"/>
        <w:ind w:left="0"/>
        <w:jc w:val="both"/>
        <w:rPr>
          <w:rFonts w:ascii="Times New Roman" w:hAnsi="Times New Roman"/>
          <w:noProof/>
          <w:sz w:val="24"/>
          <w:szCs w:val="24"/>
        </w:rPr>
      </w:pPr>
    </w:p>
    <w:sectPr w:rsidR="002E627D">
      <w:headerReference w:type="even" r:id="rId16"/>
      <w:headerReference w:type="default" r:id="rId17"/>
      <w:footerReference w:type="even" r:id="rId18"/>
      <w:footerReference w:type="default" r:id="rId19"/>
      <w:headerReference w:type="first" r:id="rId20"/>
      <w:footerReference w:type="first" r:id="rId21"/>
      <w:pgSz w:w="11906" w:h="16838"/>
      <w:pgMar w:top="1020" w:right="1700" w:bottom="1020" w:left="1587" w:header="601" w:footer="1077" w:gutter="0"/>
      <w:pgNumType w:start="2"/>
      <w:cols w:space="720"/>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2BB47E9" w15:done="0"/>
  <w15:commentEx w15:paraId="75C29C3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27D" w:rsidRDefault="00CD232B">
      <w:pPr>
        <w:spacing w:after="0" w:line="240" w:lineRule="auto"/>
      </w:pPr>
      <w:r>
        <w:separator/>
      </w:r>
    </w:p>
  </w:endnote>
  <w:endnote w:type="continuationSeparator" w:id="0">
    <w:p w:rsidR="002E627D" w:rsidRDefault="00CD232B">
      <w:pPr>
        <w:spacing w:after="0" w:line="240" w:lineRule="auto"/>
      </w:pPr>
      <w:r>
        <w:continuationSeparator/>
      </w:r>
    </w:p>
  </w:endnote>
  <w:endnote w:type="continuationNotice" w:id="1">
    <w:p w:rsidR="002E627D" w:rsidRDefault="002E62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32B" w:rsidRPr="00CD232B" w:rsidRDefault="00CD232B" w:rsidP="00CD23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32B" w:rsidRPr="00CD232B" w:rsidRDefault="00CD232B" w:rsidP="00CD232B">
    <w:pPr>
      <w:pStyle w:val="FooterCoverPage"/>
      <w:rPr>
        <w:rFonts w:ascii="Arial" w:hAnsi="Arial" w:cs="Arial"/>
        <w:b/>
        <w:sz w:val="48"/>
      </w:rPr>
    </w:pPr>
    <w:r w:rsidRPr="00CD232B">
      <w:rPr>
        <w:rFonts w:ascii="Arial" w:hAnsi="Arial" w:cs="Arial"/>
        <w:b/>
        <w:sz w:val="48"/>
      </w:rPr>
      <w:t>EN</w:t>
    </w:r>
    <w:r w:rsidRPr="00CD232B">
      <w:rPr>
        <w:rFonts w:ascii="Arial" w:hAnsi="Arial" w:cs="Arial"/>
        <w:b/>
        <w:sz w:val="48"/>
      </w:rPr>
      <w:tab/>
    </w:r>
    <w:r w:rsidRPr="00CD232B">
      <w:rPr>
        <w:rFonts w:ascii="Arial" w:hAnsi="Arial" w:cs="Arial"/>
        <w:b/>
        <w:sz w:val="48"/>
      </w:rPr>
      <w:tab/>
    </w:r>
    <w:r w:rsidRPr="00CD232B">
      <w:tab/>
    </w:r>
    <w:r w:rsidRPr="00CD232B">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32B" w:rsidRPr="00CD232B" w:rsidRDefault="00CD232B" w:rsidP="00CD232B">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27D" w:rsidRDefault="002E627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27D" w:rsidRDefault="00CD232B">
    <w:pPr>
      <w:pStyle w:val="Footer"/>
      <w:jc w:val="center"/>
    </w:pPr>
    <w:r>
      <w:fldChar w:fldCharType="begin"/>
    </w:r>
    <w:r>
      <w:instrText>PAGE</w:instrText>
    </w:r>
    <w:r>
      <w:fldChar w:fldCharType="separate"/>
    </w:r>
    <w:r>
      <w:rPr>
        <w:noProof/>
      </w:rPr>
      <w:t>6</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8910635"/>
      <w:docPartObj>
        <w:docPartGallery w:val="Page Numbers (Bottom of Page)"/>
        <w:docPartUnique/>
      </w:docPartObj>
    </w:sdtPr>
    <w:sdtEndPr>
      <w:rPr>
        <w:noProof/>
      </w:rPr>
    </w:sdtEndPr>
    <w:sdtContent>
      <w:p w:rsidR="00CD232B" w:rsidRDefault="00CD232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2E627D" w:rsidRDefault="002E627D">
    <w:pPr>
      <w:pStyle w:val="Footer"/>
      <w:rPr>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27D" w:rsidRDefault="00CD232B">
      <w:pPr>
        <w:spacing w:after="0" w:line="240" w:lineRule="auto"/>
      </w:pPr>
      <w:r>
        <w:separator/>
      </w:r>
    </w:p>
  </w:footnote>
  <w:footnote w:type="continuationSeparator" w:id="0">
    <w:p w:rsidR="002E627D" w:rsidRDefault="00CD232B">
      <w:pPr>
        <w:spacing w:after="0" w:line="240" w:lineRule="auto"/>
      </w:pPr>
      <w:r>
        <w:continuationSeparator/>
      </w:r>
    </w:p>
  </w:footnote>
  <w:footnote w:type="continuationNotice" w:id="1">
    <w:p w:rsidR="002E627D" w:rsidRDefault="002E627D">
      <w:pPr>
        <w:spacing w:after="0" w:line="240" w:lineRule="auto"/>
      </w:pPr>
    </w:p>
  </w:footnote>
  <w:footnote w:id="2">
    <w:p w:rsidR="002E627D" w:rsidRDefault="00CD232B">
      <w:pPr>
        <w:pStyle w:val="FootnoteText"/>
        <w:spacing w:after="0" w:line="240" w:lineRule="auto"/>
        <w:ind w:left="284" w:hanging="284"/>
        <w:rPr>
          <w:rFonts w:ascii="Times New Roman" w:hAnsi="Times New Roman"/>
          <w:lang w:val="pt-PT"/>
        </w:rPr>
      </w:pPr>
      <w:r>
        <w:rPr>
          <w:rStyle w:val="FootnoteReference"/>
        </w:rPr>
        <w:footnoteRef/>
      </w:r>
      <w:r>
        <w:rPr>
          <w:lang w:val="pt-PT"/>
        </w:rPr>
        <w:t xml:space="preserve"> </w:t>
      </w:r>
      <w:r>
        <w:rPr>
          <w:lang w:val="pt-PT"/>
        </w:rPr>
        <w:tab/>
      </w:r>
      <w:r>
        <w:rPr>
          <w:rFonts w:ascii="Times New Roman" w:hAnsi="Times New Roman"/>
          <w:lang w:val="pt-PT"/>
        </w:rPr>
        <w:t>COM(2016) 501 final.</w:t>
      </w:r>
    </w:p>
  </w:footnote>
  <w:footnote w:id="3">
    <w:p w:rsidR="002E627D" w:rsidRDefault="00CD232B">
      <w:pPr>
        <w:pStyle w:val="FootnoteText"/>
        <w:tabs>
          <w:tab w:val="left" w:pos="284"/>
        </w:tabs>
        <w:spacing w:after="0" w:line="240" w:lineRule="auto"/>
        <w:ind w:left="284" w:hanging="284"/>
        <w:rPr>
          <w:rFonts w:ascii="Times New Roman" w:hAnsi="Times New Roman"/>
          <w:szCs w:val="20"/>
          <w:lang w:val="pt-PT"/>
        </w:rPr>
      </w:pPr>
      <w:r>
        <w:rPr>
          <w:rStyle w:val="FootnoteReference"/>
          <w:rFonts w:ascii="Times New Roman" w:hAnsi="Times New Roman"/>
          <w:szCs w:val="20"/>
        </w:rPr>
        <w:footnoteRef/>
      </w:r>
      <w:r>
        <w:rPr>
          <w:rFonts w:ascii="Times New Roman" w:hAnsi="Times New Roman"/>
          <w:szCs w:val="20"/>
          <w:lang w:val="pt-PT"/>
        </w:rPr>
        <w:t xml:space="preserve"> </w:t>
      </w:r>
      <w:r>
        <w:rPr>
          <w:rFonts w:ascii="Times New Roman" w:hAnsi="Times New Roman"/>
          <w:szCs w:val="20"/>
          <w:lang w:val="pt-PT"/>
        </w:rPr>
        <w:tab/>
        <w:t>COM (2017) 283 final.</w:t>
      </w:r>
    </w:p>
  </w:footnote>
  <w:footnote w:id="4">
    <w:p w:rsidR="002E627D" w:rsidRDefault="00CD232B">
      <w:pPr>
        <w:pStyle w:val="FootnoteText"/>
        <w:spacing w:after="0" w:line="240" w:lineRule="auto"/>
        <w:ind w:left="284" w:hanging="284"/>
        <w:rPr>
          <w:rFonts w:ascii="Times New Roman" w:hAnsi="Times New Roman"/>
          <w:lang w:val="pt-PT"/>
        </w:rPr>
      </w:pPr>
      <w:r>
        <w:rPr>
          <w:rStyle w:val="FootnoteReference"/>
          <w:rFonts w:ascii="Times New Roman" w:hAnsi="Times New Roman"/>
        </w:rPr>
        <w:footnoteRef/>
      </w:r>
      <w:r>
        <w:rPr>
          <w:rFonts w:ascii="Times New Roman" w:hAnsi="Times New Roman"/>
          <w:lang w:val="pt-PT"/>
        </w:rPr>
        <w:t xml:space="preserve"> </w:t>
      </w:r>
      <w:r>
        <w:rPr>
          <w:rFonts w:ascii="Times New Roman" w:hAnsi="Times New Roman"/>
          <w:lang w:val="pt-PT"/>
        </w:rPr>
        <w:tab/>
        <w:t>COM(2017) 675 final.</w:t>
      </w:r>
    </w:p>
  </w:footnote>
  <w:footnote w:id="5">
    <w:p w:rsidR="002E627D" w:rsidRDefault="00CD232B">
      <w:pPr>
        <w:pStyle w:val="FootnoteText"/>
        <w:spacing w:after="0" w:line="240" w:lineRule="auto"/>
        <w:ind w:left="284" w:hanging="284"/>
        <w:rPr>
          <w:rFonts w:ascii="Times New Roman" w:hAnsi="Times New Roman"/>
          <w:szCs w:val="20"/>
          <w:lang w:val="pt-PT"/>
        </w:rPr>
      </w:pPr>
      <w:r>
        <w:rPr>
          <w:rStyle w:val="FootnoteReference"/>
          <w:rFonts w:ascii="Times New Roman" w:hAnsi="Times New Roman"/>
          <w:szCs w:val="20"/>
        </w:rPr>
        <w:footnoteRef/>
      </w:r>
      <w:r>
        <w:rPr>
          <w:rFonts w:ascii="Times New Roman" w:hAnsi="Times New Roman"/>
          <w:szCs w:val="20"/>
          <w:lang w:val="pt-PT"/>
        </w:rPr>
        <w:t xml:space="preserve"> </w:t>
      </w:r>
      <w:r>
        <w:rPr>
          <w:rFonts w:ascii="Times New Roman" w:hAnsi="Times New Roman"/>
          <w:szCs w:val="20"/>
          <w:lang w:val="pt-PT"/>
        </w:rPr>
        <w:tab/>
      </w:r>
      <w:r>
        <w:rPr>
          <w:rFonts w:ascii="Times New Roman" w:hAnsi="Times New Roman"/>
          <w:szCs w:val="20"/>
          <w:lang w:val="pt-PT"/>
        </w:rPr>
        <w:t xml:space="preserve">Referring particularly to electricity, natural gas (compressed natural gas (CNG), liquefied natural gas (LNG), hydrogen and liquefied petroleum gas (LPG) that require specific infrastructure solutions. </w:t>
      </w:r>
    </w:p>
  </w:footnote>
  <w:footnote w:id="6">
    <w:p w:rsidR="002E627D" w:rsidRDefault="00CD232B">
      <w:pPr>
        <w:pStyle w:val="FootnoteText"/>
        <w:spacing w:after="0" w:line="240" w:lineRule="auto"/>
        <w:ind w:left="284" w:hanging="284"/>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Wainwright, S. and Peters, J. (2016) Clean Power f</w:t>
      </w:r>
      <w:r>
        <w:rPr>
          <w:rFonts w:ascii="Times New Roman" w:hAnsi="Times New Roman"/>
        </w:rPr>
        <w:t>or Transport Infrastructure Deployment. Final Report for the European Commission. Brussels.</w:t>
      </w:r>
    </w:p>
  </w:footnote>
  <w:footnote w:id="7">
    <w:p w:rsidR="002E627D" w:rsidRDefault="00CD232B">
      <w:pPr>
        <w:pStyle w:val="FootnoteText"/>
        <w:spacing w:after="0" w:line="240" w:lineRule="auto"/>
        <w:ind w:left="284" w:hanging="284"/>
        <w:rPr>
          <w:rFonts w:ascii="Times New Roman" w:hAnsi="Times New Roman"/>
          <w:szCs w:val="20"/>
        </w:rPr>
      </w:pPr>
      <w:r>
        <w:rPr>
          <w:rStyle w:val="FootnoteReference"/>
          <w:rFonts w:ascii="Times New Roman" w:hAnsi="Times New Roman"/>
          <w:szCs w:val="20"/>
        </w:rPr>
        <w:footnoteRef/>
      </w:r>
      <w:r>
        <w:rPr>
          <w:rFonts w:ascii="Times New Roman" w:hAnsi="Times New Roman"/>
          <w:szCs w:val="20"/>
        </w:rPr>
        <w:t xml:space="preserve"> </w:t>
      </w:r>
      <w:r>
        <w:rPr>
          <w:rFonts w:ascii="Times New Roman" w:hAnsi="Times New Roman"/>
          <w:szCs w:val="20"/>
        </w:rPr>
        <w:tab/>
        <w:t xml:space="preserve"> These are Netherlands and Denmark, according to the European Alternative Fuels Observatory. </w:t>
      </w:r>
    </w:p>
  </w:footnote>
  <w:footnote w:id="8">
    <w:p w:rsidR="002E627D" w:rsidRDefault="00CD232B">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Considering that each station serves around 1200 vehicles. In co</w:t>
      </w:r>
      <w:r>
        <w:rPr>
          <w:rFonts w:ascii="Times New Roman" w:hAnsi="Times New Roman"/>
        </w:rPr>
        <w:t xml:space="preserve">mparison, the 256 million vehicles on the roads in the EU are currently served by 115.700 conventional fuel stations. </w:t>
      </w:r>
    </w:p>
  </w:footnote>
  <w:footnote w:id="9">
    <w:p w:rsidR="002E627D" w:rsidRDefault="00CD232B">
      <w:pPr>
        <w:pStyle w:val="FootnoteText"/>
        <w:spacing w:after="0" w:line="240" w:lineRule="auto"/>
        <w:ind w:left="284" w:hanging="284"/>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SWD(2017) 365.</w:t>
      </w:r>
    </w:p>
  </w:footnote>
  <w:footnote w:id="10">
    <w:p w:rsidR="002E627D" w:rsidRDefault="00CD232B">
      <w:pPr>
        <w:pStyle w:val="FootnoteText"/>
        <w:spacing w:after="0" w:line="240" w:lineRule="auto"/>
        <w:ind w:left="284" w:hanging="284"/>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r>
      <w:r>
        <w:rPr>
          <w:rFonts w:ascii="Times New Roman" w:hAnsi="Times New Roman"/>
          <w:szCs w:val="20"/>
        </w:rPr>
        <w:t>NPFs require targets for 2020 only.</w:t>
      </w:r>
    </w:p>
  </w:footnote>
  <w:footnote w:id="11">
    <w:p w:rsidR="002E627D" w:rsidRDefault="00CD232B">
      <w:pPr>
        <w:pStyle w:val="FootnoteText"/>
        <w:spacing w:after="0" w:line="240" w:lineRule="auto"/>
        <w:ind w:left="284" w:hanging="284"/>
        <w:rPr>
          <w:rFonts w:ascii="Times New Roman" w:hAnsi="Times New Roman"/>
          <w:szCs w:val="20"/>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r>
      <w:r>
        <w:rPr>
          <w:rFonts w:ascii="Times New Roman" w:hAnsi="Times New Roman"/>
          <w:szCs w:val="20"/>
        </w:rPr>
        <w:t>Following the total cost for the 937 (2020 versus today) and 1575 (2025 vs to</w:t>
      </w:r>
      <w:r>
        <w:rPr>
          <w:rFonts w:ascii="Times New Roman" w:hAnsi="Times New Roman"/>
          <w:szCs w:val="20"/>
        </w:rPr>
        <w:t xml:space="preserve">day) new CNG refuelling points planned to be built according to the national policy frameworks. </w:t>
      </w:r>
    </w:p>
  </w:footnote>
  <w:footnote w:id="12">
    <w:p w:rsidR="002E627D" w:rsidRDefault="00CD232B">
      <w:pPr>
        <w:pStyle w:val="FootnoteText"/>
        <w:spacing w:after="0" w:line="240" w:lineRule="auto"/>
        <w:ind w:left="284" w:hanging="284"/>
      </w:pPr>
      <w:r>
        <w:rPr>
          <w:rStyle w:val="FootnoteReference"/>
        </w:rPr>
        <w:footnoteRef/>
      </w:r>
      <w:r>
        <w:t xml:space="preserve"> </w:t>
      </w:r>
      <w:r>
        <w:tab/>
        <w:t xml:space="preserve">  </w:t>
      </w:r>
      <w:r>
        <w:rPr>
          <w:rFonts w:ascii="Times New Roman" w:hAnsi="Times New Roman"/>
        </w:rPr>
        <w:t>SWD (2017) 650.</w:t>
      </w:r>
    </w:p>
  </w:footnote>
  <w:footnote w:id="13">
    <w:p w:rsidR="002E627D" w:rsidRDefault="00CD232B">
      <w:pPr>
        <w:pStyle w:val="FootnoteText"/>
        <w:spacing w:after="0" w:line="240" w:lineRule="auto"/>
        <w:jc w:val="both"/>
        <w:rPr>
          <w:rFonts w:ascii="Times New Roman" w:hAnsi="Times New Roman"/>
        </w:rPr>
      </w:pPr>
      <w:r>
        <w:rPr>
          <w:rStyle w:val="FootnoteReference"/>
        </w:rPr>
        <w:footnoteRef/>
      </w:r>
      <w:r>
        <w:t xml:space="preserve"> </w:t>
      </w:r>
      <w:r>
        <w:tab/>
      </w:r>
      <w:r>
        <w:rPr>
          <w:rFonts w:ascii="Times New Roman" w:hAnsi="Times New Roman"/>
        </w:rPr>
        <w:t>It is based on the assumption that 1.1 recharging points are needed for each vehicle. Moreover, 1 out of 10 recharging points will be p</w:t>
      </w:r>
      <w:r>
        <w:rPr>
          <w:rFonts w:ascii="Times New Roman" w:hAnsi="Times New Roman"/>
        </w:rPr>
        <w:t xml:space="preserve">ublicly accessible. In addition to the publicly accessible recharging points, roughly 4 million private recharging points would be needed in such a scenario. </w:t>
      </w:r>
    </w:p>
  </w:footnote>
  <w:footnote w:id="14">
    <w:p w:rsidR="002E627D" w:rsidRDefault="00CD232B">
      <w:pPr>
        <w:pStyle w:val="FootnoteText"/>
        <w:spacing w:after="0" w:line="240" w:lineRule="auto"/>
        <w:rPr>
          <w:rFonts w:ascii="Times New Roman" w:hAnsi="Times New Roman"/>
        </w:rPr>
      </w:pPr>
      <w:r>
        <w:rPr>
          <w:rStyle w:val="FootnoteReference"/>
        </w:rPr>
        <w:footnoteRef/>
      </w:r>
      <w:r>
        <w:t xml:space="preserve"> </w:t>
      </w:r>
      <w:r>
        <w:tab/>
      </w:r>
      <w:r>
        <w:rPr>
          <w:rFonts w:ascii="Times New Roman" w:hAnsi="Times New Roman"/>
        </w:rPr>
        <w:t>Cost estimates assume cost of EUR 5,000 for regular charging stations and EUR 30,000- for fast</w:t>
      </w:r>
      <w:r>
        <w:rPr>
          <w:rFonts w:ascii="Times New Roman" w:hAnsi="Times New Roman"/>
        </w:rPr>
        <w:t>-charging stations, on average.</w:t>
      </w:r>
    </w:p>
  </w:footnote>
  <w:footnote w:id="15">
    <w:p w:rsidR="002E627D" w:rsidRDefault="00CD232B">
      <w:pPr>
        <w:pStyle w:val="FootnoteText"/>
        <w:spacing w:after="0" w:line="240" w:lineRule="auto"/>
        <w:jc w:val="both"/>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Assuming that 70% of infrastructure needs accrue in urban areas (alongside the fact that more than 70 </w:t>
      </w:r>
      <w:r>
        <w:rPr>
          <w:rFonts w:ascii="Times New Roman" w:hAnsi="Times New Roman"/>
        </w:rPr>
        <w:br/>
        <w:t xml:space="preserve">percent of the EU population lives in urban areas) leads to an investment need of EUR 2.7 billion in 2020. After 2020 </w:t>
      </w:r>
      <w:r>
        <w:rPr>
          <w:rFonts w:ascii="Times New Roman" w:hAnsi="Times New Roman"/>
        </w:rPr>
        <w:t>and up to 2025, annual investment in urban areas between EUR 1.9 billion and EUR 2.7 billion could be required.</w:t>
      </w:r>
    </w:p>
  </w:footnote>
  <w:footnote w:id="16">
    <w:p w:rsidR="002E627D" w:rsidRDefault="00CD232B">
      <w:pPr>
        <w:pStyle w:val="FootnoteText"/>
        <w:spacing w:after="0" w:line="240" w:lineRule="auto"/>
        <w:ind w:left="284" w:hanging="284"/>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 SWD(2017) 366</w:t>
      </w:r>
    </w:p>
  </w:footnote>
  <w:footnote w:id="17">
    <w:p w:rsidR="002E627D" w:rsidRDefault="00CD232B">
      <w:pPr>
        <w:pStyle w:val="FootnoteText"/>
        <w:spacing w:after="0" w:line="240" w:lineRule="auto"/>
        <w:ind w:left="284" w:hanging="284"/>
        <w:rPr>
          <w:rFonts w:ascii="Times New Roman" w:hAnsi="Times New Roman"/>
          <w:szCs w:val="20"/>
        </w:rPr>
      </w:pPr>
      <w:r>
        <w:rPr>
          <w:rStyle w:val="FootnoteReference"/>
          <w:rFonts w:ascii="Times New Roman" w:hAnsi="Times New Roman"/>
          <w:szCs w:val="20"/>
        </w:rPr>
        <w:footnoteRef/>
      </w:r>
      <w:r>
        <w:rPr>
          <w:rFonts w:ascii="Times New Roman" w:hAnsi="Times New Roman"/>
          <w:szCs w:val="20"/>
        </w:rPr>
        <w:t xml:space="preserve"> </w:t>
      </w:r>
      <w:r>
        <w:rPr>
          <w:rFonts w:ascii="Times New Roman" w:hAnsi="Times New Roman"/>
          <w:szCs w:val="20"/>
        </w:rPr>
        <w:tab/>
        <w:t xml:space="preserve"> In accordance with Article 3(7) of Directive 2014/94/EU and observing the conditions laid down in  </w:t>
      </w:r>
      <w:r>
        <w:rPr>
          <w:rFonts w:ascii="Times New Roman" w:hAnsi="Times New Roman"/>
          <w:szCs w:val="20"/>
        </w:rPr>
        <w:br/>
        <w:t xml:space="preserve"> Articles 5, 6 and 7 o</w:t>
      </w:r>
      <w:r>
        <w:rPr>
          <w:rFonts w:ascii="Times New Roman" w:hAnsi="Times New Roman"/>
          <w:szCs w:val="20"/>
        </w:rPr>
        <w:t>f Directive 2014/94/EU.</w:t>
      </w:r>
    </w:p>
  </w:footnote>
  <w:footnote w:id="18">
    <w:p w:rsidR="002E627D" w:rsidRDefault="00CD232B">
      <w:pPr>
        <w:pStyle w:val="FootnoteText"/>
        <w:spacing w:after="0" w:line="240" w:lineRule="auto"/>
        <w:ind w:left="284" w:hanging="284"/>
        <w:jc w:val="both"/>
        <w:rPr>
          <w:rFonts w:ascii="Times New Roman" w:hAnsi="Times New Roman"/>
          <w:szCs w:val="20"/>
        </w:rPr>
      </w:pPr>
      <w:r>
        <w:rPr>
          <w:rStyle w:val="FootnoteReference"/>
          <w:rFonts w:ascii="Times New Roman" w:hAnsi="Times New Roman"/>
          <w:szCs w:val="20"/>
        </w:rPr>
        <w:footnoteRef/>
      </w:r>
      <w:r>
        <w:rPr>
          <w:rFonts w:ascii="Times New Roman" w:hAnsi="Times New Roman"/>
          <w:szCs w:val="20"/>
        </w:rPr>
        <w:t xml:space="preserve"> </w:t>
      </w:r>
      <w:r>
        <w:rPr>
          <w:rFonts w:ascii="Times New Roman" w:hAnsi="Times New Roman"/>
          <w:szCs w:val="20"/>
        </w:rPr>
        <w:tab/>
        <w:t>More information on NPFs is available in SWD (2017) 365.</w:t>
      </w:r>
    </w:p>
  </w:footnote>
  <w:footnote w:id="19">
    <w:p w:rsidR="002E627D" w:rsidRDefault="00CD232B">
      <w:pPr>
        <w:pStyle w:val="FootnoteText"/>
        <w:spacing w:after="0" w:line="240" w:lineRule="auto"/>
        <w:ind w:left="284" w:hanging="284"/>
        <w:jc w:val="both"/>
        <w:rPr>
          <w:szCs w:val="20"/>
        </w:rPr>
      </w:pPr>
      <w:r>
        <w:rPr>
          <w:rStyle w:val="FootnoteReference"/>
          <w:szCs w:val="20"/>
        </w:rPr>
        <w:footnoteRef/>
      </w:r>
      <w:r>
        <w:rPr>
          <w:szCs w:val="20"/>
        </w:rPr>
        <w:t xml:space="preserve"> </w:t>
      </w:r>
      <w:r>
        <w:rPr>
          <w:szCs w:val="20"/>
        </w:rPr>
        <w:tab/>
      </w:r>
      <w:r>
        <w:rPr>
          <w:rFonts w:ascii="Times New Roman" w:hAnsi="Times New Roman"/>
          <w:szCs w:val="20"/>
        </w:rPr>
        <w:t xml:space="preserve">In relevant cases the Commission has started infringement procedures for non-compliance with Article 3 of Directive 2014/94/EU. It will continue such procedures for </w:t>
      </w:r>
      <w:r>
        <w:rPr>
          <w:rFonts w:ascii="Times New Roman" w:hAnsi="Times New Roman"/>
          <w:szCs w:val="20"/>
        </w:rPr>
        <w:t>notification failures.</w:t>
      </w:r>
    </w:p>
  </w:footnote>
  <w:footnote w:id="20">
    <w:p w:rsidR="002E627D" w:rsidRDefault="00CD232B">
      <w:pPr>
        <w:pStyle w:val="FootnoteText"/>
        <w:spacing w:after="0" w:line="240" w:lineRule="auto"/>
        <w:ind w:left="284" w:hanging="284"/>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Austria, Belgium, Finland, France, Germany, Italy, the Netherlands, the United Kingdom. </w:t>
      </w:r>
    </w:p>
  </w:footnote>
  <w:footnote w:id="21">
    <w:p w:rsidR="002E627D" w:rsidRDefault="00CD232B">
      <w:pPr>
        <w:pStyle w:val="FootnoteText"/>
        <w:spacing w:after="0" w:line="240" w:lineRule="auto"/>
        <w:ind w:left="284" w:hanging="284"/>
      </w:pPr>
      <w:r>
        <w:rPr>
          <w:rStyle w:val="FootnoteReference"/>
        </w:rPr>
        <w:footnoteRef/>
      </w:r>
      <w:r>
        <w:t xml:space="preserve"> </w:t>
      </w:r>
      <w:r>
        <w:tab/>
      </w:r>
      <w:r>
        <w:rPr>
          <w:rFonts w:ascii="Times New Roman" w:hAnsi="Times New Roman"/>
        </w:rPr>
        <w:t>These are Malta and Romania.</w:t>
      </w:r>
    </w:p>
  </w:footnote>
  <w:footnote w:id="22">
    <w:p w:rsidR="002E627D" w:rsidRDefault="00CD232B">
      <w:pPr>
        <w:pStyle w:val="Text1"/>
        <w:spacing w:after="0" w:line="240" w:lineRule="auto"/>
        <w:ind w:left="284" w:hanging="284"/>
        <w:jc w:val="both"/>
        <w:rPr>
          <w:rFonts w:ascii="Times New Roman" w:hAnsi="Times New Roman"/>
          <w:sz w:val="24"/>
          <w:szCs w:val="24"/>
        </w:rPr>
      </w:pPr>
      <w:r>
        <w:rPr>
          <w:rStyle w:val="FootnoteReference"/>
        </w:rPr>
        <w:footnoteRef/>
      </w:r>
      <w:r>
        <w:t xml:space="preserve"> </w:t>
      </w:r>
      <w:r>
        <w:tab/>
      </w:r>
      <w:r>
        <w:rPr>
          <w:rFonts w:ascii="Times New Roman" w:hAnsi="Times New Roman"/>
          <w:sz w:val="20"/>
          <w:szCs w:val="20"/>
        </w:rPr>
        <w:t xml:space="preserve">Moreover, several Member States maintain low taxes on conventional motor fuels, in particular diesel (gas </w:t>
      </w:r>
      <w:r>
        <w:rPr>
          <w:rFonts w:ascii="Times New Roman" w:hAnsi="Times New Roman"/>
          <w:sz w:val="20"/>
          <w:szCs w:val="20"/>
        </w:rPr>
        <w:t>oil), compared to the taxes on many alternative fuels, considering the higher external costs which weaken the incentive to switch towards alternative fuels.</w:t>
      </w:r>
    </w:p>
  </w:footnote>
  <w:footnote w:id="23">
    <w:p w:rsidR="002E627D" w:rsidRDefault="00CD232B">
      <w:pPr>
        <w:pStyle w:val="FootnoteText"/>
        <w:spacing w:after="0" w:line="240" w:lineRule="auto"/>
        <w:ind w:left="284" w:hanging="284"/>
        <w:rPr>
          <w:rFonts w:ascii="Times New Roman" w:hAnsi="Times New Roman"/>
          <w:szCs w:val="20"/>
        </w:rPr>
      </w:pPr>
      <w:r>
        <w:rPr>
          <w:rStyle w:val="FootnoteReference"/>
          <w:rFonts w:ascii="Times New Roman" w:hAnsi="Times New Roman"/>
          <w:szCs w:val="20"/>
        </w:rPr>
        <w:footnoteRef/>
      </w:r>
      <w:r>
        <w:rPr>
          <w:rFonts w:ascii="Times New Roman" w:hAnsi="Times New Roman"/>
          <w:szCs w:val="20"/>
        </w:rPr>
        <w:t xml:space="preserve"> </w:t>
      </w:r>
      <w:r>
        <w:rPr>
          <w:rFonts w:ascii="Times New Roman" w:hAnsi="Times New Roman"/>
          <w:szCs w:val="20"/>
        </w:rPr>
        <w:tab/>
        <w:t>For more details see the SWD (2017) 365.</w:t>
      </w:r>
    </w:p>
  </w:footnote>
  <w:footnote w:id="24">
    <w:p w:rsidR="002E627D" w:rsidRDefault="00CD232B">
      <w:pPr>
        <w:pStyle w:val="FootnoteText"/>
        <w:spacing w:after="0" w:line="240" w:lineRule="auto"/>
        <w:ind w:left="284" w:hanging="284"/>
        <w:rPr>
          <w:rFonts w:ascii="Times New Roman" w:hAnsi="Times New Roman"/>
          <w:szCs w:val="20"/>
        </w:rPr>
      </w:pPr>
      <w:r>
        <w:rPr>
          <w:rStyle w:val="FootnoteReference"/>
          <w:rFonts w:ascii="Times New Roman" w:hAnsi="Times New Roman"/>
          <w:szCs w:val="20"/>
        </w:rPr>
        <w:footnoteRef/>
      </w:r>
      <w:r>
        <w:rPr>
          <w:rFonts w:ascii="Times New Roman" w:hAnsi="Times New Roman"/>
          <w:szCs w:val="20"/>
        </w:rPr>
        <w:t xml:space="preserve"> </w:t>
      </w:r>
      <w:r>
        <w:rPr>
          <w:rFonts w:ascii="Times New Roman" w:hAnsi="Times New Roman"/>
          <w:szCs w:val="20"/>
        </w:rPr>
        <w:tab/>
        <w:t>Belgium, the Czech Republic, Hungary, Italy.</w:t>
      </w:r>
    </w:p>
  </w:footnote>
  <w:footnote w:id="25">
    <w:p w:rsidR="002E627D" w:rsidRDefault="00CD232B">
      <w:pPr>
        <w:pStyle w:val="FootnoteText"/>
        <w:spacing w:after="0" w:line="240" w:lineRule="auto"/>
        <w:ind w:left="284" w:hanging="284"/>
        <w:rPr>
          <w:rFonts w:ascii="Times New Roman" w:hAnsi="Times New Roman"/>
          <w:szCs w:val="20"/>
        </w:rPr>
      </w:pPr>
      <w:r>
        <w:rPr>
          <w:rStyle w:val="FootnoteReference"/>
          <w:rFonts w:ascii="Times New Roman" w:hAnsi="Times New Roman"/>
          <w:szCs w:val="20"/>
        </w:rPr>
        <w:footnoteRef/>
      </w:r>
      <w:r>
        <w:rPr>
          <w:rFonts w:ascii="Times New Roman" w:hAnsi="Times New Roman"/>
          <w:szCs w:val="20"/>
        </w:rPr>
        <w:t xml:space="preserve"> </w:t>
      </w:r>
      <w:r>
        <w:rPr>
          <w:rFonts w:ascii="Times New Roman" w:hAnsi="Times New Roman"/>
          <w:szCs w:val="20"/>
        </w:rPr>
        <w:tab/>
      </w:r>
      <w:r>
        <w:rPr>
          <w:rFonts w:ascii="Times New Roman" w:hAnsi="Times New Roman"/>
          <w:szCs w:val="20"/>
        </w:rPr>
        <w:t>Austria, Germany, Luxembourg, the Netherlands.</w:t>
      </w:r>
    </w:p>
  </w:footnote>
  <w:footnote w:id="26">
    <w:p w:rsidR="002E627D" w:rsidRDefault="00CD232B">
      <w:pPr>
        <w:pStyle w:val="FootnoteText"/>
        <w:spacing w:after="0" w:line="240" w:lineRule="auto"/>
        <w:ind w:left="284" w:hanging="284"/>
        <w:rPr>
          <w:rFonts w:ascii="Times New Roman" w:hAnsi="Times New Roman"/>
          <w:szCs w:val="20"/>
        </w:rPr>
      </w:pPr>
      <w:r>
        <w:rPr>
          <w:rStyle w:val="FootnoteReference"/>
          <w:rFonts w:ascii="Times New Roman" w:hAnsi="Times New Roman"/>
          <w:szCs w:val="20"/>
        </w:rPr>
        <w:footnoteRef/>
      </w:r>
      <w:r>
        <w:rPr>
          <w:rFonts w:ascii="Times New Roman" w:hAnsi="Times New Roman"/>
          <w:szCs w:val="20"/>
        </w:rPr>
        <w:t xml:space="preserve"> </w:t>
      </w:r>
      <w:r>
        <w:rPr>
          <w:rFonts w:ascii="Times New Roman" w:hAnsi="Times New Roman"/>
          <w:szCs w:val="20"/>
        </w:rPr>
        <w:tab/>
        <w:t>Finland, Hungary, Italy.</w:t>
      </w:r>
    </w:p>
  </w:footnote>
  <w:footnote w:id="27">
    <w:p w:rsidR="002E627D" w:rsidRDefault="00CD232B">
      <w:pPr>
        <w:pStyle w:val="FootnoteText"/>
        <w:spacing w:after="0" w:line="240" w:lineRule="auto"/>
        <w:ind w:left="284" w:hanging="284"/>
        <w:jc w:val="both"/>
        <w:rPr>
          <w:rFonts w:ascii="Times New Roman" w:hAnsi="Times New Roman"/>
          <w:szCs w:val="20"/>
        </w:rPr>
      </w:pPr>
      <w:r>
        <w:rPr>
          <w:rStyle w:val="FootnoteReference"/>
          <w:rFonts w:ascii="Times New Roman" w:hAnsi="Times New Roman"/>
          <w:szCs w:val="20"/>
        </w:rPr>
        <w:footnoteRef/>
      </w:r>
      <w:r>
        <w:rPr>
          <w:rFonts w:ascii="Times New Roman" w:hAnsi="Times New Roman"/>
          <w:szCs w:val="20"/>
        </w:rPr>
        <w:t xml:space="preserve"> </w:t>
      </w:r>
      <w:r>
        <w:rPr>
          <w:rFonts w:ascii="Times New Roman" w:hAnsi="Times New Roman"/>
          <w:szCs w:val="20"/>
        </w:rPr>
        <w:tab/>
        <w:t>Austria, Belgium, Bulgaria, the Czech Republic, Germany, Estonia, Spain, Finland, France, Hungary, Italy, the Netherlands, Sweden, the UK. The Danish NPF discusses hydrogen but d</w:t>
      </w:r>
      <w:r>
        <w:rPr>
          <w:rFonts w:ascii="Times New Roman" w:hAnsi="Times New Roman"/>
          <w:szCs w:val="20"/>
        </w:rPr>
        <w:t>oes not set infrastructure targets. Germany, Italy and the UK have set themselves ambitious targets.</w:t>
      </w:r>
    </w:p>
  </w:footnote>
  <w:footnote w:id="28">
    <w:p w:rsidR="002E627D" w:rsidRDefault="00CD232B">
      <w:pPr>
        <w:pStyle w:val="FootnoteText"/>
        <w:spacing w:after="0" w:line="240" w:lineRule="auto"/>
        <w:ind w:left="284" w:hanging="284"/>
        <w:jc w:val="both"/>
        <w:rPr>
          <w:rFonts w:ascii="Times New Roman" w:hAnsi="Times New Roman"/>
          <w:szCs w:val="20"/>
        </w:rPr>
      </w:pPr>
      <w:r>
        <w:rPr>
          <w:rStyle w:val="FootnoteReference"/>
          <w:rFonts w:ascii="Times New Roman" w:hAnsi="Times New Roman"/>
          <w:szCs w:val="20"/>
        </w:rPr>
        <w:footnoteRef/>
      </w:r>
      <w:r>
        <w:rPr>
          <w:rFonts w:ascii="Times New Roman" w:hAnsi="Times New Roman"/>
          <w:szCs w:val="20"/>
        </w:rPr>
        <w:t xml:space="preserve"> </w:t>
      </w:r>
      <w:r>
        <w:rPr>
          <w:rFonts w:ascii="Times New Roman" w:hAnsi="Times New Roman"/>
          <w:szCs w:val="20"/>
        </w:rPr>
        <w:tab/>
        <w:t>The scenario without NPFs builds on the baseline scenario of the Impact Assessment accompanying the Proposal for a Directive amending Directive 1999/62/</w:t>
      </w:r>
      <w:r>
        <w:rPr>
          <w:rFonts w:ascii="Times New Roman" w:hAnsi="Times New Roman"/>
          <w:szCs w:val="20"/>
        </w:rPr>
        <w:t>EC on the charging of heavy goods vehicles for the use of certain infrastructures (SWD (2017) 180), thus on the EU 2016 reference scenario. However, it excludes Member State incentives for alternative fuels. ICCS-E3M Lab has developed it, using the PRIMES-</w:t>
      </w:r>
      <w:r>
        <w:rPr>
          <w:rFonts w:ascii="Times New Roman" w:hAnsi="Times New Roman"/>
          <w:szCs w:val="20"/>
        </w:rPr>
        <w:t>TREMOVE model (the same model used for the EU 2016 reference scenario).</w:t>
      </w:r>
    </w:p>
  </w:footnote>
  <w:footnote w:id="29">
    <w:p w:rsidR="002E627D" w:rsidRDefault="00CD232B">
      <w:pPr>
        <w:pStyle w:val="FootnoteText"/>
        <w:spacing w:after="0" w:line="240" w:lineRule="auto"/>
        <w:ind w:left="284" w:hanging="284"/>
        <w:jc w:val="both"/>
        <w:rPr>
          <w:rFonts w:ascii="Times New Roman" w:hAnsi="Times New Roman"/>
          <w:szCs w:val="20"/>
        </w:rPr>
      </w:pPr>
      <w:r>
        <w:rPr>
          <w:rStyle w:val="FootnoteReference"/>
          <w:rFonts w:ascii="Times New Roman" w:hAnsi="Times New Roman"/>
          <w:szCs w:val="20"/>
        </w:rPr>
        <w:footnoteRef/>
      </w:r>
      <w:r>
        <w:rPr>
          <w:rFonts w:ascii="Times New Roman" w:hAnsi="Times New Roman"/>
          <w:szCs w:val="20"/>
        </w:rPr>
        <w:t xml:space="preserve"> </w:t>
      </w:r>
      <w:r>
        <w:rPr>
          <w:rFonts w:ascii="Times New Roman" w:hAnsi="Times New Roman"/>
          <w:szCs w:val="20"/>
        </w:rPr>
        <w:tab/>
        <w:t>For the most ambitious Member States (Austria and Ireland), NO</w:t>
      </w:r>
      <w:r>
        <w:rPr>
          <w:rFonts w:ascii="Times New Roman" w:hAnsi="Times New Roman"/>
          <w:szCs w:val="20"/>
          <w:vertAlign w:val="subscript"/>
        </w:rPr>
        <w:t>2 </w:t>
      </w:r>
      <w:r>
        <w:rPr>
          <w:rFonts w:ascii="Times New Roman" w:hAnsi="Times New Roman"/>
          <w:szCs w:val="20"/>
        </w:rPr>
        <w:t>emission reductions can reach 7-10 % and PM</w:t>
      </w:r>
      <w:r>
        <w:rPr>
          <w:rFonts w:ascii="Times New Roman" w:hAnsi="Times New Roman"/>
          <w:szCs w:val="20"/>
          <w:vertAlign w:val="subscript"/>
        </w:rPr>
        <w:t>2 .5</w:t>
      </w:r>
      <w:r>
        <w:rPr>
          <w:rFonts w:ascii="Times New Roman" w:hAnsi="Times New Roman"/>
          <w:szCs w:val="20"/>
        </w:rPr>
        <w:t xml:space="preserve"> emission reductions 8-12 % by 2030, compared to a scenario without an</w:t>
      </w:r>
      <w:r>
        <w:rPr>
          <w:rFonts w:ascii="Times New Roman" w:hAnsi="Times New Roman"/>
          <w:szCs w:val="20"/>
        </w:rPr>
        <w:t xml:space="preserve"> NPF.</w:t>
      </w:r>
    </w:p>
  </w:footnote>
  <w:footnote w:id="30">
    <w:p w:rsidR="002E627D" w:rsidRDefault="00CD232B">
      <w:pPr>
        <w:pStyle w:val="FootnoteText"/>
        <w:spacing w:after="0" w:line="240" w:lineRule="auto"/>
        <w:ind w:left="284" w:hanging="284"/>
        <w:rPr>
          <w:rFonts w:ascii="Times New Roman" w:hAnsi="Times New Roman"/>
          <w:szCs w:val="20"/>
        </w:rPr>
      </w:pPr>
      <w:r>
        <w:rPr>
          <w:rStyle w:val="FootnoteReference"/>
          <w:rFonts w:ascii="Times New Roman" w:hAnsi="Times New Roman"/>
          <w:szCs w:val="20"/>
        </w:rPr>
        <w:footnoteRef/>
      </w:r>
      <w:r>
        <w:rPr>
          <w:rFonts w:ascii="Times New Roman" w:hAnsi="Times New Roman"/>
          <w:szCs w:val="20"/>
        </w:rPr>
        <w:t xml:space="preserve"> </w:t>
      </w:r>
      <w:hyperlink r:id="rId1" w:history="1">
        <w:r>
          <w:rPr>
            <w:rStyle w:val="Hyperlink"/>
            <w:rFonts w:ascii="Times New Roman" w:hAnsi="Times New Roman"/>
            <w:szCs w:val="20"/>
          </w:rPr>
          <w:t>https://ec.europa.eu/transport/themes/urban/cpt/stf_en</w:t>
        </w:r>
      </w:hyperlink>
      <w:r>
        <w:rPr>
          <w:rFonts w:ascii="Times New Roman" w:hAnsi="Times New Roman"/>
          <w:szCs w:val="20"/>
        </w:rPr>
        <w:t>.</w:t>
      </w:r>
    </w:p>
  </w:footnote>
  <w:footnote w:id="31">
    <w:p w:rsidR="002E627D" w:rsidRDefault="00CD232B">
      <w:pPr>
        <w:pStyle w:val="FootnoteText"/>
        <w:spacing w:after="0" w:line="240" w:lineRule="auto"/>
        <w:ind w:left="284" w:hanging="284"/>
        <w:rPr>
          <w:rFonts w:ascii="Times New Roman" w:hAnsi="Times New Roman"/>
          <w:szCs w:val="20"/>
        </w:rPr>
      </w:pPr>
      <w:r>
        <w:rPr>
          <w:rStyle w:val="FootnoteReference"/>
          <w:rFonts w:ascii="Times New Roman" w:hAnsi="Times New Roman"/>
          <w:szCs w:val="20"/>
        </w:rPr>
        <w:footnoteRef/>
      </w:r>
      <w:r>
        <w:rPr>
          <w:rFonts w:ascii="Times New Roman" w:hAnsi="Times New Roman"/>
          <w:szCs w:val="20"/>
        </w:rPr>
        <w:t xml:space="preserve"> </w:t>
      </w:r>
      <w:hyperlink r:id="rId2" w:history="1">
        <w:r>
          <w:rPr>
            <w:rStyle w:val="Hyperlink"/>
            <w:rFonts w:ascii="Times New Roman" w:hAnsi="Times New Roman"/>
            <w:szCs w:val="20"/>
          </w:rPr>
          <w:t>http://ec.europa.eu/transparency/regexpert/index.cfm?do=groupDetail.groupDetail&amp;groupID=2869</w:t>
        </w:r>
      </w:hyperlink>
      <w:r>
        <w:rPr>
          <w:rFonts w:ascii="Times New Roman" w:hAnsi="Times New Roman"/>
          <w:szCs w:val="20"/>
        </w:rPr>
        <w:t>.</w:t>
      </w:r>
    </w:p>
  </w:footnote>
  <w:footnote w:id="32">
    <w:p w:rsidR="002E627D" w:rsidRDefault="00CD232B">
      <w:pPr>
        <w:pStyle w:val="FootnoteText"/>
        <w:spacing w:after="0" w:line="240" w:lineRule="auto"/>
        <w:ind w:left="284" w:hanging="284"/>
        <w:jc w:val="both"/>
        <w:rPr>
          <w:szCs w:val="20"/>
        </w:rPr>
      </w:pPr>
      <w:r>
        <w:rPr>
          <w:rStyle w:val="FootnoteReference"/>
          <w:rFonts w:ascii="Times New Roman" w:hAnsi="Times New Roman"/>
          <w:szCs w:val="20"/>
        </w:rPr>
        <w:footnoteRef/>
      </w:r>
      <w:r>
        <w:rPr>
          <w:szCs w:val="20"/>
        </w:rPr>
        <w:t xml:space="preserve"> </w:t>
      </w:r>
      <w:r>
        <w:rPr>
          <w:szCs w:val="20"/>
        </w:rPr>
        <w:tab/>
      </w:r>
      <w:r>
        <w:rPr>
          <w:rFonts w:ascii="Times New Roman" w:hAnsi="Times New Roman"/>
          <w:szCs w:val="20"/>
        </w:rPr>
        <w:t>New provisions for sulphur caps due to enter into force on 1 January 2020 will also have an impact on the uptake of alternative fuels, LNG in particular. The C</w:t>
      </w:r>
      <w:r>
        <w:rPr>
          <w:rFonts w:ascii="Times New Roman" w:hAnsi="Times New Roman"/>
          <w:szCs w:val="20"/>
        </w:rPr>
        <w:t>ommission recommends that LNG bunkering infrastructure be provided in TEN-T core network ports before 2025.</w:t>
      </w:r>
    </w:p>
  </w:footnote>
  <w:footnote w:id="33">
    <w:p w:rsidR="002E627D" w:rsidRDefault="00CD232B">
      <w:pPr>
        <w:pStyle w:val="FootnoteText"/>
        <w:spacing w:after="0" w:line="240" w:lineRule="auto"/>
        <w:ind w:left="284" w:hanging="284"/>
        <w:rPr>
          <w:rFonts w:ascii="Times New Roman" w:hAnsi="Times New Roman"/>
          <w:szCs w:val="20"/>
          <w:lang w:val="pt-PT"/>
        </w:rPr>
      </w:pPr>
      <w:r>
        <w:rPr>
          <w:rStyle w:val="FootnoteReference"/>
          <w:rFonts w:ascii="Times New Roman" w:hAnsi="Times New Roman"/>
          <w:szCs w:val="20"/>
        </w:rPr>
        <w:footnoteRef/>
      </w:r>
      <w:r>
        <w:rPr>
          <w:rFonts w:ascii="Times New Roman" w:hAnsi="Times New Roman"/>
          <w:szCs w:val="20"/>
          <w:lang w:val="pt-PT"/>
        </w:rPr>
        <w:t xml:space="preserve"> </w:t>
      </w:r>
      <w:r>
        <w:rPr>
          <w:rFonts w:ascii="Times New Roman" w:hAnsi="Times New Roman"/>
          <w:szCs w:val="20"/>
          <w:lang w:val="pt-PT"/>
        </w:rPr>
        <w:tab/>
        <w:t>Regulation (EU) 2016/1628.</w:t>
      </w:r>
    </w:p>
  </w:footnote>
  <w:footnote w:id="34">
    <w:p w:rsidR="002E627D" w:rsidRDefault="00CD232B">
      <w:pPr>
        <w:pStyle w:val="FootnoteText"/>
        <w:spacing w:after="0" w:line="240" w:lineRule="auto"/>
        <w:ind w:left="284" w:hanging="284"/>
        <w:rPr>
          <w:rFonts w:ascii="Times New Roman" w:hAnsi="Times New Roman"/>
          <w:szCs w:val="20"/>
          <w:lang w:val="pt-PT"/>
        </w:rPr>
      </w:pPr>
      <w:r>
        <w:rPr>
          <w:rStyle w:val="FootnoteReference"/>
          <w:szCs w:val="20"/>
        </w:rPr>
        <w:footnoteRef/>
      </w:r>
      <w:r>
        <w:rPr>
          <w:szCs w:val="20"/>
          <w:lang w:val="pt-PT"/>
        </w:rPr>
        <w:t xml:space="preserve"> </w:t>
      </w:r>
      <w:r>
        <w:rPr>
          <w:rStyle w:val="Hyperlink"/>
          <w:rFonts w:ascii="Times New Roman" w:hAnsi="Times New Roman"/>
          <w:color w:val="auto"/>
          <w:u w:val="none"/>
          <w:lang w:val="pt-PT"/>
        </w:rPr>
        <w:t>COM(2017) 676 final</w:t>
      </w:r>
      <w:r>
        <w:rPr>
          <w:rStyle w:val="Hyperlink"/>
          <w:color w:val="auto"/>
          <w:u w:val="none"/>
          <w:lang w:val="pt-PT"/>
        </w:rPr>
        <w:t>.</w:t>
      </w:r>
    </w:p>
  </w:footnote>
  <w:footnote w:id="35">
    <w:p w:rsidR="002E627D" w:rsidRDefault="00CD232B">
      <w:pPr>
        <w:pStyle w:val="FootnoteText"/>
        <w:spacing w:after="0" w:line="240" w:lineRule="auto"/>
        <w:ind w:left="284" w:hanging="284"/>
        <w:rPr>
          <w:szCs w:val="20"/>
          <w:lang w:val="pt-PT"/>
        </w:rPr>
      </w:pPr>
      <w:r>
        <w:rPr>
          <w:rStyle w:val="FootnoteReference"/>
          <w:rFonts w:ascii="Times New Roman" w:hAnsi="Times New Roman"/>
          <w:szCs w:val="20"/>
        </w:rPr>
        <w:footnoteRef/>
      </w:r>
      <w:r>
        <w:rPr>
          <w:rFonts w:ascii="Times New Roman" w:hAnsi="Times New Roman"/>
          <w:szCs w:val="20"/>
          <w:lang w:val="pt-PT"/>
        </w:rPr>
        <w:t xml:space="preserve"> COM(2017) 653 final.</w:t>
      </w:r>
    </w:p>
  </w:footnote>
  <w:footnote w:id="36">
    <w:p w:rsidR="002E627D" w:rsidRDefault="00CD232B">
      <w:pPr>
        <w:pStyle w:val="FootnoteText"/>
        <w:spacing w:after="0" w:line="240" w:lineRule="auto"/>
        <w:ind w:left="284" w:hanging="284"/>
        <w:rPr>
          <w:rFonts w:ascii="Times New Roman" w:hAnsi="Times New Roman"/>
          <w:szCs w:val="20"/>
        </w:rPr>
      </w:pPr>
      <w:r>
        <w:rPr>
          <w:rStyle w:val="FootnoteReference"/>
          <w:rFonts w:ascii="Times New Roman" w:hAnsi="Times New Roman"/>
          <w:szCs w:val="20"/>
        </w:rPr>
        <w:footnoteRef/>
      </w:r>
      <w:r>
        <w:rPr>
          <w:rFonts w:ascii="Times New Roman" w:hAnsi="Times New Roman"/>
          <w:szCs w:val="20"/>
          <w:lang w:val="pt-PT"/>
        </w:rPr>
        <w:t xml:space="preserve"> </w:t>
      </w:r>
      <w:hyperlink r:id="rId3" w:history="1">
        <w:r>
          <w:rPr>
            <w:rStyle w:val="Hyperlink"/>
            <w:rFonts w:ascii="Times New Roman" w:hAnsi="Times New Roman"/>
            <w:szCs w:val="20"/>
            <w:lang w:val="pt-PT"/>
          </w:rPr>
          <w:t>https://ec.europa.eu/commission/priorities/jobs-growth-and-investment/investment-plan_en</w:t>
        </w:r>
      </w:hyperlink>
      <w:r>
        <w:rPr>
          <w:rStyle w:val="Hyperlink"/>
          <w:rFonts w:ascii="Times New Roman" w:hAnsi="Times New Roman"/>
          <w:szCs w:val="20"/>
          <w:lang w:val="pt-PT"/>
        </w:rPr>
        <w:t xml:space="preserve">. </w:t>
      </w:r>
      <w:r>
        <w:rPr>
          <w:rStyle w:val="Hyperlink"/>
          <w:rFonts w:ascii="Times New Roman" w:hAnsi="Times New Roman"/>
          <w:szCs w:val="20"/>
          <w:lang w:val="pt-PT"/>
        </w:rPr>
        <w:br/>
      </w:r>
      <w:r>
        <w:rPr>
          <w:rStyle w:val="Hyperlink"/>
          <w:rFonts w:ascii="Times New Roman" w:hAnsi="Times New Roman"/>
          <w:color w:val="auto"/>
          <w:szCs w:val="20"/>
          <w:u w:val="none"/>
        </w:rPr>
        <w:t xml:space="preserve">For examples see </w:t>
      </w:r>
      <w:r>
        <w:rPr>
          <w:rFonts w:ascii="Times New Roman" w:hAnsi="Times New Roman"/>
          <w:szCs w:val="20"/>
        </w:rPr>
        <w:t>SWD(2017) 177 final.</w:t>
      </w:r>
    </w:p>
  </w:footnote>
  <w:footnote w:id="37">
    <w:p w:rsidR="002E627D" w:rsidRDefault="00CD232B">
      <w:pPr>
        <w:pStyle w:val="FootnoteText"/>
      </w:pPr>
      <w:r>
        <w:rPr>
          <w:rStyle w:val="FootnoteReference"/>
        </w:rPr>
        <w:footnoteRef/>
      </w:r>
      <w:r>
        <w:t xml:space="preserve"> See </w:t>
      </w:r>
      <w:r>
        <w:rPr>
          <w:rFonts w:ascii="Times New Roman" w:hAnsi="Times New Roman"/>
        </w:rPr>
        <w:t>TENtec maps at http://ec.europa.eu/transport/infrastructure/tentec/tentec-portal/map/m</w:t>
      </w:r>
      <w:r>
        <w:rPr>
          <w:rFonts w:ascii="Times New Roman" w:hAnsi="Times New Roman"/>
        </w:rPr>
        <w:t>aps.html.</w:t>
      </w:r>
    </w:p>
  </w:footnote>
  <w:footnote w:id="38">
    <w:p w:rsidR="002E627D" w:rsidRDefault="00CD232B">
      <w:pPr>
        <w:pStyle w:val="FootnoteText"/>
        <w:spacing w:after="0" w:line="240" w:lineRule="auto"/>
        <w:ind w:left="284" w:hanging="284"/>
        <w:jc w:val="both"/>
        <w:rPr>
          <w:rFonts w:ascii="Times New Roman" w:hAnsi="Times New Roman"/>
          <w:szCs w:val="20"/>
          <w:lang w:val="nn-NO"/>
        </w:rPr>
      </w:pPr>
      <w:r>
        <w:rPr>
          <w:rStyle w:val="FootnoteReference"/>
          <w:rFonts w:ascii="Times New Roman" w:hAnsi="Times New Roman"/>
          <w:szCs w:val="20"/>
        </w:rPr>
        <w:footnoteRef/>
      </w:r>
      <w:r>
        <w:rPr>
          <w:rFonts w:ascii="Times New Roman" w:hAnsi="Times New Roman"/>
          <w:szCs w:val="20"/>
          <w:lang w:val="nl-NL"/>
        </w:rPr>
        <w:t xml:space="preserve"> </w:t>
      </w:r>
      <w:r>
        <w:rPr>
          <w:rFonts w:ascii="Times New Roman" w:hAnsi="Times New Roman"/>
          <w:szCs w:val="20"/>
          <w:lang w:val="nl-NL"/>
        </w:rPr>
        <w:tab/>
        <w:t xml:space="preserve">JASPERS: </w:t>
      </w:r>
      <w:hyperlink r:id="rId4" w:history="1">
        <w:r>
          <w:rPr>
            <w:rStyle w:val="Hyperlink"/>
            <w:rFonts w:ascii="Times New Roman" w:hAnsi="Times New Roman"/>
            <w:szCs w:val="20"/>
            <w:lang w:val="nl-NL"/>
          </w:rPr>
          <w:t>http://www.eib.org/products/advising/jaspers/index.htm?f=search&amp;media=search</w:t>
        </w:r>
      </w:hyperlink>
      <w:r>
        <w:rPr>
          <w:rFonts w:ascii="Times New Roman" w:hAnsi="Times New Roman"/>
          <w:szCs w:val="20"/>
          <w:lang w:val="nl-NL"/>
        </w:rPr>
        <w:t xml:space="preserve">. </w:t>
      </w:r>
      <w:r>
        <w:rPr>
          <w:rFonts w:ascii="Times New Roman" w:hAnsi="Times New Roman"/>
          <w:szCs w:val="20"/>
          <w:lang w:val="nn-NO"/>
        </w:rPr>
        <w:t xml:space="preserve">ELENA: </w:t>
      </w:r>
      <w:r>
        <w:rPr>
          <w:rFonts w:ascii="Times New Roman" w:hAnsi="Times New Roman"/>
          <w:szCs w:val="20"/>
          <w:lang w:val="nn-NO"/>
        </w:rPr>
        <w:t>http://www.eib.org/products/advising/elena/index.htm?f=search&amp;media=search.</w:t>
      </w:r>
    </w:p>
  </w:footnote>
  <w:footnote w:id="39">
    <w:p w:rsidR="002E627D" w:rsidRDefault="00CD232B">
      <w:pPr>
        <w:pStyle w:val="FootnoteText"/>
        <w:spacing w:after="0" w:line="240" w:lineRule="auto"/>
        <w:ind w:left="284" w:hanging="284"/>
        <w:rPr>
          <w:rFonts w:ascii="Times New Roman" w:hAnsi="Times New Roman"/>
          <w:szCs w:val="20"/>
        </w:rPr>
      </w:pPr>
      <w:r>
        <w:rPr>
          <w:rStyle w:val="FootnoteReference"/>
          <w:rFonts w:ascii="Times New Roman" w:hAnsi="Times New Roman"/>
          <w:szCs w:val="20"/>
        </w:rPr>
        <w:footnoteRef/>
      </w:r>
      <w:r>
        <w:rPr>
          <w:rFonts w:ascii="Times New Roman" w:hAnsi="Times New Roman"/>
          <w:szCs w:val="20"/>
        </w:rPr>
        <w:t xml:space="preserve"> See </w:t>
      </w:r>
      <w:hyperlink r:id="rId5" w:history="1">
        <w:r>
          <w:rPr>
            <w:rStyle w:val="Hyperlink"/>
            <w:rFonts w:ascii="Times New Roman" w:hAnsi="Times New Roman"/>
            <w:szCs w:val="20"/>
          </w:rPr>
          <w:t>http://civitas.eu/</w:t>
        </w:r>
      </w:hyperlink>
      <w:r>
        <w:rPr>
          <w:rFonts w:ascii="Times New Roman" w:hAnsi="Times New Roman"/>
          <w:szCs w:val="20"/>
        </w:rPr>
        <w:t xml:space="preserve">  and </w:t>
      </w:r>
      <w:hyperlink r:id="rId6" w:history="1">
        <w:r>
          <w:rPr>
            <w:rStyle w:val="Hyperlink"/>
            <w:rFonts w:ascii="Times New Roman" w:hAnsi="Times New Roman"/>
            <w:szCs w:val="20"/>
          </w:rPr>
          <w:t>http://beta.eu-smartcities.eu/</w:t>
        </w:r>
      </w:hyperlink>
      <w:r>
        <w:rPr>
          <w:rFonts w:ascii="Times New Roman" w:hAnsi="Times New Roman"/>
          <w:szCs w:val="20"/>
        </w:rPr>
        <w:t>.</w:t>
      </w:r>
    </w:p>
  </w:footnote>
  <w:footnote w:id="40">
    <w:p w:rsidR="002E627D" w:rsidRDefault="00CD232B">
      <w:pPr>
        <w:pStyle w:val="FootnoteText"/>
        <w:spacing w:after="0" w:line="240" w:lineRule="auto"/>
        <w:ind w:left="284" w:hanging="284"/>
        <w:rPr>
          <w:rFonts w:ascii="Times New Roman" w:hAnsi="Times New Roman"/>
          <w:szCs w:val="20"/>
        </w:rPr>
      </w:pPr>
      <w:r>
        <w:rPr>
          <w:rFonts w:ascii="Times New Roman" w:hAnsi="Times New Roman"/>
          <w:szCs w:val="20"/>
          <w:vertAlign w:val="superscript"/>
        </w:rPr>
        <w:footnoteRef/>
      </w:r>
      <w:r>
        <w:rPr>
          <w:rFonts w:ascii="Times New Roman" w:hAnsi="Times New Roman"/>
          <w:szCs w:val="20"/>
        </w:rPr>
        <w:t xml:space="preserve"> </w:t>
      </w:r>
      <w:r>
        <w:rPr>
          <w:rFonts w:ascii="Times New Roman" w:hAnsi="Times New Roman"/>
          <w:szCs w:val="20"/>
        </w:rPr>
        <w:tab/>
        <w:t>Directive 2010/40/EU.</w:t>
      </w:r>
    </w:p>
  </w:footnote>
  <w:footnote w:id="41">
    <w:p w:rsidR="002E627D" w:rsidRDefault="00CD232B">
      <w:pPr>
        <w:pStyle w:val="FootnoteText"/>
        <w:spacing w:after="0" w:line="240" w:lineRule="auto"/>
        <w:ind w:left="284" w:hanging="284"/>
        <w:jc w:val="both"/>
        <w:rPr>
          <w:rFonts w:ascii="Times New Roman" w:hAnsi="Times New Roman"/>
          <w:i/>
          <w:iCs/>
          <w:szCs w:val="20"/>
        </w:rPr>
      </w:pPr>
      <w:r>
        <w:rPr>
          <w:rStyle w:val="FootnoteReference"/>
          <w:rFonts w:ascii="Times New Roman" w:hAnsi="Times New Roman"/>
          <w:szCs w:val="20"/>
        </w:rPr>
        <w:footnoteRef/>
      </w:r>
      <w:r>
        <w:rPr>
          <w:szCs w:val="20"/>
        </w:rPr>
        <w:t xml:space="preserve"> </w:t>
      </w:r>
      <w:r>
        <w:rPr>
          <w:szCs w:val="20"/>
        </w:rPr>
        <w:tab/>
      </w:r>
      <w:r>
        <w:rPr>
          <w:rFonts w:ascii="Times New Roman" w:hAnsi="Times New Roman"/>
          <w:szCs w:val="20"/>
        </w:rPr>
        <w:t>Commissi</w:t>
      </w:r>
      <w:r>
        <w:rPr>
          <w:rFonts w:ascii="Times New Roman" w:hAnsi="Times New Roman"/>
          <w:szCs w:val="20"/>
        </w:rPr>
        <w:t xml:space="preserve">on Delegated Regulation (EU) 2015/962 of 18 December 2014 supplementing Directive 2010/40/EU of the European Parliament and of the Council with regard to the provision of EU-wide real-time traffic information services (Text with EEA relevance), </w:t>
      </w:r>
      <w:r>
        <w:rPr>
          <w:rFonts w:ascii="Times New Roman" w:hAnsi="Times New Roman"/>
          <w:iCs/>
          <w:szCs w:val="20"/>
        </w:rPr>
        <w:t>OJ L 157, 2</w:t>
      </w:r>
      <w:r>
        <w:rPr>
          <w:rFonts w:ascii="Times New Roman" w:hAnsi="Times New Roman"/>
          <w:iCs/>
          <w:szCs w:val="20"/>
        </w:rPr>
        <w:t>3.6.2015</w:t>
      </w:r>
      <w:r>
        <w:rPr>
          <w:rFonts w:ascii="Times New Roman" w:hAnsi="Times New Roman"/>
          <w:i/>
          <w:iCs/>
          <w:szCs w:val="20"/>
        </w:rPr>
        <w:t>.</w:t>
      </w:r>
    </w:p>
    <w:p w:rsidR="002E627D" w:rsidRDefault="00CD232B">
      <w:pPr>
        <w:pStyle w:val="FootnoteText"/>
        <w:spacing w:after="0" w:line="240" w:lineRule="auto"/>
        <w:ind w:left="284" w:hanging="284"/>
        <w:jc w:val="both"/>
        <w:rPr>
          <w:szCs w:val="20"/>
        </w:rPr>
      </w:pPr>
      <w:r>
        <w:rPr>
          <w:szCs w:val="20"/>
        </w:rPr>
        <w:t xml:space="preserve"> </w:t>
      </w:r>
      <w:r>
        <w:rPr>
          <w:szCs w:val="20"/>
        </w:rPr>
        <w:tab/>
      </w:r>
      <w:r>
        <w:rPr>
          <w:rFonts w:ascii="Times New Roman" w:hAnsi="Times New Roman"/>
          <w:szCs w:val="20"/>
        </w:rPr>
        <w:t>Commission delegated Regulation (EU) …/... of 31.5.2017 supplementing Directive 2010/40/EU of the European Parliament and of the Council with regard to the provision of EU-wide multimodal travel information services</w:t>
      </w:r>
      <w:r>
        <w:rPr>
          <w:szCs w:val="20"/>
        </w:rPr>
        <w:t>.</w:t>
      </w:r>
    </w:p>
  </w:footnote>
  <w:footnote w:id="42">
    <w:p w:rsidR="002E627D" w:rsidRDefault="00CD232B">
      <w:pPr>
        <w:pStyle w:val="FootnoteText"/>
        <w:spacing w:after="0" w:line="240" w:lineRule="auto"/>
        <w:ind w:left="284" w:hanging="284"/>
        <w:rPr>
          <w:szCs w:val="20"/>
        </w:rPr>
      </w:pPr>
      <w:r>
        <w:rPr>
          <w:rStyle w:val="FootnoteReference"/>
          <w:rFonts w:ascii="Times New Roman" w:hAnsi="Times New Roman"/>
          <w:szCs w:val="20"/>
        </w:rPr>
        <w:footnoteRef/>
      </w:r>
      <w:r>
        <w:rPr>
          <w:rFonts w:ascii="Times New Roman" w:hAnsi="Times New Roman"/>
          <w:szCs w:val="20"/>
        </w:rPr>
        <w:t xml:space="preserve"> </w:t>
      </w:r>
      <w:r>
        <w:rPr>
          <w:rFonts w:ascii="Times New Roman" w:hAnsi="Times New Roman"/>
          <w:szCs w:val="20"/>
        </w:rPr>
        <w:tab/>
        <w:t>E.g. charging points, ch</w:t>
      </w:r>
      <w:r>
        <w:rPr>
          <w:rFonts w:ascii="Times New Roman" w:hAnsi="Times New Roman"/>
          <w:szCs w:val="20"/>
        </w:rPr>
        <w:t>arging points pools and accounts of e-mobility end-users.</w:t>
      </w:r>
    </w:p>
  </w:footnote>
  <w:footnote w:id="43">
    <w:p w:rsidR="002E627D" w:rsidRDefault="00CD232B">
      <w:pPr>
        <w:pStyle w:val="FootnoteText"/>
        <w:spacing w:line="240" w:lineRule="auto"/>
      </w:pPr>
      <w:r>
        <w:rPr>
          <w:rStyle w:val="FootnoteReference"/>
        </w:rPr>
        <w:footnoteRef/>
      </w:r>
      <w:r>
        <w:tab/>
      </w:r>
      <w:r>
        <w:rPr>
          <w:rFonts w:ascii="Times New Roman" w:hAnsi="Times New Roman"/>
          <w:szCs w:val="20"/>
        </w:rPr>
        <w:t>Directive 1999/94/EC of the European Parliament and of the Council of 13 December 1999 relating to the availability of consumer information on fuel economy and CO2 emissions in respect of the mark</w:t>
      </w:r>
      <w:r>
        <w:rPr>
          <w:rFonts w:ascii="Times New Roman" w:hAnsi="Times New Roman"/>
          <w:szCs w:val="20"/>
        </w:rPr>
        <w:t>eting of new passenger cars.</w:t>
      </w:r>
    </w:p>
  </w:footnote>
  <w:footnote w:id="44">
    <w:p w:rsidR="002E627D" w:rsidRDefault="00CD232B">
      <w:pPr>
        <w:pStyle w:val="FootnoteText"/>
        <w:spacing w:after="0" w:line="240" w:lineRule="auto"/>
        <w:ind w:left="284" w:hanging="284"/>
        <w:rPr>
          <w:rFonts w:ascii="Times New Roman" w:hAnsi="Times New Roman"/>
        </w:rPr>
      </w:pPr>
      <w:r>
        <w:rPr>
          <w:rStyle w:val="FootnoteReference"/>
        </w:rPr>
        <w:footnoteRef/>
      </w:r>
      <w:r>
        <w:t xml:space="preserve"> </w:t>
      </w:r>
      <w:r>
        <w:rPr>
          <w:rFonts w:ascii="Times New Roman" w:hAnsi="Times New Roman"/>
        </w:rPr>
        <w:t xml:space="preserve">Building also on the work carried out under the European Alternative Fuels' Observatory. </w:t>
      </w:r>
    </w:p>
  </w:footnote>
  <w:footnote w:id="45">
    <w:p w:rsidR="002E627D" w:rsidRDefault="00CD232B">
      <w:pPr>
        <w:pStyle w:val="FootnoteText"/>
        <w:spacing w:after="0" w:line="240" w:lineRule="auto"/>
        <w:ind w:left="284" w:hanging="284"/>
        <w:rPr>
          <w:rFonts w:ascii="Times New Roman" w:hAnsi="Times New Roman"/>
          <w:szCs w:val="20"/>
        </w:rPr>
      </w:pPr>
      <w:r>
        <w:rPr>
          <w:rStyle w:val="FootnoteReference"/>
          <w:rFonts w:ascii="Times New Roman" w:hAnsi="Times New Roman"/>
          <w:szCs w:val="20"/>
        </w:rPr>
        <w:footnoteRef/>
      </w:r>
      <w:r>
        <w:rPr>
          <w:rFonts w:ascii="Times New Roman" w:hAnsi="Times New Roman"/>
          <w:szCs w:val="20"/>
        </w:rPr>
        <w:t xml:space="preserve"> COM(2016) 864 final of 30.11.2016.</w:t>
      </w:r>
    </w:p>
  </w:footnote>
  <w:footnote w:id="46">
    <w:p w:rsidR="002E627D" w:rsidRDefault="00CD232B">
      <w:pPr>
        <w:pStyle w:val="FootnoteText"/>
        <w:ind w:left="284" w:hanging="284"/>
      </w:pPr>
      <w:r>
        <w:rPr>
          <w:rStyle w:val="FootnoteReference"/>
          <w:rFonts w:ascii="Times New Roman" w:hAnsi="Times New Roman"/>
        </w:rPr>
        <w:footnoteRef/>
      </w:r>
      <w:r>
        <w:rPr>
          <w:rFonts w:ascii="Times New Roman" w:hAnsi="Times New Roman"/>
        </w:rPr>
        <w:t xml:space="preserve"> COM 2012/27/EU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32B" w:rsidRPr="00CD232B" w:rsidRDefault="00CD232B" w:rsidP="00CD23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32B" w:rsidRPr="00CD232B" w:rsidRDefault="00CD232B" w:rsidP="00CD232B">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32B" w:rsidRPr="00CD232B" w:rsidRDefault="00CD232B" w:rsidP="00CD232B">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27D" w:rsidRDefault="002E627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27D" w:rsidRDefault="002E627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27D" w:rsidRDefault="002E627D">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6E3B3D"/>
    <w:multiLevelType w:val="hybridMultilevel"/>
    <w:tmpl w:val="A59A8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CE14083"/>
    <w:multiLevelType w:val="hybridMultilevel"/>
    <w:tmpl w:val="36D61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D1608C9"/>
    <w:multiLevelType w:val="hybridMultilevel"/>
    <w:tmpl w:val="94388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F734306"/>
    <w:multiLevelType w:val="multilevel"/>
    <w:tmpl w:val="4128EE0C"/>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429"/>
        </w:tabs>
        <w:ind w:left="1429" w:hanging="720"/>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6D2061F"/>
    <w:multiLevelType w:val="hybridMultilevel"/>
    <w:tmpl w:val="E6DAC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85B6810"/>
    <w:multiLevelType w:val="hybridMultilevel"/>
    <w:tmpl w:val="1C7E7E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2">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CEF774A"/>
    <w:multiLevelType w:val="hybridMultilevel"/>
    <w:tmpl w:val="61EC02AE"/>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14">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33503DC4"/>
    <w:multiLevelType w:val="hybridMultilevel"/>
    <w:tmpl w:val="A87E9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7">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9">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0">
    <w:nsid w:val="3F485E9A"/>
    <w:multiLevelType w:val="hybridMultilevel"/>
    <w:tmpl w:val="FD74D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1EB139B"/>
    <w:multiLevelType w:val="hybridMultilevel"/>
    <w:tmpl w:val="5D1C4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2BD1A93"/>
    <w:multiLevelType w:val="hybridMultilevel"/>
    <w:tmpl w:val="67988D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4">
    <w:nsid w:val="46C402D9"/>
    <w:multiLevelType w:val="hybridMultilevel"/>
    <w:tmpl w:val="C89C8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24C77CB"/>
    <w:multiLevelType w:val="hybridMultilevel"/>
    <w:tmpl w:val="091E16BE"/>
    <w:lvl w:ilvl="0" w:tplc="08090001">
      <w:start w:val="1"/>
      <w:numFmt w:val="bullet"/>
      <w:lvlText w:val=""/>
      <w:lvlJc w:val="left"/>
      <w:pPr>
        <w:ind w:left="1202" w:hanging="360"/>
      </w:pPr>
      <w:rPr>
        <w:rFonts w:ascii="Symbol" w:hAnsi="Symbol" w:hint="default"/>
      </w:rPr>
    </w:lvl>
    <w:lvl w:ilvl="1" w:tplc="08090003" w:tentative="1">
      <w:start w:val="1"/>
      <w:numFmt w:val="bullet"/>
      <w:lvlText w:val="o"/>
      <w:lvlJc w:val="left"/>
      <w:pPr>
        <w:ind w:left="1922" w:hanging="360"/>
      </w:pPr>
      <w:rPr>
        <w:rFonts w:ascii="Courier New" w:hAnsi="Courier New" w:cs="Courier New" w:hint="default"/>
      </w:rPr>
    </w:lvl>
    <w:lvl w:ilvl="2" w:tplc="08090005" w:tentative="1">
      <w:start w:val="1"/>
      <w:numFmt w:val="bullet"/>
      <w:lvlText w:val=""/>
      <w:lvlJc w:val="left"/>
      <w:pPr>
        <w:ind w:left="2642" w:hanging="360"/>
      </w:pPr>
      <w:rPr>
        <w:rFonts w:ascii="Wingdings" w:hAnsi="Wingdings" w:hint="default"/>
      </w:rPr>
    </w:lvl>
    <w:lvl w:ilvl="3" w:tplc="08090001" w:tentative="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cs="Courier New"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cs="Courier New" w:hint="default"/>
      </w:rPr>
    </w:lvl>
    <w:lvl w:ilvl="8" w:tplc="08090005" w:tentative="1">
      <w:start w:val="1"/>
      <w:numFmt w:val="bullet"/>
      <w:lvlText w:val=""/>
      <w:lvlJc w:val="left"/>
      <w:pPr>
        <w:ind w:left="6962" w:hanging="360"/>
      </w:pPr>
      <w:rPr>
        <w:rFonts w:ascii="Wingdings" w:hAnsi="Wingdings" w:hint="default"/>
      </w:rPr>
    </w:lvl>
  </w:abstractNum>
  <w:abstractNum w:abstractNumId="26">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7">
    <w:nsid w:val="550144F3"/>
    <w:multiLevelType w:val="hybridMultilevel"/>
    <w:tmpl w:val="D708D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62A4040"/>
    <w:multiLevelType w:val="hybridMultilevel"/>
    <w:tmpl w:val="61962F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58B147D3"/>
    <w:multiLevelType w:val="hybridMultilevel"/>
    <w:tmpl w:val="5FB05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1">
    <w:nsid w:val="5FB9176A"/>
    <w:multiLevelType w:val="hybridMultilevel"/>
    <w:tmpl w:val="DF2E7A38"/>
    <w:lvl w:ilvl="0" w:tplc="17D8246C">
      <w:start w:val="1"/>
      <w:numFmt w:val="bullet"/>
      <w:lvlText w:val="•"/>
      <w:lvlJc w:val="left"/>
      <w:pPr>
        <w:tabs>
          <w:tab w:val="num" w:pos="720"/>
        </w:tabs>
        <w:ind w:left="720" w:hanging="360"/>
      </w:pPr>
      <w:rPr>
        <w:rFonts w:ascii="Arial" w:hAnsi="Arial" w:hint="default"/>
      </w:rPr>
    </w:lvl>
    <w:lvl w:ilvl="1" w:tplc="B4662098" w:tentative="1">
      <w:start w:val="1"/>
      <w:numFmt w:val="bullet"/>
      <w:lvlText w:val="•"/>
      <w:lvlJc w:val="left"/>
      <w:pPr>
        <w:tabs>
          <w:tab w:val="num" w:pos="1440"/>
        </w:tabs>
        <w:ind w:left="1440" w:hanging="360"/>
      </w:pPr>
      <w:rPr>
        <w:rFonts w:ascii="Arial" w:hAnsi="Arial" w:hint="default"/>
      </w:rPr>
    </w:lvl>
    <w:lvl w:ilvl="2" w:tplc="D37CFBA0" w:tentative="1">
      <w:start w:val="1"/>
      <w:numFmt w:val="bullet"/>
      <w:lvlText w:val="•"/>
      <w:lvlJc w:val="left"/>
      <w:pPr>
        <w:tabs>
          <w:tab w:val="num" w:pos="2160"/>
        </w:tabs>
        <w:ind w:left="2160" w:hanging="360"/>
      </w:pPr>
      <w:rPr>
        <w:rFonts w:ascii="Arial" w:hAnsi="Arial" w:hint="default"/>
      </w:rPr>
    </w:lvl>
    <w:lvl w:ilvl="3" w:tplc="F468D306">
      <w:start w:val="1"/>
      <w:numFmt w:val="bullet"/>
      <w:lvlText w:val="•"/>
      <w:lvlJc w:val="left"/>
      <w:pPr>
        <w:tabs>
          <w:tab w:val="num" w:pos="2880"/>
        </w:tabs>
        <w:ind w:left="2880" w:hanging="360"/>
      </w:pPr>
      <w:rPr>
        <w:rFonts w:ascii="Arial" w:hAnsi="Arial" w:hint="default"/>
      </w:rPr>
    </w:lvl>
    <w:lvl w:ilvl="4" w:tplc="102CEB04" w:tentative="1">
      <w:start w:val="1"/>
      <w:numFmt w:val="bullet"/>
      <w:lvlText w:val="•"/>
      <w:lvlJc w:val="left"/>
      <w:pPr>
        <w:tabs>
          <w:tab w:val="num" w:pos="3600"/>
        </w:tabs>
        <w:ind w:left="3600" w:hanging="360"/>
      </w:pPr>
      <w:rPr>
        <w:rFonts w:ascii="Arial" w:hAnsi="Arial" w:hint="default"/>
      </w:rPr>
    </w:lvl>
    <w:lvl w:ilvl="5" w:tplc="85BAABC8" w:tentative="1">
      <w:start w:val="1"/>
      <w:numFmt w:val="bullet"/>
      <w:lvlText w:val="•"/>
      <w:lvlJc w:val="left"/>
      <w:pPr>
        <w:tabs>
          <w:tab w:val="num" w:pos="4320"/>
        </w:tabs>
        <w:ind w:left="4320" w:hanging="360"/>
      </w:pPr>
      <w:rPr>
        <w:rFonts w:ascii="Arial" w:hAnsi="Arial" w:hint="default"/>
      </w:rPr>
    </w:lvl>
    <w:lvl w:ilvl="6" w:tplc="CC8A6846" w:tentative="1">
      <w:start w:val="1"/>
      <w:numFmt w:val="bullet"/>
      <w:lvlText w:val="•"/>
      <w:lvlJc w:val="left"/>
      <w:pPr>
        <w:tabs>
          <w:tab w:val="num" w:pos="5040"/>
        </w:tabs>
        <w:ind w:left="5040" w:hanging="360"/>
      </w:pPr>
      <w:rPr>
        <w:rFonts w:ascii="Arial" w:hAnsi="Arial" w:hint="default"/>
      </w:rPr>
    </w:lvl>
    <w:lvl w:ilvl="7" w:tplc="D73C9954" w:tentative="1">
      <w:start w:val="1"/>
      <w:numFmt w:val="bullet"/>
      <w:lvlText w:val="•"/>
      <w:lvlJc w:val="left"/>
      <w:pPr>
        <w:tabs>
          <w:tab w:val="num" w:pos="5760"/>
        </w:tabs>
        <w:ind w:left="5760" w:hanging="360"/>
      </w:pPr>
      <w:rPr>
        <w:rFonts w:ascii="Arial" w:hAnsi="Arial" w:hint="default"/>
      </w:rPr>
    </w:lvl>
    <w:lvl w:ilvl="8" w:tplc="C7AEE1C6" w:tentative="1">
      <w:start w:val="1"/>
      <w:numFmt w:val="bullet"/>
      <w:lvlText w:val="•"/>
      <w:lvlJc w:val="left"/>
      <w:pPr>
        <w:tabs>
          <w:tab w:val="num" w:pos="6480"/>
        </w:tabs>
        <w:ind w:left="6480" w:hanging="360"/>
      </w:pPr>
      <w:rPr>
        <w:rFonts w:ascii="Arial" w:hAnsi="Arial" w:hint="default"/>
      </w:rPr>
    </w:lvl>
  </w:abstractNum>
  <w:abstractNum w:abstractNumId="3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34">
    <w:nsid w:val="6273270C"/>
    <w:multiLevelType w:val="hybridMultilevel"/>
    <w:tmpl w:val="F34C6C7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63272BB7"/>
    <w:multiLevelType w:val="hybridMultilevel"/>
    <w:tmpl w:val="8C9A6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6215536"/>
    <w:multiLevelType w:val="hybridMultilevel"/>
    <w:tmpl w:val="9274FCD4"/>
    <w:lvl w:ilvl="0" w:tplc="08090001">
      <w:start w:val="1"/>
      <w:numFmt w:val="bullet"/>
      <w:lvlText w:val=""/>
      <w:lvlJc w:val="left"/>
      <w:pPr>
        <w:ind w:left="1920" w:hanging="360"/>
      </w:pPr>
      <w:rPr>
        <w:rFonts w:ascii="Symbol" w:hAnsi="Symbol" w:hint="default"/>
      </w:rPr>
    </w:lvl>
    <w:lvl w:ilvl="1" w:tplc="08090003">
      <w:start w:val="1"/>
      <w:numFmt w:val="bullet"/>
      <w:lvlText w:val="o"/>
      <w:lvlJc w:val="left"/>
      <w:pPr>
        <w:ind w:left="2642" w:hanging="360"/>
      </w:pPr>
      <w:rPr>
        <w:rFonts w:ascii="Courier New" w:hAnsi="Courier New" w:cs="Courier New" w:hint="default"/>
      </w:rPr>
    </w:lvl>
    <w:lvl w:ilvl="2" w:tplc="08090005">
      <w:start w:val="1"/>
      <w:numFmt w:val="bullet"/>
      <w:lvlText w:val=""/>
      <w:lvlJc w:val="left"/>
      <w:pPr>
        <w:ind w:left="3362" w:hanging="360"/>
      </w:pPr>
      <w:rPr>
        <w:rFonts w:ascii="Wingdings" w:hAnsi="Wingdings" w:hint="default"/>
      </w:rPr>
    </w:lvl>
    <w:lvl w:ilvl="3" w:tplc="08090001">
      <w:start w:val="1"/>
      <w:numFmt w:val="bullet"/>
      <w:lvlText w:val=""/>
      <w:lvlJc w:val="left"/>
      <w:pPr>
        <w:ind w:left="4082" w:hanging="360"/>
      </w:pPr>
      <w:rPr>
        <w:rFonts w:ascii="Symbol" w:hAnsi="Symbol" w:hint="default"/>
      </w:rPr>
    </w:lvl>
    <w:lvl w:ilvl="4" w:tplc="08090003" w:tentative="1">
      <w:start w:val="1"/>
      <w:numFmt w:val="bullet"/>
      <w:lvlText w:val="o"/>
      <w:lvlJc w:val="left"/>
      <w:pPr>
        <w:ind w:left="4802" w:hanging="360"/>
      </w:pPr>
      <w:rPr>
        <w:rFonts w:ascii="Courier New" w:hAnsi="Courier New" w:cs="Courier New" w:hint="default"/>
      </w:rPr>
    </w:lvl>
    <w:lvl w:ilvl="5" w:tplc="08090005" w:tentative="1">
      <w:start w:val="1"/>
      <w:numFmt w:val="bullet"/>
      <w:lvlText w:val=""/>
      <w:lvlJc w:val="left"/>
      <w:pPr>
        <w:ind w:left="5522" w:hanging="360"/>
      </w:pPr>
      <w:rPr>
        <w:rFonts w:ascii="Wingdings" w:hAnsi="Wingdings" w:hint="default"/>
      </w:rPr>
    </w:lvl>
    <w:lvl w:ilvl="6" w:tplc="08090001" w:tentative="1">
      <w:start w:val="1"/>
      <w:numFmt w:val="bullet"/>
      <w:lvlText w:val=""/>
      <w:lvlJc w:val="left"/>
      <w:pPr>
        <w:ind w:left="6242" w:hanging="360"/>
      </w:pPr>
      <w:rPr>
        <w:rFonts w:ascii="Symbol" w:hAnsi="Symbol" w:hint="default"/>
      </w:rPr>
    </w:lvl>
    <w:lvl w:ilvl="7" w:tplc="08090003" w:tentative="1">
      <w:start w:val="1"/>
      <w:numFmt w:val="bullet"/>
      <w:lvlText w:val="o"/>
      <w:lvlJc w:val="left"/>
      <w:pPr>
        <w:ind w:left="6962" w:hanging="360"/>
      </w:pPr>
      <w:rPr>
        <w:rFonts w:ascii="Courier New" w:hAnsi="Courier New" w:cs="Courier New" w:hint="default"/>
      </w:rPr>
    </w:lvl>
    <w:lvl w:ilvl="8" w:tplc="08090005" w:tentative="1">
      <w:start w:val="1"/>
      <w:numFmt w:val="bullet"/>
      <w:lvlText w:val=""/>
      <w:lvlJc w:val="left"/>
      <w:pPr>
        <w:ind w:left="7682" w:hanging="360"/>
      </w:pPr>
      <w:rPr>
        <w:rFonts w:ascii="Wingdings" w:hAnsi="Wingdings" w:hint="default"/>
      </w:rPr>
    </w:lvl>
  </w:abstractNum>
  <w:abstractNum w:abstractNumId="37">
    <w:nsid w:val="68BB1E26"/>
    <w:multiLevelType w:val="hybridMultilevel"/>
    <w:tmpl w:val="89BEDE1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8">
    <w:nsid w:val="6A550BBC"/>
    <w:multiLevelType w:val="hybridMultilevel"/>
    <w:tmpl w:val="DDA0E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B0F690A"/>
    <w:multiLevelType w:val="hybridMultilevel"/>
    <w:tmpl w:val="0914A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1">
    <w:nsid w:val="71523670"/>
    <w:multiLevelType w:val="hybridMultilevel"/>
    <w:tmpl w:val="4D0EA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nsid w:val="743F67C2"/>
    <w:multiLevelType w:val="hybridMultilevel"/>
    <w:tmpl w:val="AACC0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833133B"/>
    <w:multiLevelType w:val="hybridMultilevel"/>
    <w:tmpl w:val="F8149AB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5">
    <w:nsid w:val="7BFE1857"/>
    <w:multiLevelType w:val="hybridMultilevel"/>
    <w:tmpl w:val="10AE3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7"/>
  </w:num>
  <w:num w:numId="4">
    <w:abstractNumId w:val="19"/>
  </w:num>
  <w:num w:numId="5">
    <w:abstractNumId w:val="11"/>
  </w:num>
  <w:num w:numId="6">
    <w:abstractNumId w:val="18"/>
  </w:num>
  <w:num w:numId="7">
    <w:abstractNumId w:val="33"/>
  </w:num>
  <w:num w:numId="8">
    <w:abstractNumId w:val="40"/>
  </w:num>
  <w:num w:numId="9">
    <w:abstractNumId w:val="16"/>
  </w:num>
  <w:num w:numId="10">
    <w:abstractNumId w:val="32"/>
  </w:num>
  <w:num w:numId="11">
    <w:abstractNumId w:val="30"/>
  </w:num>
  <w:num w:numId="12">
    <w:abstractNumId w:val="23"/>
  </w:num>
  <w:num w:numId="13">
    <w:abstractNumId w:val="26"/>
  </w:num>
  <w:num w:numId="14">
    <w:abstractNumId w:val="8"/>
  </w:num>
  <w:num w:numId="15">
    <w:abstractNumId w:val="17"/>
  </w:num>
  <w:num w:numId="16">
    <w:abstractNumId w:val="5"/>
  </w:num>
  <w:num w:numId="17">
    <w:abstractNumId w:val="12"/>
  </w:num>
  <w:num w:numId="18">
    <w:abstractNumId w:val="42"/>
  </w:num>
  <w:num w:numId="19">
    <w:abstractNumId w:val="14"/>
  </w:num>
  <w:num w:numId="20">
    <w:abstractNumId w:val="36"/>
  </w:num>
  <w:num w:numId="21">
    <w:abstractNumId w:val="4"/>
  </w:num>
  <w:num w:numId="22">
    <w:abstractNumId w:val="25"/>
  </w:num>
  <w:num w:numId="23">
    <w:abstractNumId w:val="9"/>
  </w:num>
  <w:num w:numId="24">
    <w:abstractNumId w:val="38"/>
  </w:num>
  <w:num w:numId="25">
    <w:abstractNumId w:val="45"/>
  </w:num>
  <w:num w:numId="26">
    <w:abstractNumId w:val="3"/>
  </w:num>
  <w:num w:numId="27">
    <w:abstractNumId w:val="44"/>
  </w:num>
  <w:num w:numId="28">
    <w:abstractNumId w:val="34"/>
  </w:num>
  <w:num w:numId="29">
    <w:abstractNumId w:val="28"/>
  </w:num>
  <w:num w:numId="30">
    <w:abstractNumId w:val="41"/>
  </w:num>
  <w:num w:numId="31">
    <w:abstractNumId w:val="20"/>
  </w:num>
  <w:num w:numId="32">
    <w:abstractNumId w:val="31"/>
  </w:num>
  <w:num w:numId="33">
    <w:abstractNumId w:val="10"/>
  </w:num>
  <w:num w:numId="34">
    <w:abstractNumId w:val="13"/>
  </w:num>
  <w:num w:numId="35">
    <w:abstractNumId w:val="21"/>
  </w:num>
  <w:num w:numId="36">
    <w:abstractNumId w:val="39"/>
  </w:num>
  <w:num w:numId="37">
    <w:abstractNumId w:val="6"/>
  </w:num>
  <w:num w:numId="38">
    <w:abstractNumId w:val="43"/>
  </w:num>
  <w:num w:numId="39">
    <w:abstractNumId w:val="27"/>
  </w:num>
  <w:num w:numId="40">
    <w:abstractNumId w:val="29"/>
  </w:num>
  <w:num w:numId="41">
    <w:abstractNumId w:val="22"/>
  </w:num>
  <w:num w:numId="42">
    <w:abstractNumId w:val="35"/>
  </w:num>
  <w:num w:numId="43">
    <w:abstractNumId w:val="2"/>
  </w:num>
  <w:num w:numId="44">
    <w:abstractNumId w:val="15"/>
  </w:num>
  <w:num w:numId="45">
    <w:abstractNumId w:val="24"/>
  </w:num>
  <w:num w:numId="46">
    <w:abstractNumId w:val="37"/>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reea Maria Julea">
    <w15:presenceInfo w15:providerId="AD" w15:userId="S-1-5-21-2507177388-3982217149-145561031-22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2169F0C8-918F-42EE-878C-8A904AB14BC6"/>
    <w:docVar w:name="LW_COVERPAGE_TYPE" w:val="1"/>
    <w:docVar w:name="LW_CROSSREFERENCE" w:val="{SWD(2017) 365 final}"/>
    <w:docVar w:name="LW_DocType" w:val="REP"/>
    <w:docVar w:name="LW_EMISSION" w:val="8.11.2017"/>
    <w:docVar w:name="LW_EMISSION_ISODATE" w:val="2017-11-08"/>
    <w:docVar w:name="LW_EMISSION_LOCATION" w:val="BRX"/>
    <w:docVar w:name="LW_EMISSION_PREFIX" w:val="Brussels,"/>
    <w:docVar w:name="LW_EMISSION_SUFFIX" w:val=" "/>
    <w:docVar w:name="LW_ID_DOCTYPE_NONLW" w:val="CP-014"/>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7) 65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Towards the broadest use of alternative fuels - an Action Plan on Alternative Fuels Infrastructure under Article 10(6) of Directive 2014/94/EU, including the assessment of national policy frameworks under Article 10(2) of Directive 2014/94/EU"/>
    <w:docVar w:name="LW_TYPE.DOC.CP" w:val="COMMUNICATION FROM THE COMMISSION TO THE EUROPEAN PARLIAMENT, THE COUNCIL, THE EUROPEAN ECONOMIC AND SOCIAL COMMITTEE AND THE COMMITTEE OF THE REGIONS"/>
    <w:docVar w:name="LW_TYPE.DOC.CP.USERTEXT" w:val="&lt;EMPTY&gt;"/>
    <w:docVar w:name="Stamp" w:val="\\dossiers.dgt.cec.eu.int\dossiers\MOVE\MOVE-2017-01064\MOVE-2017-01064-00-01-EN-REV-00.201710091540495301474.DOCX"/>
  </w:docVars>
  <w:rsids>
    <w:rsidRoot w:val="002E627D"/>
    <w:rsid w:val="002E627D"/>
    <w:rsid w:val="00CD23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footnote text" w:uiPriority="99" w:qFormat="1"/>
    <w:lsdException w:name="annotation text" w:uiPriority="99"/>
    <w:lsdException w:name="header" w:uiPriority="99"/>
    <w:lsdException w:name="footer" w:uiPriority="99"/>
    <w:lsdException w:name="caption" w:semiHidden="0" w:unhideWhenUsed="0" w:qFormat="1"/>
    <w:lsdException w:name="footnote reference" w:uiPriority="99" w:qFormat="1"/>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pPr>
      <w:spacing w:after="200" w:line="276" w:lineRule="auto"/>
    </w:pPr>
    <w:rPr>
      <w:rFonts w:ascii="Calibri" w:eastAsia="Calibri" w:hAnsi="Calibri"/>
      <w:sz w:val="22"/>
      <w:szCs w:val="22"/>
      <w:lang w:eastAsia="en-US"/>
    </w:rPr>
  </w:style>
  <w:style w:type="paragraph" w:styleId="Heading1">
    <w:name w:val="heading 1"/>
    <w:basedOn w:val="Normal"/>
    <w:next w:val="Text1"/>
    <w:qFormat/>
    <w:pPr>
      <w:keepNext/>
      <w:numPr>
        <w:numId w:val="3"/>
      </w:numPr>
      <w:spacing w:before="240"/>
      <w:outlineLvl w:val="0"/>
    </w:pPr>
    <w:rPr>
      <w:rFonts w:ascii="Times New Roman" w:hAnsi="Times New Roman"/>
      <w:b/>
      <w:smallCaps/>
      <w:sz w:val="24"/>
      <w:szCs w:val="24"/>
    </w:rPr>
  </w:style>
  <w:style w:type="paragraph" w:styleId="Heading2">
    <w:name w:val="heading 2"/>
    <w:basedOn w:val="Normal"/>
    <w:next w:val="Text2"/>
    <w:link w:val="Heading2Char"/>
    <w:qFormat/>
    <w:pPr>
      <w:keepNext/>
      <w:numPr>
        <w:ilvl w:val="1"/>
        <w:numId w:val="3"/>
      </w:numPr>
      <w:tabs>
        <w:tab w:val="clear" w:pos="1429"/>
        <w:tab w:val="num" w:pos="862"/>
      </w:tabs>
      <w:ind w:left="862"/>
      <w:outlineLvl w:val="1"/>
    </w:pPr>
    <w:rPr>
      <w:rFonts w:ascii="Times New Roman" w:hAnsi="Times New Roman"/>
      <w:b/>
      <w:sz w:val="24"/>
      <w:szCs w:val="24"/>
    </w:rPr>
  </w:style>
  <w:style w:type="paragraph" w:styleId="Heading3">
    <w:name w:val="heading 3"/>
    <w:basedOn w:val="Normal"/>
    <w:next w:val="Text3"/>
    <w:qFormat/>
    <w:pPr>
      <w:keepNext/>
      <w:numPr>
        <w:ilvl w:val="2"/>
        <w:numId w:val="3"/>
      </w:numPr>
      <w:tabs>
        <w:tab w:val="clear" w:pos="720"/>
        <w:tab w:val="num" w:pos="1560"/>
      </w:tabs>
      <w:ind w:left="1560"/>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rPr>
  </w:style>
  <w:style w:type="paragraph" w:styleId="Heading6">
    <w:name w:val="heading 6"/>
    <w:basedOn w:val="Normal"/>
    <w:next w:val="Normal"/>
    <w:qFormat/>
    <w:pPr>
      <w:tabs>
        <w:tab w:val="num" w:pos="0"/>
      </w:tabs>
      <w:spacing w:before="240" w:after="60"/>
      <w:outlineLvl w:val="5"/>
    </w:pPr>
    <w:rPr>
      <w:rFonts w:ascii="Arial" w:hAnsi="Arial"/>
      <w:i/>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pPr>
  </w:style>
  <w:style w:type="paragraph" w:customStyle="1" w:styleId="AddressTL">
    <w:name w:val="AddressTL"/>
    <w:basedOn w:val="Normal"/>
    <w:next w:val="Normal"/>
    <w:pPr>
      <w:spacing w:after="720"/>
    </w:pPr>
  </w:style>
  <w:style w:type="paragraph" w:customStyle="1" w:styleId="AddressTR">
    <w:name w:val="AddressTR"/>
    <w:basedOn w:val="Normal"/>
    <w:next w:val="Normal"/>
    <w:pPr>
      <w:spacing w:after="720"/>
      <w:ind w:left="5103"/>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99"/>
    <w:rPr>
      <w:sz w:val="20"/>
    </w:rPr>
  </w:style>
  <w:style w:type="paragraph" w:styleId="Date">
    <w:name w:val="Date"/>
    <w:basedOn w:val="Normal"/>
    <w:next w:val="References"/>
    <w:pPr>
      <w:spacing w:after="0"/>
      <w:ind w:left="5103" w:right="-567"/>
    </w:pPr>
  </w:style>
  <w:style w:type="paragraph" w:customStyle="1" w:styleId="References">
    <w:name w:val="References"/>
    <w:basedOn w:val="Normal"/>
    <w:next w:val="AddressTR"/>
    <w:pPr>
      <w:ind w:left="5103"/>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pPr>
  </w:style>
  <w:style w:type="paragraph" w:customStyle="1" w:styleId="Enclosures">
    <w:name w:val="Enclosures"/>
    <w:basedOn w:val="Normal"/>
    <w:pPr>
      <w:keepNext/>
      <w:keepLines/>
      <w:tabs>
        <w:tab w:val="left" w:pos="5642"/>
      </w:tabs>
      <w:spacing w:before="480" w:after="0"/>
      <w:ind w:left="1191" w:hanging="1191"/>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sz w:val="24"/>
    </w:rPr>
  </w:style>
  <w:style w:type="paragraph" w:styleId="FootnoteText">
    <w:name w:val="footnote text"/>
    <w:aliases w:val="Footnote text,Footnote Text Char3,Footnote Text Char2 Char,Footnote Text Char Char Char1 Char,Footnote Text Char1 Char1 Char,Footnote Text Char Char Char2,fn,Fußnote,Fotnotstext1,Footnote Text Char2,9 pt,ft,foot note te,foot note tex,Car,9"/>
    <w:basedOn w:val="Normal"/>
    <w:uiPriority w:val="99"/>
    <w:qFormat/>
    <w:pPr>
      <w:ind w:left="357" w:hanging="357"/>
    </w:pPr>
    <w:rPr>
      <w:sz w:val="20"/>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sz w:val="24"/>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pPr>
    <w:rPr>
      <w:b/>
    </w:rPr>
  </w:style>
  <w:style w:type="paragraph" w:customStyle="1" w:styleId="NoteList">
    <w:name w:val="NoteList"/>
    <w:basedOn w:val="Normal"/>
    <w:next w:val="Subject"/>
    <w:pPr>
      <w:tabs>
        <w:tab w:val="left" w:pos="5823"/>
      </w:tabs>
      <w:spacing w:before="720" w:after="720"/>
      <w:ind w:left="5104" w:hanging="3119"/>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spacing w:line="360" w:lineRule="auto"/>
    </w:pPr>
    <w:rPr>
      <w:rFonts w:eastAsiaTheme="minorHAnsi"/>
    </w:rPr>
  </w:style>
  <w:style w:type="paragraph" w:customStyle="1" w:styleId="LegalNumPar2">
    <w:name w:val="LegalNumPar2"/>
    <w:basedOn w:val="Normal"/>
    <w:pPr>
      <w:numPr>
        <w:ilvl w:val="1"/>
        <w:numId w:val="19"/>
      </w:numPr>
      <w:spacing w:line="360" w:lineRule="auto"/>
      <w:ind w:left="952" w:hanging="476"/>
    </w:pPr>
    <w:rPr>
      <w:rFonts w:eastAsiaTheme="minorHAnsi"/>
    </w:rPr>
  </w:style>
  <w:style w:type="paragraph" w:customStyle="1" w:styleId="LegalNumPar3">
    <w:name w:val="LegalNumPar3"/>
    <w:basedOn w:val="Normal"/>
    <w:pPr>
      <w:numPr>
        <w:ilvl w:val="2"/>
        <w:numId w:val="19"/>
      </w:numPr>
      <w:spacing w:line="360" w:lineRule="auto"/>
    </w:pPr>
    <w:rPr>
      <w:rFonts w:eastAsiaTheme="minorHAnsi"/>
    </w:rPr>
  </w:style>
  <w:style w:type="character" w:customStyle="1" w:styleId="FooterChar">
    <w:name w:val="Footer Char"/>
    <w:basedOn w:val="DefaultParagraphFont"/>
    <w:link w:val="Footer"/>
    <w:uiPriority w:val="99"/>
    <w:rPr>
      <w:rFonts w:eastAsiaTheme="minorHAnsi"/>
      <w:sz w:val="24"/>
      <w:szCs w:val="22"/>
      <w:lang w:eastAsia="en-US"/>
    </w:rPr>
  </w:style>
  <w:style w:type="character" w:customStyle="1" w:styleId="HeaderChar">
    <w:name w:val="Header Char"/>
    <w:basedOn w:val="DefaultParagraphFont"/>
    <w:link w:val="Header"/>
    <w:uiPriority w:val="99"/>
    <w:rPr>
      <w:rFonts w:eastAsiaTheme="minorHAnsi"/>
      <w:sz w:val="24"/>
      <w:szCs w:val="22"/>
      <w:lang w:eastAsia="en-US"/>
    </w:rPr>
  </w:style>
  <w:style w:type="paragraph" w:styleId="ListParagraph">
    <w:name w:val="List Paragraph"/>
    <w:basedOn w:val="Normal"/>
    <w:uiPriority w:val="34"/>
    <w:qFormat/>
    <w:pPr>
      <w:ind w:left="720"/>
      <w:contextualSpacing/>
    </w:pPr>
    <w:rPr>
      <w:rFonts w:asciiTheme="minorHAnsi" w:eastAsiaTheme="minorHAnsi" w:hAnsiTheme="minorHAnsi" w:cstheme="minorBidi"/>
    </w:rPr>
  </w:style>
  <w:style w:type="character" w:customStyle="1" w:styleId="FootnoteTextChar">
    <w:name w:val="Footnote Text Char"/>
    <w:aliases w:val="Footnote text Char,Footnote Text Char3 Char,Footnote Text Char2 Char Char,Footnote Text Char Char Char1 Char Char,Footnote Text Char1 Char1 Char Char,Footnote Text Char Char Char2 Char,fn Char,Fußnote Char,Fotnotstext1 Char,9 pt Char"/>
    <w:basedOn w:val="DefaultParagraphFont"/>
    <w:uiPriority w:val="99"/>
    <w:qFormat/>
    <w:rPr>
      <w:lang w:eastAsia="en-US"/>
    </w:rPr>
  </w:style>
  <w:style w:type="character" w:styleId="FootnoteReference">
    <w:name w:val="footnote reference"/>
    <w:aliases w:val="SUPERS,Footnote symbol,Times 10 Point,Exposant 3 Point,Footnote,BVI fnr,number,-E Fußnotenzeichen,Footnote reference number,note TESI,EN Footnote Reference,Footnote Reference/,Footnote Reference Number,styl, Exposant 3 Point, BVI fnr"/>
    <w:basedOn w:val="DefaultParagraphFont"/>
    <w:link w:val="Footnotenumber"/>
    <w:uiPriority w:val="99"/>
    <w:unhideWhenUsed/>
    <w:qFormat/>
    <w:rPr>
      <w:vertAlign w:val="superscript"/>
    </w:rPr>
  </w:style>
  <w:style w:type="character" w:customStyle="1" w:styleId="CommentTextChar">
    <w:name w:val="Comment Text Char"/>
    <w:basedOn w:val="DefaultParagraphFont"/>
    <w:link w:val="CommentText"/>
    <w:uiPriority w:val="99"/>
    <w:rPr>
      <w:lang w:eastAsia="en-US"/>
    </w:rPr>
  </w:style>
  <w:style w:type="paragraph" w:customStyle="1" w:styleId="Footnotenumber">
    <w:name w:val="Footnote number"/>
    <w:aliases w:val="fr"/>
    <w:basedOn w:val="Normal"/>
    <w:link w:val="FootnoteReference"/>
    <w:uiPriority w:val="99"/>
    <w:pPr>
      <w:spacing w:after="160" w:line="240" w:lineRule="exact"/>
    </w:pPr>
    <w:rPr>
      <w:rFonts w:ascii="Times New Roman" w:eastAsia="Times New Roman" w:hAnsi="Times New Roman"/>
      <w:sz w:val="20"/>
      <w:szCs w:val="20"/>
      <w:vertAlign w:val="superscript"/>
      <w:lang w:eastAsia="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character" w:styleId="Hyperlink">
    <w:name w:val="Hyperlink"/>
    <w:basedOn w:val="DefaultParagraphFont"/>
    <w:uiPriority w:val="99"/>
    <w:unhideWhenUsed/>
    <w:rPr>
      <w:color w:val="0000FF"/>
      <w:u w:val="single"/>
    </w:rPr>
  </w:style>
  <w:style w:type="character" w:styleId="CommentReference">
    <w:name w:val="annotation reference"/>
    <w:basedOn w:val="DefaultParagraphFont"/>
    <w:uiPriority w:val="99"/>
    <w:unhideWhenUsed/>
    <w:rPr>
      <w:sz w:val="16"/>
      <w:szCs w:val="16"/>
    </w:rPr>
  </w:style>
  <w:style w:type="paragraph" w:styleId="CommentSubject">
    <w:name w:val="annotation subject"/>
    <w:basedOn w:val="CommentText"/>
    <w:next w:val="CommentText"/>
    <w:link w:val="CommentSubjectChar"/>
    <w:uiPriority w:val="99"/>
    <w:semiHidden/>
    <w:unhideWhenUsed/>
    <w:pPr>
      <w:spacing w:line="240" w:lineRule="auto"/>
    </w:pPr>
    <w:rPr>
      <w:b/>
      <w:bCs/>
      <w:szCs w:val="20"/>
    </w:rPr>
  </w:style>
  <w:style w:type="character" w:customStyle="1" w:styleId="CommentSubjectChar">
    <w:name w:val="Comment Subject Char"/>
    <w:basedOn w:val="CommentTextChar"/>
    <w:link w:val="CommentSubject"/>
    <w:uiPriority w:val="99"/>
    <w:semiHidden/>
    <w:rPr>
      <w:rFonts w:ascii="Calibri" w:eastAsia="Calibri" w:hAnsi="Calibri"/>
      <w:b/>
      <w:bCs/>
      <w:lang w:eastAsia="en-US"/>
    </w:rPr>
  </w:style>
  <w:style w:type="character" w:customStyle="1" w:styleId="Heading2Char">
    <w:name w:val="Heading 2 Char"/>
    <w:basedOn w:val="DefaultParagraphFont"/>
    <w:link w:val="Heading2"/>
    <w:rPr>
      <w:rFonts w:eastAsia="Calibri"/>
      <w:b/>
      <w:sz w:val="24"/>
      <w:szCs w:val="24"/>
      <w:lang w:eastAsia="en-US"/>
    </w:rPr>
  </w:style>
  <w:style w:type="paragraph" w:customStyle="1" w:styleId="Default">
    <w:name w:val="Default"/>
    <w:pPr>
      <w:autoSpaceDE w:val="0"/>
      <w:autoSpaceDN w:val="0"/>
      <w:adjustRightInd w:val="0"/>
    </w:pPr>
    <w:rPr>
      <w:rFonts w:ascii="Calibri" w:hAnsi="Calibri" w:cs="Calibri"/>
      <w:color w:val="000000"/>
      <w:sz w:val="24"/>
      <w:szCs w:val="24"/>
    </w:rPr>
  </w:style>
  <w:style w:type="character" w:customStyle="1" w:styleId="BriefingtextChar">
    <w:name w:val="Briefing text Char"/>
    <w:link w:val="Briefingtext"/>
    <w:locked/>
    <w:rPr>
      <w:rFonts w:ascii="Arial" w:hAnsi="Arial" w:cs="Arial"/>
      <w:sz w:val="22"/>
      <w:szCs w:val="24"/>
      <w:lang w:eastAsia="en-US"/>
    </w:rPr>
  </w:style>
  <w:style w:type="paragraph" w:customStyle="1" w:styleId="Briefingtext">
    <w:name w:val="Briefing text"/>
    <w:basedOn w:val="Normal"/>
    <w:link w:val="BriefingtextChar"/>
    <w:pPr>
      <w:spacing w:after="240" w:line="240" w:lineRule="auto"/>
      <w:jc w:val="both"/>
    </w:pPr>
    <w:rPr>
      <w:rFonts w:ascii="Arial" w:eastAsia="Times New Roman" w:hAnsi="Arial" w:cs="Arial"/>
      <w:szCs w:val="24"/>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rFonts w:ascii="Calibri" w:eastAsia="Calibri" w:hAnsi="Calibri"/>
      <w:sz w:val="22"/>
      <w:szCs w:val="22"/>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basedOn w:val="DefaultParagraphFont"/>
    <w:link w:val="FooterCoverPage"/>
    <w:rPr>
      <w:rFonts w:eastAsia="Calibri"/>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DefaultParagraphFont"/>
    <w:link w:val="HeaderCoverPage"/>
    <w:rPr>
      <w:rFonts w:eastAsia="Calibri"/>
      <w:sz w:val="24"/>
      <w:szCs w:val="22"/>
      <w:lang w:eastAsia="en-US"/>
    </w:r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eastAsiaTheme="minorHAnsi"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footnote text" w:uiPriority="99" w:qFormat="1"/>
    <w:lsdException w:name="annotation text" w:uiPriority="99"/>
    <w:lsdException w:name="header" w:uiPriority="99"/>
    <w:lsdException w:name="footer" w:uiPriority="99"/>
    <w:lsdException w:name="caption" w:semiHidden="0" w:unhideWhenUsed="0" w:qFormat="1"/>
    <w:lsdException w:name="footnote reference" w:uiPriority="99" w:qFormat="1"/>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pPr>
      <w:spacing w:after="200" w:line="276" w:lineRule="auto"/>
    </w:pPr>
    <w:rPr>
      <w:rFonts w:ascii="Calibri" w:eastAsia="Calibri" w:hAnsi="Calibri"/>
      <w:sz w:val="22"/>
      <w:szCs w:val="22"/>
      <w:lang w:eastAsia="en-US"/>
    </w:rPr>
  </w:style>
  <w:style w:type="paragraph" w:styleId="Heading1">
    <w:name w:val="heading 1"/>
    <w:basedOn w:val="Normal"/>
    <w:next w:val="Text1"/>
    <w:qFormat/>
    <w:pPr>
      <w:keepNext/>
      <w:numPr>
        <w:numId w:val="3"/>
      </w:numPr>
      <w:spacing w:before="240"/>
      <w:outlineLvl w:val="0"/>
    </w:pPr>
    <w:rPr>
      <w:rFonts w:ascii="Times New Roman" w:hAnsi="Times New Roman"/>
      <w:b/>
      <w:smallCaps/>
      <w:sz w:val="24"/>
      <w:szCs w:val="24"/>
    </w:rPr>
  </w:style>
  <w:style w:type="paragraph" w:styleId="Heading2">
    <w:name w:val="heading 2"/>
    <w:basedOn w:val="Normal"/>
    <w:next w:val="Text2"/>
    <w:link w:val="Heading2Char"/>
    <w:qFormat/>
    <w:pPr>
      <w:keepNext/>
      <w:numPr>
        <w:ilvl w:val="1"/>
        <w:numId w:val="3"/>
      </w:numPr>
      <w:tabs>
        <w:tab w:val="clear" w:pos="1429"/>
        <w:tab w:val="num" w:pos="862"/>
      </w:tabs>
      <w:ind w:left="862"/>
      <w:outlineLvl w:val="1"/>
    </w:pPr>
    <w:rPr>
      <w:rFonts w:ascii="Times New Roman" w:hAnsi="Times New Roman"/>
      <w:b/>
      <w:sz w:val="24"/>
      <w:szCs w:val="24"/>
    </w:rPr>
  </w:style>
  <w:style w:type="paragraph" w:styleId="Heading3">
    <w:name w:val="heading 3"/>
    <w:basedOn w:val="Normal"/>
    <w:next w:val="Text3"/>
    <w:qFormat/>
    <w:pPr>
      <w:keepNext/>
      <w:numPr>
        <w:ilvl w:val="2"/>
        <w:numId w:val="3"/>
      </w:numPr>
      <w:tabs>
        <w:tab w:val="clear" w:pos="720"/>
        <w:tab w:val="num" w:pos="1560"/>
      </w:tabs>
      <w:ind w:left="1560"/>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rPr>
  </w:style>
  <w:style w:type="paragraph" w:styleId="Heading6">
    <w:name w:val="heading 6"/>
    <w:basedOn w:val="Normal"/>
    <w:next w:val="Normal"/>
    <w:qFormat/>
    <w:pPr>
      <w:tabs>
        <w:tab w:val="num" w:pos="0"/>
      </w:tabs>
      <w:spacing w:before="240" w:after="60"/>
      <w:outlineLvl w:val="5"/>
    </w:pPr>
    <w:rPr>
      <w:rFonts w:ascii="Arial" w:hAnsi="Arial"/>
      <w:i/>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pPr>
  </w:style>
  <w:style w:type="paragraph" w:customStyle="1" w:styleId="AddressTL">
    <w:name w:val="AddressTL"/>
    <w:basedOn w:val="Normal"/>
    <w:next w:val="Normal"/>
    <w:pPr>
      <w:spacing w:after="720"/>
    </w:pPr>
  </w:style>
  <w:style w:type="paragraph" w:customStyle="1" w:styleId="AddressTR">
    <w:name w:val="AddressTR"/>
    <w:basedOn w:val="Normal"/>
    <w:next w:val="Normal"/>
    <w:pPr>
      <w:spacing w:after="720"/>
      <w:ind w:left="5103"/>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99"/>
    <w:rPr>
      <w:sz w:val="20"/>
    </w:rPr>
  </w:style>
  <w:style w:type="paragraph" w:styleId="Date">
    <w:name w:val="Date"/>
    <w:basedOn w:val="Normal"/>
    <w:next w:val="References"/>
    <w:pPr>
      <w:spacing w:after="0"/>
      <w:ind w:left="5103" w:right="-567"/>
    </w:pPr>
  </w:style>
  <w:style w:type="paragraph" w:customStyle="1" w:styleId="References">
    <w:name w:val="References"/>
    <w:basedOn w:val="Normal"/>
    <w:next w:val="AddressTR"/>
    <w:pPr>
      <w:ind w:left="5103"/>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pPr>
  </w:style>
  <w:style w:type="paragraph" w:customStyle="1" w:styleId="Enclosures">
    <w:name w:val="Enclosures"/>
    <w:basedOn w:val="Normal"/>
    <w:pPr>
      <w:keepNext/>
      <w:keepLines/>
      <w:tabs>
        <w:tab w:val="left" w:pos="5642"/>
      </w:tabs>
      <w:spacing w:before="480" w:after="0"/>
      <w:ind w:left="1191" w:hanging="1191"/>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sz w:val="24"/>
    </w:rPr>
  </w:style>
  <w:style w:type="paragraph" w:styleId="FootnoteText">
    <w:name w:val="footnote text"/>
    <w:aliases w:val="Footnote text,Footnote Text Char3,Footnote Text Char2 Char,Footnote Text Char Char Char1 Char,Footnote Text Char1 Char1 Char,Footnote Text Char Char Char2,fn,Fußnote,Fotnotstext1,Footnote Text Char2,9 pt,ft,foot note te,foot note tex,Car,9"/>
    <w:basedOn w:val="Normal"/>
    <w:uiPriority w:val="99"/>
    <w:qFormat/>
    <w:pPr>
      <w:ind w:left="357" w:hanging="357"/>
    </w:pPr>
    <w:rPr>
      <w:sz w:val="20"/>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sz w:val="24"/>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pPr>
    <w:rPr>
      <w:b/>
    </w:rPr>
  </w:style>
  <w:style w:type="paragraph" w:customStyle="1" w:styleId="NoteList">
    <w:name w:val="NoteList"/>
    <w:basedOn w:val="Normal"/>
    <w:next w:val="Subject"/>
    <w:pPr>
      <w:tabs>
        <w:tab w:val="left" w:pos="5823"/>
      </w:tabs>
      <w:spacing w:before="720" w:after="720"/>
      <w:ind w:left="5104" w:hanging="3119"/>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spacing w:line="360" w:lineRule="auto"/>
    </w:pPr>
    <w:rPr>
      <w:rFonts w:eastAsiaTheme="minorHAnsi"/>
    </w:rPr>
  </w:style>
  <w:style w:type="paragraph" w:customStyle="1" w:styleId="LegalNumPar2">
    <w:name w:val="LegalNumPar2"/>
    <w:basedOn w:val="Normal"/>
    <w:pPr>
      <w:numPr>
        <w:ilvl w:val="1"/>
        <w:numId w:val="19"/>
      </w:numPr>
      <w:spacing w:line="360" w:lineRule="auto"/>
      <w:ind w:left="952" w:hanging="476"/>
    </w:pPr>
    <w:rPr>
      <w:rFonts w:eastAsiaTheme="minorHAnsi"/>
    </w:rPr>
  </w:style>
  <w:style w:type="paragraph" w:customStyle="1" w:styleId="LegalNumPar3">
    <w:name w:val="LegalNumPar3"/>
    <w:basedOn w:val="Normal"/>
    <w:pPr>
      <w:numPr>
        <w:ilvl w:val="2"/>
        <w:numId w:val="19"/>
      </w:numPr>
      <w:spacing w:line="360" w:lineRule="auto"/>
    </w:pPr>
    <w:rPr>
      <w:rFonts w:eastAsiaTheme="minorHAnsi"/>
    </w:rPr>
  </w:style>
  <w:style w:type="character" w:customStyle="1" w:styleId="FooterChar">
    <w:name w:val="Footer Char"/>
    <w:basedOn w:val="DefaultParagraphFont"/>
    <w:link w:val="Footer"/>
    <w:uiPriority w:val="99"/>
    <w:rPr>
      <w:rFonts w:eastAsiaTheme="minorHAnsi"/>
      <w:sz w:val="24"/>
      <w:szCs w:val="22"/>
      <w:lang w:eastAsia="en-US"/>
    </w:rPr>
  </w:style>
  <w:style w:type="character" w:customStyle="1" w:styleId="HeaderChar">
    <w:name w:val="Header Char"/>
    <w:basedOn w:val="DefaultParagraphFont"/>
    <w:link w:val="Header"/>
    <w:uiPriority w:val="99"/>
    <w:rPr>
      <w:rFonts w:eastAsiaTheme="minorHAnsi"/>
      <w:sz w:val="24"/>
      <w:szCs w:val="22"/>
      <w:lang w:eastAsia="en-US"/>
    </w:rPr>
  </w:style>
  <w:style w:type="paragraph" w:styleId="ListParagraph">
    <w:name w:val="List Paragraph"/>
    <w:basedOn w:val="Normal"/>
    <w:uiPriority w:val="34"/>
    <w:qFormat/>
    <w:pPr>
      <w:ind w:left="720"/>
      <w:contextualSpacing/>
    </w:pPr>
    <w:rPr>
      <w:rFonts w:asciiTheme="minorHAnsi" w:eastAsiaTheme="minorHAnsi" w:hAnsiTheme="minorHAnsi" w:cstheme="minorBidi"/>
    </w:rPr>
  </w:style>
  <w:style w:type="character" w:customStyle="1" w:styleId="FootnoteTextChar">
    <w:name w:val="Footnote Text Char"/>
    <w:aliases w:val="Footnote text Char,Footnote Text Char3 Char,Footnote Text Char2 Char Char,Footnote Text Char Char Char1 Char Char,Footnote Text Char1 Char1 Char Char,Footnote Text Char Char Char2 Char,fn Char,Fußnote Char,Fotnotstext1 Char,9 pt Char"/>
    <w:basedOn w:val="DefaultParagraphFont"/>
    <w:uiPriority w:val="99"/>
    <w:qFormat/>
    <w:rPr>
      <w:lang w:eastAsia="en-US"/>
    </w:rPr>
  </w:style>
  <w:style w:type="character" w:styleId="FootnoteReference">
    <w:name w:val="footnote reference"/>
    <w:aliases w:val="SUPERS,Footnote symbol,Times 10 Point,Exposant 3 Point,Footnote,BVI fnr,number,-E Fußnotenzeichen,Footnote reference number,note TESI,EN Footnote Reference,Footnote Reference/,Footnote Reference Number,styl, Exposant 3 Point, BVI fnr"/>
    <w:basedOn w:val="DefaultParagraphFont"/>
    <w:link w:val="Footnotenumber"/>
    <w:uiPriority w:val="99"/>
    <w:unhideWhenUsed/>
    <w:qFormat/>
    <w:rPr>
      <w:vertAlign w:val="superscript"/>
    </w:rPr>
  </w:style>
  <w:style w:type="character" w:customStyle="1" w:styleId="CommentTextChar">
    <w:name w:val="Comment Text Char"/>
    <w:basedOn w:val="DefaultParagraphFont"/>
    <w:link w:val="CommentText"/>
    <w:uiPriority w:val="99"/>
    <w:rPr>
      <w:lang w:eastAsia="en-US"/>
    </w:rPr>
  </w:style>
  <w:style w:type="paragraph" w:customStyle="1" w:styleId="Footnotenumber">
    <w:name w:val="Footnote number"/>
    <w:aliases w:val="fr"/>
    <w:basedOn w:val="Normal"/>
    <w:link w:val="FootnoteReference"/>
    <w:uiPriority w:val="99"/>
    <w:pPr>
      <w:spacing w:after="160" w:line="240" w:lineRule="exact"/>
    </w:pPr>
    <w:rPr>
      <w:rFonts w:ascii="Times New Roman" w:eastAsia="Times New Roman" w:hAnsi="Times New Roman"/>
      <w:sz w:val="20"/>
      <w:szCs w:val="20"/>
      <w:vertAlign w:val="superscript"/>
      <w:lang w:eastAsia="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character" w:styleId="Hyperlink">
    <w:name w:val="Hyperlink"/>
    <w:basedOn w:val="DefaultParagraphFont"/>
    <w:uiPriority w:val="99"/>
    <w:unhideWhenUsed/>
    <w:rPr>
      <w:color w:val="0000FF"/>
      <w:u w:val="single"/>
    </w:rPr>
  </w:style>
  <w:style w:type="character" w:styleId="CommentReference">
    <w:name w:val="annotation reference"/>
    <w:basedOn w:val="DefaultParagraphFont"/>
    <w:uiPriority w:val="99"/>
    <w:unhideWhenUsed/>
    <w:rPr>
      <w:sz w:val="16"/>
      <w:szCs w:val="16"/>
    </w:rPr>
  </w:style>
  <w:style w:type="paragraph" w:styleId="CommentSubject">
    <w:name w:val="annotation subject"/>
    <w:basedOn w:val="CommentText"/>
    <w:next w:val="CommentText"/>
    <w:link w:val="CommentSubjectChar"/>
    <w:uiPriority w:val="99"/>
    <w:semiHidden/>
    <w:unhideWhenUsed/>
    <w:pPr>
      <w:spacing w:line="240" w:lineRule="auto"/>
    </w:pPr>
    <w:rPr>
      <w:b/>
      <w:bCs/>
      <w:szCs w:val="20"/>
    </w:rPr>
  </w:style>
  <w:style w:type="character" w:customStyle="1" w:styleId="CommentSubjectChar">
    <w:name w:val="Comment Subject Char"/>
    <w:basedOn w:val="CommentTextChar"/>
    <w:link w:val="CommentSubject"/>
    <w:uiPriority w:val="99"/>
    <w:semiHidden/>
    <w:rPr>
      <w:rFonts w:ascii="Calibri" w:eastAsia="Calibri" w:hAnsi="Calibri"/>
      <w:b/>
      <w:bCs/>
      <w:lang w:eastAsia="en-US"/>
    </w:rPr>
  </w:style>
  <w:style w:type="character" w:customStyle="1" w:styleId="Heading2Char">
    <w:name w:val="Heading 2 Char"/>
    <w:basedOn w:val="DefaultParagraphFont"/>
    <w:link w:val="Heading2"/>
    <w:rPr>
      <w:rFonts w:eastAsia="Calibri"/>
      <w:b/>
      <w:sz w:val="24"/>
      <w:szCs w:val="24"/>
      <w:lang w:eastAsia="en-US"/>
    </w:rPr>
  </w:style>
  <w:style w:type="paragraph" w:customStyle="1" w:styleId="Default">
    <w:name w:val="Default"/>
    <w:pPr>
      <w:autoSpaceDE w:val="0"/>
      <w:autoSpaceDN w:val="0"/>
      <w:adjustRightInd w:val="0"/>
    </w:pPr>
    <w:rPr>
      <w:rFonts w:ascii="Calibri" w:hAnsi="Calibri" w:cs="Calibri"/>
      <w:color w:val="000000"/>
      <w:sz w:val="24"/>
      <w:szCs w:val="24"/>
    </w:rPr>
  </w:style>
  <w:style w:type="character" w:customStyle="1" w:styleId="BriefingtextChar">
    <w:name w:val="Briefing text Char"/>
    <w:link w:val="Briefingtext"/>
    <w:locked/>
    <w:rPr>
      <w:rFonts w:ascii="Arial" w:hAnsi="Arial" w:cs="Arial"/>
      <w:sz w:val="22"/>
      <w:szCs w:val="24"/>
      <w:lang w:eastAsia="en-US"/>
    </w:rPr>
  </w:style>
  <w:style w:type="paragraph" w:customStyle="1" w:styleId="Briefingtext">
    <w:name w:val="Briefing text"/>
    <w:basedOn w:val="Normal"/>
    <w:link w:val="BriefingtextChar"/>
    <w:pPr>
      <w:spacing w:after="240" w:line="240" w:lineRule="auto"/>
      <w:jc w:val="both"/>
    </w:pPr>
    <w:rPr>
      <w:rFonts w:ascii="Arial" w:eastAsia="Times New Roman" w:hAnsi="Arial" w:cs="Arial"/>
      <w:szCs w:val="24"/>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rFonts w:ascii="Calibri" w:eastAsia="Calibri" w:hAnsi="Calibri"/>
      <w:sz w:val="22"/>
      <w:szCs w:val="22"/>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basedOn w:val="DefaultParagraphFont"/>
    <w:link w:val="FooterCoverPage"/>
    <w:rPr>
      <w:rFonts w:eastAsia="Calibri"/>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DefaultParagraphFont"/>
    <w:link w:val="HeaderCoverPage"/>
    <w:rPr>
      <w:rFonts w:eastAsia="Calibri"/>
      <w:sz w:val="24"/>
      <w:szCs w:val="22"/>
      <w:lang w:eastAsia="en-US"/>
    </w:r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eastAsiaTheme="minorHAnsi"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600487">
      <w:bodyDiv w:val="1"/>
      <w:marLeft w:val="0"/>
      <w:marRight w:val="0"/>
      <w:marTop w:val="0"/>
      <w:marBottom w:val="0"/>
      <w:divBdr>
        <w:top w:val="none" w:sz="0" w:space="0" w:color="auto"/>
        <w:left w:val="none" w:sz="0" w:space="0" w:color="auto"/>
        <w:bottom w:val="none" w:sz="0" w:space="0" w:color="auto"/>
        <w:right w:val="none" w:sz="0" w:space="0" w:color="auto"/>
      </w:divBdr>
      <w:divsChild>
        <w:div w:id="69891623">
          <w:marLeft w:val="547"/>
          <w:marRight w:val="0"/>
          <w:marTop w:val="0"/>
          <w:marBottom w:val="0"/>
          <w:divBdr>
            <w:top w:val="none" w:sz="0" w:space="0" w:color="auto"/>
            <w:left w:val="none" w:sz="0" w:space="0" w:color="auto"/>
            <w:bottom w:val="none" w:sz="0" w:space="0" w:color="auto"/>
            <w:right w:val="none" w:sz="0" w:space="0" w:color="auto"/>
          </w:divBdr>
        </w:div>
        <w:div w:id="1566529509">
          <w:marLeft w:val="547"/>
          <w:marRight w:val="0"/>
          <w:marTop w:val="0"/>
          <w:marBottom w:val="0"/>
          <w:divBdr>
            <w:top w:val="none" w:sz="0" w:space="0" w:color="auto"/>
            <w:left w:val="none" w:sz="0" w:space="0" w:color="auto"/>
            <w:bottom w:val="none" w:sz="0" w:space="0" w:color="auto"/>
            <w:right w:val="none" w:sz="0" w:space="0" w:color="auto"/>
          </w:divBdr>
        </w:div>
        <w:div w:id="1944415293">
          <w:marLeft w:val="547"/>
          <w:marRight w:val="0"/>
          <w:marTop w:val="0"/>
          <w:marBottom w:val="0"/>
          <w:divBdr>
            <w:top w:val="none" w:sz="0" w:space="0" w:color="auto"/>
            <w:left w:val="none" w:sz="0" w:space="0" w:color="auto"/>
            <w:bottom w:val="none" w:sz="0" w:space="0" w:color="auto"/>
            <w:right w:val="none" w:sz="0" w:space="0" w:color="auto"/>
          </w:divBdr>
        </w:div>
        <w:div w:id="694619564">
          <w:marLeft w:val="547"/>
          <w:marRight w:val="0"/>
          <w:marTop w:val="0"/>
          <w:marBottom w:val="0"/>
          <w:divBdr>
            <w:top w:val="none" w:sz="0" w:space="0" w:color="auto"/>
            <w:left w:val="none" w:sz="0" w:space="0" w:color="auto"/>
            <w:bottom w:val="none" w:sz="0" w:space="0" w:color="auto"/>
            <w:right w:val="none" w:sz="0" w:space="0" w:color="auto"/>
          </w:divBdr>
        </w:div>
      </w:divsChild>
    </w:div>
    <w:div w:id="324404304">
      <w:bodyDiv w:val="1"/>
      <w:marLeft w:val="0"/>
      <w:marRight w:val="0"/>
      <w:marTop w:val="0"/>
      <w:marBottom w:val="0"/>
      <w:divBdr>
        <w:top w:val="none" w:sz="0" w:space="0" w:color="auto"/>
        <w:left w:val="none" w:sz="0" w:space="0" w:color="auto"/>
        <w:bottom w:val="none" w:sz="0" w:space="0" w:color="auto"/>
        <w:right w:val="none" w:sz="0" w:space="0" w:color="auto"/>
      </w:divBdr>
    </w:div>
    <w:div w:id="1198350696">
      <w:bodyDiv w:val="1"/>
      <w:marLeft w:val="0"/>
      <w:marRight w:val="0"/>
      <w:marTop w:val="0"/>
      <w:marBottom w:val="0"/>
      <w:divBdr>
        <w:top w:val="none" w:sz="0" w:space="0" w:color="auto"/>
        <w:left w:val="none" w:sz="0" w:space="0" w:color="auto"/>
        <w:bottom w:val="none" w:sz="0" w:space="0" w:color="auto"/>
        <w:right w:val="none" w:sz="0" w:space="0" w:color="auto"/>
      </w:divBdr>
    </w:div>
    <w:div w:id="1218708377">
      <w:bodyDiv w:val="1"/>
      <w:marLeft w:val="0"/>
      <w:marRight w:val="0"/>
      <w:marTop w:val="0"/>
      <w:marBottom w:val="0"/>
      <w:divBdr>
        <w:top w:val="none" w:sz="0" w:space="0" w:color="auto"/>
        <w:left w:val="none" w:sz="0" w:space="0" w:color="auto"/>
        <w:bottom w:val="none" w:sz="0" w:space="0" w:color="auto"/>
        <w:right w:val="none" w:sz="0" w:space="0" w:color="auto"/>
      </w:divBdr>
    </w:div>
    <w:div w:id="1442870444">
      <w:bodyDiv w:val="1"/>
      <w:marLeft w:val="0"/>
      <w:marRight w:val="0"/>
      <w:marTop w:val="0"/>
      <w:marBottom w:val="0"/>
      <w:divBdr>
        <w:top w:val="none" w:sz="0" w:space="0" w:color="auto"/>
        <w:left w:val="none" w:sz="0" w:space="0" w:color="auto"/>
        <w:bottom w:val="none" w:sz="0" w:space="0" w:color="auto"/>
        <w:right w:val="none" w:sz="0" w:space="0" w:color="auto"/>
      </w:divBdr>
    </w:div>
    <w:div w:id="19685111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 Id="rId30"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commission/priorities/jobs-growth-and-investment/investment-plan_en" TargetMode="External"/><Relationship Id="rId2" Type="http://schemas.openxmlformats.org/officeDocument/2006/relationships/hyperlink" Target="http://ec.europa.eu/transparency/regexpert/index.cfm?do=groupDetail.groupDetail&amp;groupID=2869" TargetMode="External"/><Relationship Id="rId1" Type="http://schemas.openxmlformats.org/officeDocument/2006/relationships/hyperlink" Target="https://ec.europa.eu/transport/themes/urban/cpt/stf_en" TargetMode="External"/><Relationship Id="rId6" Type="http://schemas.openxmlformats.org/officeDocument/2006/relationships/hyperlink" Target="http://beta.eu-smartcities.eu/" TargetMode="External"/><Relationship Id="rId5" Type="http://schemas.openxmlformats.org/officeDocument/2006/relationships/hyperlink" Target="http://civitas.eu/" TargetMode="External"/><Relationship Id="rId4" Type="http://schemas.openxmlformats.org/officeDocument/2006/relationships/hyperlink" Target="http://www.eib.org/products/advising/jaspers/index.htm?f=search&amp;media=sear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A999A-FAF0-4CF9-AC8E-63D645F63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20</Pages>
  <Words>7751</Words>
  <Characters>43526</Characters>
  <Application>Microsoft Office Word</Application>
  <DocSecurity>0</DocSecurity>
  <PresentationFormat>Microsoft Word 14.0</PresentationFormat>
  <Lines>702</Lines>
  <Paragraphs>204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51073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Stefanie Heilemann</dc:creator>
  <cp:keywords>EL4</cp:keywords>
  <cp:lastModifiedBy>Stefanie Heilemann</cp:lastModifiedBy>
  <cp:revision>2</cp:revision>
  <cp:lastPrinted>2017-10-23T16:10:00Z</cp:lastPrinted>
  <dcterms:created xsi:type="dcterms:W3CDTF">2017-11-07T11:31:00Z</dcterms:created>
  <dcterms:modified xsi:type="dcterms:W3CDTF">2017-11-07T11:31:00Z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Claire DEPRE</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Part">
    <vt:lpwstr>1</vt:lpwstr>
  </property>
  <property fmtid="{D5CDD505-2E9C-101B-9397-08002B2CF9AE}" pid="14" name="Total parts">
    <vt:lpwstr>1</vt:lpwstr>
  </property>
  <property fmtid="{D5CDD505-2E9C-101B-9397-08002B2CF9AE}" pid="15" name="DocStatus">
    <vt:lpwstr>Green</vt:lpwstr>
  </property>
  <property fmtid="{D5CDD505-2E9C-101B-9397-08002B2CF9AE}" pid="16" name="Level of sensitivity">
    <vt:lpwstr>Standard treatment</vt:lpwstr>
  </property>
</Properties>
</file>