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08F" w:rsidRDefault="00A57FA5" w:rsidP="00A57FA5">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6CB69176-002A-4966-99BB-11BFE4EDF2B3" style="width:450.4pt;height:420.3pt">
            <v:imagedata r:id="rId9" o:title=""/>
          </v:shape>
        </w:pict>
      </w:r>
    </w:p>
    <w:bookmarkEnd w:id="0"/>
    <w:p w:rsidR="002E508F" w:rsidRDefault="002E508F">
      <w:pPr>
        <w:pStyle w:val="Pagedecouverture"/>
        <w:rPr>
          <w:noProof/>
        </w:rPr>
        <w:sectPr w:rsidR="002E508F" w:rsidSect="00A57FA5">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sdt>
      <w:sdtPr>
        <w:rPr>
          <w:rFonts w:ascii="Times New Roman" w:hAnsi="Times New Roman" w:cs="Times New Roman"/>
          <w:noProof/>
        </w:rPr>
        <w:id w:val="1305580116"/>
        <w:docPartObj>
          <w:docPartGallery w:val="Table of Contents"/>
          <w:docPartUnique/>
        </w:docPartObj>
      </w:sdtPr>
      <w:sdtEndPr>
        <w:rPr>
          <w:b/>
          <w:bCs/>
        </w:rPr>
      </w:sdtEndPr>
      <w:sdtContent>
        <w:p w:rsidR="002E508F" w:rsidRDefault="005D0A03">
          <w:pPr>
            <w:rPr>
              <w:rFonts w:ascii="Times New Roman" w:hAnsi="Times New Roman" w:cs="Times New Roman"/>
              <w:b/>
              <w:smallCaps/>
              <w:noProof/>
            </w:rPr>
          </w:pPr>
          <w:r>
            <w:rPr>
              <w:rFonts w:ascii="Times New Roman" w:hAnsi="Times New Roman" w:cs="Times New Roman"/>
              <w:b/>
              <w:smallCaps/>
              <w:noProof/>
            </w:rPr>
            <w:t>TABLE OF CONTENTS</w:t>
          </w:r>
        </w:p>
        <w:p w:rsidR="002E508F" w:rsidRDefault="005D0A03">
          <w:pPr>
            <w:pStyle w:val="TOC1"/>
            <w:rPr>
              <w:rFonts w:eastAsiaTheme="minorEastAsia"/>
              <w:caps w:val="0"/>
              <w:noProof/>
              <w:lang w:eastAsia="en-GB"/>
            </w:rPr>
          </w:pPr>
          <w:r>
            <w:rPr>
              <w:rFonts w:ascii="Times New Roman" w:hAnsi="Times New Roman" w:cs="Times New Roman"/>
              <w:noProof/>
            </w:rPr>
            <w:fldChar w:fldCharType="begin"/>
          </w:r>
          <w:r>
            <w:rPr>
              <w:rFonts w:ascii="Times New Roman" w:hAnsi="Times New Roman" w:cs="Times New Roman"/>
              <w:noProof/>
            </w:rPr>
            <w:instrText xml:space="preserve"> TOC \o "1-3" \h \z \u </w:instrText>
          </w:r>
          <w:r>
            <w:rPr>
              <w:rFonts w:ascii="Times New Roman" w:hAnsi="Times New Roman" w:cs="Times New Roman"/>
              <w:noProof/>
            </w:rPr>
            <w:fldChar w:fldCharType="separate"/>
          </w:r>
          <w:hyperlink w:anchor="_Toc497141460" w:history="1">
            <w:r>
              <w:rPr>
                <w:rStyle w:val="Hyperlink"/>
                <w:noProof/>
              </w:rPr>
              <w:t>1.</w:t>
            </w:r>
            <w:r>
              <w:rPr>
                <w:rFonts w:eastAsiaTheme="minorEastAsia"/>
                <w:caps w:val="0"/>
                <w:noProof/>
                <w:lang w:eastAsia="en-GB"/>
              </w:rPr>
              <w:tab/>
            </w:r>
            <w:r>
              <w:rPr>
                <w:rStyle w:val="Hyperlink"/>
                <w:noProof/>
              </w:rPr>
              <w:t>Introduction</w:t>
            </w:r>
            <w:r>
              <w:rPr>
                <w:noProof/>
                <w:webHidden/>
              </w:rPr>
              <w:tab/>
            </w:r>
            <w:r>
              <w:rPr>
                <w:noProof/>
                <w:webHidden/>
              </w:rPr>
              <w:fldChar w:fldCharType="begin"/>
            </w:r>
            <w:r>
              <w:rPr>
                <w:noProof/>
                <w:webHidden/>
              </w:rPr>
              <w:instrText xml:space="preserve"> PAGEREF _Toc497141460 \h </w:instrText>
            </w:r>
            <w:r>
              <w:rPr>
                <w:noProof/>
                <w:webHidden/>
              </w:rPr>
            </w:r>
            <w:r>
              <w:rPr>
                <w:noProof/>
                <w:webHidden/>
              </w:rPr>
              <w:fldChar w:fldCharType="separate"/>
            </w:r>
            <w:r w:rsidR="00A57FA5">
              <w:rPr>
                <w:noProof/>
                <w:webHidden/>
              </w:rPr>
              <w:t>5</w:t>
            </w:r>
            <w:r>
              <w:rPr>
                <w:noProof/>
                <w:webHidden/>
              </w:rPr>
              <w:fldChar w:fldCharType="end"/>
            </w:r>
          </w:hyperlink>
        </w:p>
        <w:p w:rsidR="002E508F" w:rsidRDefault="00A57FA5">
          <w:pPr>
            <w:pStyle w:val="TOC2"/>
            <w:tabs>
              <w:tab w:val="left" w:pos="1077"/>
            </w:tabs>
            <w:rPr>
              <w:rFonts w:eastAsiaTheme="minorEastAsia"/>
              <w:noProof/>
              <w:lang w:eastAsia="en-GB"/>
            </w:rPr>
          </w:pPr>
          <w:hyperlink w:anchor="_Toc497141461" w:history="1">
            <w:r w:rsidR="005D0A03">
              <w:rPr>
                <w:rStyle w:val="Hyperlink"/>
                <w:noProof/>
              </w:rPr>
              <w:t>1.1.</w:t>
            </w:r>
            <w:r w:rsidR="005D0A03">
              <w:rPr>
                <w:rFonts w:eastAsiaTheme="minorEastAsia"/>
                <w:noProof/>
                <w:lang w:eastAsia="en-GB"/>
              </w:rPr>
              <w:tab/>
            </w:r>
            <w:r w:rsidR="005D0A03">
              <w:rPr>
                <w:rStyle w:val="Hyperlink"/>
                <w:noProof/>
              </w:rPr>
              <w:t>Policy context</w:t>
            </w:r>
            <w:r w:rsidR="005D0A03">
              <w:rPr>
                <w:noProof/>
                <w:webHidden/>
              </w:rPr>
              <w:tab/>
            </w:r>
            <w:r w:rsidR="005D0A03">
              <w:rPr>
                <w:noProof/>
                <w:webHidden/>
              </w:rPr>
              <w:fldChar w:fldCharType="begin"/>
            </w:r>
            <w:r w:rsidR="005D0A03">
              <w:rPr>
                <w:noProof/>
                <w:webHidden/>
              </w:rPr>
              <w:instrText xml:space="preserve"> PAGEREF _Toc497141461 \h </w:instrText>
            </w:r>
            <w:r w:rsidR="005D0A03">
              <w:rPr>
                <w:noProof/>
                <w:webHidden/>
              </w:rPr>
            </w:r>
            <w:r w:rsidR="005D0A03">
              <w:rPr>
                <w:noProof/>
                <w:webHidden/>
              </w:rPr>
              <w:fldChar w:fldCharType="separate"/>
            </w:r>
            <w:r>
              <w:rPr>
                <w:noProof/>
                <w:webHidden/>
              </w:rPr>
              <w:t>5</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462" w:history="1">
            <w:r w:rsidR="005D0A03">
              <w:rPr>
                <w:rStyle w:val="Hyperlink"/>
                <w:noProof/>
              </w:rPr>
              <w:t>1.2.</w:t>
            </w:r>
            <w:r w:rsidR="005D0A03">
              <w:rPr>
                <w:rFonts w:eastAsiaTheme="minorEastAsia"/>
                <w:noProof/>
                <w:lang w:eastAsia="en-GB"/>
              </w:rPr>
              <w:tab/>
            </w:r>
            <w:r w:rsidR="005D0A03">
              <w:rPr>
                <w:rStyle w:val="Hyperlink"/>
                <w:noProof/>
              </w:rPr>
              <w:t>Legal context</w:t>
            </w:r>
            <w:r w:rsidR="005D0A03">
              <w:rPr>
                <w:noProof/>
                <w:webHidden/>
              </w:rPr>
              <w:tab/>
            </w:r>
            <w:r w:rsidR="005D0A03">
              <w:rPr>
                <w:noProof/>
                <w:webHidden/>
              </w:rPr>
              <w:fldChar w:fldCharType="begin"/>
            </w:r>
            <w:r w:rsidR="005D0A03">
              <w:rPr>
                <w:noProof/>
                <w:webHidden/>
              </w:rPr>
              <w:instrText xml:space="preserve"> PAGEREF _Toc497141462 \h </w:instrText>
            </w:r>
            <w:r w:rsidR="005D0A03">
              <w:rPr>
                <w:noProof/>
                <w:webHidden/>
              </w:rPr>
            </w:r>
            <w:r w:rsidR="005D0A03">
              <w:rPr>
                <w:noProof/>
                <w:webHidden/>
              </w:rPr>
              <w:fldChar w:fldCharType="separate"/>
            </w:r>
            <w:r>
              <w:rPr>
                <w:noProof/>
                <w:webHidden/>
              </w:rPr>
              <w:t>5</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463" w:history="1">
            <w:r w:rsidR="005D0A03">
              <w:rPr>
                <w:rStyle w:val="Hyperlink"/>
                <w:noProof/>
              </w:rPr>
              <w:t>1.3.</w:t>
            </w:r>
            <w:r w:rsidR="005D0A03">
              <w:rPr>
                <w:rFonts w:eastAsiaTheme="minorEastAsia"/>
                <w:noProof/>
                <w:lang w:eastAsia="en-GB"/>
              </w:rPr>
              <w:tab/>
            </w:r>
            <w:r w:rsidR="005D0A03">
              <w:rPr>
                <w:rStyle w:val="Hyperlink"/>
                <w:noProof/>
              </w:rPr>
              <w:t>Evaluation of the implementation</w:t>
            </w:r>
            <w:r w:rsidR="005D0A03">
              <w:rPr>
                <w:noProof/>
                <w:webHidden/>
              </w:rPr>
              <w:tab/>
            </w:r>
            <w:r w:rsidR="005D0A03">
              <w:rPr>
                <w:noProof/>
                <w:webHidden/>
              </w:rPr>
              <w:fldChar w:fldCharType="begin"/>
            </w:r>
            <w:r w:rsidR="005D0A03">
              <w:rPr>
                <w:noProof/>
                <w:webHidden/>
              </w:rPr>
              <w:instrText xml:space="preserve"> PAGEREF _Toc497141463 \h </w:instrText>
            </w:r>
            <w:r w:rsidR="005D0A03">
              <w:rPr>
                <w:noProof/>
                <w:webHidden/>
              </w:rPr>
            </w:r>
            <w:r w:rsidR="005D0A03">
              <w:rPr>
                <w:noProof/>
                <w:webHidden/>
              </w:rPr>
              <w:fldChar w:fldCharType="separate"/>
            </w:r>
            <w:r>
              <w:rPr>
                <w:noProof/>
                <w:webHidden/>
              </w:rPr>
              <w:t>7</w:t>
            </w:r>
            <w:r w:rsidR="005D0A03">
              <w:rPr>
                <w:noProof/>
                <w:webHidden/>
              </w:rPr>
              <w:fldChar w:fldCharType="end"/>
            </w:r>
          </w:hyperlink>
        </w:p>
        <w:p w:rsidR="002E508F" w:rsidRDefault="00A57FA5">
          <w:pPr>
            <w:pStyle w:val="TOC1"/>
            <w:rPr>
              <w:rFonts w:eastAsiaTheme="minorEastAsia"/>
              <w:caps w:val="0"/>
              <w:noProof/>
              <w:lang w:eastAsia="en-GB"/>
            </w:rPr>
          </w:pPr>
          <w:hyperlink w:anchor="_Toc497141464" w:history="1">
            <w:r w:rsidR="005D0A03">
              <w:rPr>
                <w:rStyle w:val="Hyperlink"/>
                <w:noProof/>
              </w:rPr>
              <w:t>2.</w:t>
            </w:r>
            <w:r w:rsidR="005D0A03">
              <w:rPr>
                <w:rFonts w:eastAsiaTheme="minorEastAsia"/>
                <w:caps w:val="0"/>
                <w:noProof/>
                <w:lang w:eastAsia="en-GB"/>
              </w:rPr>
              <w:tab/>
            </w:r>
            <w:r w:rsidR="005D0A03">
              <w:rPr>
                <w:rStyle w:val="Hyperlink"/>
                <w:noProof/>
              </w:rPr>
              <w:t>What is the problem and why is it a problem?</w:t>
            </w:r>
            <w:r w:rsidR="005D0A03">
              <w:rPr>
                <w:noProof/>
                <w:webHidden/>
              </w:rPr>
              <w:tab/>
            </w:r>
            <w:r w:rsidR="005D0A03">
              <w:rPr>
                <w:noProof/>
                <w:webHidden/>
              </w:rPr>
              <w:fldChar w:fldCharType="begin"/>
            </w:r>
            <w:r w:rsidR="005D0A03">
              <w:rPr>
                <w:noProof/>
                <w:webHidden/>
              </w:rPr>
              <w:instrText xml:space="preserve"> PAGEREF _Toc497141464 \h </w:instrText>
            </w:r>
            <w:r w:rsidR="005D0A03">
              <w:rPr>
                <w:noProof/>
                <w:webHidden/>
              </w:rPr>
            </w:r>
            <w:r w:rsidR="005D0A03">
              <w:rPr>
                <w:noProof/>
                <w:webHidden/>
              </w:rPr>
              <w:fldChar w:fldCharType="separate"/>
            </w:r>
            <w:r>
              <w:rPr>
                <w:noProof/>
                <w:webHidden/>
              </w:rPr>
              <w:t>9</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465" w:history="1">
            <w:r w:rsidR="005D0A03">
              <w:rPr>
                <w:rStyle w:val="Hyperlink"/>
                <w:noProof/>
              </w:rPr>
              <w:t>2.1.</w:t>
            </w:r>
            <w:r w:rsidR="005D0A03">
              <w:rPr>
                <w:rFonts w:eastAsiaTheme="minorEastAsia"/>
                <w:noProof/>
                <w:lang w:eastAsia="en-GB"/>
              </w:rPr>
              <w:tab/>
            </w:r>
            <w:r w:rsidR="005D0A03">
              <w:rPr>
                <w:rStyle w:val="Hyperlink"/>
                <w:noProof/>
              </w:rPr>
              <w:t>What is the nature and size of the problem? What are its implications?</w:t>
            </w:r>
            <w:r w:rsidR="005D0A03">
              <w:rPr>
                <w:noProof/>
                <w:webHidden/>
              </w:rPr>
              <w:tab/>
            </w:r>
            <w:r w:rsidR="005D0A03">
              <w:rPr>
                <w:noProof/>
                <w:webHidden/>
              </w:rPr>
              <w:fldChar w:fldCharType="begin"/>
            </w:r>
            <w:r w:rsidR="005D0A03">
              <w:rPr>
                <w:noProof/>
                <w:webHidden/>
              </w:rPr>
              <w:instrText xml:space="preserve"> PAGEREF _Toc497141465 \h </w:instrText>
            </w:r>
            <w:r w:rsidR="005D0A03">
              <w:rPr>
                <w:noProof/>
                <w:webHidden/>
              </w:rPr>
            </w:r>
            <w:r w:rsidR="005D0A03">
              <w:rPr>
                <w:noProof/>
                <w:webHidden/>
              </w:rPr>
              <w:fldChar w:fldCharType="separate"/>
            </w:r>
            <w:r>
              <w:rPr>
                <w:noProof/>
                <w:webHidden/>
              </w:rPr>
              <w:t>10</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66" w:history="1">
            <w:r w:rsidR="005D0A03">
              <w:rPr>
                <w:rStyle w:val="Hyperlink"/>
                <w:noProof/>
              </w:rPr>
              <w:t>2.1.1.</w:t>
            </w:r>
            <w:r w:rsidR="005D0A03">
              <w:rPr>
                <w:rFonts w:eastAsiaTheme="minorEastAsia"/>
                <w:noProof/>
                <w:lang w:eastAsia="en-GB"/>
              </w:rPr>
              <w:tab/>
            </w:r>
            <w:r w:rsidR="005D0A03">
              <w:rPr>
                <w:rStyle w:val="Hyperlink"/>
                <w:noProof/>
              </w:rPr>
              <w:t>The Directive does not stimulate the public procurement of clean vehicles</w:t>
            </w:r>
            <w:r w:rsidR="005D0A03">
              <w:rPr>
                <w:noProof/>
                <w:webHidden/>
              </w:rPr>
              <w:tab/>
            </w:r>
            <w:r w:rsidR="005D0A03">
              <w:rPr>
                <w:noProof/>
                <w:webHidden/>
              </w:rPr>
              <w:fldChar w:fldCharType="begin"/>
            </w:r>
            <w:r w:rsidR="005D0A03">
              <w:rPr>
                <w:noProof/>
                <w:webHidden/>
              </w:rPr>
              <w:instrText xml:space="preserve"> PAGEREF _Toc497141466 \h </w:instrText>
            </w:r>
            <w:r w:rsidR="005D0A03">
              <w:rPr>
                <w:noProof/>
                <w:webHidden/>
              </w:rPr>
            </w:r>
            <w:r w:rsidR="005D0A03">
              <w:rPr>
                <w:noProof/>
                <w:webHidden/>
              </w:rPr>
              <w:fldChar w:fldCharType="separate"/>
            </w:r>
            <w:r>
              <w:rPr>
                <w:noProof/>
                <w:webHidden/>
              </w:rPr>
              <w:t>10</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67" w:history="1">
            <w:r w:rsidR="005D0A03">
              <w:rPr>
                <w:rStyle w:val="Hyperlink"/>
                <w:noProof/>
              </w:rPr>
              <w:t>2.1.2.</w:t>
            </w:r>
            <w:r w:rsidR="005D0A03">
              <w:rPr>
                <w:rFonts w:eastAsiaTheme="minorEastAsia"/>
                <w:noProof/>
                <w:lang w:eastAsia="en-GB"/>
              </w:rPr>
              <w:tab/>
            </w:r>
            <w:r w:rsidR="005D0A03">
              <w:rPr>
                <w:rStyle w:val="Hyperlink"/>
                <w:noProof/>
              </w:rPr>
              <w:t>Implication: Limited impact on general market uptake</w:t>
            </w:r>
            <w:r w:rsidR="005D0A03">
              <w:rPr>
                <w:noProof/>
                <w:webHidden/>
              </w:rPr>
              <w:tab/>
            </w:r>
            <w:r w:rsidR="005D0A03">
              <w:rPr>
                <w:noProof/>
                <w:webHidden/>
              </w:rPr>
              <w:fldChar w:fldCharType="begin"/>
            </w:r>
            <w:r w:rsidR="005D0A03">
              <w:rPr>
                <w:noProof/>
                <w:webHidden/>
              </w:rPr>
              <w:instrText xml:space="preserve"> PAGEREF _Toc497141467 \h </w:instrText>
            </w:r>
            <w:r w:rsidR="005D0A03">
              <w:rPr>
                <w:noProof/>
                <w:webHidden/>
              </w:rPr>
            </w:r>
            <w:r w:rsidR="005D0A03">
              <w:rPr>
                <w:noProof/>
                <w:webHidden/>
              </w:rPr>
              <w:fldChar w:fldCharType="separate"/>
            </w:r>
            <w:r>
              <w:rPr>
                <w:noProof/>
                <w:webHidden/>
              </w:rPr>
              <w:t>11</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68" w:history="1">
            <w:r w:rsidR="005D0A03">
              <w:rPr>
                <w:rStyle w:val="Hyperlink"/>
                <w:noProof/>
              </w:rPr>
              <w:t>2.1.3.</w:t>
            </w:r>
            <w:r w:rsidR="005D0A03">
              <w:rPr>
                <w:rFonts w:eastAsiaTheme="minorEastAsia"/>
                <w:noProof/>
                <w:lang w:eastAsia="en-GB"/>
              </w:rPr>
              <w:tab/>
            </w:r>
            <w:r w:rsidR="005D0A03">
              <w:rPr>
                <w:rStyle w:val="Hyperlink"/>
                <w:noProof/>
              </w:rPr>
              <w:t>Implication: no real impact on reducing GHG and air pollutant emissions from transport and increasing energy efficiency</w:t>
            </w:r>
            <w:r w:rsidR="005D0A03">
              <w:rPr>
                <w:noProof/>
                <w:webHidden/>
              </w:rPr>
              <w:tab/>
            </w:r>
            <w:r w:rsidR="005D0A03">
              <w:rPr>
                <w:noProof/>
                <w:webHidden/>
              </w:rPr>
              <w:fldChar w:fldCharType="begin"/>
            </w:r>
            <w:r w:rsidR="005D0A03">
              <w:rPr>
                <w:noProof/>
                <w:webHidden/>
              </w:rPr>
              <w:instrText xml:space="preserve"> PAGEREF _Toc497141468 \h </w:instrText>
            </w:r>
            <w:r w:rsidR="005D0A03">
              <w:rPr>
                <w:noProof/>
                <w:webHidden/>
              </w:rPr>
            </w:r>
            <w:r w:rsidR="005D0A03">
              <w:rPr>
                <w:noProof/>
                <w:webHidden/>
              </w:rPr>
              <w:fldChar w:fldCharType="separate"/>
            </w:r>
            <w:r>
              <w:rPr>
                <w:noProof/>
                <w:webHidden/>
              </w:rPr>
              <w:t>13</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69" w:history="1">
            <w:r w:rsidR="005D0A03">
              <w:rPr>
                <w:rStyle w:val="Hyperlink"/>
                <w:noProof/>
              </w:rPr>
              <w:t>2.1.4.</w:t>
            </w:r>
            <w:r w:rsidR="005D0A03">
              <w:rPr>
                <w:rFonts w:eastAsiaTheme="minorEastAsia"/>
                <w:noProof/>
                <w:lang w:eastAsia="en-GB"/>
              </w:rPr>
              <w:tab/>
            </w:r>
            <w:r w:rsidR="005D0A03">
              <w:rPr>
                <w:rStyle w:val="Hyperlink"/>
                <w:noProof/>
              </w:rPr>
              <w:t>Implication: No real support to EU industry competitiveness and growth</w:t>
            </w:r>
            <w:r w:rsidR="005D0A03">
              <w:rPr>
                <w:noProof/>
                <w:webHidden/>
              </w:rPr>
              <w:tab/>
            </w:r>
            <w:r w:rsidR="005D0A03">
              <w:rPr>
                <w:noProof/>
                <w:webHidden/>
              </w:rPr>
              <w:fldChar w:fldCharType="begin"/>
            </w:r>
            <w:r w:rsidR="005D0A03">
              <w:rPr>
                <w:noProof/>
                <w:webHidden/>
              </w:rPr>
              <w:instrText xml:space="preserve"> PAGEREF _Toc497141469 \h </w:instrText>
            </w:r>
            <w:r w:rsidR="005D0A03">
              <w:rPr>
                <w:noProof/>
                <w:webHidden/>
              </w:rPr>
            </w:r>
            <w:r w:rsidR="005D0A03">
              <w:rPr>
                <w:noProof/>
                <w:webHidden/>
              </w:rPr>
              <w:fldChar w:fldCharType="separate"/>
            </w:r>
            <w:r>
              <w:rPr>
                <w:noProof/>
                <w:webHidden/>
              </w:rPr>
              <w:t>14</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470" w:history="1">
            <w:r w:rsidR="005D0A03">
              <w:rPr>
                <w:rStyle w:val="Hyperlink"/>
                <w:noProof/>
              </w:rPr>
              <w:t>2.2.</w:t>
            </w:r>
            <w:r w:rsidR="005D0A03">
              <w:rPr>
                <w:rFonts w:eastAsiaTheme="minorEastAsia"/>
                <w:noProof/>
                <w:lang w:eastAsia="en-GB"/>
              </w:rPr>
              <w:tab/>
            </w:r>
            <w:r w:rsidR="005D0A03">
              <w:rPr>
                <w:rStyle w:val="Hyperlink"/>
                <w:noProof/>
              </w:rPr>
              <w:t>What are the main drivers of the problem?</w:t>
            </w:r>
            <w:r w:rsidR="005D0A03">
              <w:rPr>
                <w:noProof/>
                <w:webHidden/>
              </w:rPr>
              <w:tab/>
            </w:r>
            <w:r w:rsidR="005D0A03">
              <w:rPr>
                <w:noProof/>
                <w:webHidden/>
              </w:rPr>
              <w:fldChar w:fldCharType="begin"/>
            </w:r>
            <w:r w:rsidR="005D0A03">
              <w:rPr>
                <w:noProof/>
                <w:webHidden/>
              </w:rPr>
              <w:instrText xml:space="preserve"> PAGEREF _Toc497141470 \h </w:instrText>
            </w:r>
            <w:r w:rsidR="005D0A03">
              <w:rPr>
                <w:noProof/>
                <w:webHidden/>
              </w:rPr>
            </w:r>
            <w:r w:rsidR="005D0A03">
              <w:rPr>
                <w:noProof/>
                <w:webHidden/>
              </w:rPr>
              <w:fldChar w:fldCharType="separate"/>
            </w:r>
            <w:r>
              <w:rPr>
                <w:noProof/>
                <w:webHidden/>
              </w:rPr>
              <w:t>16</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71" w:history="1">
            <w:r w:rsidR="005D0A03">
              <w:rPr>
                <w:rStyle w:val="Hyperlink"/>
                <w:noProof/>
              </w:rPr>
              <w:t>2.2.1.</w:t>
            </w:r>
            <w:r w:rsidR="005D0A03">
              <w:rPr>
                <w:rFonts w:eastAsiaTheme="minorEastAsia"/>
                <w:noProof/>
                <w:lang w:eastAsia="en-GB"/>
              </w:rPr>
              <w:tab/>
            </w:r>
            <w:r w:rsidR="005D0A03">
              <w:rPr>
                <w:rStyle w:val="Hyperlink"/>
                <w:noProof/>
              </w:rPr>
              <w:t>Driver 1: Limited range of contracts covered by the Directive</w:t>
            </w:r>
            <w:r w:rsidR="005D0A03">
              <w:rPr>
                <w:noProof/>
                <w:webHidden/>
              </w:rPr>
              <w:tab/>
            </w:r>
            <w:r w:rsidR="005D0A03">
              <w:rPr>
                <w:noProof/>
                <w:webHidden/>
              </w:rPr>
              <w:fldChar w:fldCharType="begin"/>
            </w:r>
            <w:r w:rsidR="005D0A03">
              <w:rPr>
                <w:noProof/>
                <w:webHidden/>
              </w:rPr>
              <w:instrText xml:space="preserve"> PAGEREF _Toc497141471 \h </w:instrText>
            </w:r>
            <w:r w:rsidR="005D0A03">
              <w:rPr>
                <w:noProof/>
                <w:webHidden/>
              </w:rPr>
            </w:r>
            <w:r w:rsidR="005D0A03">
              <w:rPr>
                <w:noProof/>
                <w:webHidden/>
              </w:rPr>
              <w:fldChar w:fldCharType="separate"/>
            </w:r>
            <w:r>
              <w:rPr>
                <w:noProof/>
                <w:webHidden/>
              </w:rPr>
              <w:t>16</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72" w:history="1">
            <w:r w:rsidR="005D0A03">
              <w:rPr>
                <w:rStyle w:val="Hyperlink"/>
                <w:noProof/>
              </w:rPr>
              <w:t>2.2.2.</w:t>
            </w:r>
            <w:r w:rsidR="005D0A03">
              <w:rPr>
                <w:rFonts w:eastAsiaTheme="minorEastAsia"/>
                <w:noProof/>
                <w:lang w:eastAsia="en-GB"/>
              </w:rPr>
              <w:tab/>
            </w:r>
            <w:r w:rsidR="005D0A03">
              <w:rPr>
                <w:rStyle w:val="Hyperlink"/>
                <w:noProof/>
              </w:rPr>
              <w:t>Driver 2: Lack of clear, impactful vehicle purchase provisions</w:t>
            </w:r>
            <w:r w:rsidR="005D0A03">
              <w:rPr>
                <w:noProof/>
                <w:webHidden/>
              </w:rPr>
              <w:tab/>
            </w:r>
            <w:r w:rsidR="005D0A03">
              <w:rPr>
                <w:noProof/>
                <w:webHidden/>
              </w:rPr>
              <w:fldChar w:fldCharType="begin"/>
            </w:r>
            <w:r w:rsidR="005D0A03">
              <w:rPr>
                <w:noProof/>
                <w:webHidden/>
              </w:rPr>
              <w:instrText xml:space="preserve"> PAGEREF _Toc497141472 \h </w:instrText>
            </w:r>
            <w:r w:rsidR="005D0A03">
              <w:rPr>
                <w:noProof/>
                <w:webHidden/>
              </w:rPr>
            </w:r>
            <w:r w:rsidR="005D0A03">
              <w:rPr>
                <w:noProof/>
                <w:webHidden/>
              </w:rPr>
              <w:fldChar w:fldCharType="separate"/>
            </w:r>
            <w:r>
              <w:rPr>
                <w:noProof/>
                <w:webHidden/>
              </w:rPr>
              <w:t>18</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73" w:history="1">
            <w:r w:rsidR="005D0A03">
              <w:rPr>
                <w:rStyle w:val="Hyperlink"/>
                <w:noProof/>
              </w:rPr>
              <w:t>2.2.3.</w:t>
            </w:r>
            <w:r w:rsidR="005D0A03">
              <w:rPr>
                <w:rFonts w:eastAsiaTheme="minorEastAsia"/>
                <w:noProof/>
                <w:lang w:eastAsia="en-GB"/>
              </w:rPr>
              <w:tab/>
            </w:r>
            <w:r w:rsidR="005D0A03">
              <w:rPr>
                <w:rStyle w:val="Hyperlink"/>
                <w:noProof/>
              </w:rPr>
              <w:t>Driver 3: Complex provisions for the use of the monetisation methodology</w:t>
            </w:r>
            <w:r w:rsidR="005D0A03">
              <w:rPr>
                <w:noProof/>
                <w:webHidden/>
              </w:rPr>
              <w:tab/>
            </w:r>
            <w:r w:rsidR="005D0A03">
              <w:rPr>
                <w:noProof/>
                <w:webHidden/>
              </w:rPr>
              <w:fldChar w:fldCharType="begin"/>
            </w:r>
            <w:r w:rsidR="005D0A03">
              <w:rPr>
                <w:noProof/>
                <w:webHidden/>
              </w:rPr>
              <w:instrText xml:space="preserve"> PAGEREF _Toc497141473 \h </w:instrText>
            </w:r>
            <w:r w:rsidR="005D0A03">
              <w:rPr>
                <w:noProof/>
                <w:webHidden/>
              </w:rPr>
            </w:r>
            <w:r w:rsidR="005D0A03">
              <w:rPr>
                <w:noProof/>
                <w:webHidden/>
              </w:rPr>
              <w:fldChar w:fldCharType="separate"/>
            </w:r>
            <w:r>
              <w:rPr>
                <w:noProof/>
                <w:webHidden/>
              </w:rPr>
              <w:t>19</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474" w:history="1">
            <w:r w:rsidR="005D0A03">
              <w:rPr>
                <w:rStyle w:val="Hyperlink"/>
                <w:noProof/>
              </w:rPr>
              <w:t>2.3.</w:t>
            </w:r>
            <w:r w:rsidR="005D0A03">
              <w:rPr>
                <w:rFonts w:eastAsiaTheme="minorEastAsia"/>
                <w:noProof/>
                <w:lang w:eastAsia="en-GB"/>
              </w:rPr>
              <w:tab/>
            </w:r>
            <w:r w:rsidR="005D0A03">
              <w:rPr>
                <w:rStyle w:val="Hyperlink"/>
                <w:noProof/>
              </w:rPr>
              <w:t>Who is affected by the problem?</w:t>
            </w:r>
            <w:r w:rsidR="005D0A03">
              <w:rPr>
                <w:noProof/>
                <w:webHidden/>
              </w:rPr>
              <w:tab/>
            </w:r>
            <w:r w:rsidR="005D0A03">
              <w:rPr>
                <w:noProof/>
                <w:webHidden/>
              </w:rPr>
              <w:fldChar w:fldCharType="begin"/>
            </w:r>
            <w:r w:rsidR="005D0A03">
              <w:rPr>
                <w:noProof/>
                <w:webHidden/>
              </w:rPr>
              <w:instrText xml:space="preserve"> PAGEREF _Toc497141474 \h </w:instrText>
            </w:r>
            <w:r w:rsidR="005D0A03">
              <w:rPr>
                <w:noProof/>
                <w:webHidden/>
              </w:rPr>
            </w:r>
            <w:r w:rsidR="005D0A03">
              <w:rPr>
                <w:noProof/>
                <w:webHidden/>
              </w:rPr>
              <w:fldChar w:fldCharType="separate"/>
            </w:r>
            <w:r>
              <w:rPr>
                <w:noProof/>
                <w:webHidden/>
              </w:rPr>
              <w:t>20</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475" w:history="1">
            <w:r w:rsidR="005D0A03">
              <w:rPr>
                <w:rStyle w:val="Hyperlink"/>
                <w:noProof/>
              </w:rPr>
              <w:t>2.4.</w:t>
            </w:r>
            <w:r w:rsidR="005D0A03">
              <w:rPr>
                <w:rFonts w:eastAsiaTheme="minorEastAsia"/>
                <w:noProof/>
                <w:lang w:eastAsia="en-GB"/>
              </w:rPr>
              <w:tab/>
            </w:r>
            <w:r w:rsidR="005D0A03">
              <w:rPr>
                <w:rStyle w:val="Hyperlink"/>
                <w:noProof/>
              </w:rPr>
              <w:t>How would the problem evolve, all things being equal?</w:t>
            </w:r>
            <w:r w:rsidR="005D0A03">
              <w:rPr>
                <w:noProof/>
                <w:webHidden/>
              </w:rPr>
              <w:tab/>
            </w:r>
            <w:r w:rsidR="005D0A03">
              <w:rPr>
                <w:noProof/>
                <w:webHidden/>
              </w:rPr>
              <w:fldChar w:fldCharType="begin"/>
            </w:r>
            <w:r w:rsidR="005D0A03">
              <w:rPr>
                <w:noProof/>
                <w:webHidden/>
              </w:rPr>
              <w:instrText xml:space="preserve"> PAGEREF _Toc497141475 \h </w:instrText>
            </w:r>
            <w:r w:rsidR="005D0A03">
              <w:rPr>
                <w:noProof/>
                <w:webHidden/>
              </w:rPr>
            </w:r>
            <w:r w:rsidR="005D0A03">
              <w:rPr>
                <w:noProof/>
                <w:webHidden/>
              </w:rPr>
              <w:fldChar w:fldCharType="separate"/>
            </w:r>
            <w:r>
              <w:rPr>
                <w:noProof/>
                <w:webHidden/>
              </w:rPr>
              <w:t>20</w:t>
            </w:r>
            <w:r w:rsidR="005D0A03">
              <w:rPr>
                <w:noProof/>
                <w:webHidden/>
              </w:rPr>
              <w:fldChar w:fldCharType="end"/>
            </w:r>
          </w:hyperlink>
        </w:p>
        <w:p w:rsidR="002E508F" w:rsidRDefault="00A57FA5">
          <w:pPr>
            <w:pStyle w:val="TOC1"/>
            <w:rPr>
              <w:rFonts w:eastAsiaTheme="minorEastAsia"/>
              <w:caps w:val="0"/>
              <w:noProof/>
              <w:lang w:eastAsia="en-GB"/>
            </w:rPr>
          </w:pPr>
          <w:hyperlink w:anchor="_Toc497141476" w:history="1">
            <w:r w:rsidR="005D0A03">
              <w:rPr>
                <w:rStyle w:val="Hyperlink"/>
                <w:noProof/>
              </w:rPr>
              <w:t>3.</w:t>
            </w:r>
            <w:r w:rsidR="005D0A03">
              <w:rPr>
                <w:rFonts w:eastAsiaTheme="minorEastAsia"/>
                <w:caps w:val="0"/>
                <w:noProof/>
                <w:lang w:eastAsia="en-GB"/>
              </w:rPr>
              <w:tab/>
            </w:r>
            <w:r w:rsidR="005D0A03">
              <w:rPr>
                <w:rStyle w:val="Hyperlink"/>
                <w:noProof/>
              </w:rPr>
              <w:t>Why should the EU act?</w:t>
            </w:r>
            <w:r w:rsidR="005D0A03">
              <w:rPr>
                <w:noProof/>
                <w:webHidden/>
              </w:rPr>
              <w:tab/>
            </w:r>
            <w:r w:rsidR="005D0A03">
              <w:rPr>
                <w:noProof/>
                <w:webHidden/>
              </w:rPr>
              <w:fldChar w:fldCharType="begin"/>
            </w:r>
            <w:r w:rsidR="005D0A03">
              <w:rPr>
                <w:noProof/>
                <w:webHidden/>
              </w:rPr>
              <w:instrText xml:space="preserve"> PAGEREF _Toc497141476 \h </w:instrText>
            </w:r>
            <w:r w:rsidR="005D0A03">
              <w:rPr>
                <w:noProof/>
                <w:webHidden/>
              </w:rPr>
            </w:r>
            <w:r w:rsidR="005D0A03">
              <w:rPr>
                <w:noProof/>
                <w:webHidden/>
              </w:rPr>
              <w:fldChar w:fldCharType="separate"/>
            </w:r>
            <w:r>
              <w:rPr>
                <w:noProof/>
                <w:webHidden/>
              </w:rPr>
              <w:t>23</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477" w:history="1">
            <w:r w:rsidR="005D0A03">
              <w:rPr>
                <w:rStyle w:val="Hyperlink"/>
                <w:noProof/>
              </w:rPr>
              <w:t>3.1.</w:t>
            </w:r>
            <w:r w:rsidR="005D0A03">
              <w:rPr>
                <w:rFonts w:eastAsiaTheme="minorEastAsia"/>
                <w:noProof/>
                <w:lang w:eastAsia="en-GB"/>
              </w:rPr>
              <w:tab/>
            </w:r>
            <w:r w:rsidR="005D0A03">
              <w:rPr>
                <w:rStyle w:val="Hyperlink"/>
                <w:noProof/>
              </w:rPr>
              <w:t>The EU's right to act</w:t>
            </w:r>
            <w:r w:rsidR="005D0A03">
              <w:rPr>
                <w:noProof/>
                <w:webHidden/>
              </w:rPr>
              <w:tab/>
            </w:r>
            <w:r w:rsidR="005D0A03">
              <w:rPr>
                <w:noProof/>
                <w:webHidden/>
              </w:rPr>
              <w:fldChar w:fldCharType="begin"/>
            </w:r>
            <w:r w:rsidR="005D0A03">
              <w:rPr>
                <w:noProof/>
                <w:webHidden/>
              </w:rPr>
              <w:instrText xml:space="preserve"> PAGEREF _Toc497141477 \h </w:instrText>
            </w:r>
            <w:r w:rsidR="005D0A03">
              <w:rPr>
                <w:noProof/>
                <w:webHidden/>
              </w:rPr>
            </w:r>
            <w:r w:rsidR="005D0A03">
              <w:rPr>
                <w:noProof/>
                <w:webHidden/>
              </w:rPr>
              <w:fldChar w:fldCharType="separate"/>
            </w:r>
            <w:r>
              <w:rPr>
                <w:noProof/>
                <w:webHidden/>
              </w:rPr>
              <w:t>23</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478" w:history="1">
            <w:r w:rsidR="005D0A03">
              <w:rPr>
                <w:rStyle w:val="Hyperlink"/>
                <w:noProof/>
              </w:rPr>
              <w:t>3.2.</w:t>
            </w:r>
            <w:r w:rsidR="005D0A03">
              <w:rPr>
                <w:rFonts w:eastAsiaTheme="minorEastAsia"/>
                <w:noProof/>
                <w:lang w:eastAsia="en-GB"/>
              </w:rPr>
              <w:tab/>
            </w:r>
            <w:r w:rsidR="005D0A03">
              <w:rPr>
                <w:rStyle w:val="Hyperlink"/>
                <w:noProof/>
              </w:rPr>
              <w:t>Subsidiarity check</w:t>
            </w:r>
            <w:r w:rsidR="005D0A03">
              <w:rPr>
                <w:noProof/>
                <w:webHidden/>
              </w:rPr>
              <w:tab/>
            </w:r>
            <w:r w:rsidR="005D0A03">
              <w:rPr>
                <w:noProof/>
                <w:webHidden/>
              </w:rPr>
              <w:fldChar w:fldCharType="begin"/>
            </w:r>
            <w:r w:rsidR="005D0A03">
              <w:rPr>
                <w:noProof/>
                <w:webHidden/>
              </w:rPr>
              <w:instrText xml:space="preserve"> PAGEREF _Toc497141478 \h </w:instrText>
            </w:r>
            <w:r w:rsidR="005D0A03">
              <w:rPr>
                <w:noProof/>
                <w:webHidden/>
              </w:rPr>
            </w:r>
            <w:r w:rsidR="005D0A03">
              <w:rPr>
                <w:noProof/>
                <w:webHidden/>
              </w:rPr>
              <w:fldChar w:fldCharType="separate"/>
            </w:r>
            <w:r>
              <w:rPr>
                <w:noProof/>
                <w:webHidden/>
              </w:rPr>
              <w:t>23</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479" w:history="1">
            <w:r w:rsidR="005D0A03">
              <w:rPr>
                <w:rStyle w:val="Hyperlink"/>
                <w:noProof/>
              </w:rPr>
              <w:t>3.3.</w:t>
            </w:r>
            <w:r w:rsidR="005D0A03">
              <w:rPr>
                <w:rFonts w:eastAsiaTheme="minorEastAsia"/>
                <w:noProof/>
                <w:lang w:eastAsia="en-GB"/>
              </w:rPr>
              <w:tab/>
            </w:r>
            <w:r w:rsidR="005D0A03">
              <w:rPr>
                <w:rStyle w:val="Hyperlink"/>
                <w:noProof/>
              </w:rPr>
              <w:t>EU added value</w:t>
            </w:r>
            <w:r w:rsidR="005D0A03">
              <w:rPr>
                <w:noProof/>
                <w:webHidden/>
              </w:rPr>
              <w:tab/>
            </w:r>
            <w:r w:rsidR="005D0A03">
              <w:rPr>
                <w:noProof/>
                <w:webHidden/>
              </w:rPr>
              <w:fldChar w:fldCharType="begin"/>
            </w:r>
            <w:r w:rsidR="005D0A03">
              <w:rPr>
                <w:noProof/>
                <w:webHidden/>
              </w:rPr>
              <w:instrText xml:space="preserve"> PAGEREF _Toc497141479 \h </w:instrText>
            </w:r>
            <w:r w:rsidR="005D0A03">
              <w:rPr>
                <w:noProof/>
                <w:webHidden/>
              </w:rPr>
            </w:r>
            <w:r w:rsidR="005D0A03">
              <w:rPr>
                <w:noProof/>
                <w:webHidden/>
              </w:rPr>
              <w:fldChar w:fldCharType="separate"/>
            </w:r>
            <w:r>
              <w:rPr>
                <w:noProof/>
                <w:webHidden/>
              </w:rPr>
              <w:t>23</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480" w:history="1">
            <w:r w:rsidR="005D0A03">
              <w:rPr>
                <w:rStyle w:val="Hyperlink"/>
                <w:noProof/>
              </w:rPr>
              <w:t>3.4.</w:t>
            </w:r>
            <w:r w:rsidR="005D0A03">
              <w:rPr>
                <w:rFonts w:eastAsiaTheme="minorEastAsia"/>
                <w:noProof/>
                <w:lang w:eastAsia="en-GB"/>
              </w:rPr>
              <w:tab/>
            </w:r>
            <w:r w:rsidR="005D0A03">
              <w:rPr>
                <w:rStyle w:val="Hyperlink"/>
                <w:noProof/>
              </w:rPr>
              <w:t>Why act now?</w:t>
            </w:r>
            <w:r w:rsidR="005D0A03">
              <w:rPr>
                <w:noProof/>
                <w:webHidden/>
              </w:rPr>
              <w:tab/>
            </w:r>
            <w:r w:rsidR="005D0A03">
              <w:rPr>
                <w:noProof/>
                <w:webHidden/>
              </w:rPr>
              <w:fldChar w:fldCharType="begin"/>
            </w:r>
            <w:r w:rsidR="005D0A03">
              <w:rPr>
                <w:noProof/>
                <w:webHidden/>
              </w:rPr>
              <w:instrText xml:space="preserve"> PAGEREF _Toc497141480 \h </w:instrText>
            </w:r>
            <w:r w:rsidR="005D0A03">
              <w:rPr>
                <w:noProof/>
                <w:webHidden/>
              </w:rPr>
            </w:r>
            <w:r w:rsidR="005D0A03">
              <w:rPr>
                <w:noProof/>
                <w:webHidden/>
              </w:rPr>
              <w:fldChar w:fldCharType="separate"/>
            </w:r>
            <w:r>
              <w:rPr>
                <w:noProof/>
                <w:webHidden/>
              </w:rPr>
              <w:t>24</w:t>
            </w:r>
            <w:r w:rsidR="005D0A03">
              <w:rPr>
                <w:noProof/>
                <w:webHidden/>
              </w:rPr>
              <w:fldChar w:fldCharType="end"/>
            </w:r>
          </w:hyperlink>
        </w:p>
        <w:p w:rsidR="002E508F" w:rsidRDefault="00A57FA5">
          <w:pPr>
            <w:pStyle w:val="TOC1"/>
            <w:rPr>
              <w:rFonts w:eastAsiaTheme="minorEastAsia"/>
              <w:caps w:val="0"/>
              <w:noProof/>
              <w:lang w:eastAsia="en-GB"/>
            </w:rPr>
          </w:pPr>
          <w:hyperlink w:anchor="_Toc497141481" w:history="1">
            <w:r w:rsidR="005D0A03">
              <w:rPr>
                <w:rStyle w:val="Hyperlink"/>
                <w:noProof/>
              </w:rPr>
              <w:t>4.</w:t>
            </w:r>
            <w:r w:rsidR="005D0A03">
              <w:rPr>
                <w:rFonts w:eastAsiaTheme="minorEastAsia"/>
                <w:caps w:val="0"/>
                <w:noProof/>
                <w:lang w:eastAsia="en-GB"/>
              </w:rPr>
              <w:tab/>
            </w:r>
            <w:r w:rsidR="005D0A03">
              <w:rPr>
                <w:rStyle w:val="Hyperlink"/>
                <w:noProof/>
              </w:rPr>
              <w:t>What should be achieved?</w:t>
            </w:r>
            <w:r w:rsidR="005D0A03">
              <w:rPr>
                <w:noProof/>
                <w:webHidden/>
              </w:rPr>
              <w:tab/>
            </w:r>
            <w:r w:rsidR="005D0A03">
              <w:rPr>
                <w:noProof/>
                <w:webHidden/>
              </w:rPr>
              <w:fldChar w:fldCharType="begin"/>
            </w:r>
            <w:r w:rsidR="005D0A03">
              <w:rPr>
                <w:noProof/>
                <w:webHidden/>
              </w:rPr>
              <w:instrText xml:space="preserve"> PAGEREF _Toc497141481 \h </w:instrText>
            </w:r>
            <w:r w:rsidR="005D0A03">
              <w:rPr>
                <w:noProof/>
                <w:webHidden/>
              </w:rPr>
            </w:r>
            <w:r w:rsidR="005D0A03">
              <w:rPr>
                <w:noProof/>
                <w:webHidden/>
              </w:rPr>
              <w:fldChar w:fldCharType="separate"/>
            </w:r>
            <w:r>
              <w:rPr>
                <w:noProof/>
                <w:webHidden/>
              </w:rPr>
              <w:t>27</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482" w:history="1">
            <w:r w:rsidR="005D0A03">
              <w:rPr>
                <w:rStyle w:val="Hyperlink"/>
                <w:noProof/>
              </w:rPr>
              <w:t>4.1.</w:t>
            </w:r>
            <w:r w:rsidR="005D0A03">
              <w:rPr>
                <w:rFonts w:eastAsiaTheme="minorEastAsia"/>
                <w:noProof/>
                <w:lang w:eastAsia="en-GB"/>
              </w:rPr>
              <w:tab/>
            </w:r>
            <w:r w:rsidR="005D0A03">
              <w:rPr>
                <w:rStyle w:val="Hyperlink"/>
                <w:noProof/>
              </w:rPr>
              <w:t>General and specific objectives</w:t>
            </w:r>
            <w:r w:rsidR="005D0A03">
              <w:rPr>
                <w:noProof/>
                <w:webHidden/>
              </w:rPr>
              <w:tab/>
            </w:r>
            <w:r w:rsidR="005D0A03">
              <w:rPr>
                <w:noProof/>
                <w:webHidden/>
              </w:rPr>
              <w:fldChar w:fldCharType="begin"/>
            </w:r>
            <w:r w:rsidR="005D0A03">
              <w:rPr>
                <w:noProof/>
                <w:webHidden/>
              </w:rPr>
              <w:instrText xml:space="preserve"> PAGEREF _Toc497141482 \h </w:instrText>
            </w:r>
            <w:r w:rsidR="005D0A03">
              <w:rPr>
                <w:noProof/>
                <w:webHidden/>
              </w:rPr>
            </w:r>
            <w:r w:rsidR="005D0A03">
              <w:rPr>
                <w:noProof/>
                <w:webHidden/>
              </w:rPr>
              <w:fldChar w:fldCharType="separate"/>
            </w:r>
            <w:r>
              <w:rPr>
                <w:noProof/>
                <w:webHidden/>
              </w:rPr>
              <w:t>27</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483" w:history="1">
            <w:r w:rsidR="005D0A03">
              <w:rPr>
                <w:rStyle w:val="Hyperlink"/>
                <w:noProof/>
              </w:rPr>
              <w:t>4.2.</w:t>
            </w:r>
            <w:r w:rsidR="005D0A03">
              <w:rPr>
                <w:rFonts w:eastAsiaTheme="minorEastAsia"/>
                <w:noProof/>
                <w:lang w:eastAsia="en-GB"/>
              </w:rPr>
              <w:tab/>
            </w:r>
            <w:r w:rsidR="005D0A03">
              <w:rPr>
                <w:rStyle w:val="Hyperlink"/>
                <w:noProof/>
              </w:rPr>
              <w:t>Links to the problem, synergies and trade-offs</w:t>
            </w:r>
            <w:r w:rsidR="005D0A03">
              <w:rPr>
                <w:noProof/>
                <w:webHidden/>
              </w:rPr>
              <w:tab/>
            </w:r>
            <w:r w:rsidR="005D0A03">
              <w:rPr>
                <w:noProof/>
                <w:webHidden/>
              </w:rPr>
              <w:fldChar w:fldCharType="begin"/>
            </w:r>
            <w:r w:rsidR="005D0A03">
              <w:rPr>
                <w:noProof/>
                <w:webHidden/>
              </w:rPr>
              <w:instrText xml:space="preserve"> PAGEREF _Toc497141483 \h </w:instrText>
            </w:r>
            <w:r w:rsidR="005D0A03">
              <w:rPr>
                <w:noProof/>
                <w:webHidden/>
              </w:rPr>
            </w:r>
            <w:r w:rsidR="005D0A03">
              <w:rPr>
                <w:noProof/>
                <w:webHidden/>
              </w:rPr>
              <w:fldChar w:fldCharType="separate"/>
            </w:r>
            <w:r>
              <w:rPr>
                <w:noProof/>
                <w:webHidden/>
              </w:rPr>
              <w:t>27</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484" w:history="1">
            <w:r w:rsidR="005D0A03">
              <w:rPr>
                <w:rStyle w:val="Hyperlink"/>
                <w:noProof/>
              </w:rPr>
              <w:t>4.3.</w:t>
            </w:r>
            <w:r w:rsidR="005D0A03">
              <w:rPr>
                <w:rFonts w:eastAsiaTheme="minorEastAsia"/>
                <w:noProof/>
                <w:lang w:eastAsia="en-GB"/>
              </w:rPr>
              <w:tab/>
            </w:r>
            <w:r w:rsidR="005D0A03">
              <w:rPr>
                <w:rStyle w:val="Hyperlink"/>
                <w:noProof/>
              </w:rPr>
              <w:t>Consistency with other EU policies and Charter of Fundamental Rights</w:t>
            </w:r>
            <w:r w:rsidR="005D0A03">
              <w:rPr>
                <w:noProof/>
                <w:webHidden/>
              </w:rPr>
              <w:tab/>
            </w:r>
            <w:r w:rsidR="005D0A03">
              <w:rPr>
                <w:noProof/>
                <w:webHidden/>
              </w:rPr>
              <w:fldChar w:fldCharType="begin"/>
            </w:r>
            <w:r w:rsidR="005D0A03">
              <w:rPr>
                <w:noProof/>
                <w:webHidden/>
              </w:rPr>
              <w:instrText xml:space="preserve"> PAGEREF _Toc497141484 \h </w:instrText>
            </w:r>
            <w:r w:rsidR="005D0A03">
              <w:rPr>
                <w:noProof/>
                <w:webHidden/>
              </w:rPr>
            </w:r>
            <w:r w:rsidR="005D0A03">
              <w:rPr>
                <w:noProof/>
                <w:webHidden/>
              </w:rPr>
              <w:fldChar w:fldCharType="separate"/>
            </w:r>
            <w:r>
              <w:rPr>
                <w:noProof/>
                <w:webHidden/>
              </w:rPr>
              <w:t>28</w:t>
            </w:r>
            <w:r w:rsidR="005D0A03">
              <w:rPr>
                <w:noProof/>
                <w:webHidden/>
              </w:rPr>
              <w:fldChar w:fldCharType="end"/>
            </w:r>
          </w:hyperlink>
        </w:p>
        <w:p w:rsidR="002E508F" w:rsidRDefault="00A57FA5">
          <w:pPr>
            <w:pStyle w:val="TOC1"/>
            <w:rPr>
              <w:rFonts w:eastAsiaTheme="minorEastAsia"/>
              <w:caps w:val="0"/>
              <w:noProof/>
              <w:lang w:eastAsia="en-GB"/>
            </w:rPr>
          </w:pPr>
          <w:hyperlink w:anchor="_Toc497141485" w:history="1">
            <w:r w:rsidR="005D0A03">
              <w:rPr>
                <w:rStyle w:val="Hyperlink"/>
                <w:noProof/>
              </w:rPr>
              <w:t>5.</w:t>
            </w:r>
            <w:r w:rsidR="005D0A03">
              <w:rPr>
                <w:rFonts w:eastAsiaTheme="minorEastAsia"/>
                <w:caps w:val="0"/>
                <w:noProof/>
                <w:lang w:eastAsia="en-GB"/>
              </w:rPr>
              <w:tab/>
            </w:r>
            <w:r w:rsidR="005D0A03">
              <w:rPr>
                <w:rStyle w:val="Hyperlink"/>
                <w:noProof/>
              </w:rPr>
              <w:t>What are the various options to achieve the objective?</w:t>
            </w:r>
            <w:r w:rsidR="005D0A03">
              <w:rPr>
                <w:noProof/>
                <w:webHidden/>
              </w:rPr>
              <w:tab/>
            </w:r>
            <w:r w:rsidR="005D0A03">
              <w:rPr>
                <w:noProof/>
                <w:webHidden/>
              </w:rPr>
              <w:fldChar w:fldCharType="begin"/>
            </w:r>
            <w:r w:rsidR="005D0A03">
              <w:rPr>
                <w:noProof/>
                <w:webHidden/>
              </w:rPr>
              <w:instrText xml:space="preserve"> PAGEREF _Toc497141485 \h </w:instrText>
            </w:r>
            <w:r w:rsidR="005D0A03">
              <w:rPr>
                <w:noProof/>
                <w:webHidden/>
              </w:rPr>
            </w:r>
            <w:r w:rsidR="005D0A03">
              <w:rPr>
                <w:noProof/>
                <w:webHidden/>
              </w:rPr>
              <w:fldChar w:fldCharType="separate"/>
            </w:r>
            <w:r>
              <w:rPr>
                <w:noProof/>
                <w:webHidden/>
              </w:rPr>
              <w:t>29</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486" w:history="1">
            <w:r w:rsidR="005D0A03">
              <w:rPr>
                <w:rStyle w:val="Hyperlink"/>
                <w:noProof/>
              </w:rPr>
              <w:t>5.1.</w:t>
            </w:r>
            <w:r w:rsidR="005D0A03">
              <w:rPr>
                <w:rFonts w:eastAsiaTheme="minorEastAsia"/>
                <w:noProof/>
                <w:lang w:eastAsia="en-GB"/>
              </w:rPr>
              <w:tab/>
            </w:r>
            <w:r w:rsidR="005D0A03">
              <w:rPr>
                <w:rStyle w:val="Hyperlink"/>
                <w:noProof/>
              </w:rPr>
              <w:t>Preliminary screening of potential measures to achieve the stated objectives</w:t>
            </w:r>
            <w:r w:rsidR="005D0A03">
              <w:rPr>
                <w:noProof/>
                <w:webHidden/>
              </w:rPr>
              <w:tab/>
            </w:r>
            <w:r w:rsidR="005D0A03">
              <w:rPr>
                <w:noProof/>
                <w:webHidden/>
              </w:rPr>
              <w:fldChar w:fldCharType="begin"/>
            </w:r>
            <w:r w:rsidR="005D0A03">
              <w:rPr>
                <w:noProof/>
                <w:webHidden/>
              </w:rPr>
              <w:instrText xml:space="preserve"> PAGEREF _Toc497141486 \h </w:instrText>
            </w:r>
            <w:r w:rsidR="005D0A03">
              <w:rPr>
                <w:noProof/>
                <w:webHidden/>
              </w:rPr>
            </w:r>
            <w:r w:rsidR="005D0A03">
              <w:rPr>
                <w:noProof/>
                <w:webHidden/>
              </w:rPr>
              <w:fldChar w:fldCharType="separate"/>
            </w:r>
            <w:r>
              <w:rPr>
                <w:noProof/>
                <w:webHidden/>
              </w:rPr>
              <w:t>29</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87" w:history="1">
            <w:r w:rsidR="005D0A03">
              <w:rPr>
                <w:rStyle w:val="Hyperlink"/>
                <w:noProof/>
              </w:rPr>
              <w:t>5.1.1.</w:t>
            </w:r>
            <w:r w:rsidR="005D0A03">
              <w:rPr>
                <w:rFonts w:eastAsiaTheme="minorEastAsia"/>
                <w:noProof/>
                <w:lang w:eastAsia="en-GB"/>
              </w:rPr>
              <w:tab/>
            </w:r>
            <w:r w:rsidR="005D0A03">
              <w:rPr>
                <w:rStyle w:val="Hyperlink"/>
                <w:noProof/>
              </w:rPr>
              <w:t>Potential measures to ensure that the Directive covers all relevant procurement practices</w:t>
            </w:r>
            <w:r w:rsidR="005D0A03">
              <w:rPr>
                <w:noProof/>
                <w:webHidden/>
              </w:rPr>
              <w:tab/>
            </w:r>
            <w:r w:rsidR="005D0A03">
              <w:rPr>
                <w:noProof/>
                <w:webHidden/>
              </w:rPr>
              <w:fldChar w:fldCharType="begin"/>
            </w:r>
            <w:r w:rsidR="005D0A03">
              <w:rPr>
                <w:noProof/>
                <w:webHidden/>
              </w:rPr>
              <w:instrText xml:space="preserve"> PAGEREF _Toc497141487 \h </w:instrText>
            </w:r>
            <w:r w:rsidR="005D0A03">
              <w:rPr>
                <w:noProof/>
                <w:webHidden/>
              </w:rPr>
            </w:r>
            <w:r w:rsidR="005D0A03">
              <w:rPr>
                <w:noProof/>
                <w:webHidden/>
              </w:rPr>
              <w:fldChar w:fldCharType="separate"/>
            </w:r>
            <w:r>
              <w:rPr>
                <w:noProof/>
                <w:webHidden/>
              </w:rPr>
              <w:t>29</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88" w:history="1">
            <w:r w:rsidR="005D0A03">
              <w:rPr>
                <w:rStyle w:val="Hyperlink"/>
                <w:noProof/>
              </w:rPr>
              <w:t>5.1.2.</w:t>
            </w:r>
            <w:r w:rsidR="005D0A03">
              <w:rPr>
                <w:rFonts w:eastAsiaTheme="minorEastAsia"/>
                <w:noProof/>
                <w:lang w:eastAsia="en-GB"/>
              </w:rPr>
              <w:tab/>
            </w:r>
            <w:r w:rsidR="005D0A03">
              <w:rPr>
                <w:rStyle w:val="Hyperlink"/>
                <w:noProof/>
              </w:rPr>
              <w:t>Potential measures to ensure clear, impactful vehicle purchase provisions</w:t>
            </w:r>
            <w:r w:rsidR="005D0A03">
              <w:rPr>
                <w:noProof/>
                <w:webHidden/>
              </w:rPr>
              <w:tab/>
            </w:r>
            <w:r w:rsidR="005D0A03">
              <w:rPr>
                <w:noProof/>
                <w:webHidden/>
              </w:rPr>
              <w:fldChar w:fldCharType="begin"/>
            </w:r>
            <w:r w:rsidR="005D0A03">
              <w:rPr>
                <w:noProof/>
                <w:webHidden/>
              </w:rPr>
              <w:instrText xml:space="preserve"> PAGEREF _Toc497141488 \h </w:instrText>
            </w:r>
            <w:r w:rsidR="005D0A03">
              <w:rPr>
                <w:noProof/>
                <w:webHidden/>
              </w:rPr>
            </w:r>
            <w:r w:rsidR="005D0A03">
              <w:rPr>
                <w:noProof/>
                <w:webHidden/>
              </w:rPr>
              <w:fldChar w:fldCharType="separate"/>
            </w:r>
            <w:r>
              <w:rPr>
                <w:noProof/>
                <w:webHidden/>
              </w:rPr>
              <w:t>31</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89" w:history="1">
            <w:r w:rsidR="005D0A03">
              <w:rPr>
                <w:rStyle w:val="Hyperlink"/>
                <w:noProof/>
              </w:rPr>
              <w:t>5.1.3.</w:t>
            </w:r>
            <w:r w:rsidR="005D0A03">
              <w:rPr>
                <w:rFonts w:eastAsiaTheme="minorEastAsia"/>
                <w:noProof/>
                <w:lang w:eastAsia="en-GB"/>
              </w:rPr>
              <w:tab/>
            </w:r>
            <w:r w:rsidR="005D0A03">
              <w:rPr>
                <w:rStyle w:val="Hyperlink"/>
                <w:noProof/>
              </w:rPr>
              <w:t>Potential measures to ensure simplified, more effective to use provisions</w:t>
            </w:r>
            <w:r w:rsidR="005D0A03">
              <w:rPr>
                <w:noProof/>
                <w:webHidden/>
              </w:rPr>
              <w:tab/>
            </w:r>
            <w:r w:rsidR="005D0A03">
              <w:rPr>
                <w:noProof/>
                <w:webHidden/>
              </w:rPr>
              <w:fldChar w:fldCharType="begin"/>
            </w:r>
            <w:r w:rsidR="005D0A03">
              <w:rPr>
                <w:noProof/>
                <w:webHidden/>
              </w:rPr>
              <w:instrText xml:space="preserve"> PAGEREF _Toc497141489 \h </w:instrText>
            </w:r>
            <w:r w:rsidR="005D0A03">
              <w:rPr>
                <w:noProof/>
                <w:webHidden/>
              </w:rPr>
            </w:r>
            <w:r w:rsidR="005D0A03">
              <w:rPr>
                <w:noProof/>
                <w:webHidden/>
              </w:rPr>
              <w:fldChar w:fldCharType="separate"/>
            </w:r>
            <w:r>
              <w:rPr>
                <w:noProof/>
                <w:webHidden/>
              </w:rPr>
              <w:t>39</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490" w:history="1">
            <w:r w:rsidR="005D0A03">
              <w:rPr>
                <w:rStyle w:val="Hyperlink"/>
                <w:noProof/>
              </w:rPr>
              <w:t>5.2.</w:t>
            </w:r>
            <w:r w:rsidR="005D0A03">
              <w:rPr>
                <w:rFonts w:eastAsiaTheme="minorEastAsia"/>
                <w:noProof/>
                <w:lang w:eastAsia="en-GB"/>
              </w:rPr>
              <w:tab/>
            </w:r>
            <w:r w:rsidR="005D0A03">
              <w:rPr>
                <w:rStyle w:val="Hyperlink"/>
                <w:noProof/>
              </w:rPr>
              <w:t>Principle approaches to the design of policy options</w:t>
            </w:r>
            <w:r w:rsidR="005D0A03">
              <w:rPr>
                <w:noProof/>
                <w:webHidden/>
              </w:rPr>
              <w:tab/>
            </w:r>
            <w:r w:rsidR="005D0A03">
              <w:rPr>
                <w:noProof/>
                <w:webHidden/>
              </w:rPr>
              <w:fldChar w:fldCharType="begin"/>
            </w:r>
            <w:r w:rsidR="005D0A03">
              <w:rPr>
                <w:noProof/>
                <w:webHidden/>
              </w:rPr>
              <w:instrText xml:space="preserve"> PAGEREF _Toc497141490 \h </w:instrText>
            </w:r>
            <w:r w:rsidR="005D0A03">
              <w:rPr>
                <w:noProof/>
                <w:webHidden/>
              </w:rPr>
            </w:r>
            <w:r w:rsidR="005D0A03">
              <w:rPr>
                <w:noProof/>
                <w:webHidden/>
              </w:rPr>
              <w:fldChar w:fldCharType="separate"/>
            </w:r>
            <w:r>
              <w:rPr>
                <w:noProof/>
                <w:webHidden/>
              </w:rPr>
              <w:t>40</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491" w:history="1">
            <w:r w:rsidR="005D0A03">
              <w:rPr>
                <w:rStyle w:val="Hyperlink"/>
                <w:noProof/>
              </w:rPr>
              <w:t>5.3.</w:t>
            </w:r>
            <w:r w:rsidR="005D0A03">
              <w:rPr>
                <w:rFonts w:eastAsiaTheme="minorEastAsia"/>
                <w:noProof/>
                <w:lang w:eastAsia="en-GB"/>
              </w:rPr>
              <w:tab/>
            </w:r>
            <w:r w:rsidR="005D0A03">
              <w:rPr>
                <w:rStyle w:val="Hyperlink"/>
                <w:noProof/>
              </w:rPr>
              <w:t>Policy options</w:t>
            </w:r>
            <w:r w:rsidR="005D0A03">
              <w:rPr>
                <w:noProof/>
                <w:webHidden/>
              </w:rPr>
              <w:tab/>
            </w:r>
            <w:r w:rsidR="005D0A03">
              <w:rPr>
                <w:noProof/>
                <w:webHidden/>
              </w:rPr>
              <w:fldChar w:fldCharType="begin"/>
            </w:r>
            <w:r w:rsidR="005D0A03">
              <w:rPr>
                <w:noProof/>
                <w:webHidden/>
              </w:rPr>
              <w:instrText xml:space="preserve"> PAGEREF _Toc497141491 \h </w:instrText>
            </w:r>
            <w:r w:rsidR="005D0A03">
              <w:rPr>
                <w:noProof/>
                <w:webHidden/>
              </w:rPr>
            </w:r>
            <w:r w:rsidR="005D0A03">
              <w:rPr>
                <w:noProof/>
                <w:webHidden/>
              </w:rPr>
              <w:fldChar w:fldCharType="separate"/>
            </w:r>
            <w:r>
              <w:rPr>
                <w:noProof/>
                <w:webHidden/>
              </w:rPr>
              <w:t>41</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92" w:history="1">
            <w:r w:rsidR="005D0A03">
              <w:rPr>
                <w:rStyle w:val="Hyperlink"/>
                <w:noProof/>
              </w:rPr>
              <w:t>5.3.1.</w:t>
            </w:r>
            <w:r w:rsidR="005D0A03">
              <w:rPr>
                <w:rFonts w:eastAsiaTheme="minorEastAsia"/>
                <w:noProof/>
                <w:lang w:eastAsia="en-GB"/>
              </w:rPr>
              <w:tab/>
            </w:r>
            <w:r w:rsidR="005D0A03">
              <w:rPr>
                <w:rStyle w:val="Hyperlink"/>
                <w:noProof/>
              </w:rPr>
              <w:t>Overview of policy options</w:t>
            </w:r>
            <w:r w:rsidR="005D0A03">
              <w:rPr>
                <w:noProof/>
                <w:webHidden/>
              </w:rPr>
              <w:tab/>
            </w:r>
            <w:r w:rsidR="005D0A03">
              <w:rPr>
                <w:noProof/>
                <w:webHidden/>
              </w:rPr>
              <w:fldChar w:fldCharType="begin"/>
            </w:r>
            <w:r w:rsidR="005D0A03">
              <w:rPr>
                <w:noProof/>
                <w:webHidden/>
              </w:rPr>
              <w:instrText xml:space="preserve"> PAGEREF _Toc497141492 \h </w:instrText>
            </w:r>
            <w:r w:rsidR="005D0A03">
              <w:rPr>
                <w:noProof/>
                <w:webHidden/>
              </w:rPr>
            </w:r>
            <w:r w:rsidR="005D0A03">
              <w:rPr>
                <w:noProof/>
                <w:webHidden/>
              </w:rPr>
              <w:fldChar w:fldCharType="separate"/>
            </w:r>
            <w:r>
              <w:rPr>
                <w:noProof/>
                <w:webHidden/>
              </w:rPr>
              <w:t>41</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93" w:history="1">
            <w:r w:rsidR="005D0A03">
              <w:rPr>
                <w:rStyle w:val="Hyperlink"/>
                <w:noProof/>
              </w:rPr>
              <w:t>5.3.2.</w:t>
            </w:r>
            <w:r w:rsidR="005D0A03">
              <w:rPr>
                <w:rFonts w:eastAsiaTheme="minorEastAsia"/>
                <w:noProof/>
                <w:lang w:eastAsia="en-GB"/>
              </w:rPr>
              <w:tab/>
            </w:r>
            <w:r w:rsidR="005D0A03">
              <w:rPr>
                <w:rStyle w:val="Hyperlink"/>
                <w:noProof/>
              </w:rPr>
              <w:t>Policy option 1 (PO1): repeal of the Directive</w:t>
            </w:r>
            <w:r w:rsidR="005D0A03">
              <w:rPr>
                <w:noProof/>
                <w:webHidden/>
              </w:rPr>
              <w:tab/>
            </w:r>
            <w:r w:rsidR="005D0A03">
              <w:rPr>
                <w:noProof/>
                <w:webHidden/>
              </w:rPr>
              <w:fldChar w:fldCharType="begin"/>
            </w:r>
            <w:r w:rsidR="005D0A03">
              <w:rPr>
                <w:noProof/>
                <w:webHidden/>
              </w:rPr>
              <w:instrText xml:space="preserve"> PAGEREF _Toc497141493 \h </w:instrText>
            </w:r>
            <w:r w:rsidR="005D0A03">
              <w:rPr>
                <w:noProof/>
                <w:webHidden/>
              </w:rPr>
            </w:r>
            <w:r w:rsidR="005D0A03">
              <w:rPr>
                <w:noProof/>
                <w:webHidden/>
              </w:rPr>
              <w:fldChar w:fldCharType="separate"/>
            </w:r>
            <w:r>
              <w:rPr>
                <w:noProof/>
                <w:webHidden/>
              </w:rPr>
              <w:t>43</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94" w:history="1">
            <w:r w:rsidR="005D0A03">
              <w:rPr>
                <w:rStyle w:val="Hyperlink"/>
                <w:noProof/>
              </w:rPr>
              <w:t>5.3.3.</w:t>
            </w:r>
            <w:r w:rsidR="005D0A03">
              <w:rPr>
                <w:rFonts w:eastAsiaTheme="minorEastAsia"/>
                <w:noProof/>
                <w:lang w:eastAsia="en-GB"/>
              </w:rPr>
              <w:tab/>
            </w:r>
            <w:r w:rsidR="005D0A03">
              <w:rPr>
                <w:rStyle w:val="Hyperlink"/>
                <w:noProof/>
              </w:rPr>
              <w:t>Policy option 2 (PO2): providing a definition of clean vehicles and requiring Member States to set up national policy plans or use the monetisation methodology</w:t>
            </w:r>
            <w:r w:rsidR="005D0A03">
              <w:rPr>
                <w:noProof/>
                <w:webHidden/>
              </w:rPr>
              <w:tab/>
            </w:r>
            <w:r w:rsidR="005D0A03">
              <w:rPr>
                <w:noProof/>
                <w:webHidden/>
              </w:rPr>
              <w:fldChar w:fldCharType="begin"/>
            </w:r>
            <w:r w:rsidR="005D0A03">
              <w:rPr>
                <w:noProof/>
                <w:webHidden/>
              </w:rPr>
              <w:instrText xml:space="preserve"> PAGEREF _Toc497141494 \h </w:instrText>
            </w:r>
            <w:r w:rsidR="005D0A03">
              <w:rPr>
                <w:noProof/>
                <w:webHidden/>
              </w:rPr>
            </w:r>
            <w:r w:rsidR="005D0A03">
              <w:rPr>
                <w:noProof/>
                <w:webHidden/>
              </w:rPr>
              <w:fldChar w:fldCharType="separate"/>
            </w:r>
            <w:r>
              <w:rPr>
                <w:noProof/>
                <w:webHidden/>
              </w:rPr>
              <w:t>43</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95" w:history="1">
            <w:r w:rsidR="005D0A03">
              <w:rPr>
                <w:rStyle w:val="Hyperlink"/>
                <w:noProof/>
              </w:rPr>
              <w:t>5.3.4.</w:t>
            </w:r>
            <w:r w:rsidR="005D0A03">
              <w:rPr>
                <w:rFonts w:eastAsiaTheme="minorEastAsia"/>
                <w:noProof/>
                <w:lang w:eastAsia="en-GB"/>
              </w:rPr>
              <w:tab/>
            </w:r>
            <w:r w:rsidR="005D0A03">
              <w:rPr>
                <w:rStyle w:val="Hyperlink"/>
                <w:noProof/>
              </w:rPr>
              <w:t>Policy Option 3 (PO3): providing a definition based on emission thresholds and setting up minimum procurement requirements for light-duty vehicles</w:t>
            </w:r>
            <w:r w:rsidR="005D0A03">
              <w:rPr>
                <w:noProof/>
                <w:webHidden/>
              </w:rPr>
              <w:tab/>
            </w:r>
            <w:r w:rsidR="005D0A03">
              <w:rPr>
                <w:noProof/>
                <w:webHidden/>
              </w:rPr>
              <w:fldChar w:fldCharType="begin"/>
            </w:r>
            <w:r w:rsidR="005D0A03">
              <w:rPr>
                <w:noProof/>
                <w:webHidden/>
              </w:rPr>
              <w:instrText xml:space="preserve"> PAGEREF _Toc497141495 \h </w:instrText>
            </w:r>
            <w:r w:rsidR="005D0A03">
              <w:rPr>
                <w:noProof/>
                <w:webHidden/>
              </w:rPr>
            </w:r>
            <w:r w:rsidR="005D0A03">
              <w:rPr>
                <w:noProof/>
                <w:webHidden/>
              </w:rPr>
              <w:fldChar w:fldCharType="separate"/>
            </w:r>
            <w:r>
              <w:rPr>
                <w:noProof/>
                <w:webHidden/>
              </w:rPr>
              <w:t>45</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96" w:history="1">
            <w:r w:rsidR="005D0A03">
              <w:rPr>
                <w:rStyle w:val="Hyperlink"/>
                <w:noProof/>
              </w:rPr>
              <w:t>5.3.5.</w:t>
            </w:r>
            <w:r w:rsidR="005D0A03">
              <w:rPr>
                <w:rFonts w:eastAsiaTheme="minorEastAsia"/>
                <w:noProof/>
                <w:lang w:eastAsia="en-GB"/>
              </w:rPr>
              <w:tab/>
            </w:r>
            <w:r w:rsidR="005D0A03">
              <w:rPr>
                <w:rStyle w:val="Hyperlink"/>
                <w:noProof/>
              </w:rPr>
              <w:t>Policy Option 4 (PO4): providing a definition based on alternative fuels and setting up related minimum procurement requirements for all vehicles</w:t>
            </w:r>
            <w:r w:rsidR="005D0A03">
              <w:rPr>
                <w:noProof/>
                <w:webHidden/>
              </w:rPr>
              <w:tab/>
            </w:r>
            <w:r w:rsidR="005D0A03">
              <w:rPr>
                <w:noProof/>
                <w:webHidden/>
              </w:rPr>
              <w:fldChar w:fldCharType="begin"/>
            </w:r>
            <w:r w:rsidR="005D0A03">
              <w:rPr>
                <w:noProof/>
                <w:webHidden/>
              </w:rPr>
              <w:instrText xml:space="preserve"> PAGEREF _Toc497141496 \h </w:instrText>
            </w:r>
            <w:r w:rsidR="005D0A03">
              <w:rPr>
                <w:noProof/>
                <w:webHidden/>
              </w:rPr>
            </w:r>
            <w:r w:rsidR="005D0A03">
              <w:rPr>
                <w:noProof/>
                <w:webHidden/>
              </w:rPr>
              <w:fldChar w:fldCharType="separate"/>
            </w:r>
            <w:r>
              <w:rPr>
                <w:noProof/>
                <w:webHidden/>
              </w:rPr>
              <w:t>48</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97" w:history="1">
            <w:r w:rsidR="005D0A03">
              <w:rPr>
                <w:rStyle w:val="Hyperlink"/>
                <w:noProof/>
              </w:rPr>
              <w:t>5.3.6.</w:t>
            </w:r>
            <w:r w:rsidR="005D0A03">
              <w:rPr>
                <w:rFonts w:eastAsiaTheme="minorEastAsia"/>
                <w:noProof/>
                <w:lang w:eastAsia="en-GB"/>
              </w:rPr>
              <w:tab/>
            </w:r>
            <w:r w:rsidR="005D0A03">
              <w:rPr>
                <w:rStyle w:val="Hyperlink"/>
                <w:noProof/>
              </w:rPr>
              <w:t>Policy Option 5: setting up a Regulation to use the monetisation methodology as the sole approach to informing vehicle procurement</w:t>
            </w:r>
            <w:r w:rsidR="005D0A03">
              <w:rPr>
                <w:noProof/>
                <w:webHidden/>
              </w:rPr>
              <w:tab/>
            </w:r>
            <w:r w:rsidR="005D0A03">
              <w:rPr>
                <w:noProof/>
                <w:webHidden/>
              </w:rPr>
              <w:fldChar w:fldCharType="begin"/>
            </w:r>
            <w:r w:rsidR="005D0A03">
              <w:rPr>
                <w:noProof/>
                <w:webHidden/>
              </w:rPr>
              <w:instrText xml:space="preserve"> PAGEREF _Toc497141497 \h </w:instrText>
            </w:r>
            <w:r w:rsidR="005D0A03">
              <w:rPr>
                <w:noProof/>
                <w:webHidden/>
              </w:rPr>
            </w:r>
            <w:r w:rsidR="005D0A03">
              <w:rPr>
                <w:noProof/>
                <w:webHidden/>
              </w:rPr>
              <w:fldChar w:fldCharType="separate"/>
            </w:r>
            <w:r>
              <w:rPr>
                <w:noProof/>
                <w:webHidden/>
              </w:rPr>
              <w:t>51</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498" w:history="1">
            <w:r w:rsidR="005D0A03">
              <w:rPr>
                <w:rStyle w:val="Hyperlink"/>
                <w:noProof/>
              </w:rPr>
              <w:t>5.3.7.</w:t>
            </w:r>
            <w:r w:rsidR="005D0A03">
              <w:rPr>
                <w:rFonts w:eastAsiaTheme="minorEastAsia"/>
                <w:noProof/>
                <w:lang w:eastAsia="en-GB"/>
              </w:rPr>
              <w:tab/>
            </w:r>
            <w:r w:rsidR="005D0A03">
              <w:rPr>
                <w:rStyle w:val="Hyperlink"/>
                <w:noProof/>
              </w:rPr>
              <w:t>Policy Option 6: combining a emission-based and an alternative fuels based approach</w:t>
            </w:r>
            <w:r w:rsidR="005D0A03">
              <w:rPr>
                <w:noProof/>
                <w:webHidden/>
              </w:rPr>
              <w:tab/>
            </w:r>
            <w:r w:rsidR="005D0A03">
              <w:rPr>
                <w:noProof/>
                <w:webHidden/>
              </w:rPr>
              <w:fldChar w:fldCharType="begin"/>
            </w:r>
            <w:r w:rsidR="005D0A03">
              <w:rPr>
                <w:noProof/>
                <w:webHidden/>
              </w:rPr>
              <w:instrText xml:space="preserve"> PAGEREF _Toc497141498 \h </w:instrText>
            </w:r>
            <w:r w:rsidR="005D0A03">
              <w:rPr>
                <w:noProof/>
                <w:webHidden/>
              </w:rPr>
            </w:r>
            <w:r w:rsidR="005D0A03">
              <w:rPr>
                <w:noProof/>
                <w:webHidden/>
              </w:rPr>
              <w:fldChar w:fldCharType="separate"/>
            </w:r>
            <w:r>
              <w:rPr>
                <w:noProof/>
                <w:webHidden/>
              </w:rPr>
              <w:t>52</w:t>
            </w:r>
            <w:r w:rsidR="005D0A03">
              <w:rPr>
                <w:noProof/>
                <w:webHidden/>
              </w:rPr>
              <w:fldChar w:fldCharType="end"/>
            </w:r>
          </w:hyperlink>
        </w:p>
        <w:p w:rsidR="002E508F" w:rsidRDefault="00A57FA5">
          <w:pPr>
            <w:pStyle w:val="TOC1"/>
            <w:rPr>
              <w:rFonts w:eastAsiaTheme="minorEastAsia"/>
              <w:caps w:val="0"/>
              <w:noProof/>
              <w:lang w:eastAsia="en-GB"/>
            </w:rPr>
          </w:pPr>
          <w:hyperlink w:anchor="_Toc497141499" w:history="1">
            <w:r w:rsidR="005D0A03">
              <w:rPr>
                <w:rStyle w:val="Hyperlink"/>
                <w:noProof/>
              </w:rPr>
              <w:t>6.</w:t>
            </w:r>
            <w:r w:rsidR="005D0A03">
              <w:rPr>
                <w:rFonts w:eastAsiaTheme="minorEastAsia"/>
                <w:caps w:val="0"/>
                <w:noProof/>
                <w:lang w:eastAsia="en-GB"/>
              </w:rPr>
              <w:tab/>
            </w:r>
            <w:r w:rsidR="005D0A03">
              <w:rPr>
                <w:rStyle w:val="Hyperlink"/>
                <w:noProof/>
              </w:rPr>
              <w:t>Analysis of Impacts</w:t>
            </w:r>
            <w:r w:rsidR="005D0A03">
              <w:rPr>
                <w:noProof/>
                <w:webHidden/>
              </w:rPr>
              <w:tab/>
            </w:r>
            <w:r w:rsidR="005D0A03">
              <w:rPr>
                <w:noProof/>
                <w:webHidden/>
              </w:rPr>
              <w:fldChar w:fldCharType="begin"/>
            </w:r>
            <w:r w:rsidR="005D0A03">
              <w:rPr>
                <w:noProof/>
                <w:webHidden/>
              </w:rPr>
              <w:instrText xml:space="preserve"> PAGEREF _Toc497141499 \h </w:instrText>
            </w:r>
            <w:r w:rsidR="005D0A03">
              <w:rPr>
                <w:noProof/>
                <w:webHidden/>
              </w:rPr>
            </w:r>
            <w:r w:rsidR="005D0A03">
              <w:rPr>
                <w:noProof/>
                <w:webHidden/>
              </w:rPr>
              <w:fldChar w:fldCharType="separate"/>
            </w:r>
            <w:r>
              <w:rPr>
                <w:noProof/>
                <w:webHidden/>
              </w:rPr>
              <w:t>53</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500" w:history="1">
            <w:r w:rsidR="005D0A03">
              <w:rPr>
                <w:rStyle w:val="Hyperlink"/>
                <w:noProof/>
              </w:rPr>
              <w:t>6.1.</w:t>
            </w:r>
            <w:r w:rsidR="005D0A03">
              <w:rPr>
                <w:rFonts w:eastAsiaTheme="minorEastAsia"/>
                <w:noProof/>
                <w:lang w:eastAsia="en-GB"/>
              </w:rPr>
              <w:tab/>
            </w:r>
            <w:r w:rsidR="005D0A03">
              <w:rPr>
                <w:rStyle w:val="Hyperlink"/>
                <w:noProof/>
              </w:rPr>
              <w:t>Overview of impacts</w:t>
            </w:r>
            <w:r w:rsidR="005D0A03">
              <w:rPr>
                <w:noProof/>
                <w:webHidden/>
              </w:rPr>
              <w:tab/>
            </w:r>
            <w:r w:rsidR="005D0A03">
              <w:rPr>
                <w:noProof/>
                <w:webHidden/>
              </w:rPr>
              <w:fldChar w:fldCharType="begin"/>
            </w:r>
            <w:r w:rsidR="005D0A03">
              <w:rPr>
                <w:noProof/>
                <w:webHidden/>
              </w:rPr>
              <w:instrText xml:space="preserve"> PAGEREF _Toc497141500 \h </w:instrText>
            </w:r>
            <w:r w:rsidR="005D0A03">
              <w:rPr>
                <w:noProof/>
                <w:webHidden/>
              </w:rPr>
            </w:r>
            <w:r w:rsidR="005D0A03">
              <w:rPr>
                <w:noProof/>
                <w:webHidden/>
              </w:rPr>
              <w:fldChar w:fldCharType="separate"/>
            </w:r>
            <w:r>
              <w:rPr>
                <w:noProof/>
                <w:webHidden/>
              </w:rPr>
              <w:t>53</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501" w:history="1">
            <w:r w:rsidR="005D0A03">
              <w:rPr>
                <w:rStyle w:val="Hyperlink"/>
                <w:noProof/>
              </w:rPr>
              <w:t>6.2.</w:t>
            </w:r>
            <w:r w:rsidR="005D0A03">
              <w:rPr>
                <w:rFonts w:eastAsiaTheme="minorEastAsia"/>
                <w:noProof/>
                <w:lang w:eastAsia="en-GB"/>
              </w:rPr>
              <w:tab/>
            </w:r>
            <w:r w:rsidR="005D0A03">
              <w:rPr>
                <w:rStyle w:val="Hyperlink"/>
                <w:noProof/>
              </w:rPr>
              <w:t>Impacts of policy options on vehicle procurement</w:t>
            </w:r>
            <w:r w:rsidR="005D0A03">
              <w:rPr>
                <w:noProof/>
                <w:webHidden/>
              </w:rPr>
              <w:tab/>
            </w:r>
            <w:r w:rsidR="005D0A03">
              <w:rPr>
                <w:noProof/>
                <w:webHidden/>
              </w:rPr>
              <w:fldChar w:fldCharType="begin"/>
            </w:r>
            <w:r w:rsidR="005D0A03">
              <w:rPr>
                <w:noProof/>
                <w:webHidden/>
              </w:rPr>
              <w:instrText xml:space="preserve"> PAGEREF _Toc497141501 \h </w:instrText>
            </w:r>
            <w:r w:rsidR="005D0A03">
              <w:rPr>
                <w:noProof/>
                <w:webHidden/>
              </w:rPr>
            </w:r>
            <w:r w:rsidR="005D0A03">
              <w:rPr>
                <w:noProof/>
                <w:webHidden/>
              </w:rPr>
              <w:fldChar w:fldCharType="separate"/>
            </w:r>
            <w:r>
              <w:rPr>
                <w:noProof/>
                <w:webHidden/>
              </w:rPr>
              <w:t>54</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502" w:history="1">
            <w:r w:rsidR="005D0A03">
              <w:rPr>
                <w:rStyle w:val="Hyperlink"/>
                <w:noProof/>
              </w:rPr>
              <w:t>6.3.</w:t>
            </w:r>
            <w:r w:rsidR="005D0A03">
              <w:rPr>
                <w:rFonts w:eastAsiaTheme="minorEastAsia"/>
                <w:noProof/>
                <w:lang w:eastAsia="en-GB"/>
              </w:rPr>
              <w:tab/>
            </w:r>
            <w:r w:rsidR="005D0A03">
              <w:rPr>
                <w:rStyle w:val="Hyperlink"/>
                <w:noProof/>
              </w:rPr>
              <w:t>Economic impacts</w:t>
            </w:r>
            <w:r w:rsidR="005D0A03">
              <w:rPr>
                <w:noProof/>
                <w:webHidden/>
              </w:rPr>
              <w:tab/>
            </w:r>
            <w:r w:rsidR="005D0A03">
              <w:rPr>
                <w:noProof/>
                <w:webHidden/>
              </w:rPr>
              <w:fldChar w:fldCharType="begin"/>
            </w:r>
            <w:r w:rsidR="005D0A03">
              <w:rPr>
                <w:noProof/>
                <w:webHidden/>
              </w:rPr>
              <w:instrText xml:space="preserve"> PAGEREF _Toc497141502 \h </w:instrText>
            </w:r>
            <w:r w:rsidR="005D0A03">
              <w:rPr>
                <w:noProof/>
                <w:webHidden/>
              </w:rPr>
            </w:r>
            <w:r w:rsidR="005D0A03">
              <w:rPr>
                <w:noProof/>
                <w:webHidden/>
              </w:rPr>
              <w:fldChar w:fldCharType="separate"/>
            </w:r>
            <w:r>
              <w:rPr>
                <w:noProof/>
                <w:webHidden/>
              </w:rPr>
              <w:t>56</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503" w:history="1">
            <w:r w:rsidR="005D0A03">
              <w:rPr>
                <w:rStyle w:val="Hyperlink"/>
                <w:noProof/>
              </w:rPr>
              <w:t>6.3.1.</w:t>
            </w:r>
            <w:r w:rsidR="005D0A03">
              <w:rPr>
                <w:rFonts w:eastAsiaTheme="minorEastAsia"/>
                <w:noProof/>
                <w:lang w:eastAsia="en-GB"/>
              </w:rPr>
              <w:tab/>
            </w:r>
            <w:r w:rsidR="005D0A03">
              <w:rPr>
                <w:rStyle w:val="Hyperlink"/>
                <w:noProof/>
              </w:rPr>
              <w:t>Impact on public bodies</w:t>
            </w:r>
            <w:r w:rsidR="005D0A03">
              <w:rPr>
                <w:noProof/>
                <w:webHidden/>
              </w:rPr>
              <w:tab/>
            </w:r>
            <w:r w:rsidR="005D0A03">
              <w:rPr>
                <w:noProof/>
                <w:webHidden/>
              </w:rPr>
              <w:fldChar w:fldCharType="begin"/>
            </w:r>
            <w:r w:rsidR="005D0A03">
              <w:rPr>
                <w:noProof/>
                <w:webHidden/>
              </w:rPr>
              <w:instrText xml:space="preserve"> PAGEREF _Toc497141503 \h </w:instrText>
            </w:r>
            <w:r w:rsidR="005D0A03">
              <w:rPr>
                <w:noProof/>
                <w:webHidden/>
              </w:rPr>
            </w:r>
            <w:r w:rsidR="005D0A03">
              <w:rPr>
                <w:noProof/>
                <w:webHidden/>
              </w:rPr>
              <w:fldChar w:fldCharType="separate"/>
            </w:r>
            <w:r>
              <w:rPr>
                <w:noProof/>
                <w:webHidden/>
              </w:rPr>
              <w:t>56</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504" w:history="1">
            <w:r w:rsidR="005D0A03">
              <w:rPr>
                <w:rStyle w:val="Hyperlink"/>
                <w:noProof/>
              </w:rPr>
              <w:t>6.3.2.</w:t>
            </w:r>
            <w:r w:rsidR="005D0A03">
              <w:rPr>
                <w:rFonts w:eastAsiaTheme="minorEastAsia"/>
                <w:noProof/>
                <w:lang w:eastAsia="en-GB"/>
              </w:rPr>
              <w:tab/>
            </w:r>
            <w:r w:rsidR="005D0A03">
              <w:rPr>
                <w:rStyle w:val="Hyperlink"/>
                <w:noProof/>
              </w:rPr>
              <w:t>Impact on enterprises</w:t>
            </w:r>
            <w:r w:rsidR="005D0A03">
              <w:rPr>
                <w:noProof/>
                <w:webHidden/>
              </w:rPr>
              <w:tab/>
            </w:r>
            <w:r w:rsidR="005D0A03">
              <w:rPr>
                <w:noProof/>
                <w:webHidden/>
              </w:rPr>
              <w:fldChar w:fldCharType="begin"/>
            </w:r>
            <w:r w:rsidR="005D0A03">
              <w:rPr>
                <w:noProof/>
                <w:webHidden/>
              </w:rPr>
              <w:instrText xml:space="preserve"> PAGEREF _Toc497141504 \h </w:instrText>
            </w:r>
            <w:r w:rsidR="005D0A03">
              <w:rPr>
                <w:noProof/>
                <w:webHidden/>
              </w:rPr>
            </w:r>
            <w:r w:rsidR="005D0A03">
              <w:rPr>
                <w:noProof/>
                <w:webHidden/>
              </w:rPr>
              <w:fldChar w:fldCharType="separate"/>
            </w:r>
            <w:r>
              <w:rPr>
                <w:noProof/>
                <w:webHidden/>
              </w:rPr>
              <w:t>58</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505" w:history="1">
            <w:r w:rsidR="005D0A03">
              <w:rPr>
                <w:rStyle w:val="Hyperlink"/>
                <w:noProof/>
              </w:rPr>
              <w:t>6.3.3.</w:t>
            </w:r>
            <w:r w:rsidR="005D0A03">
              <w:rPr>
                <w:rFonts w:eastAsiaTheme="minorEastAsia"/>
                <w:noProof/>
                <w:lang w:eastAsia="en-GB"/>
              </w:rPr>
              <w:tab/>
            </w:r>
            <w:r w:rsidR="005D0A03">
              <w:rPr>
                <w:rStyle w:val="Hyperlink"/>
                <w:noProof/>
              </w:rPr>
              <w:t>Impact on innovation</w:t>
            </w:r>
            <w:r w:rsidR="005D0A03">
              <w:rPr>
                <w:noProof/>
                <w:webHidden/>
              </w:rPr>
              <w:tab/>
            </w:r>
            <w:r w:rsidR="005D0A03">
              <w:rPr>
                <w:noProof/>
                <w:webHidden/>
              </w:rPr>
              <w:fldChar w:fldCharType="begin"/>
            </w:r>
            <w:r w:rsidR="005D0A03">
              <w:rPr>
                <w:noProof/>
                <w:webHidden/>
              </w:rPr>
              <w:instrText xml:space="preserve"> PAGEREF _Toc497141505 \h </w:instrText>
            </w:r>
            <w:r w:rsidR="005D0A03">
              <w:rPr>
                <w:noProof/>
                <w:webHidden/>
              </w:rPr>
            </w:r>
            <w:r w:rsidR="005D0A03">
              <w:rPr>
                <w:noProof/>
                <w:webHidden/>
              </w:rPr>
              <w:fldChar w:fldCharType="separate"/>
            </w:r>
            <w:r>
              <w:rPr>
                <w:noProof/>
                <w:webHidden/>
              </w:rPr>
              <w:t>59</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506" w:history="1">
            <w:r w:rsidR="005D0A03">
              <w:rPr>
                <w:rStyle w:val="Hyperlink"/>
                <w:noProof/>
              </w:rPr>
              <w:t>6.3.4.</w:t>
            </w:r>
            <w:r w:rsidR="005D0A03">
              <w:rPr>
                <w:rFonts w:eastAsiaTheme="minorEastAsia"/>
                <w:noProof/>
                <w:lang w:eastAsia="en-GB"/>
              </w:rPr>
              <w:tab/>
            </w:r>
            <w:r w:rsidR="005D0A03">
              <w:rPr>
                <w:rStyle w:val="Hyperlink"/>
                <w:noProof/>
              </w:rPr>
              <w:t>Impact on SMEs</w:t>
            </w:r>
            <w:r w:rsidR="005D0A03">
              <w:rPr>
                <w:noProof/>
                <w:webHidden/>
              </w:rPr>
              <w:tab/>
            </w:r>
            <w:r w:rsidR="005D0A03">
              <w:rPr>
                <w:noProof/>
                <w:webHidden/>
              </w:rPr>
              <w:fldChar w:fldCharType="begin"/>
            </w:r>
            <w:r w:rsidR="005D0A03">
              <w:rPr>
                <w:noProof/>
                <w:webHidden/>
              </w:rPr>
              <w:instrText xml:space="preserve"> PAGEREF _Toc497141506 \h </w:instrText>
            </w:r>
            <w:r w:rsidR="005D0A03">
              <w:rPr>
                <w:noProof/>
                <w:webHidden/>
              </w:rPr>
            </w:r>
            <w:r w:rsidR="005D0A03">
              <w:rPr>
                <w:noProof/>
                <w:webHidden/>
              </w:rPr>
              <w:fldChar w:fldCharType="separate"/>
            </w:r>
            <w:r>
              <w:rPr>
                <w:noProof/>
                <w:webHidden/>
              </w:rPr>
              <w:t>59</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507" w:history="1">
            <w:r w:rsidR="005D0A03">
              <w:rPr>
                <w:rStyle w:val="Hyperlink"/>
                <w:noProof/>
              </w:rPr>
              <w:t>6.4.</w:t>
            </w:r>
            <w:r w:rsidR="005D0A03">
              <w:rPr>
                <w:rFonts w:eastAsiaTheme="minorEastAsia"/>
                <w:noProof/>
                <w:lang w:eastAsia="en-GB"/>
              </w:rPr>
              <w:tab/>
            </w:r>
            <w:r w:rsidR="005D0A03">
              <w:rPr>
                <w:rStyle w:val="Hyperlink"/>
                <w:noProof/>
              </w:rPr>
              <w:t>Social impacts</w:t>
            </w:r>
            <w:r w:rsidR="005D0A03">
              <w:rPr>
                <w:noProof/>
                <w:webHidden/>
              </w:rPr>
              <w:tab/>
            </w:r>
            <w:r w:rsidR="005D0A03">
              <w:rPr>
                <w:noProof/>
                <w:webHidden/>
              </w:rPr>
              <w:fldChar w:fldCharType="begin"/>
            </w:r>
            <w:r w:rsidR="005D0A03">
              <w:rPr>
                <w:noProof/>
                <w:webHidden/>
              </w:rPr>
              <w:instrText xml:space="preserve"> PAGEREF _Toc497141507 \h </w:instrText>
            </w:r>
            <w:r w:rsidR="005D0A03">
              <w:rPr>
                <w:noProof/>
                <w:webHidden/>
              </w:rPr>
            </w:r>
            <w:r w:rsidR="005D0A03">
              <w:rPr>
                <w:noProof/>
                <w:webHidden/>
              </w:rPr>
              <w:fldChar w:fldCharType="separate"/>
            </w:r>
            <w:r>
              <w:rPr>
                <w:noProof/>
                <w:webHidden/>
              </w:rPr>
              <w:t>59</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508" w:history="1">
            <w:r w:rsidR="005D0A03">
              <w:rPr>
                <w:rStyle w:val="Hyperlink"/>
                <w:noProof/>
              </w:rPr>
              <w:t>6.4.1.</w:t>
            </w:r>
            <w:r w:rsidR="005D0A03">
              <w:rPr>
                <w:rFonts w:eastAsiaTheme="minorEastAsia"/>
                <w:noProof/>
                <w:lang w:eastAsia="en-GB"/>
              </w:rPr>
              <w:tab/>
            </w:r>
            <w:r w:rsidR="005D0A03">
              <w:rPr>
                <w:rStyle w:val="Hyperlink"/>
                <w:noProof/>
              </w:rPr>
              <w:t>Impacts on employment</w:t>
            </w:r>
            <w:r w:rsidR="005D0A03">
              <w:rPr>
                <w:noProof/>
                <w:webHidden/>
              </w:rPr>
              <w:tab/>
            </w:r>
            <w:r w:rsidR="005D0A03">
              <w:rPr>
                <w:noProof/>
                <w:webHidden/>
              </w:rPr>
              <w:fldChar w:fldCharType="begin"/>
            </w:r>
            <w:r w:rsidR="005D0A03">
              <w:rPr>
                <w:noProof/>
                <w:webHidden/>
              </w:rPr>
              <w:instrText xml:space="preserve"> PAGEREF _Toc497141508 \h </w:instrText>
            </w:r>
            <w:r w:rsidR="005D0A03">
              <w:rPr>
                <w:noProof/>
                <w:webHidden/>
              </w:rPr>
            </w:r>
            <w:r w:rsidR="005D0A03">
              <w:rPr>
                <w:noProof/>
                <w:webHidden/>
              </w:rPr>
              <w:fldChar w:fldCharType="separate"/>
            </w:r>
            <w:r>
              <w:rPr>
                <w:noProof/>
                <w:webHidden/>
              </w:rPr>
              <w:t>59</w:t>
            </w:r>
            <w:r w:rsidR="005D0A03">
              <w:rPr>
                <w:noProof/>
                <w:webHidden/>
              </w:rPr>
              <w:fldChar w:fldCharType="end"/>
            </w:r>
          </w:hyperlink>
        </w:p>
        <w:p w:rsidR="002E508F" w:rsidRDefault="00A57FA5">
          <w:pPr>
            <w:pStyle w:val="TOC3"/>
            <w:rPr>
              <w:rFonts w:eastAsiaTheme="minorEastAsia"/>
              <w:noProof/>
              <w:lang w:eastAsia="en-GB"/>
            </w:rPr>
          </w:pPr>
          <w:hyperlink w:anchor="_Toc497141509" w:history="1">
            <w:r w:rsidR="005D0A03">
              <w:rPr>
                <w:rStyle w:val="Hyperlink"/>
                <w:noProof/>
              </w:rPr>
              <w:t>Source: Ricardo (2017) Support Study to the Impact Assessment of the Clean Vehicles Directive</w:t>
            </w:r>
            <w:r w:rsidR="005D0A03">
              <w:rPr>
                <w:noProof/>
                <w:webHidden/>
              </w:rPr>
              <w:tab/>
            </w:r>
            <w:r w:rsidR="005D0A03">
              <w:rPr>
                <w:noProof/>
                <w:webHidden/>
              </w:rPr>
              <w:fldChar w:fldCharType="begin"/>
            </w:r>
            <w:r w:rsidR="005D0A03">
              <w:rPr>
                <w:noProof/>
                <w:webHidden/>
              </w:rPr>
              <w:instrText xml:space="preserve"> PAGEREF _Toc497141509 \h </w:instrText>
            </w:r>
            <w:r w:rsidR="005D0A03">
              <w:rPr>
                <w:noProof/>
                <w:webHidden/>
              </w:rPr>
            </w:r>
            <w:r w:rsidR="005D0A03">
              <w:rPr>
                <w:noProof/>
                <w:webHidden/>
              </w:rPr>
              <w:fldChar w:fldCharType="separate"/>
            </w:r>
            <w:r>
              <w:rPr>
                <w:noProof/>
                <w:webHidden/>
              </w:rPr>
              <w:t>60</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510" w:history="1">
            <w:r w:rsidR="005D0A03">
              <w:rPr>
                <w:rStyle w:val="Hyperlink"/>
                <w:noProof/>
              </w:rPr>
              <w:t>6.4.2.</w:t>
            </w:r>
            <w:r w:rsidR="005D0A03">
              <w:rPr>
                <w:rFonts w:eastAsiaTheme="minorEastAsia"/>
                <w:noProof/>
                <w:lang w:eastAsia="en-GB"/>
              </w:rPr>
              <w:tab/>
            </w:r>
            <w:r w:rsidR="005D0A03">
              <w:rPr>
                <w:rStyle w:val="Hyperlink"/>
                <w:noProof/>
              </w:rPr>
              <w:t>Impacts on public health</w:t>
            </w:r>
            <w:r w:rsidR="005D0A03">
              <w:rPr>
                <w:noProof/>
                <w:webHidden/>
              </w:rPr>
              <w:tab/>
            </w:r>
            <w:r w:rsidR="005D0A03">
              <w:rPr>
                <w:noProof/>
                <w:webHidden/>
              </w:rPr>
              <w:fldChar w:fldCharType="begin"/>
            </w:r>
            <w:r w:rsidR="005D0A03">
              <w:rPr>
                <w:noProof/>
                <w:webHidden/>
              </w:rPr>
              <w:instrText xml:space="preserve"> PAGEREF _Toc497141510 \h </w:instrText>
            </w:r>
            <w:r w:rsidR="005D0A03">
              <w:rPr>
                <w:noProof/>
                <w:webHidden/>
              </w:rPr>
            </w:r>
            <w:r w:rsidR="005D0A03">
              <w:rPr>
                <w:noProof/>
                <w:webHidden/>
              </w:rPr>
              <w:fldChar w:fldCharType="separate"/>
            </w:r>
            <w:r>
              <w:rPr>
                <w:noProof/>
                <w:webHidden/>
              </w:rPr>
              <w:t>60</w:t>
            </w:r>
            <w:r w:rsidR="005D0A03">
              <w:rPr>
                <w:noProof/>
                <w:webHidden/>
              </w:rPr>
              <w:fldChar w:fldCharType="end"/>
            </w:r>
          </w:hyperlink>
        </w:p>
        <w:p w:rsidR="002E508F" w:rsidRDefault="00A57FA5">
          <w:pPr>
            <w:pStyle w:val="TOC3"/>
            <w:rPr>
              <w:rFonts w:eastAsiaTheme="minorEastAsia"/>
              <w:noProof/>
              <w:lang w:eastAsia="en-GB"/>
            </w:rPr>
          </w:pPr>
          <w:hyperlink w:anchor="_Toc497141511" w:history="1">
            <w:r w:rsidR="005D0A03">
              <w:rPr>
                <w:rStyle w:val="Hyperlink"/>
                <w:noProof/>
              </w:rPr>
              <w:t>Source: Ricardo (2017) Support Study to the Impact Assessment of the Clean Vehicles Directive</w:t>
            </w:r>
            <w:r w:rsidR="005D0A03">
              <w:rPr>
                <w:noProof/>
                <w:webHidden/>
              </w:rPr>
              <w:tab/>
            </w:r>
            <w:r w:rsidR="005D0A03">
              <w:rPr>
                <w:noProof/>
                <w:webHidden/>
              </w:rPr>
              <w:fldChar w:fldCharType="begin"/>
            </w:r>
            <w:r w:rsidR="005D0A03">
              <w:rPr>
                <w:noProof/>
                <w:webHidden/>
              </w:rPr>
              <w:instrText xml:space="preserve"> PAGEREF _Toc497141511 \h </w:instrText>
            </w:r>
            <w:r w:rsidR="005D0A03">
              <w:rPr>
                <w:noProof/>
                <w:webHidden/>
              </w:rPr>
            </w:r>
            <w:r w:rsidR="005D0A03">
              <w:rPr>
                <w:noProof/>
                <w:webHidden/>
              </w:rPr>
              <w:fldChar w:fldCharType="separate"/>
            </w:r>
            <w:r>
              <w:rPr>
                <w:noProof/>
                <w:webHidden/>
              </w:rPr>
              <w:t>60</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512" w:history="1">
            <w:r w:rsidR="005D0A03">
              <w:rPr>
                <w:rStyle w:val="Hyperlink"/>
                <w:noProof/>
              </w:rPr>
              <w:t>6.4.3.</w:t>
            </w:r>
            <w:r w:rsidR="005D0A03">
              <w:rPr>
                <w:rFonts w:eastAsiaTheme="minorEastAsia"/>
                <w:noProof/>
                <w:lang w:eastAsia="en-GB"/>
              </w:rPr>
              <w:tab/>
            </w:r>
            <w:r w:rsidR="005D0A03">
              <w:rPr>
                <w:rStyle w:val="Hyperlink"/>
                <w:noProof/>
              </w:rPr>
              <w:t>Distributional impacts and equal treatment of citizens</w:t>
            </w:r>
            <w:r w:rsidR="005D0A03">
              <w:rPr>
                <w:noProof/>
                <w:webHidden/>
              </w:rPr>
              <w:tab/>
            </w:r>
            <w:r w:rsidR="005D0A03">
              <w:rPr>
                <w:noProof/>
                <w:webHidden/>
              </w:rPr>
              <w:fldChar w:fldCharType="begin"/>
            </w:r>
            <w:r w:rsidR="005D0A03">
              <w:rPr>
                <w:noProof/>
                <w:webHidden/>
              </w:rPr>
              <w:instrText xml:space="preserve"> PAGEREF _Toc497141512 \h </w:instrText>
            </w:r>
            <w:r w:rsidR="005D0A03">
              <w:rPr>
                <w:noProof/>
                <w:webHidden/>
              </w:rPr>
            </w:r>
            <w:r w:rsidR="005D0A03">
              <w:rPr>
                <w:noProof/>
                <w:webHidden/>
              </w:rPr>
              <w:fldChar w:fldCharType="separate"/>
            </w:r>
            <w:r>
              <w:rPr>
                <w:noProof/>
                <w:webHidden/>
              </w:rPr>
              <w:t>60</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513" w:history="1">
            <w:r w:rsidR="005D0A03">
              <w:rPr>
                <w:rStyle w:val="Hyperlink"/>
                <w:noProof/>
              </w:rPr>
              <w:t>6.4.4.</w:t>
            </w:r>
            <w:r w:rsidR="005D0A03">
              <w:rPr>
                <w:rFonts w:eastAsiaTheme="minorEastAsia"/>
                <w:noProof/>
                <w:lang w:eastAsia="en-GB"/>
              </w:rPr>
              <w:tab/>
            </w:r>
            <w:r w:rsidR="005D0A03">
              <w:rPr>
                <w:rStyle w:val="Hyperlink"/>
                <w:noProof/>
              </w:rPr>
              <w:t>Territorial impacts</w:t>
            </w:r>
            <w:r w:rsidR="005D0A03">
              <w:rPr>
                <w:noProof/>
                <w:webHidden/>
              </w:rPr>
              <w:tab/>
            </w:r>
            <w:r w:rsidR="005D0A03">
              <w:rPr>
                <w:noProof/>
                <w:webHidden/>
              </w:rPr>
              <w:fldChar w:fldCharType="begin"/>
            </w:r>
            <w:r w:rsidR="005D0A03">
              <w:rPr>
                <w:noProof/>
                <w:webHidden/>
              </w:rPr>
              <w:instrText xml:space="preserve"> PAGEREF _Toc497141513 \h </w:instrText>
            </w:r>
            <w:r w:rsidR="005D0A03">
              <w:rPr>
                <w:noProof/>
                <w:webHidden/>
              </w:rPr>
            </w:r>
            <w:r w:rsidR="005D0A03">
              <w:rPr>
                <w:noProof/>
                <w:webHidden/>
              </w:rPr>
              <w:fldChar w:fldCharType="separate"/>
            </w:r>
            <w:r>
              <w:rPr>
                <w:noProof/>
                <w:webHidden/>
              </w:rPr>
              <w:t>61</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514" w:history="1">
            <w:r w:rsidR="005D0A03">
              <w:rPr>
                <w:rStyle w:val="Hyperlink"/>
                <w:noProof/>
              </w:rPr>
              <w:t>6.5.</w:t>
            </w:r>
            <w:r w:rsidR="005D0A03">
              <w:rPr>
                <w:rFonts w:eastAsiaTheme="minorEastAsia"/>
                <w:noProof/>
                <w:lang w:eastAsia="en-GB"/>
              </w:rPr>
              <w:tab/>
            </w:r>
            <w:r w:rsidR="005D0A03">
              <w:rPr>
                <w:rStyle w:val="Hyperlink"/>
                <w:noProof/>
              </w:rPr>
              <w:t>Environmental impacts</w:t>
            </w:r>
            <w:r w:rsidR="005D0A03">
              <w:rPr>
                <w:noProof/>
                <w:webHidden/>
              </w:rPr>
              <w:tab/>
            </w:r>
            <w:r w:rsidR="005D0A03">
              <w:rPr>
                <w:noProof/>
                <w:webHidden/>
              </w:rPr>
              <w:fldChar w:fldCharType="begin"/>
            </w:r>
            <w:r w:rsidR="005D0A03">
              <w:rPr>
                <w:noProof/>
                <w:webHidden/>
              </w:rPr>
              <w:instrText xml:space="preserve"> PAGEREF _Toc497141514 \h </w:instrText>
            </w:r>
            <w:r w:rsidR="005D0A03">
              <w:rPr>
                <w:noProof/>
                <w:webHidden/>
              </w:rPr>
            </w:r>
            <w:r w:rsidR="005D0A03">
              <w:rPr>
                <w:noProof/>
                <w:webHidden/>
              </w:rPr>
              <w:fldChar w:fldCharType="separate"/>
            </w:r>
            <w:r>
              <w:rPr>
                <w:noProof/>
                <w:webHidden/>
              </w:rPr>
              <w:t>61</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515" w:history="1">
            <w:r w:rsidR="005D0A03">
              <w:rPr>
                <w:rStyle w:val="Hyperlink"/>
                <w:noProof/>
              </w:rPr>
              <w:t>6.5.1.</w:t>
            </w:r>
            <w:r w:rsidR="005D0A03">
              <w:rPr>
                <w:rFonts w:eastAsiaTheme="minorEastAsia"/>
                <w:noProof/>
                <w:lang w:eastAsia="en-GB"/>
              </w:rPr>
              <w:tab/>
            </w:r>
            <w:r w:rsidR="005D0A03">
              <w:rPr>
                <w:rStyle w:val="Hyperlink"/>
                <w:noProof/>
              </w:rPr>
              <w:t>CO</w:t>
            </w:r>
            <w:r w:rsidR="005D0A03">
              <w:rPr>
                <w:rStyle w:val="Hyperlink"/>
                <w:noProof/>
                <w:vertAlign w:val="subscript"/>
              </w:rPr>
              <w:t>2</w:t>
            </w:r>
            <w:r w:rsidR="005D0A03">
              <w:rPr>
                <w:rStyle w:val="Hyperlink"/>
                <w:noProof/>
              </w:rPr>
              <w:t xml:space="preserve"> emissions</w:t>
            </w:r>
            <w:r w:rsidR="005D0A03">
              <w:rPr>
                <w:noProof/>
                <w:webHidden/>
              </w:rPr>
              <w:tab/>
            </w:r>
            <w:r w:rsidR="005D0A03">
              <w:rPr>
                <w:noProof/>
                <w:webHidden/>
              </w:rPr>
              <w:fldChar w:fldCharType="begin"/>
            </w:r>
            <w:r w:rsidR="005D0A03">
              <w:rPr>
                <w:noProof/>
                <w:webHidden/>
              </w:rPr>
              <w:instrText xml:space="preserve"> PAGEREF _Toc497141515 \h </w:instrText>
            </w:r>
            <w:r w:rsidR="005D0A03">
              <w:rPr>
                <w:noProof/>
                <w:webHidden/>
              </w:rPr>
            </w:r>
            <w:r w:rsidR="005D0A03">
              <w:rPr>
                <w:noProof/>
                <w:webHidden/>
              </w:rPr>
              <w:fldChar w:fldCharType="separate"/>
            </w:r>
            <w:r>
              <w:rPr>
                <w:noProof/>
                <w:webHidden/>
              </w:rPr>
              <w:t>61</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516" w:history="1">
            <w:r w:rsidR="005D0A03">
              <w:rPr>
                <w:rStyle w:val="Hyperlink"/>
                <w:noProof/>
              </w:rPr>
              <w:t>6.5.2.</w:t>
            </w:r>
            <w:r w:rsidR="005D0A03">
              <w:rPr>
                <w:rFonts w:eastAsiaTheme="minorEastAsia"/>
                <w:noProof/>
                <w:lang w:eastAsia="en-GB"/>
              </w:rPr>
              <w:tab/>
            </w:r>
            <w:r w:rsidR="005D0A03">
              <w:rPr>
                <w:rStyle w:val="Hyperlink"/>
                <w:noProof/>
              </w:rPr>
              <w:t>Energy consumption</w:t>
            </w:r>
            <w:r w:rsidR="005D0A03">
              <w:rPr>
                <w:noProof/>
                <w:webHidden/>
              </w:rPr>
              <w:tab/>
            </w:r>
            <w:r w:rsidR="005D0A03">
              <w:rPr>
                <w:noProof/>
                <w:webHidden/>
              </w:rPr>
              <w:fldChar w:fldCharType="begin"/>
            </w:r>
            <w:r w:rsidR="005D0A03">
              <w:rPr>
                <w:noProof/>
                <w:webHidden/>
              </w:rPr>
              <w:instrText xml:space="preserve"> PAGEREF _Toc497141516 \h </w:instrText>
            </w:r>
            <w:r w:rsidR="005D0A03">
              <w:rPr>
                <w:noProof/>
                <w:webHidden/>
              </w:rPr>
            </w:r>
            <w:r w:rsidR="005D0A03">
              <w:rPr>
                <w:noProof/>
                <w:webHidden/>
              </w:rPr>
              <w:fldChar w:fldCharType="separate"/>
            </w:r>
            <w:r>
              <w:rPr>
                <w:noProof/>
                <w:webHidden/>
              </w:rPr>
              <w:t>62</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517" w:history="1">
            <w:r w:rsidR="005D0A03">
              <w:rPr>
                <w:rStyle w:val="Hyperlink"/>
                <w:noProof/>
              </w:rPr>
              <w:t>6.5.3.</w:t>
            </w:r>
            <w:r w:rsidR="005D0A03">
              <w:rPr>
                <w:rFonts w:eastAsiaTheme="minorEastAsia"/>
                <w:noProof/>
                <w:lang w:eastAsia="en-GB"/>
              </w:rPr>
              <w:tab/>
            </w:r>
            <w:r w:rsidR="005D0A03">
              <w:rPr>
                <w:rStyle w:val="Hyperlink"/>
                <w:noProof/>
              </w:rPr>
              <w:t>Air quality</w:t>
            </w:r>
            <w:r w:rsidR="005D0A03">
              <w:rPr>
                <w:noProof/>
                <w:webHidden/>
              </w:rPr>
              <w:tab/>
            </w:r>
            <w:r w:rsidR="005D0A03">
              <w:rPr>
                <w:noProof/>
                <w:webHidden/>
              </w:rPr>
              <w:fldChar w:fldCharType="begin"/>
            </w:r>
            <w:r w:rsidR="005D0A03">
              <w:rPr>
                <w:noProof/>
                <w:webHidden/>
              </w:rPr>
              <w:instrText xml:space="preserve"> PAGEREF _Toc497141517 \h </w:instrText>
            </w:r>
            <w:r w:rsidR="005D0A03">
              <w:rPr>
                <w:noProof/>
                <w:webHidden/>
              </w:rPr>
            </w:r>
            <w:r w:rsidR="005D0A03">
              <w:rPr>
                <w:noProof/>
                <w:webHidden/>
              </w:rPr>
              <w:fldChar w:fldCharType="separate"/>
            </w:r>
            <w:r>
              <w:rPr>
                <w:noProof/>
                <w:webHidden/>
              </w:rPr>
              <w:t>63</w:t>
            </w:r>
            <w:r w:rsidR="005D0A03">
              <w:rPr>
                <w:noProof/>
                <w:webHidden/>
              </w:rPr>
              <w:fldChar w:fldCharType="end"/>
            </w:r>
          </w:hyperlink>
        </w:p>
        <w:p w:rsidR="002E508F" w:rsidRDefault="00A57FA5">
          <w:pPr>
            <w:pStyle w:val="TOC3"/>
            <w:tabs>
              <w:tab w:val="left" w:pos="1916"/>
            </w:tabs>
            <w:rPr>
              <w:rFonts w:eastAsiaTheme="minorEastAsia"/>
              <w:noProof/>
              <w:lang w:eastAsia="en-GB"/>
            </w:rPr>
          </w:pPr>
          <w:hyperlink w:anchor="_Toc497141518" w:history="1">
            <w:r w:rsidR="005D0A03">
              <w:rPr>
                <w:rStyle w:val="Hyperlink"/>
                <w:noProof/>
              </w:rPr>
              <w:t>6.5.4.</w:t>
            </w:r>
            <w:r w:rsidR="005D0A03">
              <w:rPr>
                <w:rFonts w:eastAsiaTheme="minorEastAsia"/>
                <w:noProof/>
                <w:lang w:eastAsia="en-GB"/>
              </w:rPr>
              <w:tab/>
            </w:r>
            <w:r w:rsidR="005D0A03">
              <w:rPr>
                <w:rStyle w:val="Hyperlink"/>
                <w:noProof/>
              </w:rPr>
              <w:t>Noise</w:t>
            </w:r>
            <w:r w:rsidR="005D0A03">
              <w:rPr>
                <w:noProof/>
                <w:webHidden/>
              </w:rPr>
              <w:tab/>
            </w:r>
            <w:r w:rsidR="005D0A03">
              <w:rPr>
                <w:noProof/>
                <w:webHidden/>
              </w:rPr>
              <w:fldChar w:fldCharType="begin"/>
            </w:r>
            <w:r w:rsidR="005D0A03">
              <w:rPr>
                <w:noProof/>
                <w:webHidden/>
              </w:rPr>
              <w:instrText xml:space="preserve"> PAGEREF _Toc497141518 \h </w:instrText>
            </w:r>
            <w:r w:rsidR="005D0A03">
              <w:rPr>
                <w:noProof/>
                <w:webHidden/>
              </w:rPr>
            </w:r>
            <w:r w:rsidR="005D0A03">
              <w:rPr>
                <w:noProof/>
                <w:webHidden/>
              </w:rPr>
              <w:fldChar w:fldCharType="separate"/>
            </w:r>
            <w:r>
              <w:rPr>
                <w:noProof/>
                <w:webHidden/>
              </w:rPr>
              <w:t>64</w:t>
            </w:r>
            <w:r w:rsidR="005D0A03">
              <w:rPr>
                <w:noProof/>
                <w:webHidden/>
              </w:rPr>
              <w:fldChar w:fldCharType="end"/>
            </w:r>
          </w:hyperlink>
        </w:p>
        <w:p w:rsidR="002E508F" w:rsidRDefault="00A57FA5">
          <w:pPr>
            <w:pStyle w:val="TOC1"/>
            <w:rPr>
              <w:rFonts w:eastAsiaTheme="minorEastAsia"/>
              <w:caps w:val="0"/>
              <w:noProof/>
              <w:lang w:eastAsia="en-GB"/>
            </w:rPr>
          </w:pPr>
          <w:hyperlink w:anchor="_Toc497141519" w:history="1">
            <w:r w:rsidR="005D0A03">
              <w:rPr>
                <w:rStyle w:val="Hyperlink"/>
                <w:noProof/>
              </w:rPr>
              <w:t>7.</w:t>
            </w:r>
            <w:r w:rsidR="005D0A03">
              <w:rPr>
                <w:rFonts w:eastAsiaTheme="minorEastAsia"/>
                <w:caps w:val="0"/>
                <w:noProof/>
                <w:lang w:eastAsia="en-GB"/>
              </w:rPr>
              <w:tab/>
            </w:r>
            <w:r w:rsidR="005D0A03">
              <w:rPr>
                <w:rStyle w:val="Hyperlink"/>
                <w:noProof/>
              </w:rPr>
              <w:t>How do the options compare?</w:t>
            </w:r>
            <w:r w:rsidR="005D0A03">
              <w:rPr>
                <w:noProof/>
                <w:webHidden/>
              </w:rPr>
              <w:tab/>
            </w:r>
            <w:r w:rsidR="005D0A03">
              <w:rPr>
                <w:noProof/>
                <w:webHidden/>
              </w:rPr>
              <w:fldChar w:fldCharType="begin"/>
            </w:r>
            <w:r w:rsidR="005D0A03">
              <w:rPr>
                <w:noProof/>
                <w:webHidden/>
              </w:rPr>
              <w:instrText xml:space="preserve"> PAGEREF _Toc497141519 \h </w:instrText>
            </w:r>
            <w:r w:rsidR="005D0A03">
              <w:rPr>
                <w:noProof/>
                <w:webHidden/>
              </w:rPr>
            </w:r>
            <w:r w:rsidR="005D0A03">
              <w:rPr>
                <w:noProof/>
                <w:webHidden/>
              </w:rPr>
              <w:fldChar w:fldCharType="separate"/>
            </w:r>
            <w:r>
              <w:rPr>
                <w:noProof/>
                <w:webHidden/>
              </w:rPr>
              <w:t>64</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520" w:history="1">
            <w:r w:rsidR="005D0A03">
              <w:rPr>
                <w:rStyle w:val="Hyperlink"/>
                <w:noProof/>
              </w:rPr>
              <w:t>7.1.</w:t>
            </w:r>
            <w:r w:rsidR="005D0A03">
              <w:rPr>
                <w:rFonts w:eastAsiaTheme="minorEastAsia"/>
                <w:noProof/>
                <w:lang w:eastAsia="en-GB"/>
              </w:rPr>
              <w:tab/>
            </w:r>
            <w:r w:rsidR="005D0A03">
              <w:rPr>
                <w:rStyle w:val="Hyperlink"/>
                <w:noProof/>
              </w:rPr>
              <w:t>Effectiveness</w:t>
            </w:r>
            <w:r w:rsidR="005D0A03">
              <w:rPr>
                <w:noProof/>
                <w:webHidden/>
              </w:rPr>
              <w:tab/>
            </w:r>
            <w:r w:rsidR="005D0A03">
              <w:rPr>
                <w:noProof/>
                <w:webHidden/>
              </w:rPr>
              <w:fldChar w:fldCharType="begin"/>
            </w:r>
            <w:r w:rsidR="005D0A03">
              <w:rPr>
                <w:noProof/>
                <w:webHidden/>
              </w:rPr>
              <w:instrText xml:space="preserve"> PAGEREF _Toc497141520 \h </w:instrText>
            </w:r>
            <w:r w:rsidR="005D0A03">
              <w:rPr>
                <w:noProof/>
                <w:webHidden/>
              </w:rPr>
            </w:r>
            <w:r w:rsidR="005D0A03">
              <w:rPr>
                <w:noProof/>
                <w:webHidden/>
              </w:rPr>
              <w:fldChar w:fldCharType="separate"/>
            </w:r>
            <w:r>
              <w:rPr>
                <w:noProof/>
                <w:webHidden/>
              </w:rPr>
              <w:t>64</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521" w:history="1">
            <w:r w:rsidR="005D0A03">
              <w:rPr>
                <w:rStyle w:val="Hyperlink"/>
                <w:noProof/>
              </w:rPr>
              <w:t>7.2.</w:t>
            </w:r>
            <w:r w:rsidR="005D0A03">
              <w:rPr>
                <w:rFonts w:eastAsiaTheme="minorEastAsia"/>
                <w:noProof/>
                <w:lang w:eastAsia="en-GB"/>
              </w:rPr>
              <w:tab/>
            </w:r>
            <w:r w:rsidR="005D0A03">
              <w:rPr>
                <w:rStyle w:val="Hyperlink"/>
                <w:noProof/>
              </w:rPr>
              <w:t>Efficiency</w:t>
            </w:r>
            <w:r w:rsidR="005D0A03">
              <w:rPr>
                <w:noProof/>
                <w:webHidden/>
              </w:rPr>
              <w:tab/>
            </w:r>
            <w:r w:rsidR="005D0A03">
              <w:rPr>
                <w:noProof/>
                <w:webHidden/>
              </w:rPr>
              <w:fldChar w:fldCharType="begin"/>
            </w:r>
            <w:r w:rsidR="005D0A03">
              <w:rPr>
                <w:noProof/>
                <w:webHidden/>
              </w:rPr>
              <w:instrText xml:space="preserve"> PAGEREF _Toc497141521 \h </w:instrText>
            </w:r>
            <w:r w:rsidR="005D0A03">
              <w:rPr>
                <w:noProof/>
                <w:webHidden/>
              </w:rPr>
            </w:r>
            <w:r w:rsidR="005D0A03">
              <w:rPr>
                <w:noProof/>
                <w:webHidden/>
              </w:rPr>
              <w:fldChar w:fldCharType="separate"/>
            </w:r>
            <w:r>
              <w:rPr>
                <w:noProof/>
                <w:webHidden/>
              </w:rPr>
              <w:t>68</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522" w:history="1">
            <w:r w:rsidR="005D0A03">
              <w:rPr>
                <w:rStyle w:val="Hyperlink"/>
                <w:noProof/>
              </w:rPr>
              <w:t>7.3.</w:t>
            </w:r>
            <w:r w:rsidR="005D0A03">
              <w:rPr>
                <w:rFonts w:eastAsiaTheme="minorEastAsia"/>
                <w:noProof/>
                <w:lang w:eastAsia="en-GB"/>
              </w:rPr>
              <w:tab/>
            </w:r>
            <w:r w:rsidR="005D0A03">
              <w:rPr>
                <w:rStyle w:val="Hyperlink"/>
                <w:noProof/>
              </w:rPr>
              <w:t>Coherence</w:t>
            </w:r>
            <w:r w:rsidR="005D0A03">
              <w:rPr>
                <w:noProof/>
                <w:webHidden/>
              </w:rPr>
              <w:tab/>
            </w:r>
            <w:r w:rsidR="005D0A03">
              <w:rPr>
                <w:noProof/>
                <w:webHidden/>
              </w:rPr>
              <w:fldChar w:fldCharType="begin"/>
            </w:r>
            <w:r w:rsidR="005D0A03">
              <w:rPr>
                <w:noProof/>
                <w:webHidden/>
              </w:rPr>
              <w:instrText xml:space="preserve"> PAGEREF _Toc497141522 \h </w:instrText>
            </w:r>
            <w:r w:rsidR="005D0A03">
              <w:rPr>
                <w:noProof/>
                <w:webHidden/>
              </w:rPr>
            </w:r>
            <w:r w:rsidR="005D0A03">
              <w:rPr>
                <w:noProof/>
                <w:webHidden/>
              </w:rPr>
              <w:fldChar w:fldCharType="separate"/>
            </w:r>
            <w:r>
              <w:rPr>
                <w:noProof/>
                <w:webHidden/>
              </w:rPr>
              <w:t>72</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523" w:history="1">
            <w:r w:rsidR="005D0A03">
              <w:rPr>
                <w:rStyle w:val="Hyperlink"/>
                <w:noProof/>
              </w:rPr>
              <w:t>7.4.</w:t>
            </w:r>
            <w:r w:rsidR="005D0A03">
              <w:rPr>
                <w:rFonts w:eastAsiaTheme="minorEastAsia"/>
                <w:noProof/>
                <w:lang w:eastAsia="en-GB"/>
              </w:rPr>
              <w:tab/>
            </w:r>
            <w:r w:rsidR="005D0A03">
              <w:rPr>
                <w:rStyle w:val="Hyperlink"/>
                <w:noProof/>
              </w:rPr>
              <w:t>Proportionality and subsidiarity</w:t>
            </w:r>
            <w:r w:rsidR="005D0A03">
              <w:rPr>
                <w:noProof/>
                <w:webHidden/>
              </w:rPr>
              <w:tab/>
            </w:r>
            <w:r w:rsidR="005D0A03">
              <w:rPr>
                <w:noProof/>
                <w:webHidden/>
              </w:rPr>
              <w:fldChar w:fldCharType="begin"/>
            </w:r>
            <w:r w:rsidR="005D0A03">
              <w:rPr>
                <w:noProof/>
                <w:webHidden/>
              </w:rPr>
              <w:instrText xml:space="preserve"> PAGEREF _Toc497141523 \h </w:instrText>
            </w:r>
            <w:r w:rsidR="005D0A03">
              <w:rPr>
                <w:noProof/>
                <w:webHidden/>
              </w:rPr>
            </w:r>
            <w:r w:rsidR="005D0A03">
              <w:rPr>
                <w:noProof/>
                <w:webHidden/>
              </w:rPr>
              <w:fldChar w:fldCharType="separate"/>
            </w:r>
            <w:r>
              <w:rPr>
                <w:noProof/>
                <w:webHidden/>
              </w:rPr>
              <w:t>72</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524" w:history="1">
            <w:r w:rsidR="005D0A03">
              <w:rPr>
                <w:rStyle w:val="Hyperlink"/>
                <w:noProof/>
              </w:rPr>
              <w:t>7.5.</w:t>
            </w:r>
            <w:r w:rsidR="005D0A03">
              <w:rPr>
                <w:rFonts w:eastAsiaTheme="minorEastAsia"/>
                <w:noProof/>
                <w:lang w:eastAsia="en-GB"/>
              </w:rPr>
              <w:tab/>
            </w:r>
            <w:r w:rsidR="005D0A03">
              <w:rPr>
                <w:rStyle w:val="Hyperlink"/>
                <w:noProof/>
              </w:rPr>
              <w:t>Preferred option</w:t>
            </w:r>
            <w:r w:rsidR="005D0A03">
              <w:rPr>
                <w:noProof/>
                <w:webHidden/>
              </w:rPr>
              <w:tab/>
            </w:r>
            <w:r w:rsidR="005D0A03">
              <w:rPr>
                <w:noProof/>
                <w:webHidden/>
              </w:rPr>
              <w:fldChar w:fldCharType="begin"/>
            </w:r>
            <w:r w:rsidR="005D0A03">
              <w:rPr>
                <w:noProof/>
                <w:webHidden/>
              </w:rPr>
              <w:instrText xml:space="preserve"> PAGEREF _Toc497141524 \h </w:instrText>
            </w:r>
            <w:r w:rsidR="005D0A03">
              <w:rPr>
                <w:noProof/>
                <w:webHidden/>
              </w:rPr>
            </w:r>
            <w:r w:rsidR="005D0A03">
              <w:rPr>
                <w:noProof/>
                <w:webHidden/>
              </w:rPr>
              <w:fldChar w:fldCharType="separate"/>
            </w:r>
            <w:r>
              <w:rPr>
                <w:noProof/>
                <w:webHidden/>
              </w:rPr>
              <w:t>73</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525" w:history="1">
            <w:r w:rsidR="005D0A03">
              <w:rPr>
                <w:rStyle w:val="Hyperlink"/>
                <w:noProof/>
              </w:rPr>
              <w:t>7.6.</w:t>
            </w:r>
            <w:r w:rsidR="005D0A03">
              <w:rPr>
                <w:rFonts w:eastAsiaTheme="minorEastAsia"/>
                <w:noProof/>
                <w:lang w:eastAsia="en-GB"/>
              </w:rPr>
              <w:tab/>
            </w:r>
            <w:r w:rsidR="005D0A03">
              <w:rPr>
                <w:rStyle w:val="Hyperlink"/>
                <w:noProof/>
              </w:rPr>
              <w:t>Effectiveness in achieving the objectives to reduce regulatory burden</w:t>
            </w:r>
            <w:r w:rsidR="005D0A03">
              <w:rPr>
                <w:noProof/>
                <w:webHidden/>
              </w:rPr>
              <w:tab/>
            </w:r>
            <w:r w:rsidR="005D0A03">
              <w:rPr>
                <w:noProof/>
                <w:webHidden/>
              </w:rPr>
              <w:fldChar w:fldCharType="begin"/>
            </w:r>
            <w:r w:rsidR="005D0A03">
              <w:rPr>
                <w:noProof/>
                <w:webHidden/>
              </w:rPr>
              <w:instrText xml:space="preserve"> PAGEREF _Toc497141525 \h </w:instrText>
            </w:r>
            <w:r w:rsidR="005D0A03">
              <w:rPr>
                <w:noProof/>
                <w:webHidden/>
              </w:rPr>
            </w:r>
            <w:r w:rsidR="005D0A03">
              <w:rPr>
                <w:noProof/>
                <w:webHidden/>
              </w:rPr>
              <w:fldChar w:fldCharType="separate"/>
            </w:r>
            <w:r>
              <w:rPr>
                <w:noProof/>
                <w:webHidden/>
              </w:rPr>
              <w:t>73</w:t>
            </w:r>
            <w:r w:rsidR="005D0A03">
              <w:rPr>
                <w:noProof/>
                <w:webHidden/>
              </w:rPr>
              <w:fldChar w:fldCharType="end"/>
            </w:r>
          </w:hyperlink>
        </w:p>
        <w:p w:rsidR="002E508F" w:rsidRDefault="00A57FA5">
          <w:pPr>
            <w:pStyle w:val="TOC1"/>
            <w:rPr>
              <w:rFonts w:eastAsiaTheme="minorEastAsia"/>
              <w:caps w:val="0"/>
              <w:noProof/>
              <w:lang w:eastAsia="en-GB"/>
            </w:rPr>
          </w:pPr>
          <w:hyperlink w:anchor="_Toc497141526" w:history="1">
            <w:r w:rsidR="005D0A03">
              <w:rPr>
                <w:rStyle w:val="Hyperlink"/>
                <w:noProof/>
              </w:rPr>
              <w:t>8.</w:t>
            </w:r>
            <w:r w:rsidR="005D0A03">
              <w:rPr>
                <w:rFonts w:eastAsiaTheme="minorEastAsia"/>
                <w:caps w:val="0"/>
                <w:noProof/>
                <w:lang w:eastAsia="en-GB"/>
              </w:rPr>
              <w:tab/>
            </w:r>
            <w:r w:rsidR="005D0A03">
              <w:rPr>
                <w:rStyle w:val="Hyperlink"/>
                <w:noProof/>
              </w:rPr>
              <w:t>How would impacts be monitored and evaluated?</w:t>
            </w:r>
            <w:r w:rsidR="005D0A03">
              <w:rPr>
                <w:noProof/>
                <w:webHidden/>
              </w:rPr>
              <w:tab/>
            </w:r>
            <w:r w:rsidR="005D0A03">
              <w:rPr>
                <w:noProof/>
                <w:webHidden/>
              </w:rPr>
              <w:fldChar w:fldCharType="begin"/>
            </w:r>
            <w:r w:rsidR="005D0A03">
              <w:rPr>
                <w:noProof/>
                <w:webHidden/>
              </w:rPr>
              <w:instrText xml:space="preserve"> PAGEREF _Toc497141526 \h </w:instrText>
            </w:r>
            <w:r w:rsidR="005D0A03">
              <w:rPr>
                <w:noProof/>
                <w:webHidden/>
              </w:rPr>
            </w:r>
            <w:r w:rsidR="005D0A03">
              <w:rPr>
                <w:noProof/>
                <w:webHidden/>
              </w:rPr>
              <w:fldChar w:fldCharType="separate"/>
            </w:r>
            <w:r>
              <w:rPr>
                <w:noProof/>
                <w:webHidden/>
              </w:rPr>
              <w:t>75</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527" w:history="1">
            <w:r w:rsidR="005D0A03">
              <w:rPr>
                <w:rStyle w:val="Hyperlink"/>
                <w:noProof/>
              </w:rPr>
              <w:t>8.1.</w:t>
            </w:r>
            <w:r w:rsidR="005D0A03">
              <w:rPr>
                <w:rFonts w:eastAsiaTheme="minorEastAsia"/>
                <w:noProof/>
                <w:lang w:eastAsia="en-GB"/>
              </w:rPr>
              <w:tab/>
            </w:r>
            <w:r w:rsidR="005D0A03">
              <w:rPr>
                <w:rStyle w:val="Hyperlink"/>
                <w:noProof/>
              </w:rPr>
              <w:t>Indicators</w:t>
            </w:r>
            <w:r w:rsidR="005D0A03">
              <w:rPr>
                <w:noProof/>
                <w:webHidden/>
              </w:rPr>
              <w:tab/>
            </w:r>
            <w:r w:rsidR="005D0A03">
              <w:rPr>
                <w:noProof/>
                <w:webHidden/>
              </w:rPr>
              <w:fldChar w:fldCharType="begin"/>
            </w:r>
            <w:r w:rsidR="005D0A03">
              <w:rPr>
                <w:noProof/>
                <w:webHidden/>
              </w:rPr>
              <w:instrText xml:space="preserve"> PAGEREF _Toc497141527 \h </w:instrText>
            </w:r>
            <w:r w:rsidR="005D0A03">
              <w:rPr>
                <w:noProof/>
                <w:webHidden/>
              </w:rPr>
            </w:r>
            <w:r w:rsidR="005D0A03">
              <w:rPr>
                <w:noProof/>
                <w:webHidden/>
              </w:rPr>
              <w:fldChar w:fldCharType="separate"/>
            </w:r>
            <w:r>
              <w:rPr>
                <w:noProof/>
                <w:webHidden/>
              </w:rPr>
              <w:t>75</w:t>
            </w:r>
            <w:r w:rsidR="005D0A03">
              <w:rPr>
                <w:noProof/>
                <w:webHidden/>
              </w:rPr>
              <w:fldChar w:fldCharType="end"/>
            </w:r>
          </w:hyperlink>
        </w:p>
        <w:p w:rsidR="002E508F" w:rsidRDefault="00A57FA5">
          <w:pPr>
            <w:pStyle w:val="TOC2"/>
            <w:tabs>
              <w:tab w:val="left" w:pos="1077"/>
            </w:tabs>
            <w:rPr>
              <w:rFonts w:eastAsiaTheme="minorEastAsia"/>
              <w:noProof/>
              <w:lang w:eastAsia="en-GB"/>
            </w:rPr>
          </w:pPr>
          <w:hyperlink w:anchor="_Toc497141528" w:history="1">
            <w:r w:rsidR="005D0A03">
              <w:rPr>
                <w:rStyle w:val="Hyperlink"/>
                <w:noProof/>
              </w:rPr>
              <w:t>8.2.</w:t>
            </w:r>
            <w:r w:rsidR="005D0A03">
              <w:rPr>
                <w:rFonts w:eastAsiaTheme="minorEastAsia"/>
                <w:noProof/>
                <w:lang w:eastAsia="en-GB"/>
              </w:rPr>
              <w:tab/>
            </w:r>
            <w:r w:rsidR="005D0A03">
              <w:rPr>
                <w:rStyle w:val="Hyperlink"/>
                <w:noProof/>
              </w:rPr>
              <w:t>Operational objectives</w:t>
            </w:r>
            <w:r w:rsidR="005D0A03">
              <w:rPr>
                <w:noProof/>
                <w:webHidden/>
              </w:rPr>
              <w:tab/>
            </w:r>
            <w:r w:rsidR="005D0A03">
              <w:rPr>
                <w:noProof/>
                <w:webHidden/>
              </w:rPr>
              <w:fldChar w:fldCharType="begin"/>
            </w:r>
            <w:r w:rsidR="005D0A03">
              <w:rPr>
                <w:noProof/>
                <w:webHidden/>
              </w:rPr>
              <w:instrText xml:space="preserve"> PAGEREF _Toc497141528 \h </w:instrText>
            </w:r>
            <w:r w:rsidR="005D0A03">
              <w:rPr>
                <w:noProof/>
                <w:webHidden/>
              </w:rPr>
            </w:r>
            <w:r w:rsidR="005D0A03">
              <w:rPr>
                <w:noProof/>
                <w:webHidden/>
              </w:rPr>
              <w:fldChar w:fldCharType="separate"/>
            </w:r>
            <w:r>
              <w:rPr>
                <w:noProof/>
                <w:webHidden/>
              </w:rPr>
              <w:t>76</w:t>
            </w:r>
            <w:r w:rsidR="005D0A03">
              <w:rPr>
                <w:noProof/>
                <w:webHidden/>
              </w:rPr>
              <w:fldChar w:fldCharType="end"/>
            </w:r>
          </w:hyperlink>
        </w:p>
        <w:p w:rsidR="002E508F" w:rsidRDefault="005D0A03">
          <w:pPr>
            <w:rPr>
              <w:rFonts w:ascii="Times New Roman" w:hAnsi="Times New Roman" w:cs="Times New Roman"/>
              <w:noProof/>
            </w:rPr>
          </w:pPr>
          <w:r>
            <w:rPr>
              <w:rFonts w:ascii="Times New Roman" w:hAnsi="Times New Roman" w:cs="Times New Roman"/>
              <w:b/>
              <w:bCs/>
              <w:noProof/>
            </w:rPr>
            <w:fldChar w:fldCharType="end"/>
          </w:r>
        </w:p>
      </w:sdtContent>
    </w:sdt>
    <w:p w:rsidR="002E508F" w:rsidRDefault="005D0A03">
      <w:pPr>
        <w:spacing w:after="0" w:line="240" w:lineRule="auto"/>
        <w:rPr>
          <w:noProof/>
        </w:rPr>
      </w:pPr>
      <w:r>
        <w:rPr>
          <w:noProof/>
        </w:rPr>
        <w:br w:type="page"/>
      </w:r>
    </w:p>
    <w:p w:rsidR="002E508F" w:rsidRDefault="005D0A03">
      <w:pPr>
        <w:pStyle w:val="Heading1"/>
        <w:rPr>
          <w:noProof/>
        </w:rPr>
      </w:pPr>
      <w:bookmarkStart w:id="1" w:name="_Toc497141460"/>
      <w:r>
        <w:rPr>
          <w:noProof/>
        </w:rPr>
        <w:lastRenderedPageBreak/>
        <w:t>Introduction</w:t>
      </w:r>
      <w:bookmarkEnd w:id="1"/>
      <w:r>
        <w:rPr>
          <w:rFonts w:ascii="Times New Roman Bold" w:hAnsi="Times New Roman Bold"/>
          <w:i/>
          <w:noProof/>
          <w:color w:val="FF0000"/>
        </w:rPr>
        <w:t xml:space="preserve"> </w:t>
      </w:r>
    </w:p>
    <w:p w:rsidR="002E508F" w:rsidRDefault="005D0A03">
      <w:pPr>
        <w:spacing w:line="240" w:lineRule="auto"/>
        <w:jc w:val="both"/>
        <w:rPr>
          <w:rFonts w:ascii="Times New Roman Bold" w:hAnsi="Times New Roman Bold" w:cs="Times New Roman"/>
          <w:noProof/>
        </w:rPr>
      </w:pPr>
      <w:r>
        <w:rPr>
          <w:rFonts w:ascii="Times New Roman Bold" w:hAnsi="Times New Roman Bold" w:cs="Times New Roman"/>
          <w:noProof/>
        </w:rPr>
        <w:t xml:space="preserve">This Impact Assessment uses abbreviations and technical terms. These are explained in the glossary in Annex 7 of this Impact Assessment. </w:t>
      </w:r>
    </w:p>
    <w:p w:rsidR="002E508F" w:rsidRDefault="005D0A03">
      <w:pPr>
        <w:pStyle w:val="Heading2"/>
        <w:rPr>
          <w:noProof/>
        </w:rPr>
      </w:pPr>
      <w:bookmarkStart w:id="2" w:name="_Toc497141461"/>
      <w:r>
        <w:rPr>
          <w:noProof/>
        </w:rPr>
        <w:t>Policy context</w:t>
      </w:r>
      <w:bookmarkEnd w:id="2"/>
    </w:p>
    <w:p w:rsidR="002E508F" w:rsidRDefault="005D0A03">
      <w:pPr>
        <w:spacing w:line="240" w:lineRule="auto"/>
        <w:jc w:val="both"/>
        <w:rPr>
          <w:rFonts w:ascii="Times New Roman" w:hAnsi="Times New Roman" w:cs="Times New Roman"/>
          <w:noProof/>
          <w:lang w:eastAsia="en-GB"/>
        </w:rPr>
      </w:pPr>
      <w:r>
        <w:rPr>
          <w:rFonts w:ascii="Times New Roman" w:hAnsi="Times New Roman"/>
          <w:noProof/>
        </w:rPr>
        <w:t>The 2017 State of the Union Address gives a clear message: the EU should become a world leader on decarbonisation.</w:t>
      </w:r>
      <w:r>
        <w:rPr>
          <w:rFonts w:ascii="Times New Roman" w:hAnsi="Times New Roman"/>
          <w:noProof/>
          <w:sz w:val="24"/>
          <w:szCs w:val="24"/>
        </w:rPr>
        <w:t xml:space="preserve"> </w:t>
      </w:r>
      <w:r>
        <w:rPr>
          <w:rFonts w:ascii="Times New Roman" w:hAnsi="Times New Roman" w:cs="Times New Roman"/>
          <w:noProof/>
          <w:lang w:eastAsia="en-GB"/>
        </w:rPr>
        <w:t>The promotion of sustainable transport is a key element of the common transport policy</w:t>
      </w:r>
      <w:r>
        <w:rPr>
          <w:rFonts w:ascii="Times New Roman" w:hAnsi="Times New Roman" w:cs="Times New Roman"/>
          <w:noProof/>
        </w:rPr>
        <w:t>. The Commission's European Strategy for Low-Emission Mobility, published in July 2016,</w:t>
      </w:r>
      <w:r>
        <w:rPr>
          <w:rStyle w:val="FootnoteReference"/>
          <w:rFonts w:ascii="Times New Roman" w:hAnsi="Times New Roman" w:cs="Times New Roman"/>
          <w:noProof/>
          <w:lang w:eastAsia="en-GB"/>
        </w:rPr>
        <w:footnoteReference w:id="1"/>
      </w:r>
      <w:r>
        <w:rPr>
          <w:rFonts w:ascii="Times New Roman" w:hAnsi="Times New Roman" w:cs="Times New Roman"/>
          <w:noProof/>
        </w:rPr>
        <w:t xml:space="preserve"> confirms that by 2050 GHG-emissions from transport as well as pollutant emissions should be firmly on the path towards zero-emission by then.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Commission's Communication "Europe on the Move: an agenda for a socially fair transition towards clean, competitive and connected mobility for all"</w:t>
      </w:r>
      <w:r>
        <w:rPr>
          <w:rStyle w:val="FootnoteReference"/>
          <w:rFonts w:ascii="Times New Roman" w:hAnsi="Times New Roman" w:cs="Times New Roman"/>
          <w:noProof/>
        </w:rPr>
        <w:footnoteReference w:id="2"/>
      </w:r>
      <w:r>
        <w:rPr>
          <w:rFonts w:ascii="Times New Roman" w:hAnsi="Times New Roman" w:cs="Times New Roman"/>
          <w:noProof/>
        </w:rPr>
        <w:t xml:space="preserve">  from May 2017 notes: increased production and uptake of clean vehicles, alternative fuels infrastructures and modern system services making use of data economy offers multiple benefits to citizens, Member States and industries. </w:t>
      </w:r>
    </w:p>
    <w:p w:rsidR="002E508F" w:rsidRDefault="005D0A03">
      <w:pPr>
        <w:spacing w:line="240" w:lineRule="auto"/>
        <w:jc w:val="both"/>
        <w:rPr>
          <w:rFonts w:ascii="Times New Roman" w:hAnsi="Times New Roman" w:cs="Times New Roman"/>
          <w:noProof/>
        </w:rPr>
      </w:pPr>
      <w:r>
        <w:rPr>
          <w:rFonts w:ascii="Times New Roman" w:hAnsi="Times New Roman"/>
          <w:noProof/>
        </w:rPr>
        <w:t xml:space="preserve">With the Paris Agreement on Climate Change in force, the transition to a modern and low-carbon economy needs to accelerate. The June 2017 European Council recognised the Paris Agreement as a "key element for the modernisation of the European industry and economy". It translates into a global competition for market shares, technology, and brains that will develop the innovations of the future. </w:t>
      </w:r>
    </w:p>
    <w:p w:rsidR="002E508F" w:rsidRDefault="005D0A03">
      <w:pPr>
        <w:spacing w:line="240" w:lineRule="auto"/>
        <w:jc w:val="both"/>
        <w:rPr>
          <w:rFonts w:ascii="Times New Roman" w:hAnsi="Times New Roman" w:cs="Times New Roman"/>
          <w:noProof/>
          <w:lang w:eastAsia="en-GB"/>
        </w:rPr>
      </w:pPr>
      <w:r>
        <w:rPr>
          <w:rFonts w:ascii="Times New Roman" w:hAnsi="Times New Roman" w:cs="Times New Roman"/>
          <w:noProof/>
          <w:lang w:eastAsia="en-GB"/>
        </w:rPr>
        <w:t xml:space="preserve">Around 95% of vehicles on Europe's roads still have an internal combustion engine. The </w:t>
      </w:r>
      <w:r>
        <w:rPr>
          <w:rFonts w:ascii="Times New Roman" w:hAnsi="Times New Roman" w:cs="Times New Roman"/>
          <w:noProof/>
        </w:rPr>
        <w:t>European Strategy for Low-Emission Mobility</w:t>
      </w:r>
      <w:r>
        <w:rPr>
          <w:rFonts w:ascii="Times New Roman" w:hAnsi="Times New Roman" w:cs="Times New Roman"/>
          <w:noProof/>
          <w:lang w:eastAsia="en-GB"/>
        </w:rPr>
        <w:t xml:space="preserve"> makes clear that deployment of low- and zero-emission vehicles will need to increase substantially in order to meet</w:t>
      </w:r>
      <w:r>
        <w:rPr>
          <w:rFonts w:ascii="Times New Roman" w:hAnsi="Times New Roman" w:cs="Times New Roman"/>
          <w:noProof/>
        </w:rPr>
        <w:t xml:space="preserve"> long-term climate, energy and environmental objectives of the Union, in addition to using the most innovative conventional fuels. Such acceleration is highly relevant for maintaining long-term competitiveness of the transport sector, given dynamic global market developments. </w:t>
      </w:r>
      <w:r>
        <w:rPr>
          <w:rFonts w:ascii="Times New Roman" w:hAnsi="Times New Roman" w:cs="Times New Roman"/>
          <w:noProof/>
          <w:lang w:eastAsia="en-GB"/>
        </w:rPr>
        <w:t xml:space="preserve">The strategy indicates the relevance of public procurement in supporting the transition to a modern and low-carbon economy. It notes that </w:t>
      </w:r>
      <w:r>
        <w:rPr>
          <w:rFonts w:ascii="Times New Roman" w:hAnsi="Times New Roman" w:cs="Times New Roman"/>
          <w:i/>
          <w:noProof/>
          <w:lang w:eastAsia="en-GB"/>
        </w:rPr>
        <w:t>"to support demand the Commission is working […] on incentives in public procurement rules, in the context of the revision of the Clean Vehicles Directive."</w:t>
      </w:r>
      <w:r>
        <w:rPr>
          <w:rStyle w:val="FootnoteReference"/>
          <w:rFonts w:ascii="Times New Roman" w:hAnsi="Times New Roman" w:cs="Times New Roman"/>
          <w:i/>
          <w:noProof/>
          <w:lang w:eastAsia="en-GB"/>
        </w:rPr>
        <w:footnoteReference w:id="3"/>
      </w:r>
      <w:r>
        <w:rPr>
          <w:rFonts w:ascii="Times New Roman" w:hAnsi="Times New Roman" w:cs="Times New Roman"/>
          <w:i/>
          <w:noProof/>
          <w:lang w:eastAsia="en-GB"/>
        </w:rPr>
        <w:t xml:space="preserve"> </w:t>
      </w:r>
      <w:r>
        <w:rPr>
          <w:rFonts w:ascii="Times New Roman" w:hAnsi="Times New Roman" w:cs="Times New Roman"/>
          <w:noProof/>
          <w:lang w:eastAsia="en-GB"/>
        </w:rPr>
        <w:t xml:space="preserve"> </w:t>
      </w:r>
    </w:p>
    <w:p w:rsidR="002E508F" w:rsidRDefault="005D0A03">
      <w:pPr>
        <w:spacing w:line="240" w:lineRule="auto"/>
        <w:jc w:val="both"/>
        <w:rPr>
          <w:rFonts w:ascii="Times New Roman" w:hAnsi="Times New Roman" w:cs="Times New Roman"/>
          <w:i/>
          <w:noProof/>
          <w:lang w:eastAsia="en-GB"/>
        </w:rPr>
      </w:pPr>
      <w:r>
        <w:rPr>
          <w:rFonts w:ascii="Times New Roman" w:hAnsi="Times New Roman" w:cs="Times New Roman"/>
          <w:noProof/>
          <w:lang w:eastAsia="en-GB"/>
        </w:rPr>
        <w:t>This initiative forms part of the overall effort to create an Energy Union that tackles long-term energy and climate objectives and delivers on the Paris Climate Agreement, among other. It is part of a package of mobility initiatives adopted as part of the Mobility Package approach of the Commission in 2017. It is particularly complementary to the legislative proposal for setting new CO</w:t>
      </w:r>
      <w:r>
        <w:rPr>
          <w:rFonts w:ascii="Times New Roman" w:hAnsi="Times New Roman" w:cs="Times New Roman"/>
          <w:noProof/>
          <w:vertAlign w:val="subscript"/>
          <w:lang w:eastAsia="en-GB"/>
        </w:rPr>
        <w:t>2</w:t>
      </w:r>
      <w:r>
        <w:rPr>
          <w:rFonts w:ascii="Times New Roman" w:hAnsi="Times New Roman" w:cs="Times New Roman"/>
          <w:noProof/>
          <w:lang w:eastAsia="en-GB"/>
        </w:rPr>
        <w:t xml:space="preserve"> emission performance regulations for cars and vans post 2020 – together, both policy initiatives create a coherent market push-and-pull approach. </w:t>
      </w:r>
    </w:p>
    <w:p w:rsidR="002E508F" w:rsidRDefault="005D0A03">
      <w:pPr>
        <w:pStyle w:val="Heading2"/>
        <w:rPr>
          <w:noProof/>
        </w:rPr>
      </w:pPr>
      <w:bookmarkStart w:id="3" w:name="_Toc497141462"/>
      <w:r>
        <w:rPr>
          <w:noProof/>
        </w:rPr>
        <w:t>Legal context</w:t>
      </w:r>
      <w:bookmarkEnd w:id="3"/>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Currently, purchases of services, works and supplies by public authorities in the EU account for approximately 14% of GDP. </w:t>
      </w:r>
      <w:r>
        <w:rPr>
          <w:rFonts w:ascii="Times New Roman" w:hAnsi="Times New Roman" w:cs="Times New Roman"/>
          <w:noProof/>
          <w:color w:val="000000"/>
          <w:lang w:val="en"/>
        </w:rPr>
        <w:t>To create a level playing field for all businesses and to increase transparency, EU law sets out minimum harmonised public procurement rules through Directives 2014/24/EU and 2014/25/EU. These horizontal public procurement rules organise the way public authorities and certain public utility operators purchase goods, works and services</w:t>
      </w:r>
      <w:r>
        <w:rPr>
          <w:rFonts w:ascii="Times New Roman" w:hAnsi="Times New Roman" w:cs="Times New Roman"/>
          <w:noProof/>
        </w:rPr>
        <w:t xml:space="preserve">. </w:t>
      </w:r>
    </w:p>
    <w:p w:rsidR="002E508F" w:rsidRDefault="005D0A03">
      <w:pPr>
        <w:autoSpaceDE w:val="0"/>
        <w:autoSpaceDN w:val="0"/>
        <w:adjustRightInd w:val="0"/>
        <w:spacing w:line="240" w:lineRule="auto"/>
        <w:jc w:val="both"/>
        <w:rPr>
          <w:rFonts w:ascii="Times New Roman" w:hAnsi="Times New Roman" w:cs="Times New Roman"/>
          <w:noProof/>
        </w:rPr>
      </w:pPr>
      <w:r>
        <w:rPr>
          <w:rFonts w:ascii="Times New Roman" w:hAnsi="Times New Roman" w:cs="Times New Roman"/>
          <w:noProof/>
        </w:rPr>
        <w:t xml:space="preserve">Directive 2009/33/EC on the promotion of clean, energy-efficient road vehicles (known as the Clean Vehicles Directive, in the rest of this Impact Assessment report abbreviated as: the Directive) complements this horizontal public procurement legislation. </w:t>
      </w:r>
      <w:r>
        <w:rPr>
          <w:rFonts w:ascii="Times New Roman" w:hAnsi="Times New Roman" w:cs="Times New Roman"/>
          <w:noProof/>
          <w:color w:val="000000"/>
        </w:rPr>
        <w:t xml:space="preserve">By making a mandatory requirement to </w:t>
      </w:r>
      <w:r>
        <w:rPr>
          <w:rFonts w:ascii="Times New Roman" w:hAnsi="Times New Roman" w:cs="Times New Roman"/>
          <w:noProof/>
          <w:color w:val="000000"/>
        </w:rPr>
        <w:lastRenderedPageBreak/>
        <w:t>account for operational life-time energ</w:t>
      </w:r>
      <w:bookmarkStart w:id="4" w:name="_GoBack"/>
      <w:bookmarkEnd w:id="4"/>
      <w:r>
        <w:rPr>
          <w:rFonts w:ascii="Times New Roman" w:hAnsi="Times New Roman" w:cs="Times New Roman"/>
          <w:noProof/>
          <w:color w:val="000000"/>
        </w:rPr>
        <w:t xml:space="preserve">y and environmental impacts in procurement of road vehicles, it seeks to promote and stimulate the market for clean, energy-efficient vehicles. The Directive introduced the principle of sustainability into the public procurement law of the Union. An increased uptake of clean, energy-efficient passenger cars, buses, coaches and trucks shall improve transport's contribution to reducing </w:t>
      </w:r>
      <w:r>
        <w:rPr>
          <w:rFonts w:ascii="Times New Roman" w:hAnsi="Times New Roman" w:cs="Times New Roman"/>
          <w:noProof/>
        </w:rPr>
        <w:t>emissions of CO</w:t>
      </w:r>
      <w:r>
        <w:rPr>
          <w:rFonts w:ascii="Times New Roman" w:hAnsi="Times New Roman" w:cs="Times New Roman"/>
          <w:noProof/>
          <w:vertAlign w:val="subscript"/>
        </w:rPr>
        <w:t>2</w:t>
      </w:r>
      <w:r>
        <w:rPr>
          <w:rFonts w:ascii="Times New Roman" w:hAnsi="Times New Roman" w:cs="Times New Roman"/>
          <w:noProof/>
        </w:rPr>
        <w:t xml:space="preserve"> and certain pollutant emissions (particulate matter (PM) (PM), nitrogen oxides (NOx) and non-methane hydrocarbons (NMHC), to increasing energy efficiency and to promoting competitiveness of the industry. </w:t>
      </w:r>
    </w:p>
    <w:p w:rsidR="002E508F" w:rsidRDefault="005D0A03">
      <w:pPr>
        <w:autoSpaceDE w:val="0"/>
        <w:autoSpaceDN w:val="0"/>
        <w:adjustRightInd w:val="0"/>
        <w:spacing w:line="240" w:lineRule="auto"/>
        <w:jc w:val="both"/>
        <w:rPr>
          <w:rFonts w:ascii="Times New Roman" w:hAnsi="Times New Roman" w:cs="Times New Roman"/>
          <w:noProof/>
        </w:rPr>
      </w:pPr>
      <w:r>
        <w:rPr>
          <w:rFonts w:ascii="Times New Roman" w:hAnsi="Times New Roman" w:cs="Times New Roman"/>
          <w:noProof/>
        </w:rPr>
        <w:t>The Directive is an important complement to other policy instruments that address European policy objectives on climate change, energy and environment in the vehicles sector. They include:</w:t>
      </w:r>
    </w:p>
    <w:p w:rsidR="002E508F" w:rsidRDefault="005D0A03">
      <w:pPr>
        <w:pStyle w:val="ListParagraph"/>
        <w:numPr>
          <w:ilvl w:val="0"/>
          <w:numId w:val="36"/>
        </w:numPr>
        <w:autoSpaceDE w:val="0"/>
        <w:autoSpaceDN w:val="0"/>
        <w:adjustRightInd w:val="0"/>
        <w:spacing w:afterLines="120" w:after="288" w:line="240" w:lineRule="auto"/>
        <w:jc w:val="both"/>
        <w:rPr>
          <w:rFonts w:ascii="Times New Roman" w:hAnsi="Times New Roman" w:cs="Times New Roman"/>
          <w:noProof/>
        </w:rPr>
      </w:pPr>
      <w:r>
        <w:rPr>
          <w:rFonts w:ascii="Times New Roman" w:hAnsi="Times New Roman" w:cs="Times New Roman"/>
          <w:noProof/>
        </w:rPr>
        <w:t>Performance standards for CO</w:t>
      </w:r>
      <w:r>
        <w:rPr>
          <w:rFonts w:ascii="Times New Roman" w:hAnsi="Times New Roman" w:cs="Times New Roman"/>
          <w:noProof/>
          <w:vertAlign w:val="subscript"/>
        </w:rPr>
        <w:t>2</w:t>
      </w:r>
      <w:r>
        <w:rPr>
          <w:rFonts w:ascii="Times New Roman" w:hAnsi="Times New Roman" w:cs="Times New Roman"/>
          <w:noProof/>
        </w:rPr>
        <w:t xml:space="preserve"> emissions of passenger cars (Regulation 2009/443/EC) and light commercial vehicles (Regulation 2011/510/EC), seeking to reduce the average CO</w:t>
      </w:r>
      <w:r>
        <w:rPr>
          <w:rFonts w:ascii="Times New Roman" w:hAnsi="Times New Roman" w:cs="Times New Roman"/>
          <w:noProof/>
          <w:vertAlign w:val="subscript"/>
        </w:rPr>
        <w:t>2</w:t>
      </w:r>
      <w:r>
        <w:rPr>
          <w:rFonts w:ascii="Times New Roman" w:hAnsi="Times New Roman" w:cs="Times New Roman"/>
          <w:noProof/>
        </w:rPr>
        <w:t xml:space="preserve"> emissions from vehicle fleets of manufacturers; </w:t>
      </w:r>
    </w:p>
    <w:p w:rsidR="002E508F" w:rsidRDefault="005D0A03">
      <w:pPr>
        <w:pStyle w:val="ListParagraph"/>
        <w:numPr>
          <w:ilvl w:val="0"/>
          <w:numId w:val="36"/>
        </w:numPr>
        <w:autoSpaceDE w:val="0"/>
        <w:autoSpaceDN w:val="0"/>
        <w:adjustRightInd w:val="0"/>
        <w:spacing w:afterLines="120" w:after="288" w:line="240" w:lineRule="auto"/>
        <w:jc w:val="both"/>
        <w:rPr>
          <w:rFonts w:ascii="Times New Roman" w:hAnsi="Times New Roman" w:cs="Times New Roman"/>
          <w:noProof/>
        </w:rPr>
      </w:pPr>
      <w:r>
        <w:rPr>
          <w:rFonts w:ascii="Times New Roman" w:hAnsi="Times New Roman" w:cs="Times New Roman"/>
          <w:noProof/>
        </w:rPr>
        <w:t>C</w:t>
      </w:r>
      <w:r>
        <w:rPr>
          <w:rFonts w:ascii="Times New Roman" w:hAnsi="Times New Roman" w:cs="Times New Roman"/>
          <w:noProof/>
          <w:color w:val="000000"/>
        </w:rPr>
        <w:t xml:space="preserve">ommon technical requirements for the type-approval of motor vehicles, engines and replacement parts with respects to emissions from heavy-duty vehicles </w:t>
      </w:r>
      <w:r>
        <w:rPr>
          <w:rFonts w:ascii="Times New Roman" w:hAnsi="Times New Roman" w:cs="Times New Roman"/>
          <w:noProof/>
        </w:rPr>
        <w:t xml:space="preserve">(Regulation 595/2009/EC), setting requirements concerning emissions from motor vehicles, among other; </w:t>
      </w:r>
    </w:p>
    <w:p w:rsidR="002E508F" w:rsidRDefault="005D0A03">
      <w:pPr>
        <w:pStyle w:val="ListParagraph"/>
        <w:numPr>
          <w:ilvl w:val="0"/>
          <w:numId w:val="36"/>
        </w:numPr>
        <w:autoSpaceDE w:val="0"/>
        <w:autoSpaceDN w:val="0"/>
        <w:adjustRightInd w:val="0"/>
        <w:spacing w:afterLines="120" w:after="288" w:line="240" w:lineRule="auto"/>
        <w:jc w:val="both"/>
        <w:rPr>
          <w:rFonts w:ascii="Times New Roman" w:hAnsi="Times New Roman" w:cs="Times New Roman"/>
          <w:noProof/>
        </w:rPr>
      </w:pPr>
      <w:r>
        <w:rPr>
          <w:rFonts w:ascii="Times New Roman" w:hAnsi="Times New Roman" w:cs="Times New Roman"/>
          <w:noProof/>
        </w:rPr>
        <w:t>Limits on tailpipe pollutant emissions (Regulation 2007/715/EC) and real-world emissions performance (Regulation 2017/1154) to contribute to reduction of pollution emissions of light-duty passenger and commercial vehicles;</w:t>
      </w:r>
    </w:p>
    <w:p w:rsidR="002E508F" w:rsidRDefault="005D0A03">
      <w:pPr>
        <w:pStyle w:val="ListParagraph"/>
        <w:numPr>
          <w:ilvl w:val="0"/>
          <w:numId w:val="36"/>
        </w:numPr>
        <w:autoSpaceDE w:val="0"/>
        <w:autoSpaceDN w:val="0"/>
        <w:adjustRightInd w:val="0"/>
        <w:spacing w:afterLines="120" w:after="288" w:line="240" w:lineRule="auto"/>
        <w:jc w:val="both"/>
        <w:rPr>
          <w:rFonts w:ascii="Times New Roman" w:hAnsi="Times New Roman" w:cs="Times New Roman"/>
          <w:noProof/>
        </w:rPr>
      </w:pPr>
      <w:r>
        <w:rPr>
          <w:rFonts w:ascii="Times New Roman" w:hAnsi="Times New Roman" w:cs="Times New Roman"/>
          <w:noProof/>
        </w:rPr>
        <w:t xml:space="preserve">Fuel quality requirements (Directive 2009/30/EC) and targets on the share of renewable energy sources (Directive 2009/28/EC) to improve the sustainability of transport fuels; </w:t>
      </w:r>
    </w:p>
    <w:p w:rsidR="002E508F" w:rsidRDefault="005D0A03">
      <w:pPr>
        <w:pStyle w:val="ListParagraph"/>
        <w:numPr>
          <w:ilvl w:val="0"/>
          <w:numId w:val="36"/>
        </w:numPr>
        <w:autoSpaceDE w:val="0"/>
        <w:autoSpaceDN w:val="0"/>
        <w:adjustRightInd w:val="0"/>
        <w:spacing w:afterLines="120" w:after="288" w:line="240" w:lineRule="auto"/>
        <w:jc w:val="both"/>
        <w:rPr>
          <w:rFonts w:ascii="Times New Roman" w:hAnsi="Times New Roman" w:cs="Times New Roman"/>
          <w:noProof/>
        </w:rPr>
      </w:pPr>
      <w:r>
        <w:rPr>
          <w:rFonts w:ascii="Times New Roman" w:hAnsi="Times New Roman" w:cs="Times New Roman"/>
          <w:noProof/>
        </w:rPr>
        <w:t>Minimum requirements for infrastructure deployment for alternative fuels (Directive 2014/94/EU) that require Member States to establish national policy frameworks for the establishment of a minimum of recharging and refuelling infrastructure;</w:t>
      </w:r>
    </w:p>
    <w:p w:rsidR="002E508F" w:rsidRDefault="005D0A03">
      <w:pPr>
        <w:pStyle w:val="ListParagraph"/>
        <w:numPr>
          <w:ilvl w:val="0"/>
          <w:numId w:val="36"/>
        </w:numPr>
        <w:autoSpaceDE w:val="0"/>
        <w:autoSpaceDN w:val="0"/>
        <w:adjustRightInd w:val="0"/>
        <w:spacing w:afterLines="120" w:after="288" w:line="240" w:lineRule="auto"/>
        <w:ind w:left="771" w:hanging="357"/>
        <w:jc w:val="both"/>
        <w:rPr>
          <w:rFonts w:ascii="Times New Roman" w:hAnsi="Times New Roman" w:cs="Times New Roman"/>
          <w:noProof/>
        </w:rPr>
      </w:pPr>
      <w:r>
        <w:rPr>
          <w:rFonts w:ascii="Times New Roman" w:hAnsi="Times New Roman" w:cs="Times New Roman"/>
          <w:noProof/>
        </w:rPr>
        <w:t xml:space="preserve">Consumer information on fuel economy and C02 emissions in respect of the marketing of new passenger cars (Directive 1999/94/EC) to increase transparency and improve awareness. </w:t>
      </w:r>
    </w:p>
    <w:p w:rsidR="002E508F" w:rsidRDefault="005D0A03">
      <w:pPr>
        <w:autoSpaceDE w:val="0"/>
        <w:autoSpaceDN w:val="0"/>
        <w:adjustRightInd w:val="0"/>
        <w:spacing w:line="240" w:lineRule="auto"/>
        <w:jc w:val="both"/>
        <w:rPr>
          <w:rFonts w:ascii="Times New Roman" w:hAnsi="Times New Roman" w:cs="Times New Roman"/>
          <w:noProof/>
        </w:rPr>
      </w:pPr>
      <w:r>
        <w:rPr>
          <w:rFonts w:ascii="Times New Roman" w:hAnsi="Times New Roman" w:cs="Times New Roman"/>
          <w:noProof/>
        </w:rPr>
        <w:t xml:space="preserve">The Directive delivers additional value to these policy instruments: it provides a demand-side market stimulus. It is the only instrument that addresses the demand-side at a European level. The other instruments mainly focus on vehicles or fuel requirements or seek to inform consumers. </w:t>
      </w:r>
    </w:p>
    <w:p w:rsidR="002E508F" w:rsidRDefault="005D0A03">
      <w:pPr>
        <w:autoSpaceDE w:val="0"/>
        <w:autoSpaceDN w:val="0"/>
        <w:adjustRightInd w:val="0"/>
        <w:spacing w:line="240" w:lineRule="auto"/>
        <w:jc w:val="both"/>
        <w:rPr>
          <w:rFonts w:ascii="Times New Roman" w:hAnsi="Times New Roman" w:cs="Times New Roman"/>
          <w:noProof/>
        </w:rPr>
      </w:pPr>
      <w:r>
        <w:rPr>
          <w:rFonts w:ascii="Times New Roman" w:hAnsi="Times New Roman" w:cs="Times New Roman"/>
          <w:noProof/>
        </w:rPr>
        <w:t>The CO</w:t>
      </w:r>
      <w:r>
        <w:rPr>
          <w:rFonts w:ascii="Times New Roman" w:hAnsi="Times New Roman" w:cs="Times New Roman"/>
          <w:noProof/>
          <w:vertAlign w:val="subscript"/>
        </w:rPr>
        <w:t>2</w:t>
      </w:r>
      <w:r>
        <w:rPr>
          <w:rFonts w:ascii="Times New Roman" w:hAnsi="Times New Roman" w:cs="Times New Roman"/>
          <w:noProof/>
        </w:rPr>
        <w:t>-emission performance standards for cars and vans provide the main regulatory framework for car manufacturers to reduce CO</w:t>
      </w:r>
      <w:r>
        <w:rPr>
          <w:rFonts w:ascii="Times New Roman" w:hAnsi="Times New Roman" w:cs="Times New Roman"/>
          <w:noProof/>
          <w:vertAlign w:val="subscript"/>
        </w:rPr>
        <w:t xml:space="preserve">2 </w:t>
      </w:r>
      <w:r>
        <w:rPr>
          <w:rFonts w:ascii="Times New Roman" w:hAnsi="Times New Roman" w:cs="Times New Roman"/>
          <w:noProof/>
        </w:rPr>
        <w:t>emissions from vehicle fleets. The Directive is supposed to function in a market push-and-pull approach with the CO</w:t>
      </w:r>
      <w:r>
        <w:rPr>
          <w:rFonts w:ascii="Times New Roman" w:hAnsi="Times New Roman" w:cs="Times New Roman"/>
          <w:noProof/>
          <w:vertAlign w:val="subscript"/>
        </w:rPr>
        <w:t>2</w:t>
      </w:r>
      <w:r>
        <w:rPr>
          <w:rFonts w:ascii="Times New Roman" w:hAnsi="Times New Roman" w:cs="Times New Roman"/>
          <w:noProof/>
        </w:rPr>
        <w:t xml:space="preserve"> emission performance standards. Public procurement, particularly in the context of larger fleets, can provide relevant additional market demand; particularly in markets with very low market take up of low- and zero-emission and other alternative fuels vehicles. It can provide vehicles and infrastructure to start the market, increases their public visibility and improve their public readiness perception. The Directive particularly provides incentives for the clean vehicles development in the heavy-duty transport market: Currently, no regulatory requirement for CO</w:t>
      </w:r>
      <w:r>
        <w:rPr>
          <w:rFonts w:ascii="Times New Roman" w:hAnsi="Times New Roman" w:cs="Times New Roman"/>
          <w:noProof/>
          <w:vertAlign w:val="subscript"/>
        </w:rPr>
        <w:t>2</w:t>
      </w:r>
      <w:r>
        <w:rPr>
          <w:rFonts w:ascii="Times New Roman" w:hAnsi="Times New Roman" w:cs="Times New Roman"/>
          <w:noProof/>
        </w:rPr>
        <w:t xml:space="preserve"> emissions from heavy-duty transport vehicles exist at European level. </w:t>
      </w:r>
    </w:p>
    <w:p w:rsidR="002E508F" w:rsidRDefault="005D0A03">
      <w:pPr>
        <w:autoSpaceDE w:val="0"/>
        <w:autoSpaceDN w:val="0"/>
        <w:adjustRightInd w:val="0"/>
        <w:spacing w:line="240" w:lineRule="auto"/>
        <w:jc w:val="both"/>
        <w:rPr>
          <w:rFonts w:ascii="Times New Roman" w:hAnsi="Times New Roman" w:cs="Times New Roman"/>
          <w:noProof/>
        </w:rPr>
      </w:pPr>
      <w:r>
        <w:rPr>
          <w:rFonts w:ascii="Times New Roman" w:hAnsi="Times New Roman" w:cs="Times New Roman"/>
          <w:noProof/>
        </w:rPr>
        <w:t>The Directive requires contracting authorities, entities and certain operators for the discharge of public transport passenger services</w:t>
      </w:r>
      <w:r>
        <w:rPr>
          <w:rStyle w:val="FootnoteReference"/>
          <w:rFonts w:ascii="Times New Roman" w:hAnsi="Times New Roman" w:cs="Times New Roman"/>
          <w:noProof/>
        </w:rPr>
        <w:footnoteReference w:id="4"/>
      </w:r>
      <w:r>
        <w:rPr>
          <w:rFonts w:ascii="Times New Roman" w:hAnsi="Times New Roman" w:cs="Times New Roman"/>
          <w:noProof/>
        </w:rPr>
        <w:t xml:space="preserve"> to take into account operational life-time energy and environmental impacts when purchasing road transport vehicles. Contracting authorities, entities and operators may also consider other environmental impacts in their procurement decisions. The Directive applies to purchases of vehicles above the thresholds for procurement volumes set by Directives 2014/24/EU and 2014/25/EU</w:t>
      </w:r>
      <w:r>
        <w:rPr>
          <w:rStyle w:val="FootnoteReference"/>
          <w:rFonts w:ascii="Times New Roman" w:hAnsi="Times New Roman" w:cs="Times New Roman"/>
          <w:noProof/>
        </w:rPr>
        <w:footnoteReference w:id="5"/>
      </w:r>
      <w:r>
        <w:rPr>
          <w:rFonts w:ascii="Times New Roman" w:hAnsi="Times New Roman" w:cs="Times New Roman"/>
          <w:noProof/>
        </w:rPr>
        <w:t xml:space="preserve">; it does not cover all contracts by public bodies for road transport vehicles. </w:t>
      </w:r>
      <w:r>
        <w:rPr>
          <w:rStyle w:val="FootnoteReference"/>
          <w:rFonts w:ascii="Times New Roman" w:hAnsi="Times New Roman" w:cs="Times New Roman"/>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Contracting authorities, entities and affected operators have different options for complying with the requirement to consider life-time energy and environmental impacts (Art. 5 of Directive 2009/33/EC). They can set technical specifications for energy and environmental performance in the documentation for the purchase of the road vehicles. Or they can include energy and environmental impacts in the actual purchasing decision, using these impacts as award criteria in cases where a procurement procedure is applied. In case where impacts are monetised, the Directive prescribes a methodology for the calculation of operational lifetime costs (Art. 6 of Directive 2009/33/EC). The Directive also provides the data to be used for energy content of motor fuels, cost of emissions and life time mileage of road transport vehicles (Annex to Directive 2009/33/EC). It does not specify a reporting obligation for contracting authorities, entities and affected operators.</w:t>
      </w:r>
      <w:r>
        <w:rPr>
          <w:rStyle w:val="FootnoteReference"/>
          <w:rFonts w:ascii="Times New Roman" w:hAnsi="Times New Roman" w:cs="Times New Roman"/>
          <w:noProof/>
        </w:rPr>
        <w:footnoteReference w:id="6"/>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Directive provides mandatory minimum requirements for public procurers in the field of road transport vehicles. In addition, the Commission has set up a voluntary initiative with the Green Public Procurement Criteria (GPP).</w:t>
      </w:r>
      <w:r>
        <w:rPr>
          <w:rStyle w:val="FootnoteReference"/>
          <w:rFonts w:ascii="Times New Roman" w:hAnsi="Times New Roman" w:cs="Times New Roman"/>
          <w:noProof/>
        </w:rPr>
        <w:t xml:space="preserve"> </w:t>
      </w:r>
      <w:r>
        <w:rPr>
          <w:rStyle w:val="FootnoteReference"/>
          <w:rFonts w:ascii="Times New Roman" w:hAnsi="Times New Roman" w:cs="Times New Roman"/>
          <w:noProof/>
        </w:rPr>
        <w:footnoteReference w:id="7"/>
      </w:r>
      <w:r>
        <w:rPr>
          <w:rFonts w:ascii="Times New Roman" w:hAnsi="Times New Roman" w:cs="Times New Roman"/>
          <w:noProof/>
        </w:rPr>
        <w:t xml:space="preserve"> In the field of transport, the GPP criteria stipulate a set of more demand criteria for clean vehicle procurement. They are meant to help those public authorities that wish to go beyond the minimum requirements of the Directive. </w:t>
      </w:r>
    </w:p>
    <w:p w:rsidR="002E508F" w:rsidRDefault="005D0A03">
      <w:pPr>
        <w:pStyle w:val="Heading2"/>
        <w:rPr>
          <w:noProof/>
        </w:rPr>
      </w:pPr>
      <w:bookmarkStart w:id="5" w:name="_Toc497141463"/>
      <w:r>
        <w:rPr>
          <w:noProof/>
        </w:rPr>
        <w:t>Evaluation of the implementation</w:t>
      </w:r>
      <w:bookmarkEnd w:id="5"/>
      <w:r>
        <w:rPr>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A REFIT ex-post evaluation</w:t>
      </w:r>
      <w:r>
        <w:rPr>
          <w:rStyle w:val="FootnoteReference"/>
          <w:rFonts w:ascii="Times New Roman" w:hAnsi="Times New Roman" w:cs="Times New Roman"/>
          <w:noProof/>
        </w:rPr>
        <w:footnoteReference w:id="8"/>
      </w:r>
      <w:r>
        <w:rPr>
          <w:rFonts w:ascii="Times New Roman" w:hAnsi="Times New Roman" w:cs="Times New Roman"/>
          <w:noProof/>
        </w:rPr>
        <w:t xml:space="preserve"> was carried out in 2015. It also investigated the possibility of repealing the Directive. The evaluation used a combination of desk analysis and consultation activities, including targeted interviews and a survey among contracting authorities, entities and operators.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evaluation concluded that the Directive had a very limited impact on its main policy objective, namely no really impact on the market uptake of clean vehicles (low- or zero-emission vehicles and other alternatively fuelled vehicles).</w:t>
      </w:r>
      <w:r>
        <w:rPr>
          <w:rFonts w:ascii="Times New Roman" w:hAnsi="Times New Roman" w:cs="Times New Roman"/>
          <w:noProof/>
          <w:lang w:eastAsia="en-GB"/>
        </w:rPr>
        <w:t xml:space="preserve"> Many public procurement decisions continue to be driven by a focus on lowest price of purchase tendering, the evaluation found. A better alignment of public procurement criteria at European level has not been achieved, which was another objective of the Directive. Action under the Directive has also marginally contributed to the reduction of CO</w:t>
      </w:r>
      <w:r>
        <w:rPr>
          <w:rFonts w:ascii="Times New Roman" w:hAnsi="Times New Roman" w:cs="Times New Roman"/>
          <w:noProof/>
          <w:vertAlign w:val="subscript"/>
          <w:lang w:eastAsia="en-GB"/>
        </w:rPr>
        <w:t>2</w:t>
      </w:r>
      <w:r>
        <w:rPr>
          <w:rFonts w:ascii="Times New Roman" w:hAnsi="Times New Roman" w:cs="Times New Roman"/>
          <w:noProof/>
          <w:lang w:eastAsia="en-GB"/>
        </w:rPr>
        <w:t xml:space="preserve"> and air pollutant emissions, another objective of the Directive (box 1). </w:t>
      </w:r>
    </w:p>
    <w:p w:rsidR="002E508F" w:rsidRDefault="005D0A03">
      <w:pPr>
        <w:pStyle w:val="Default"/>
        <w:pBdr>
          <w:top w:val="single" w:sz="4" w:space="1" w:color="auto"/>
          <w:left w:val="single" w:sz="4" w:space="0" w:color="auto"/>
          <w:right w:val="single" w:sz="4" w:space="4" w:color="auto"/>
        </w:pBdr>
        <w:jc w:val="both"/>
        <w:rPr>
          <w:rFonts w:ascii="Times New Roman" w:hAnsi="Times New Roman" w:cs="Times New Roman"/>
          <w:b/>
          <w:noProof/>
          <w:sz w:val="20"/>
          <w:szCs w:val="20"/>
        </w:rPr>
      </w:pPr>
      <w:r>
        <w:rPr>
          <w:rFonts w:ascii="Times New Roman" w:hAnsi="Times New Roman" w:cs="Times New Roman"/>
          <w:b/>
          <w:noProof/>
          <w:sz w:val="20"/>
          <w:szCs w:val="20"/>
        </w:rPr>
        <w:t>Box 1: Key outcomes of the 2015 ex-post evaluation under REFIT</w:t>
      </w:r>
    </w:p>
    <w:p w:rsidR="002E508F" w:rsidRDefault="005D0A03">
      <w:pPr>
        <w:pStyle w:val="Default"/>
        <w:pBdr>
          <w:top w:val="single" w:sz="4" w:space="1" w:color="auto"/>
          <w:left w:val="single" w:sz="4" w:space="0" w:color="auto"/>
          <w:right w:val="single" w:sz="4" w:space="4" w:color="auto"/>
        </w:pBdr>
        <w:spacing w:before="120"/>
        <w:jc w:val="both"/>
        <w:rPr>
          <w:rFonts w:ascii="Times New Roman" w:hAnsi="Times New Roman" w:cs="Times New Roman"/>
          <w:i/>
          <w:noProof/>
          <w:sz w:val="20"/>
          <w:szCs w:val="20"/>
        </w:rPr>
      </w:pPr>
      <w:r>
        <w:rPr>
          <w:rFonts w:ascii="Times New Roman" w:hAnsi="Times New Roman" w:cs="Times New Roman"/>
          <w:i/>
          <w:noProof/>
          <w:sz w:val="20"/>
          <w:szCs w:val="20"/>
        </w:rPr>
        <w:t>- Effectiveness</w:t>
      </w:r>
    </w:p>
    <w:p w:rsidR="002E508F" w:rsidRDefault="005D0A03">
      <w:pPr>
        <w:pStyle w:val="Default"/>
        <w:pBdr>
          <w:top w:val="single" w:sz="4" w:space="1" w:color="auto"/>
          <w:left w:val="single" w:sz="4" w:space="0" w:color="auto"/>
          <w:right w:val="single" w:sz="4" w:space="4" w:color="auto"/>
        </w:pBdr>
        <w:spacing w:before="120"/>
        <w:jc w:val="both"/>
        <w:rPr>
          <w:rFonts w:ascii="Times New Roman" w:hAnsi="Times New Roman" w:cs="Times New Roman"/>
          <w:noProof/>
          <w:sz w:val="20"/>
          <w:szCs w:val="20"/>
        </w:rPr>
      </w:pPr>
      <w:r>
        <w:rPr>
          <w:rFonts w:ascii="Times New Roman" w:hAnsi="Times New Roman" w:cs="Times New Roman"/>
          <w:noProof/>
          <w:sz w:val="20"/>
          <w:szCs w:val="20"/>
        </w:rPr>
        <w:t>The evaluation estimated a low impact of up to 5.5% CO2 emissions reduction for passenger cars procured and 2.3% for vans procured compared to the baseline.</w:t>
      </w:r>
      <w:r>
        <w:rPr>
          <w:rStyle w:val="FootnoteReference"/>
          <w:rFonts w:ascii="Times New Roman" w:hAnsi="Times New Roman" w:cs="Times New Roman"/>
          <w:noProof/>
          <w:sz w:val="20"/>
          <w:szCs w:val="20"/>
        </w:rPr>
        <w:footnoteReference w:id="9"/>
      </w:r>
      <w:r>
        <w:rPr>
          <w:rFonts w:ascii="Times New Roman" w:hAnsi="Times New Roman" w:cs="Times New Roman"/>
          <w:noProof/>
          <w:sz w:val="20"/>
          <w:szCs w:val="20"/>
        </w:rPr>
        <w:t xml:space="preserve"> This estimate does not fully account for the impact of other policies. It concluded no real impact on NMHC, NOx and PM emissions for passenger cars; and only a marginal impact (0.01%) for vans, trucks and buses.</w:t>
      </w:r>
    </w:p>
    <w:p w:rsidR="002E508F" w:rsidRDefault="005D0A03">
      <w:pPr>
        <w:pStyle w:val="Default"/>
        <w:pBdr>
          <w:top w:val="single" w:sz="4" w:space="1" w:color="auto"/>
          <w:left w:val="single" w:sz="4" w:space="0" w:color="auto"/>
          <w:right w:val="single" w:sz="4" w:space="4" w:color="auto"/>
        </w:pBdr>
        <w:spacing w:before="120"/>
        <w:jc w:val="both"/>
        <w:rPr>
          <w:rFonts w:ascii="Times New Roman" w:hAnsi="Times New Roman" w:cs="Times New Roman"/>
          <w:i/>
          <w:noProof/>
          <w:sz w:val="20"/>
          <w:szCs w:val="20"/>
        </w:rPr>
      </w:pPr>
      <w:r>
        <w:rPr>
          <w:rFonts w:ascii="Times New Roman" w:hAnsi="Times New Roman" w:cs="Times New Roman"/>
          <w:noProof/>
          <w:sz w:val="20"/>
          <w:szCs w:val="20"/>
        </w:rPr>
        <w:t xml:space="preserve">- </w:t>
      </w:r>
      <w:r>
        <w:rPr>
          <w:rFonts w:ascii="Times New Roman" w:hAnsi="Times New Roman" w:cs="Times New Roman"/>
          <w:i/>
          <w:noProof/>
          <w:sz w:val="20"/>
          <w:szCs w:val="20"/>
        </w:rPr>
        <w:t xml:space="preserve">Efficiency </w:t>
      </w:r>
    </w:p>
    <w:p w:rsidR="002E508F" w:rsidRDefault="005D0A03">
      <w:pPr>
        <w:pStyle w:val="Default"/>
        <w:pBdr>
          <w:top w:val="single" w:sz="4" w:space="1" w:color="auto"/>
          <w:left w:val="single" w:sz="4" w:space="0" w:color="auto"/>
          <w:right w:val="single" w:sz="4" w:space="4" w:color="auto"/>
        </w:pBdr>
        <w:spacing w:before="120"/>
        <w:jc w:val="both"/>
        <w:rPr>
          <w:rFonts w:ascii="Times New Roman" w:hAnsi="Times New Roman" w:cs="Times New Roman"/>
          <w:noProof/>
          <w:sz w:val="20"/>
          <w:szCs w:val="20"/>
        </w:rPr>
      </w:pPr>
      <w:r>
        <w:rPr>
          <w:rFonts w:ascii="Times New Roman" w:hAnsi="Times New Roman" w:cs="Times New Roman"/>
          <w:noProof/>
          <w:sz w:val="20"/>
          <w:szCs w:val="20"/>
        </w:rPr>
        <w:t xml:space="preserve">The evaluation pointed to a low overall benefit-to-cost ratio. Due to data gaps, cost and benefits estimates have a wide range. Benefits were estimated to range in between EUR 42.6 to EUR 521.1 million compared to total cost (purchase and operational cost) of around EUR 34.6 to EUR 341 million. The evaluation estimated rather low administrative cost of ~EUR 2.3 million per year. It suggested that this was mainly due to the limited use of the monetisation methodology and the limited impact of the Directive on changing actual procurement decisions. </w:t>
      </w:r>
    </w:p>
    <w:p w:rsidR="002E508F" w:rsidRDefault="005D0A03">
      <w:pPr>
        <w:pStyle w:val="Default"/>
        <w:pBdr>
          <w:left w:val="single" w:sz="4" w:space="0" w:color="auto"/>
          <w:right w:val="single" w:sz="4" w:space="4" w:color="auto"/>
        </w:pBdr>
        <w:spacing w:before="120"/>
        <w:jc w:val="both"/>
        <w:rPr>
          <w:rFonts w:ascii="Times New Roman" w:hAnsi="Times New Roman" w:cs="Times New Roman"/>
          <w:i/>
          <w:noProof/>
          <w:sz w:val="20"/>
          <w:szCs w:val="20"/>
        </w:rPr>
      </w:pPr>
      <w:r>
        <w:rPr>
          <w:rFonts w:ascii="Times New Roman" w:hAnsi="Times New Roman" w:cs="Times New Roman"/>
          <w:noProof/>
          <w:sz w:val="20"/>
          <w:szCs w:val="20"/>
        </w:rPr>
        <w:t xml:space="preserve">- </w:t>
      </w:r>
      <w:r>
        <w:rPr>
          <w:rFonts w:ascii="Times New Roman" w:hAnsi="Times New Roman" w:cs="Times New Roman"/>
          <w:i/>
          <w:noProof/>
          <w:sz w:val="20"/>
          <w:szCs w:val="20"/>
        </w:rPr>
        <w:t>Value added</w:t>
      </w:r>
    </w:p>
    <w:p w:rsidR="002E508F" w:rsidRDefault="005D0A03">
      <w:pPr>
        <w:pStyle w:val="Default"/>
        <w:pBdr>
          <w:left w:val="single" w:sz="4" w:space="0" w:color="auto"/>
          <w:right w:val="single" w:sz="4" w:space="4" w:color="auto"/>
        </w:pBdr>
        <w:spacing w:before="120"/>
        <w:jc w:val="both"/>
        <w:rPr>
          <w:rFonts w:ascii="Times New Roman" w:hAnsi="Times New Roman" w:cs="Times New Roman"/>
          <w:noProof/>
          <w:sz w:val="20"/>
          <w:szCs w:val="20"/>
        </w:rPr>
      </w:pPr>
      <w:r>
        <w:rPr>
          <w:rFonts w:ascii="Times New Roman" w:hAnsi="Times New Roman" w:cs="Times New Roman"/>
          <w:noProof/>
          <w:sz w:val="20"/>
          <w:szCs w:val="20"/>
        </w:rPr>
        <w:t xml:space="preserve">Given the limited market impacts, a similar outcome might have been achieved by market actors in the absence of the Clean Vehicles Directive, the evaluation concluded. </w:t>
      </w:r>
    </w:p>
    <w:p w:rsidR="002E508F" w:rsidRDefault="005D0A03">
      <w:pPr>
        <w:pStyle w:val="Default"/>
        <w:pBdr>
          <w:left w:val="single" w:sz="4" w:space="0" w:color="auto"/>
          <w:right w:val="single" w:sz="4" w:space="4" w:color="auto"/>
        </w:pBdr>
        <w:spacing w:before="120"/>
        <w:jc w:val="both"/>
        <w:rPr>
          <w:rFonts w:ascii="Times New Roman" w:hAnsi="Times New Roman" w:cs="Times New Roman"/>
          <w:i/>
          <w:noProof/>
          <w:sz w:val="20"/>
          <w:szCs w:val="20"/>
        </w:rPr>
      </w:pPr>
      <w:r>
        <w:rPr>
          <w:rFonts w:ascii="Times New Roman" w:hAnsi="Times New Roman" w:cs="Times New Roman"/>
          <w:i/>
          <w:noProof/>
          <w:sz w:val="20"/>
          <w:szCs w:val="20"/>
        </w:rPr>
        <w:t>- Coherence</w:t>
      </w:r>
    </w:p>
    <w:p w:rsidR="002E508F" w:rsidRDefault="005D0A03">
      <w:pPr>
        <w:pStyle w:val="Default"/>
        <w:pBdr>
          <w:left w:val="single" w:sz="4" w:space="0" w:color="auto"/>
          <w:bottom w:val="single" w:sz="4" w:space="1" w:color="auto"/>
          <w:right w:val="single" w:sz="4" w:space="4" w:color="auto"/>
        </w:pBdr>
        <w:spacing w:before="120"/>
        <w:jc w:val="both"/>
        <w:rPr>
          <w:rFonts w:ascii="Times New Roman" w:hAnsi="Times New Roman" w:cs="Times New Roman"/>
          <w:noProof/>
          <w:sz w:val="20"/>
          <w:szCs w:val="20"/>
        </w:rPr>
      </w:pPr>
      <w:r>
        <w:rPr>
          <w:rFonts w:ascii="Times New Roman" w:hAnsi="Times New Roman" w:cs="Times New Roman"/>
          <w:noProof/>
          <w:sz w:val="20"/>
          <w:szCs w:val="20"/>
        </w:rPr>
        <w:t xml:space="preserve">The evaluation noted that transposition options undermined coherence in implementation of the Directive. The monetisation methodology puts a greater emphasis on energy efficiency compared to environmental impacts, which benefits diesel passenger cars, and hence can undermine European air quality policy objectives. </w:t>
      </w:r>
    </w:p>
    <w:p w:rsidR="002E508F" w:rsidRDefault="005D0A03">
      <w:pPr>
        <w:pStyle w:val="Default"/>
        <w:pBdr>
          <w:left w:val="single" w:sz="4" w:space="0" w:color="auto"/>
          <w:bottom w:val="single" w:sz="4" w:space="1" w:color="auto"/>
          <w:right w:val="single" w:sz="4" w:space="4" w:color="auto"/>
        </w:pBdr>
        <w:spacing w:before="120"/>
        <w:jc w:val="both"/>
        <w:rPr>
          <w:rFonts w:ascii="Times New Roman" w:hAnsi="Times New Roman" w:cs="Times New Roman"/>
          <w:i/>
          <w:noProof/>
          <w:sz w:val="20"/>
          <w:szCs w:val="20"/>
        </w:rPr>
      </w:pPr>
      <w:r>
        <w:rPr>
          <w:rFonts w:ascii="Times New Roman" w:hAnsi="Times New Roman" w:cs="Times New Roman"/>
          <w:i/>
          <w:noProof/>
          <w:sz w:val="20"/>
          <w:szCs w:val="20"/>
        </w:rPr>
        <w:t>- Relevance</w:t>
      </w:r>
    </w:p>
    <w:p w:rsidR="002E508F" w:rsidRDefault="005D0A03">
      <w:pPr>
        <w:pStyle w:val="Default"/>
        <w:pBdr>
          <w:left w:val="single" w:sz="4" w:space="0" w:color="auto"/>
          <w:bottom w:val="single" w:sz="4" w:space="1" w:color="auto"/>
          <w:right w:val="single" w:sz="4" w:space="4" w:color="auto"/>
        </w:pBdr>
        <w:spacing w:before="120"/>
        <w:jc w:val="both"/>
        <w:rPr>
          <w:rFonts w:ascii="Times New Roman" w:hAnsi="Times New Roman" w:cs="Times New Roman"/>
          <w:noProof/>
          <w:sz w:val="20"/>
          <w:szCs w:val="20"/>
        </w:rPr>
      </w:pPr>
      <w:r>
        <w:rPr>
          <w:rFonts w:ascii="Times New Roman" w:hAnsi="Times New Roman" w:cs="Times New Roman"/>
          <w:noProof/>
          <w:sz w:val="20"/>
          <w:szCs w:val="20"/>
        </w:rPr>
        <w:t>The evaluation conservatively estimated that volume of contracts under the reach of the Clean Vehicles is up to EUR 13 billion p.a. Public procurement can provide a meaningful trigger for market development, particularly in the market segment of urban buses. It needs to be understood as a demand-side stimulus that complements and reinforces other policy levers, such as the CO2 emission performance standards for passenger cars and vans.</w:t>
      </w:r>
      <w:r>
        <w:rPr>
          <w:rStyle w:val="FootnoteReference"/>
          <w:rFonts w:ascii="Times New Roman" w:hAnsi="Times New Roman" w:cs="Times New Roman"/>
          <w:noProof/>
          <w:sz w:val="20"/>
          <w:szCs w:val="20"/>
        </w:rPr>
        <w:t xml:space="preserve"> </w:t>
      </w:r>
      <w:r>
        <w:rPr>
          <w:rStyle w:val="FootnoteReference"/>
          <w:rFonts w:ascii="Times New Roman" w:hAnsi="Times New Roman" w:cs="Times New Roman"/>
          <w:noProof/>
          <w:sz w:val="20"/>
          <w:szCs w:val="20"/>
        </w:rPr>
        <w:footnoteReference w:id="10"/>
      </w:r>
      <w:r>
        <w:rPr>
          <w:rFonts w:ascii="Times New Roman" w:hAnsi="Times New Roman" w:cs="Times New Roman"/>
          <w:noProof/>
          <w:sz w:val="20"/>
          <w:szCs w:val="20"/>
        </w:rPr>
        <w:t xml:space="preserve">  </w:t>
      </w:r>
    </w:p>
    <w:p w:rsidR="002E508F" w:rsidRDefault="005D0A03">
      <w:pPr>
        <w:autoSpaceDE w:val="0"/>
        <w:autoSpaceDN w:val="0"/>
        <w:adjustRightInd w:val="0"/>
        <w:spacing w:before="240" w:after="0" w:line="240" w:lineRule="auto"/>
        <w:jc w:val="both"/>
        <w:rPr>
          <w:rFonts w:ascii="Times New Roman" w:hAnsi="Times New Roman" w:cs="Times New Roman"/>
          <w:noProof/>
        </w:rPr>
      </w:pPr>
      <w:r>
        <w:rPr>
          <w:rFonts w:ascii="Times New Roman" w:hAnsi="Times New Roman" w:cs="Times New Roman"/>
          <w:noProof/>
        </w:rPr>
        <w:t xml:space="preserve">The ex-post evaluation identified shortcomings in the overall scope of the Directive and a lack of clear provisions for vehicle purchase as key problem drivers. In addition, it noted the complexity of the monetisation methodology, which has limited its use by public bodies. Section 2 of this Impact Assessment builds on these initial findings. </w:t>
      </w:r>
    </w:p>
    <w:p w:rsidR="002E508F" w:rsidRDefault="005D0A03">
      <w:pPr>
        <w:autoSpaceDE w:val="0"/>
        <w:autoSpaceDN w:val="0"/>
        <w:adjustRightInd w:val="0"/>
        <w:spacing w:before="240" w:after="0" w:line="240" w:lineRule="auto"/>
        <w:jc w:val="both"/>
        <w:rPr>
          <w:rFonts w:ascii="Times New Roman" w:hAnsi="Times New Roman" w:cs="Times New Roman"/>
          <w:noProof/>
        </w:rPr>
      </w:pPr>
      <w:r>
        <w:rPr>
          <w:rFonts w:ascii="Times New Roman" w:hAnsi="Times New Roman" w:cs="Times New Roman"/>
          <w:noProof/>
        </w:rPr>
        <w:t xml:space="preserve">The evaluation concluded that a repeal of the Directive was unlikely to have a significant negative impact on the overall market for passenger cars and vans because shares of publicly procured vehicles in overall market transactions are low. Contrary, a repeal of the Directive was likely to have a larger negative impact on the market segment of urban buses, where public demand is the main market driver. Moreover, repealing the Directive would send a wrong policy signal to public bodies and their contractors. The purpose of using public procurement to stimulate market uptake of clean vehicles and to contribute to reducing transport emissions was still relevant, the evaluation concluded. </w:t>
      </w:r>
    </w:p>
    <w:p w:rsidR="002E508F" w:rsidRDefault="005D0A03">
      <w:pPr>
        <w:autoSpaceDE w:val="0"/>
        <w:autoSpaceDN w:val="0"/>
        <w:adjustRightInd w:val="0"/>
        <w:spacing w:before="120" w:after="0" w:line="240" w:lineRule="auto"/>
        <w:jc w:val="both"/>
        <w:rPr>
          <w:rFonts w:ascii="Times New Roman" w:hAnsi="Times New Roman" w:cs="Times New Roman"/>
          <w:noProof/>
        </w:rPr>
      </w:pPr>
      <w:r>
        <w:rPr>
          <w:rFonts w:ascii="Times New Roman" w:hAnsi="Times New Roman" w:cs="Times New Roman"/>
          <w:noProof/>
        </w:rPr>
        <w:t xml:space="preserve">The evaluation recommended to retain the Directive, but to revise it. It made a number of specific recommendations on how to improve clarity and ambition of the Directive. Table 1.1 lists these recommendations and notes how the Impact Assessment reflects them. </w:t>
      </w:r>
    </w:p>
    <w:p w:rsidR="002E508F" w:rsidRDefault="005D0A03">
      <w:pPr>
        <w:autoSpaceDE w:val="0"/>
        <w:autoSpaceDN w:val="0"/>
        <w:adjustRightInd w:val="0"/>
        <w:spacing w:before="120" w:after="120"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 xml:space="preserve">Table 1.1: Links between specific recommendations of the ex-post evaluation and the Impact Assessment </w:t>
      </w:r>
    </w:p>
    <w:tbl>
      <w:tblPr>
        <w:tblStyle w:val="TableGrid"/>
        <w:tblW w:w="0" w:type="auto"/>
        <w:tblLook w:val="04A0" w:firstRow="1" w:lastRow="0" w:firstColumn="1" w:lastColumn="0" w:noHBand="0" w:noVBand="1"/>
      </w:tblPr>
      <w:tblGrid>
        <w:gridCol w:w="3652"/>
        <w:gridCol w:w="5636"/>
      </w:tblGrid>
      <w:tr w:rsidR="002E508F">
        <w:tc>
          <w:tcPr>
            <w:tcW w:w="3652" w:type="dxa"/>
          </w:tcPr>
          <w:p w:rsidR="002E508F" w:rsidRDefault="005D0A03">
            <w:pPr>
              <w:autoSpaceDE w:val="0"/>
              <w:autoSpaceDN w:val="0"/>
              <w:adjustRightInd w:val="0"/>
              <w:spacing w:before="120" w:after="0" w:line="240" w:lineRule="auto"/>
              <w:rPr>
                <w:rFonts w:ascii="Times New Roman" w:hAnsi="Times New Roman" w:cs="Times New Roman"/>
                <w:b/>
                <w:noProof/>
                <w:sz w:val="20"/>
                <w:szCs w:val="20"/>
              </w:rPr>
            </w:pPr>
            <w:r>
              <w:rPr>
                <w:rFonts w:ascii="Times New Roman" w:hAnsi="Times New Roman" w:cs="Times New Roman"/>
                <w:b/>
                <w:noProof/>
                <w:sz w:val="20"/>
                <w:szCs w:val="20"/>
              </w:rPr>
              <w:t>Specific policy recommendations (SPR) from the evaluation</w:t>
            </w:r>
          </w:p>
        </w:tc>
        <w:tc>
          <w:tcPr>
            <w:tcW w:w="5636" w:type="dxa"/>
          </w:tcPr>
          <w:p w:rsidR="002E508F" w:rsidRDefault="005D0A03">
            <w:pPr>
              <w:autoSpaceDE w:val="0"/>
              <w:autoSpaceDN w:val="0"/>
              <w:adjustRightInd w:val="0"/>
              <w:spacing w:before="120" w:after="0"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Impact Assessment</w:t>
            </w:r>
          </w:p>
        </w:tc>
      </w:tr>
      <w:tr w:rsidR="002E508F">
        <w:trPr>
          <w:trHeight w:val="853"/>
        </w:trPr>
        <w:tc>
          <w:tcPr>
            <w:tcW w:w="3652" w:type="dxa"/>
          </w:tcPr>
          <w:p w:rsidR="002E508F" w:rsidRDefault="005D0A03">
            <w:pPr>
              <w:autoSpaceDE w:val="0"/>
              <w:autoSpaceDN w:val="0"/>
              <w:adjustRightInd w:val="0"/>
              <w:spacing w:before="120" w:after="0" w:line="240" w:lineRule="auto"/>
              <w:jc w:val="both"/>
              <w:rPr>
                <w:rFonts w:ascii="Times New Roman" w:hAnsi="Times New Roman" w:cs="Times New Roman"/>
                <w:noProof/>
                <w:sz w:val="20"/>
                <w:szCs w:val="20"/>
              </w:rPr>
            </w:pPr>
            <w:r>
              <w:rPr>
                <w:rFonts w:ascii="Times New Roman" w:hAnsi="Times New Roman" w:cs="Times New Roman"/>
                <w:i/>
                <w:noProof/>
                <w:sz w:val="20"/>
                <w:szCs w:val="20"/>
              </w:rPr>
              <w:t>SPR1</w:t>
            </w:r>
            <w:r>
              <w:rPr>
                <w:rFonts w:ascii="Times New Roman" w:hAnsi="Times New Roman" w:cs="Times New Roman"/>
                <w:noProof/>
                <w:sz w:val="20"/>
                <w:szCs w:val="20"/>
              </w:rPr>
              <w:t xml:space="preserve">: There needs to be more clarity as to what can be considered a clean vehicle </w:t>
            </w:r>
          </w:p>
        </w:tc>
        <w:tc>
          <w:tcPr>
            <w:tcW w:w="5636" w:type="dxa"/>
          </w:tcPr>
          <w:p w:rsidR="002E508F" w:rsidRDefault="005D0A03">
            <w:pPr>
              <w:autoSpaceDE w:val="0"/>
              <w:autoSpaceDN w:val="0"/>
              <w:adjustRightInd w:val="0"/>
              <w:spacing w:before="120"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Section 2.2.2 recognises this problem; section 5.1.2 pre-screens measures for the design of a definition; section 5.3 and 5.4 present different conceptual approaches under policy options 3 and 4. </w:t>
            </w:r>
          </w:p>
        </w:tc>
      </w:tr>
      <w:tr w:rsidR="002E508F">
        <w:tc>
          <w:tcPr>
            <w:tcW w:w="3652" w:type="dxa"/>
          </w:tcPr>
          <w:p w:rsidR="002E508F" w:rsidRDefault="005D0A03">
            <w:pPr>
              <w:autoSpaceDE w:val="0"/>
              <w:autoSpaceDN w:val="0"/>
              <w:adjustRightInd w:val="0"/>
              <w:spacing w:before="120" w:after="0" w:line="240" w:lineRule="auto"/>
              <w:jc w:val="both"/>
              <w:rPr>
                <w:rFonts w:ascii="Times New Roman" w:hAnsi="Times New Roman" w:cs="Times New Roman"/>
                <w:noProof/>
                <w:sz w:val="20"/>
                <w:szCs w:val="20"/>
              </w:rPr>
            </w:pPr>
            <w:r>
              <w:rPr>
                <w:rFonts w:ascii="Times New Roman" w:hAnsi="Times New Roman" w:cs="Times New Roman"/>
                <w:i/>
                <w:noProof/>
                <w:sz w:val="20"/>
                <w:szCs w:val="20"/>
              </w:rPr>
              <w:t>SPR2</w:t>
            </w:r>
            <w:r>
              <w:rPr>
                <w:rFonts w:ascii="Times New Roman" w:hAnsi="Times New Roman" w:cs="Times New Roman"/>
                <w:noProof/>
                <w:sz w:val="20"/>
                <w:szCs w:val="20"/>
              </w:rPr>
              <w:t>: Encourage higher levels of ambition with regards to clean vehicles purchased required by the Directive</w:t>
            </w:r>
          </w:p>
        </w:tc>
        <w:tc>
          <w:tcPr>
            <w:tcW w:w="5636" w:type="dxa"/>
          </w:tcPr>
          <w:p w:rsidR="002E508F" w:rsidRDefault="005D0A03">
            <w:pPr>
              <w:autoSpaceDE w:val="0"/>
              <w:autoSpaceDN w:val="0"/>
              <w:adjustRightInd w:val="0"/>
              <w:spacing w:before="120"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Section 2.1 and 3.3 pick up on this problem and its implications.  section 5.1.2-5.1.4 pre-screen different policy measures; which are reflected in policy options 2,3,4 and 5 in section 5. </w:t>
            </w:r>
          </w:p>
        </w:tc>
      </w:tr>
      <w:tr w:rsidR="002E508F">
        <w:tc>
          <w:tcPr>
            <w:tcW w:w="3652" w:type="dxa"/>
          </w:tcPr>
          <w:p w:rsidR="002E508F" w:rsidRDefault="005D0A03">
            <w:pPr>
              <w:autoSpaceDE w:val="0"/>
              <w:autoSpaceDN w:val="0"/>
              <w:adjustRightInd w:val="0"/>
              <w:spacing w:before="120" w:after="0" w:line="240" w:lineRule="auto"/>
              <w:jc w:val="both"/>
              <w:rPr>
                <w:rFonts w:ascii="Times New Roman" w:hAnsi="Times New Roman" w:cs="Times New Roman"/>
                <w:noProof/>
                <w:sz w:val="20"/>
                <w:szCs w:val="20"/>
              </w:rPr>
            </w:pPr>
            <w:r>
              <w:rPr>
                <w:rFonts w:ascii="Times New Roman" w:hAnsi="Times New Roman" w:cs="Times New Roman"/>
                <w:i/>
                <w:noProof/>
                <w:sz w:val="20"/>
                <w:szCs w:val="20"/>
              </w:rPr>
              <w:t>SPR3:</w:t>
            </w:r>
            <w:r>
              <w:rPr>
                <w:rFonts w:ascii="Times New Roman" w:hAnsi="Times New Roman" w:cs="Times New Roman"/>
                <w:noProof/>
                <w:sz w:val="20"/>
                <w:szCs w:val="20"/>
              </w:rPr>
              <w:t xml:space="preserve"> Facilitate the use of the monetisation methodology (if retained)</w:t>
            </w:r>
          </w:p>
        </w:tc>
        <w:tc>
          <w:tcPr>
            <w:tcW w:w="5636" w:type="dxa"/>
          </w:tcPr>
          <w:p w:rsidR="002E508F" w:rsidRDefault="005D0A03">
            <w:pPr>
              <w:autoSpaceDE w:val="0"/>
              <w:autoSpaceDN w:val="0"/>
              <w:adjustRightInd w:val="0"/>
              <w:spacing w:before="120"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Section 2.2.3 recognises this problem. Section 5.1.3 screens possible measures to facilitate the use, including a mandatory use requirement, which is reflected in policy option 5 (section 5.3.5)</w:t>
            </w:r>
          </w:p>
        </w:tc>
      </w:tr>
      <w:tr w:rsidR="002E508F">
        <w:tc>
          <w:tcPr>
            <w:tcW w:w="3652" w:type="dxa"/>
          </w:tcPr>
          <w:p w:rsidR="002E508F" w:rsidRDefault="005D0A03">
            <w:pPr>
              <w:autoSpaceDE w:val="0"/>
              <w:autoSpaceDN w:val="0"/>
              <w:adjustRightInd w:val="0"/>
              <w:spacing w:before="120" w:after="0" w:line="240" w:lineRule="auto"/>
              <w:jc w:val="both"/>
              <w:rPr>
                <w:rFonts w:ascii="Times New Roman" w:hAnsi="Times New Roman" w:cs="Times New Roman"/>
                <w:noProof/>
                <w:sz w:val="20"/>
                <w:szCs w:val="20"/>
              </w:rPr>
            </w:pPr>
            <w:r>
              <w:rPr>
                <w:rFonts w:ascii="Times New Roman" w:hAnsi="Times New Roman" w:cs="Times New Roman"/>
                <w:i/>
                <w:noProof/>
                <w:sz w:val="20"/>
                <w:szCs w:val="20"/>
              </w:rPr>
              <w:t xml:space="preserve">SPR4: </w:t>
            </w:r>
            <w:r>
              <w:rPr>
                <w:rFonts w:ascii="Times New Roman" w:hAnsi="Times New Roman" w:cs="Times New Roman"/>
                <w:noProof/>
                <w:sz w:val="20"/>
                <w:szCs w:val="20"/>
              </w:rPr>
              <w:t>Future consideration of well-to-wheels emissions should be assessed</w:t>
            </w:r>
          </w:p>
        </w:tc>
        <w:tc>
          <w:tcPr>
            <w:tcW w:w="5636" w:type="dxa"/>
          </w:tcPr>
          <w:p w:rsidR="002E508F" w:rsidRDefault="005D0A03">
            <w:pPr>
              <w:autoSpaceDE w:val="0"/>
              <w:autoSpaceDN w:val="0"/>
              <w:adjustRightInd w:val="0"/>
              <w:spacing w:before="120"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Section 5.2.2 assesses the feasibility of this recommendation. </w:t>
            </w:r>
          </w:p>
        </w:tc>
      </w:tr>
      <w:tr w:rsidR="002E508F">
        <w:tc>
          <w:tcPr>
            <w:tcW w:w="3652" w:type="dxa"/>
          </w:tcPr>
          <w:p w:rsidR="002E508F" w:rsidRDefault="005D0A03">
            <w:pPr>
              <w:autoSpaceDE w:val="0"/>
              <w:autoSpaceDN w:val="0"/>
              <w:adjustRightInd w:val="0"/>
              <w:spacing w:before="120" w:after="0" w:line="240" w:lineRule="auto"/>
              <w:jc w:val="both"/>
              <w:rPr>
                <w:rFonts w:ascii="Times New Roman" w:hAnsi="Times New Roman" w:cs="Times New Roman"/>
                <w:noProof/>
                <w:sz w:val="20"/>
                <w:szCs w:val="20"/>
              </w:rPr>
            </w:pPr>
            <w:r>
              <w:rPr>
                <w:rFonts w:ascii="Times New Roman" w:hAnsi="Times New Roman" w:cs="Times New Roman"/>
                <w:i/>
                <w:noProof/>
                <w:sz w:val="20"/>
                <w:szCs w:val="20"/>
              </w:rPr>
              <w:t xml:space="preserve">SPR5: </w:t>
            </w:r>
            <w:r>
              <w:rPr>
                <w:rFonts w:ascii="Times New Roman" w:hAnsi="Times New Roman" w:cs="Times New Roman"/>
                <w:noProof/>
                <w:sz w:val="20"/>
                <w:szCs w:val="20"/>
              </w:rPr>
              <w:t>Extend the scope of the Directive</w:t>
            </w:r>
          </w:p>
        </w:tc>
        <w:tc>
          <w:tcPr>
            <w:tcW w:w="5636" w:type="dxa"/>
          </w:tcPr>
          <w:p w:rsidR="002E508F" w:rsidRDefault="005D0A03">
            <w:pPr>
              <w:autoSpaceDE w:val="0"/>
              <w:autoSpaceDN w:val="0"/>
              <w:adjustRightInd w:val="0"/>
              <w:spacing w:before="120"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The Impact Assessment explores the relevance of this problem in section 2.2.1; it screens different policy measures in section 5.1.1 All policy options (section 5) include variants of policy measures to extend the scope</w:t>
            </w:r>
          </w:p>
        </w:tc>
      </w:tr>
      <w:tr w:rsidR="002E508F">
        <w:tc>
          <w:tcPr>
            <w:tcW w:w="3652" w:type="dxa"/>
          </w:tcPr>
          <w:p w:rsidR="002E508F" w:rsidRDefault="005D0A03">
            <w:pPr>
              <w:autoSpaceDE w:val="0"/>
              <w:autoSpaceDN w:val="0"/>
              <w:adjustRightInd w:val="0"/>
              <w:spacing w:before="120" w:after="0" w:line="240" w:lineRule="auto"/>
              <w:jc w:val="both"/>
              <w:rPr>
                <w:rFonts w:ascii="Times New Roman" w:hAnsi="Times New Roman" w:cs="Times New Roman"/>
                <w:noProof/>
                <w:sz w:val="20"/>
                <w:szCs w:val="20"/>
              </w:rPr>
            </w:pPr>
            <w:r>
              <w:rPr>
                <w:rFonts w:ascii="Times New Roman" w:hAnsi="Times New Roman" w:cs="Times New Roman"/>
                <w:i/>
                <w:noProof/>
                <w:sz w:val="20"/>
                <w:szCs w:val="20"/>
              </w:rPr>
              <w:t xml:space="preserve">SPR6: </w:t>
            </w:r>
            <w:r>
              <w:rPr>
                <w:rFonts w:ascii="Times New Roman" w:hAnsi="Times New Roman" w:cs="Times New Roman"/>
                <w:noProof/>
                <w:sz w:val="20"/>
                <w:szCs w:val="20"/>
              </w:rPr>
              <w:t xml:space="preserve">Resolve the challenges posed by the lack of, or inaccurate data </w:t>
            </w:r>
          </w:p>
        </w:tc>
        <w:tc>
          <w:tcPr>
            <w:tcW w:w="5636" w:type="dxa"/>
          </w:tcPr>
          <w:p w:rsidR="002E508F" w:rsidRDefault="005D0A03">
            <w:pPr>
              <w:autoSpaceDE w:val="0"/>
              <w:autoSpaceDN w:val="0"/>
              <w:adjustRightInd w:val="0"/>
              <w:spacing w:before="120"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The evaluation referred to needs for improving provisions for vehicle emission and energy consumption data. This topic is outside the realm of the "Clean Vehicles" Directive.  </w:t>
            </w:r>
          </w:p>
        </w:tc>
      </w:tr>
      <w:tr w:rsidR="002E508F">
        <w:tc>
          <w:tcPr>
            <w:tcW w:w="3652" w:type="dxa"/>
          </w:tcPr>
          <w:p w:rsidR="002E508F" w:rsidRDefault="005D0A03">
            <w:pPr>
              <w:autoSpaceDE w:val="0"/>
              <w:autoSpaceDN w:val="0"/>
              <w:adjustRightInd w:val="0"/>
              <w:spacing w:before="120" w:after="0" w:line="240" w:lineRule="auto"/>
              <w:jc w:val="both"/>
              <w:rPr>
                <w:rFonts w:ascii="Times New Roman" w:hAnsi="Times New Roman" w:cs="Times New Roman"/>
                <w:i/>
                <w:noProof/>
                <w:sz w:val="20"/>
                <w:szCs w:val="20"/>
              </w:rPr>
            </w:pPr>
            <w:r>
              <w:rPr>
                <w:rFonts w:ascii="Times New Roman" w:hAnsi="Times New Roman" w:cs="Times New Roman"/>
                <w:i/>
                <w:noProof/>
                <w:sz w:val="20"/>
                <w:szCs w:val="20"/>
              </w:rPr>
              <w:t xml:space="preserve">SPR7: </w:t>
            </w:r>
            <w:r>
              <w:rPr>
                <w:rFonts w:ascii="Times New Roman" w:hAnsi="Times New Roman" w:cs="Times New Roman"/>
                <w:noProof/>
                <w:sz w:val="20"/>
                <w:szCs w:val="20"/>
              </w:rPr>
              <w:t>Introduce a voluntary framework to facilitate Member State reporting</w:t>
            </w:r>
          </w:p>
        </w:tc>
        <w:tc>
          <w:tcPr>
            <w:tcW w:w="5636" w:type="dxa"/>
          </w:tcPr>
          <w:p w:rsidR="002E508F" w:rsidRDefault="005D0A03">
            <w:pPr>
              <w:autoSpaceDE w:val="0"/>
              <w:autoSpaceDN w:val="0"/>
              <w:adjustRightInd w:val="0"/>
              <w:spacing w:before="120"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Section 2.1.1 and policy options 2,3, 4 and 5 tackle the issue of reporting (section 5). </w:t>
            </w:r>
          </w:p>
        </w:tc>
      </w:tr>
      <w:tr w:rsidR="002E508F">
        <w:tc>
          <w:tcPr>
            <w:tcW w:w="3652" w:type="dxa"/>
          </w:tcPr>
          <w:p w:rsidR="002E508F" w:rsidRDefault="005D0A03">
            <w:pPr>
              <w:autoSpaceDE w:val="0"/>
              <w:autoSpaceDN w:val="0"/>
              <w:adjustRightInd w:val="0"/>
              <w:spacing w:before="120" w:after="0" w:line="240" w:lineRule="auto"/>
              <w:jc w:val="both"/>
              <w:rPr>
                <w:rFonts w:ascii="Times New Roman" w:hAnsi="Times New Roman" w:cs="Times New Roman"/>
                <w:noProof/>
                <w:sz w:val="20"/>
                <w:szCs w:val="20"/>
              </w:rPr>
            </w:pPr>
            <w:r>
              <w:rPr>
                <w:rFonts w:ascii="Times New Roman" w:hAnsi="Times New Roman" w:cs="Times New Roman"/>
                <w:i/>
                <w:noProof/>
                <w:sz w:val="20"/>
                <w:szCs w:val="20"/>
              </w:rPr>
              <w:t xml:space="preserve">SPR8: </w:t>
            </w:r>
            <w:r>
              <w:rPr>
                <w:rFonts w:ascii="Times New Roman" w:hAnsi="Times New Roman" w:cs="Times New Roman"/>
                <w:noProof/>
                <w:sz w:val="20"/>
                <w:szCs w:val="20"/>
              </w:rPr>
              <w:t>Explore potential for a Commission initiative on cross-border procurement</w:t>
            </w:r>
          </w:p>
        </w:tc>
        <w:tc>
          <w:tcPr>
            <w:tcW w:w="5636" w:type="dxa"/>
          </w:tcPr>
          <w:p w:rsidR="002E508F" w:rsidRDefault="005D0A03">
            <w:pPr>
              <w:autoSpaceDE w:val="0"/>
              <w:autoSpaceDN w:val="0"/>
              <w:adjustRightInd w:val="0"/>
              <w:spacing w:before="120"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The Commission is facilitating action on joined up or joint public procurement, for example through a European Clean Bus Deployment Initiative. It is also encouraging its use through funding instruments like the Connecting Europe Facility. It was not considered part of this Impact Assessment, as it is not the objective of the Clean Vehicles Directive to facilitate financing of vehicles.</w:t>
            </w:r>
          </w:p>
        </w:tc>
      </w:tr>
    </w:tbl>
    <w:p w:rsidR="002E508F" w:rsidRDefault="005D0A03">
      <w:pPr>
        <w:pStyle w:val="Heading1"/>
        <w:rPr>
          <w:noProof/>
        </w:rPr>
      </w:pPr>
      <w:bookmarkStart w:id="6" w:name="_Toc497141464"/>
      <w:r>
        <w:rPr>
          <w:noProof/>
        </w:rPr>
        <w:t>What is the problem and why is it a problem?</w:t>
      </w:r>
      <w:bookmarkEnd w:id="6"/>
      <w:r>
        <w:rPr>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As noted, the transition to </w:t>
      </w:r>
      <w:r>
        <w:rPr>
          <w:rFonts w:ascii="Times New Roman" w:hAnsi="Times New Roman"/>
          <w:noProof/>
        </w:rPr>
        <w:t xml:space="preserve">a modern and low-carbon economy has become an everyday reality since the Paris Climate agreement. </w:t>
      </w:r>
      <w:r>
        <w:rPr>
          <w:rFonts w:ascii="Times New Roman" w:hAnsi="Times New Roman" w:cs="Times New Roman"/>
          <w:noProof/>
        </w:rPr>
        <w:t xml:space="preserve">The 2017 State of the Union address succinctly notes: the EU has to become a world leader in decarbonisation. With dynamically accelerating global markets for low-emission mobility and transport solution it is clear that the European mobility sector must remain among the best of the world. The transition to low- and zero-emission mobility needs to considerably accelerate in order to meet long-term climate and energy objectives of the Union.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As described in greater detail in section 2.1.2, the share of clean, low- and zero-emission and other alternative fuels vehicles in the Union is still considerably low. Competitiveness of the European transport sector in these sectors is challenged by global market developments. For example, China has overtaken the EU as a lead market for zero-emission bus technologies.</w:t>
      </w:r>
      <w:r>
        <w:rPr>
          <w:rStyle w:val="FootnoteReference"/>
          <w:rFonts w:ascii="Times New Roman" w:hAnsi="Times New Roman" w:cs="Times New Roman"/>
          <w:noProof/>
        </w:rPr>
        <w:footnoteReference w:id="11"/>
      </w:r>
      <w:r>
        <w:rPr>
          <w:rFonts w:ascii="Times New Roman" w:hAnsi="Times New Roman" w:cs="Times New Roman"/>
          <w:noProof/>
        </w:rPr>
        <w:t xml:space="preserve"> Public procurement can play a role as a market lever. However, at current, public bodies are not using public procurement in an effective manner in order to help accelerate the market uptake of low- and zero-emission or other alternatively fuelled vehicles. The volume of those vehicles that are publicly procured remains small in the whole of the Union. In recital 15, the Directive notes that "procurement of vehicles for public transport services can make a significant impact on the market, if harmonised criteria are applied at Community level". This has not been achieved yet. Annex 8 to this Impact Assessment notes several national policy initiatives to strengthen the use of public procurement for market uptake of clean vehicles, going beyond the requirements of the Directive. </w:t>
      </w:r>
    </w:p>
    <w:p w:rsidR="002E508F" w:rsidRDefault="005D0A03">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 xml:space="preserve">Figure 2.1: Problem tree </w:t>
      </w:r>
    </w:p>
    <w:p w:rsidR="002E508F" w:rsidRDefault="005D0A03">
      <w:pPr>
        <w:spacing w:line="240" w:lineRule="auto"/>
        <w:jc w:val="both"/>
        <w:rPr>
          <w:rFonts w:ascii="Times New Roman" w:hAnsi="Times New Roman" w:cs="Times New Roman"/>
          <w:noProof/>
        </w:rPr>
      </w:pPr>
      <w:r>
        <w:rPr>
          <w:noProof/>
          <w:lang w:eastAsia="en-GB"/>
        </w:rPr>
        <mc:AlternateContent>
          <mc:Choice Requires="wps">
            <w:drawing>
              <wp:anchor distT="0" distB="0" distL="114300" distR="114300" simplePos="0" relativeHeight="251659264" behindDoc="0" locked="0" layoutInCell="1" allowOverlap="1" wp14:anchorId="3C7470A6" wp14:editId="5A1260DA">
                <wp:simplePos x="0" y="0"/>
                <wp:positionH relativeFrom="column">
                  <wp:posOffset>1367155</wp:posOffset>
                </wp:positionH>
                <wp:positionV relativeFrom="paragraph">
                  <wp:posOffset>1167765</wp:posOffset>
                </wp:positionV>
                <wp:extent cx="319188" cy="1243013"/>
                <wp:effectExtent l="0" t="0" r="62230" b="52705"/>
                <wp:wrapNone/>
                <wp:docPr id="1" name="Straight Arrow Connector 1"/>
                <wp:cNvGraphicFramePr/>
                <a:graphic xmlns:a="http://schemas.openxmlformats.org/drawingml/2006/main">
                  <a:graphicData uri="http://schemas.microsoft.com/office/word/2010/wordprocessingShape">
                    <wps:wsp>
                      <wps:cNvCnPr/>
                      <wps:spPr bwMode="auto">
                        <a:xfrm>
                          <a:off x="0" y="0"/>
                          <a:ext cx="319188" cy="1243013"/>
                        </a:xfrm>
                        <a:prstGeom prst="straightConnector1">
                          <a:avLst/>
                        </a:prstGeom>
                        <a:solidFill>
                          <a:schemeClr val="bg1"/>
                        </a:solidFill>
                        <a:ln w="19050" cap="flat" cmpd="sng" algn="ctr">
                          <a:solidFill>
                            <a:srgbClr val="00307E"/>
                          </a:solidFill>
                          <a:prstDash val="solid"/>
                          <a:round/>
                          <a:headEnd type="none" w="med" len="med"/>
                          <a:tailEnd type="triangle" w="lg" len="lg"/>
                        </a:ln>
                        <a:effectLst/>
                      </wps:spPr>
                      <wps:bodyPr/>
                    </wps:wsp>
                  </a:graphicData>
                </a:graphic>
                <wp14:sizeRelH relativeFrom="margin">
                  <wp14:pctWidth>0</wp14:pctWidth>
                </wp14:sizeRelH>
                <wp14:sizeRelV relativeFrom="margin">
                  <wp14:pctHeight>0</wp14:pctHeight>
                </wp14:sizeRelV>
              </wp:anchor>
            </w:drawing>
          </mc:Choice>
          <mc:Fallback xmlns="">
            <w:pict>
              <v:shapetype id="_x0000_t32" coordsize="21600,21600" o:spt="32" o:oned="t" path="m,l21600,21600e" filled="f">
                <v:path arrowok="t" fillok="f" o:connecttype="none"/>
                <o:lock v:ext="edit" shapetype="t"/>
              </v:shapetype>
              <v:shape id="Straight Arrow Connector 1" o:spid="_x0000_s1026" type="#_x0000_t32" style="position:absolute;margin-left:107.65pt;margin-top:91.95pt;width:25.15pt;height:9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" filled="t" fillcolor="white [3212]" strokecolor="#00307e" strokeweight="1.5pt">
                <v:stroke endarrow="block" endarrowwidth="wide" endarrowlength="long"/>
              </v:shape>
            </w:pict>
          </mc:Fallback>
        </mc:AlternateContent>
      </w:r>
      <w:r>
        <w:rPr>
          <w:noProof/>
          <w:sz w:val="16"/>
          <w:szCs w:val="16"/>
          <w:lang w:eastAsia="en-GB"/>
        </w:rPr>
        <mc:AlternateContent>
          <mc:Choice Requires="wpg">
            <w:drawing>
              <wp:inline distT="0" distB="0" distL="0" distR="0" wp14:anchorId="0E1A6F27" wp14:editId="2726EA7C">
                <wp:extent cx="5494719" cy="2925018"/>
                <wp:effectExtent l="0" t="0" r="10795" b="27940"/>
                <wp:docPr id="2"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719" cy="2925018"/>
                          <a:chOff x="-87" y="0"/>
                          <a:chExt cx="8718870" cy="4642531"/>
                        </a:xfrm>
                      </wpg:grpSpPr>
                      <wps:wsp>
                        <wps:cNvPr id="3" name="Rectangle 3"/>
                        <wps:cNvSpPr/>
                        <wps:spPr bwMode="auto">
                          <a:xfrm>
                            <a:off x="5421" y="757238"/>
                            <a:ext cx="2163056" cy="600319"/>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Scope of the Directive is limited</w:t>
                              </w:r>
                            </w:p>
                          </w:txbxContent>
                        </wps:txbx>
                        <wps:bodyPr vert="horz" wrap="square" lIns="36000" tIns="36000" rIns="36000" bIns="36000" numCol="1" rtlCol="0" anchor="ctr" anchorCtr="0" compatLnSpc="1">
                          <a:prstTxWarp prst="textNoShape">
                            <a:avLst/>
                          </a:prstTxWarp>
                          <a:noAutofit/>
                        </wps:bodyPr>
                      </wps:wsp>
                      <wps:wsp>
                        <wps:cNvPr id="4" name="Rectangle 4"/>
                        <wps:cNvSpPr/>
                        <wps:spPr bwMode="auto">
                          <a:xfrm>
                            <a:off x="2" y="3165668"/>
                            <a:ext cx="2162421" cy="856333"/>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Need to consider wider number of energy and environmental impacts</w:t>
                              </w:r>
                            </w:p>
                            <w:p w:rsidR="005D0A03" w:rsidRDefault="005D0A03">
                              <w:pPr>
                                <w:pStyle w:val="NormalWeb"/>
                                <w:kinsoku w:val="0"/>
                                <w:overflowPunct w:val="0"/>
                                <w:spacing w:before="120" w:beforeAutospacing="0" w:after="120" w:afterAutospacing="0"/>
                                <w:jc w:val="center"/>
                                <w:textAlignment w:val="baseline"/>
                                <w:rPr>
                                  <w:sz w:val="16"/>
                                  <w:szCs w:val="16"/>
                                </w:rPr>
                              </w:pPr>
                            </w:p>
                            <w:p w:rsidR="005D0A03" w:rsidRDefault="005D0A03"/>
                          </w:txbxContent>
                        </wps:txbx>
                        <wps:bodyPr vert="horz" wrap="square" lIns="36000" tIns="36000" rIns="36000" bIns="36000" numCol="1" rtlCol="0" anchor="ctr" anchorCtr="0" compatLnSpc="1">
                          <a:prstTxWarp prst="textNoShape">
                            <a:avLst/>
                          </a:prstTxWarp>
                          <a:noAutofit/>
                        </wps:bodyPr>
                      </wps:wsp>
                      <wps:wsp>
                        <wps:cNvPr id="5" name="Rectangle 5"/>
                        <wps:cNvSpPr/>
                        <wps:spPr bwMode="auto">
                          <a:xfrm>
                            <a:off x="3" y="1435987"/>
                            <a:ext cx="2162421" cy="838217"/>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No definition of a clean vehicle and related minimum requirements</w:t>
                              </w:r>
                            </w:p>
                          </w:txbxContent>
                        </wps:txbx>
                        <wps:bodyPr vert="horz" wrap="square" lIns="36000" tIns="36000" rIns="36000" bIns="36000" numCol="1" rtlCol="0" anchor="ctr" anchorCtr="0" compatLnSpc="1">
                          <a:prstTxWarp prst="textNoShape">
                            <a:avLst/>
                          </a:prstTxWarp>
                          <a:noAutofit/>
                        </wps:bodyPr>
                      </wps:wsp>
                      <wps:wsp>
                        <wps:cNvPr id="6" name="Rectangle 6"/>
                        <wps:cNvSpPr/>
                        <wps:spPr bwMode="auto">
                          <a:xfrm>
                            <a:off x="2" y="2274321"/>
                            <a:ext cx="2162421" cy="829028"/>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Wider choice of transposition options for Member States</w:t>
                              </w:r>
                            </w:p>
                          </w:txbxContent>
                        </wps:txbx>
                        <wps:bodyPr vert="horz" wrap="square" lIns="36000" tIns="36000" rIns="36000" bIns="36000" numCol="1" rtlCol="0" anchor="ctr" anchorCtr="0" compatLnSpc="1">
                          <a:prstTxWarp prst="textNoShape">
                            <a:avLst/>
                          </a:prstTxWarp>
                          <a:noAutofit/>
                        </wps:bodyPr>
                      </wps:wsp>
                      <wps:wsp>
                        <wps:cNvPr id="7" name="TextBox 11"/>
                        <wps:cNvSpPr txBox="1"/>
                        <wps:spPr>
                          <a:xfrm>
                            <a:off x="266035" y="0"/>
                            <a:ext cx="1455665" cy="409820"/>
                          </a:xfrm>
                          <a:prstGeom prst="rect">
                            <a:avLst/>
                          </a:prstGeom>
                          <a:noFill/>
                        </wps:spPr>
                        <wps:txbx>
                          <w:txbxContent>
                            <w:p w:rsidR="005D0A03" w:rsidRDefault="005D0A03">
                              <w:pPr>
                                <w:pStyle w:val="NormalWeb"/>
                                <w:spacing w:before="120" w:beforeAutospacing="0" w:after="120" w:afterAutospacing="0"/>
                                <w:textAlignment w:val="baseline"/>
                                <w:rPr>
                                  <w:sz w:val="16"/>
                                  <w:szCs w:val="16"/>
                                </w:rPr>
                              </w:pPr>
                              <w:r>
                                <w:rPr>
                                  <w:rFonts w:ascii="Verdana" w:hAnsi="Verdana" w:cstheme="minorBidi"/>
                                  <w:b/>
                                  <w:bCs/>
                                  <w:color w:val="0F5494"/>
                                  <w:kern w:val="24"/>
                                  <w:sz w:val="16"/>
                                  <w:szCs w:val="16"/>
                                  <w:u w:val="single"/>
                                </w:rPr>
                                <w:t>Root causes</w:t>
                              </w:r>
                            </w:p>
                          </w:txbxContent>
                        </wps:txbx>
                        <wps:bodyPr wrap="square" lIns="36000" tIns="36000" rIns="36000" bIns="36000" rtlCol="0">
                          <a:noAutofit/>
                        </wps:bodyPr>
                      </wps:wsp>
                      <wps:wsp>
                        <wps:cNvPr id="8" name="Rectangle 8"/>
                        <wps:cNvSpPr/>
                        <wps:spPr bwMode="auto">
                          <a:xfrm>
                            <a:off x="2698461" y="1258296"/>
                            <a:ext cx="1975730" cy="845219"/>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Limited range of contracts covered by the Directive</w:t>
                              </w:r>
                            </w:p>
                          </w:txbxContent>
                        </wps:txbx>
                        <wps:bodyPr vert="horz" wrap="square" lIns="36000" tIns="36000" rIns="36000" bIns="36000" numCol="1" rtlCol="0" anchor="ctr" anchorCtr="0" compatLnSpc="1">
                          <a:prstTxWarp prst="textNoShape">
                            <a:avLst/>
                          </a:prstTxWarp>
                          <a:noAutofit/>
                        </wps:bodyPr>
                      </wps:wsp>
                      <wps:wsp>
                        <wps:cNvPr id="9" name="Rectangle 9"/>
                        <wps:cNvSpPr/>
                        <wps:spPr bwMode="auto">
                          <a:xfrm>
                            <a:off x="2702366" y="3365557"/>
                            <a:ext cx="1932549" cy="1021262"/>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Complex provisions for the use of the monetisation method</w:t>
                              </w:r>
                            </w:p>
                          </w:txbxContent>
                        </wps:txbx>
                        <wps:bodyPr vert="horz" wrap="square" lIns="36000" tIns="36000" rIns="36000" bIns="36000" numCol="1" rtlCol="0" anchor="ctr" anchorCtr="0" compatLnSpc="1">
                          <a:prstTxWarp prst="textNoShape">
                            <a:avLst/>
                          </a:prstTxWarp>
                          <a:noAutofit/>
                        </wps:bodyPr>
                      </wps:wsp>
                      <wps:wsp>
                        <wps:cNvPr id="10" name="Rectangle 10"/>
                        <wps:cNvSpPr/>
                        <wps:spPr bwMode="auto">
                          <a:xfrm>
                            <a:off x="2681321" y="2381066"/>
                            <a:ext cx="1974459" cy="845569"/>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 xml:space="preserve">Lack of clear, impactful vehicle purchase provisions </w:t>
                              </w:r>
                            </w:p>
                          </w:txbxContent>
                        </wps:txbx>
                        <wps:bodyPr vert="horz" wrap="square" lIns="36000" tIns="36000" rIns="36000" bIns="36000" numCol="1" rtlCol="0" anchor="ctr" anchorCtr="0" compatLnSpc="1">
                          <a:prstTxWarp prst="textNoShape">
                            <a:avLst/>
                          </a:prstTxWarp>
                          <a:noAutofit/>
                        </wps:bodyPr>
                      </wps:wsp>
                      <wps:wsp>
                        <wps:cNvPr id="11" name="TextBox 16"/>
                        <wps:cNvSpPr txBox="1"/>
                        <wps:spPr>
                          <a:xfrm>
                            <a:off x="2570929" y="12699"/>
                            <a:ext cx="1456300" cy="409820"/>
                          </a:xfrm>
                          <a:prstGeom prst="rect">
                            <a:avLst/>
                          </a:prstGeom>
                          <a:noFill/>
                        </wps:spPr>
                        <wps:txbx>
                          <w:txbxContent>
                            <w:p w:rsidR="005D0A03" w:rsidRDefault="005D0A03">
                              <w:pPr>
                                <w:pStyle w:val="NormalWeb"/>
                                <w:spacing w:before="120" w:beforeAutospacing="0" w:after="120" w:afterAutospacing="0"/>
                                <w:textAlignment w:val="baseline"/>
                                <w:rPr>
                                  <w:sz w:val="16"/>
                                  <w:szCs w:val="16"/>
                                </w:rPr>
                              </w:pPr>
                              <w:r>
                                <w:rPr>
                                  <w:rFonts w:ascii="Verdana" w:hAnsi="Verdana" w:cstheme="minorBidi"/>
                                  <w:b/>
                                  <w:bCs/>
                                  <w:color w:val="0F5494"/>
                                  <w:kern w:val="24"/>
                                  <w:sz w:val="16"/>
                                  <w:szCs w:val="16"/>
                                  <w:u w:val="single"/>
                                </w:rPr>
                                <w:t>Drivers</w:t>
                              </w:r>
                            </w:p>
                          </w:txbxContent>
                        </wps:txbx>
                        <wps:bodyPr wrap="square" lIns="36000" tIns="36000" rIns="36000" bIns="36000" rtlCol="0">
                          <a:noAutofit/>
                        </wps:bodyPr>
                      </wps:wsp>
                      <wps:wsp>
                        <wps:cNvPr id="12" name="Rectangle 12"/>
                        <wps:cNvSpPr/>
                        <wps:spPr bwMode="auto">
                          <a:xfrm>
                            <a:off x="5005879" y="2252676"/>
                            <a:ext cx="1712840" cy="122662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Directive does not stimulate public procurement of clean, energy-efficient vehicles</w:t>
                              </w:r>
                            </w:p>
                          </w:txbxContent>
                        </wps:txbx>
                        <wps:bodyPr vert="horz" wrap="square" lIns="36000" tIns="36000" rIns="36000" bIns="36000" numCol="1" rtlCol="0" anchor="ctr" anchorCtr="0" compatLnSpc="1">
                          <a:prstTxWarp prst="textNoShape">
                            <a:avLst/>
                          </a:prstTxWarp>
                          <a:noAutofit/>
                        </wps:bodyPr>
                      </wps:wsp>
                      <wps:wsp>
                        <wps:cNvPr id="13" name="Rectangle 13"/>
                        <wps:cNvSpPr/>
                        <wps:spPr bwMode="auto">
                          <a:xfrm>
                            <a:off x="6984988" y="594424"/>
                            <a:ext cx="1733795" cy="1397179"/>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No real impact on reducing GHG and pollutant emissions and in increasing energy efficiency of transport</w:t>
                              </w:r>
                            </w:p>
                          </w:txbxContent>
                        </wps:txbx>
                        <wps:bodyPr vert="horz" wrap="square" lIns="36000" tIns="36000" rIns="36000" bIns="36000" numCol="1" rtlCol="0" anchor="ctr" anchorCtr="0" compatLnSpc="1">
                          <a:prstTxWarp prst="textNoShape">
                            <a:avLst/>
                          </a:prstTxWarp>
                          <a:noAutofit/>
                        </wps:bodyPr>
                      </wps:wsp>
                      <wps:wsp>
                        <wps:cNvPr id="14" name="TextBox 19"/>
                        <wps:cNvSpPr txBox="1"/>
                        <wps:spPr>
                          <a:xfrm>
                            <a:off x="4747294" y="26821"/>
                            <a:ext cx="1455665" cy="409820"/>
                          </a:xfrm>
                          <a:prstGeom prst="rect">
                            <a:avLst/>
                          </a:prstGeom>
                          <a:noFill/>
                        </wps:spPr>
                        <wps:txbx>
                          <w:txbxContent>
                            <w:p w:rsidR="005D0A03" w:rsidRDefault="005D0A03">
                              <w:pPr>
                                <w:pStyle w:val="NormalWeb"/>
                                <w:spacing w:before="120" w:beforeAutospacing="0" w:after="120" w:afterAutospacing="0"/>
                                <w:textAlignment w:val="baseline"/>
                                <w:rPr>
                                  <w:sz w:val="16"/>
                                  <w:szCs w:val="16"/>
                                </w:rPr>
                              </w:pPr>
                              <w:r>
                                <w:rPr>
                                  <w:rFonts w:ascii="Verdana" w:hAnsi="Verdana" w:cstheme="minorBidi"/>
                                  <w:b/>
                                  <w:bCs/>
                                  <w:color w:val="0F5494"/>
                                  <w:kern w:val="24"/>
                                  <w:sz w:val="16"/>
                                  <w:szCs w:val="16"/>
                                  <w:u w:val="single"/>
                                </w:rPr>
                                <w:t>Problem</w:t>
                              </w:r>
                            </w:p>
                          </w:txbxContent>
                        </wps:txbx>
                        <wps:bodyPr wrap="square" lIns="36000" tIns="36000" rIns="36000" bIns="36000" rtlCol="0">
                          <a:noAutofit/>
                        </wps:bodyPr>
                      </wps:wsp>
                      <wps:wsp>
                        <wps:cNvPr id="15" name="Straight Arrow Connector 15"/>
                        <wps:cNvCnPr>
                          <a:stCxn id="3" idx="3"/>
                          <a:endCxn id="8" idx="1"/>
                        </wps:cNvCnPr>
                        <wps:spPr bwMode="auto">
                          <a:xfrm>
                            <a:off x="2168476" y="1057398"/>
                            <a:ext cx="529985" cy="623508"/>
                          </a:xfrm>
                          <a:prstGeom prst="straightConnector1">
                            <a:avLst/>
                          </a:prstGeom>
                          <a:solidFill>
                            <a:schemeClr val="bg1"/>
                          </a:solidFill>
                          <a:ln w="19050" cap="flat" cmpd="sng" algn="ctr">
                            <a:solidFill>
                              <a:srgbClr val="00307E"/>
                            </a:solidFill>
                            <a:prstDash val="solid"/>
                            <a:round/>
                            <a:headEnd type="none" w="med" len="med"/>
                            <a:tailEnd type="triangle" w="lg" len="lg"/>
                          </a:ln>
                          <a:effectLst/>
                        </wps:spPr>
                        <wps:bodyPr/>
                      </wps:wsp>
                      <wps:wsp>
                        <wps:cNvPr id="16" name="Straight Arrow Connector 16"/>
                        <wps:cNvCnPr>
                          <a:endCxn id="10" idx="1"/>
                        </wps:cNvCnPr>
                        <wps:spPr bwMode="auto">
                          <a:xfrm>
                            <a:off x="2162871" y="2587450"/>
                            <a:ext cx="518449" cy="216401"/>
                          </a:xfrm>
                          <a:prstGeom prst="straightConnector1">
                            <a:avLst/>
                          </a:prstGeom>
                          <a:solidFill>
                            <a:schemeClr val="bg1"/>
                          </a:solidFill>
                          <a:ln w="19050" cap="flat" cmpd="sng" algn="ctr">
                            <a:solidFill>
                              <a:srgbClr val="00307E"/>
                            </a:solidFill>
                            <a:prstDash val="solid"/>
                            <a:round/>
                            <a:headEnd type="none" w="med" len="med"/>
                            <a:tailEnd type="triangle" w="lg" len="lg"/>
                          </a:ln>
                          <a:effectLst/>
                        </wps:spPr>
                        <wps:bodyPr/>
                      </wps:wsp>
                      <wps:wsp>
                        <wps:cNvPr id="17" name="Straight Arrow Connector 17"/>
                        <wps:cNvCnPr>
                          <a:endCxn id="9" idx="1"/>
                        </wps:cNvCnPr>
                        <wps:spPr bwMode="auto">
                          <a:xfrm>
                            <a:off x="2143357" y="3640803"/>
                            <a:ext cx="559009" cy="235385"/>
                          </a:xfrm>
                          <a:prstGeom prst="straightConnector1">
                            <a:avLst/>
                          </a:prstGeom>
                          <a:solidFill>
                            <a:schemeClr val="bg1"/>
                          </a:solidFill>
                          <a:ln w="19050" cap="flat" cmpd="sng" algn="ctr">
                            <a:solidFill>
                              <a:srgbClr val="00307E"/>
                            </a:solidFill>
                            <a:prstDash val="solid"/>
                            <a:round/>
                            <a:headEnd type="none" w="med" len="med"/>
                            <a:tailEnd type="triangle" w="lg" len="lg"/>
                          </a:ln>
                          <a:effectLst/>
                        </wps:spPr>
                        <wps:bodyPr/>
                      </wps:wsp>
                      <wps:wsp>
                        <wps:cNvPr id="19" name="Straight Arrow Connector 19"/>
                        <wps:cNvCnPr>
                          <a:stCxn id="8" idx="3"/>
                          <a:endCxn id="12" idx="1"/>
                        </wps:cNvCnPr>
                        <wps:spPr bwMode="auto">
                          <a:xfrm>
                            <a:off x="4674191" y="1680906"/>
                            <a:ext cx="331688" cy="1185084"/>
                          </a:xfrm>
                          <a:prstGeom prst="straightConnector1">
                            <a:avLst/>
                          </a:prstGeom>
                          <a:solidFill>
                            <a:schemeClr val="bg1"/>
                          </a:solidFill>
                          <a:ln w="19050" cap="flat" cmpd="sng" algn="ctr">
                            <a:solidFill>
                              <a:srgbClr val="00307E"/>
                            </a:solidFill>
                            <a:prstDash val="solid"/>
                            <a:round/>
                            <a:headEnd type="none" w="med" len="med"/>
                            <a:tailEnd type="triangle" w="lg" len="lg"/>
                          </a:ln>
                          <a:effectLst/>
                        </wps:spPr>
                        <wps:bodyPr/>
                      </wps:wsp>
                      <wps:wsp>
                        <wps:cNvPr id="20" name="Straight Arrow Connector 20"/>
                        <wps:cNvCnPr>
                          <a:stCxn id="9" idx="3"/>
                          <a:endCxn id="12" idx="1"/>
                        </wps:cNvCnPr>
                        <wps:spPr bwMode="auto">
                          <a:xfrm flipV="1">
                            <a:off x="4634893" y="2865989"/>
                            <a:ext cx="370986" cy="1010199"/>
                          </a:xfrm>
                          <a:prstGeom prst="straightConnector1">
                            <a:avLst/>
                          </a:prstGeom>
                          <a:solidFill>
                            <a:schemeClr val="bg1"/>
                          </a:solidFill>
                          <a:ln w="19050" cap="flat" cmpd="sng" algn="ctr">
                            <a:solidFill>
                              <a:srgbClr val="00307E"/>
                            </a:solidFill>
                            <a:prstDash val="solid"/>
                            <a:round/>
                            <a:headEnd type="none" w="med" len="med"/>
                            <a:tailEnd type="triangle" w="lg" len="lg"/>
                          </a:ln>
                          <a:effectLst/>
                        </wps:spPr>
                        <wps:bodyPr/>
                      </wps:wsp>
                      <wps:wsp>
                        <wps:cNvPr id="21" name="Straight Arrow Connector 21"/>
                        <wps:cNvCnPr>
                          <a:endCxn id="12" idx="1"/>
                        </wps:cNvCnPr>
                        <wps:spPr bwMode="auto">
                          <a:xfrm>
                            <a:off x="4673691" y="2750856"/>
                            <a:ext cx="332188" cy="115134"/>
                          </a:xfrm>
                          <a:prstGeom prst="straightConnector1">
                            <a:avLst/>
                          </a:prstGeom>
                          <a:solidFill>
                            <a:schemeClr val="bg1"/>
                          </a:solidFill>
                          <a:ln w="19050" cap="flat" cmpd="sng" algn="ctr">
                            <a:solidFill>
                              <a:srgbClr val="00307E"/>
                            </a:solidFill>
                            <a:prstDash val="solid"/>
                            <a:round/>
                            <a:headEnd type="none" w="med" len="med"/>
                            <a:tailEnd type="triangle" w="lg" len="lg"/>
                          </a:ln>
                          <a:effectLst/>
                        </wps:spPr>
                        <wps:bodyPr/>
                      </wps:wsp>
                      <wps:wsp>
                        <wps:cNvPr id="22" name="Straight Arrow Connector 22"/>
                        <wps:cNvCnPr>
                          <a:stCxn id="12" idx="3"/>
                          <a:endCxn id="13" idx="1"/>
                        </wps:cNvCnPr>
                        <wps:spPr bwMode="auto">
                          <a:xfrm flipV="1">
                            <a:off x="6718719" y="1293014"/>
                            <a:ext cx="266268" cy="1572976"/>
                          </a:xfrm>
                          <a:prstGeom prst="straightConnector1">
                            <a:avLst/>
                          </a:prstGeom>
                          <a:solidFill>
                            <a:schemeClr val="bg1"/>
                          </a:solidFill>
                          <a:ln w="19050" cap="flat" cmpd="sng" algn="ctr">
                            <a:solidFill>
                              <a:srgbClr val="00307E"/>
                            </a:solidFill>
                            <a:prstDash val="solid"/>
                            <a:round/>
                            <a:headEnd type="none" w="med" len="med"/>
                            <a:tailEnd type="triangle" w="lg" len="lg"/>
                          </a:ln>
                          <a:effectLst/>
                        </wps:spPr>
                        <wps:bodyPr/>
                      </wps:wsp>
                      <wps:wsp>
                        <wps:cNvPr id="23" name="TextBox 29"/>
                        <wps:cNvSpPr txBox="1"/>
                        <wps:spPr>
                          <a:xfrm>
                            <a:off x="6811775" y="25398"/>
                            <a:ext cx="1456300" cy="409820"/>
                          </a:xfrm>
                          <a:prstGeom prst="rect">
                            <a:avLst/>
                          </a:prstGeom>
                          <a:noFill/>
                        </wps:spPr>
                        <wps:txbx>
                          <w:txbxContent>
                            <w:p w:rsidR="005D0A03" w:rsidRDefault="005D0A03">
                              <w:pPr>
                                <w:pStyle w:val="NormalWeb"/>
                                <w:spacing w:before="120" w:beforeAutospacing="0" w:after="120" w:afterAutospacing="0"/>
                                <w:textAlignment w:val="baseline"/>
                                <w:rPr>
                                  <w:sz w:val="16"/>
                                  <w:szCs w:val="16"/>
                                </w:rPr>
                              </w:pPr>
                              <w:r>
                                <w:rPr>
                                  <w:rFonts w:ascii="Verdana" w:hAnsi="Verdana" w:cstheme="minorBidi"/>
                                  <w:b/>
                                  <w:bCs/>
                                  <w:color w:val="0F5494"/>
                                  <w:kern w:val="24"/>
                                  <w:sz w:val="16"/>
                                  <w:szCs w:val="16"/>
                                  <w:u w:val="single"/>
                                </w:rPr>
                                <w:t>Implications</w:t>
                              </w:r>
                            </w:p>
                          </w:txbxContent>
                        </wps:txbx>
                        <wps:bodyPr wrap="square" lIns="36000" tIns="36000" rIns="36000" bIns="36000" rtlCol="0">
                          <a:noAutofit/>
                        </wps:bodyPr>
                      </wps:wsp>
                      <wps:wsp>
                        <wps:cNvPr id="24" name="Straight Arrow Connector 24"/>
                        <wps:cNvCnPr>
                          <a:stCxn id="3" idx="3"/>
                          <a:endCxn id="10" idx="1"/>
                        </wps:cNvCnPr>
                        <wps:spPr bwMode="auto">
                          <a:xfrm>
                            <a:off x="2168477" y="1057397"/>
                            <a:ext cx="512843" cy="1746454"/>
                          </a:xfrm>
                          <a:prstGeom prst="straightConnector1">
                            <a:avLst/>
                          </a:prstGeom>
                          <a:solidFill>
                            <a:schemeClr val="bg1"/>
                          </a:solidFill>
                          <a:ln w="19050" cap="flat" cmpd="sng" algn="ctr">
                            <a:solidFill>
                              <a:srgbClr val="00307E"/>
                            </a:solidFill>
                            <a:prstDash val="solid"/>
                            <a:round/>
                            <a:headEnd type="none" w="med" len="med"/>
                            <a:tailEnd type="triangle" w="lg" len="lg"/>
                          </a:ln>
                          <a:effectLst/>
                        </wps:spPr>
                        <wps:bodyPr/>
                      </wps:wsp>
                      <wps:wsp>
                        <wps:cNvPr id="25" name="Rectangle 25"/>
                        <wps:cNvSpPr/>
                        <wps:spPr bwMode="auto">
                          <a:xfrm>
                            <a:off x="-87" y="4131730"/>
                            <a:ext cx="2162420" cy="510801"/>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No reporting obligation</w:t>
                              </w:r>
                            </w:p>
                          </w:txbxContent>
                        </wps:txbx>
                        <wps:bodyPr vert="horz" wrap="square" lIns="36000" tIns="36000" rIns="36000" bIns="36000" numCol="1" rtlCol="0" anchor="ctr" anchorCtr="0" compatLnSpc="1">
                          <a:prstTxWarp prst="textNoShape">
                            <a:avLst/>
                          </a:prstTxWarp>
                          <a:noAutofit/>
                        </wps:bodyPr>
                      </wps:wsp>
                      <wps:wsp>
                        <wps:cNvPr id="26" name="Straight Arrow Connector 26"/>
                        <wps:cNvCnPr>
                          <a:stCxn id="25" idx="3"/>
                        </wps:cNvCnPr>
                        <wps:spPr bwMode="auto">
                          <a:xfrm flipV="1">
                            <a:off x="2162330" y="2835012"/>
                            <a:ext cx="512953" cy="1552120"/>
                          </a:xfrm>
                          <a:prstGeom prst="straightConnector1">
                            <a:avLst/>
                          </a:prstGeom>
                          <a:solidFill>
                            <a:schemeClr val="bg1"/>
                          </a:solidFill>
                          <a:ln w="19050" cap="flat" cmpd="sng" algn="ctr">
                            <a:solidFill>
                              <a:srgbClr val="00307E"/>
                            </a:solidFill>
                            <a:prstDash val="solid"/>
                            <a:round/>
                            <a:headEnd type="none" w="med" len="med"/>
                            <a:tailEnd type="triangle" w="lg" len="lg"/>
                          </a:ln>
                          <a:effectLst/>
                        </wps:spPr>
                        <wps:bodyPr/>
                      </wps:wsp>
                      <wps:wsp>
                        <wps:cNvPr id="27" name="Straight Arrow Connector 27"/>
                        <wps:cNvCnPr>
                          <a:stCxn id="5" idx="3"/>
                          <a:endCxn id="10" idx="1"/>
                        </wps:cNvCnPr>
                        <wps:spPr bwMode="auto">
                          <a:xfrm>
                            <a:off x="2162424" y="1855096"/>
                            <a:ext cx="518897" cy="948754"/>
                          </a:xfrm>
                          <a:prstGeom prst="straightConnector1">
                            <a:avLst/>
                          </a:prstGeom>
                          <a:solidFill>
                            <a:schemeClr val="bg1"/>
                          </a:solidFill>
                          <a:ln w="19050" cap="flat" cmpd="sng" algn="ctr">
                            <a:solidFill>
                              <a:srgbClr val="00307E"/>
                            </a:solidFill>
                            <a:prstDash val="solid"/>
                            <a:round/>
                            <a:headEnd type="none" w="med" len="med"/>
                            <a:tailEnd type="triangle" w="lg" len="lg"/>
                          </a:ln>
                          <a:effectLst/>
                        </wps:spPr>
                        <wps:bodyPr/>
                      </wps:wsp>
                      <wps:wsp>
                        <wps:cNvPr id="28" name="Rectangle 28"/>
                        <wps:cNvSpPr/>
                        <wps:spPr bwMode="auto">
                          <a:xfrm>
                            <a:off x="6985043" y="2049478"/>
                            <a:ext cx="1712840" cy="1375609"/>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 xml:space="preserve">No real impact on general market uptake of clean vehicles </w:t>
                              </w:r>
                            </w:p>
                          </w:txbxContent>
                        </wps:txbx>
                        <wps:bodyPr vert="horz" wrap="square" lIns="36000" tIns="36000" rIns="36000" bIns="36000" numCol="1" rtlCol="0" anchor="ctr" anchorCtr="0" compatLnSpc="1">
                          <a:prstTxWarp prst="textNoShape">
                            <a:avLst/>
                          </a:prstTxWarp>
                          <a:noAutofit/>
                        </wps:bodyPr>
                      </wps:wsp>
                      <wps:wsp>
                        <wps:cNvPr id="29" name="Rectangle 29"/>
                        <wps:cNvSpPr/>
                        <wps:spPr bwMode="auto">
                          <a:xfrm>
                            <a:off x="6974688" y="3479125"/>
                            <a:ext cx="1713475" cy="1020738"/>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No real support to industry competitiveness and growth</w:t>
                              </w:r>
                            </w:p>
                          </w:txbxContent>
                        </wps:txbx>
                        <wps:bodyPr vert="horz" wrap="square" lIns="36000" tIns="36000" rIns="36000" bIns="36000" numCol="1" rtlCol="0" anchor="ctr" anchorCtr="0" compatLnSpc="1">
                          <a:prstTxWarp prst="textNoShape">
                            <a:avLst/>
                          </a:prstTxWarp>
                          <a:noAutofit/>
                        </wps:bodyPr>
                      </wps:wsp>
                      <wps:wsp>
                        <wps:cNvPr id="30" name="Straight Arrow Connector 30"/>
                        <wps:cNvCnPr>
                          <a:stCxn id="12" idx="3"/>
                        </wps:cNvCnPr>
                        <wps:spPr bwMode="auto">
                          <a:xfrm flipV="1">
                            <a:off x="6718651" y="2750859"/>
                            <a:ext cx="331280" cy="115131"/>
                          </a:xfrm>
                          <a:prstGeom prst="straightConnector1">
                            <a:avLst/>
                          </a:prstGeom>
                          <a:solidFill>
                            <a:schemeClr val="bg1"/>
                          </a:solidFill>
                          <a:ln w="19050" cap="flat" cmpd="sng" algn="ctr">
                            <a:solidFill>
                              <a:srgbClr val="00307E"/>
                            </a:solidFill>
                            <a:prstDash val="solid"/>
                            <a:round/>
                            <a:headEnd type="none" w="med" len="med"/>
                            <a:tailEnd type="triangle" w="lg" len="lg"/>
                          </a:ln>
                          <a:effectLst/>
                        </wps:spPr>
                        <wps:bodyPr/>
                      </wps:wsp>
                      <wps:wsp>
                        <wps:cNvPr id="31" name="Straight Arrow Connector 31"/>
                        <wps:cNvCnPr>
                          <a:stCxn id="12" idx="3"/>
                          <a:endCxn id="29" idx="1"/>
                        </wps:cNvCnPr>
                        <wps:spPr bwMode="auto">
                          <a:xfrm>
                            <a:off x="6718719" y="2865990"/>
                            <a:ext cx="255969" cy="1123504"/>
                          </a:xfrm>
                          <a:prstGeom prst="straightConnector1">
                            <a:avLst/>
                          </a:prstGeom>
                          <a:solidFill>
                            <a:schemeClr val="bg1"/>
                          </a:solidFill>
                          <a:ln w="19050" cap="flat" cmpd="sng" algn="ctr">
                            <a:solidFill>
                              <a:srgbClr val="00307E"/>
                            </a:solidFill>
                            <a:prstDash val="solid"/>
                            <a:round/>
                            <a:headEnd type="none" w="med" len="med"/>
                            <a:tailEnd type="triangle" w="lg" len="lg"/>
                          </a:ln>
                          <a:effectLst/>
                        </wps:spPr>
                        <wps:bodyPr/>
                      </wps:wsp>
                    </wpg:wgp>
                  </a:graphicData>
                </a:graphic>
              </wp:inline>
            </w:drawing>
          </mc:Choice>
          <mc:Fallback>
            <w:pict>
              <v:group id="Group 1" o:spid="_x0000_s1026" style="width:432.65pt;height:230.3pt;mso-position-horizontal-relative:char;mso-position-vertical-relative:line" coordorigin="" coordsize="87188,4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">
                <o:lock v:ext="edit" aspectratio="t"/>
                <v:rect id="Rectangle 3" o:spid="_x0000_s1027" style="position:absolute;left:54;top:7572;width:21630;height:6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6QsMA&#10;AADaAAAADwAAAGRycy9kb3ducmV2LnhtbESPQWvCQBSE70L/w/IK3symLahEV5FKqqeCxoPHZ/aZ&#10;DWbfxuxW47/vFgoeh5n5hpkve9uIG3W+dqzgLUlBEJdO11wpOBT5aArCB2SNjWNS8CAPy8XLYI6Z&#10;dnfe0W0fKhEh7DNUYEJoMyl9aciiT1xLHL2z6yyGKLtK6g7vEW4b+Z6mY2mx5rhgsKVPQ+Vl/2MV&#10;nHK3ORWF+55scvu13h7HpdFXpYav/WoGIlAfnuH/9lYr+IC/K/EG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E6QsMAAADaAAAADwAAAAAAAAAAAAAAAACYAgAAZHJzL2Rv&#10;d25yZXYueG1sUEsFBgAAAAAEAAQA9QAAAIgDAAAAAA==&#10;" fillcolor="white [3201]" strokecolor="#4f81bd [3204]" strokeweight="2pt">
                  <v:textbox inset="1mm,1mm,1mm,1mm">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Scope of the Directive is limited</w:t>
                        </w:r>
                      </w:p>
                    </w:txbxContent>
                  </v:textbox>
                </v:rect>
                <v:rect id="Rectangle 4" o:spid="_x0000_s1028" style="position:absolute;top:31656;width:21624;height:8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iNsMA&#10;AADaAAAADwAAAGRycy9kb3ducmV2LnhtbESPQWvCQBSE70L/w/IK3sympahEV5FKqqeCxoPHZ/aZ&#10;DWbfxuxW47/vFgoeh5n5hpkve9uIG3W+dqzgLUlBEJdO11wpOBT5aArCB2SNjWNS8CAPy8XLYI6Z&#10;dnfe0W0fKhEh7DNUYEJoMyl9aciiT1xLHL2z6yyGKLtK6g7vEW4b+Z6mY2mx5rhgsKVPQ+Vl/2MV&#10;nHK3ORWF+55scvu13h7HpdFXpYav/WoGIlAfnuH/9lYr+IC/K/EG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iiNsMAAADaAAAADwAAAAAAAAAAAAAAAACYAgAAZHJzL2Rv&#10;d25yZXYueG1sUEsFBgAAAAAEAAQA9QAAAIgDAAAAAA==&#10;" fillcolor="white [3201]" strokecolor="#4f81bd [3204]" strokeweight="2pt">
                  <v:textbox inset="1mm,1mm,1mm,1mm">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Need to consider wider number of energy and environmental impacts</w:t>
                        </w:r>
                      </w:p>
                      <w:p w:rsidR="005D0A03" w:rsidRDefault="005D0A03">
                        <w:pPr>
                          <w:pStyle w:val="NormalWeb"/>
                          <w:kinsoku w:val="0"/>
                          <w:overflowPunct w:val="0"/>
                          <w:spacing w:before="120" w:beforeAutospacing="0" w:after="120" w:afterAutospacing="0"/>
                          <w:jc w:val="center"/>
                          <w:textAlignment w:val="baseline"/>
                          <w:rPr>
                            <w:sz w:val="16"/>
                            <w:szCs w:val="16"/>
                          </w:rPr>
                        </w:pPr>
                      </w:p>
                      <w:p w:rsidR="005D0A03" w:rsidRDefault="005D0A03"/>
                    </w:txbxContent>
                  </v:textbox>
                </v:rect>
                <v:rect id="Rectangle 5" o:spid="_x0000_s1029" style="position:absolute;top:14359;width:21624;height:8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HrcMA&#10;AADaAAAADwAAAGRycy9kb3ducmV2LnhtbESPQWvCQBSE70L/w/IK3symhapEV5FKqqeCxoPHZ/aZ&#10;DWbfxuxW47/vFgoeh5n5hpkve9uIG3W+dqzgLUlBEJdO11wpOBT5aArCB2SNjWNS8CAPy8XLYI6Z&#10;dnfe0W0fKhEh7DNUYEJoMyl9aciiT1xLHL2z6yyGKLtK6g7vEW4b+Z6mY2mx5rhgsKVPQ+Vl/2MV&#10;nHK3ORWF+55scvu13h7HpdFXpYav/WoGIlAfnuH/9lYr+IC/K/EG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QHrcMAAADaAAAADwAAAAAAAAAAAAAAAACYAgAAZHJzL2Rv&#10;d25yZXYueG1sUEsFBgAAAAAEAAQA9QAAAIgDAAAAAA==&#10;" fillcolor="white [3201]" strokecolor="#4f81bd [3204]" strokeweight="2pt">
                  <v:textbox inset="1mm,1mm,1mm,1mm">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No definition of a clean vehicle and related minimum requirements</w:t>
                        </w:r>
                      </w:p>
                    </w:txbxContent>
                  </v:textbox>
                </v:rect>
                <v:rect id="Rectangle 6" o:spid="_x0000_s1030" style="position:absolute;top:22743;width:21624;height:8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Z2sIA&#10;AADaAAAADwAAAGRycy9kb3ducmV2LnhtbESPQWvCQBSE7wX/w/IEb3Wjh1iiq4iS6qlQ48HjM/vM&#10;BrNvY3ar8d93hUKPw8x8wyxWvW3EnTpfO1YwGScgiEuna64UHIv8/QOED8gaG8ek4EkeVsvB2wIz&#10;7R78TfdDqESEsM9QgQmhzaT0pSGLfuxa4uhdXGcxRNlVUnf4iHDbyGmSpNJizXHBYEsbQ+X18GMV&#10;nHO3OxeF+5rtcvu53Z/S0uibUqNhv56DCNSH//Bfe68VpPC6Em+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pnawgAAANoAAAAPAAAAAAAAAAAAAAAAAJgCAABkcnMvZG93&#10;bnJldi54bWxQSwUGAAAAAAQABAD1AAAAhwMAAAAA&#10;" fillcolor="white [3201]" strokecolor="#4f81bd [3204]" strokeweight="2pt">
                  <v:textbox inset="1mm,1mm,1mm,1mm">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Wider choice of transposition options for Member States</w:t>
                        </w:r>
                      </w:p>
                    </w:txbxContent>
                  </v:textbox>
                </v:rect>
                <v:shapetype id="_x0000_t202" coordsize="21600,21600" o:spt="202" path="m,l,21600r21600,l21600,xe">
                  <v:stroke joinstyle="miter"/>
                  <v:path gradientshapeok="t" o:connecttype="rect"/>
                </v:shapetype>
                <v:shape id="TextBox 11" o:spid="_x0000_s1031" type="#_x0000_t202" style="position:absolute;left:2660;width:14557;height:4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Zn/cQA&#10;AADaAAAADwAAAGRycy9kb3ducmV2LnhtbESPX2vCQBDE3wv9DscWfKsXtdQSPUUqtQWf/IP4uObW&#10;JJrbC7lV47fvCYU+DjPzG2Y8bV2lrtSE0rOBXjcBRZx5W3JuYLv5ev0AFQTZYuWZDNwpwHTy/DTG&#10;1Pobr+i6llxFCIcUDRQidap1yApyGLq+Jo7e0TcOJcom17bBW4S7SveT5F07LDkuFFjTZ0HZeX1x&#10;Bk6H+3d/G+bLk7wNjhvZDffzxcGYzks7G4ESauU//Nf+sQaG8LgSb4C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WZ/3EAAAA2gAAAA8AAAAAAAAAAAAAAAAAmAIAAGRycy9k&#10;b3ducmV2LnhtbFBLBQYAAAAABAAEAPUAAACJAwAAAAA=&#10;" filled="f" stroked="f">
                  <v:textbox inset="1mm,1mm,1mm,1mm">
                    <w:txbxContent>
                      <w:p w:rsidR="005D0A03" w:rsidRDefault="005D0A03">
                        <w:pPr>
                          <w:pStyle w:val="NormalWeb"/>
                          <w:spacing w:before="120" w:beforeAutospacing="0" w:after="120" w:afterAutospacing="0"/>
                          <w:textAlignment w:val="baseline"/>
                          <w:rPr>
                            <w:sz w:val="16"/>
                            <w:szCs w:val="16"/>
                          </w:rPr>
                        </w:pPr>
                        <w:r>
                          <w:rPr>
                            <w:rFonts w:ascii="Verdana" w:hAnsi="Verdana" w:cstheme="minorBidi"/>
                            <w:b/>
                            <w:bCs/>
                            <w:color w:val="0F5494"/>
                            <w:kern w:val="24"/>
                            <w:sz w:val="16"/>
                            <w:szCs w:val="16"/>
                            <w:u w:val="single"/>
                          </w:rPr>
                          <w:t>Root causes</w:t>
                        </w:r>
                      </w:p>
                    </w:txbxContent>
                  </v:textbox>
                </v:shape>
                <v:rect id="Rectangle 8" o:spid="_x0000_s1032" style="position:absolute;left:26984;top:12582;width:19757;height:8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oM78A&#10;AADaAAAADwAAAGRycy9kb3ducmV2LnhtbERPPW/CMBDdK/EfrENiaxwYAKUYVIECTEiQDh2P+BpH&#10;jc8hNhD+PR6QGJ/e92LV20bcqPO1YwXjJAVBXDpdc6Xgp8g/5yB8QNbYOCYFD/KwWg4+Fphpd+cj&#10;3U6hEjGEfYYKTAhtJqUvDVn0iWuJI/fnOoshwq6SusN7DLeNnKTpVFqsOTYYbGltqPw/Xa2Cc+52&#10;56Jwh9kut9vN/ndaGn1RajTsv79ABOrDW/xy77WCuDVeiTd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VagzvwAAANoAAAAPAAAAAAAAAAAAAAAAAJgCAABkcnMvZG93bnJl&#10;di54bWxQSwUGAAAAAAQABAD1AAAAhAMAAAAA&#10;" fillcolor="white [3201]" strokecolor="#4f81bd [3204]" strokeweight="2pt">
                  <v:textbox inset="1mm,1mm,1mm,1mm">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Limited range of contracts covered by the Directive</w:t>
                        </w:r>
                      </w:p>
                    </w:txbxContent>
                  </v:textbox>
                </v:rect>
                <v:rect id="Rectangle 9" o:spid="_x0000_s1033" style="position:absolute;left:27023;top:33655;width:19326;height:10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NqMMA&#10;AADaAAAADwAAAGRycy9kb3ducmV2LnhtbESPwW7CMBBE70j9B2sr9Uac9kAhYBBqlcIJCcKB4xIv&#10;cUS8TmMX0r/HSEgcRzPzRjNb9LYRF+p87VjBe5KCIC6drrlSsC/y4RiED8gaG8ek4J88LOYvgxlm&#10;2l15S5ddqESEsM9QgQmhzaT0pSGLPnEtcfROrrMYouwqqTu8Rrht5EeajqTFmuOCwZa+DJXn3Z9V&#10;cMzd6lgUbvO5yu3P9/owKo3+VerttV9OQQTqwzP8aK+1ggncr8Qb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kNqMMAAADaAAAADwAAAAAAAAAAAAAAAACYAgAAZHJzL2Rv&#10;d25yZXYueG1sUEsFBgAAAAAEAAQA9QAAAIgDAAAAAA==&#10;" fillcolor="white [3201]" strokecolor="#4f81bd [3204]" strokeweight="2pt">
                  <v:textbox inset="1mm,1mm,1mm,1mm">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Complex provisions for the use of the monetisation method</w:t>
                        </w:r>
                      </w:p>
                    </w:txbxContent>
                  </v:textbox>
                </v:rect>
                <v:rect id="Rectangle 10" o:spid="_x0000_s1034" style="position:absolute;left:26813;top:23810;width:19744;height:8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Mq8MA&#10;AADbAAAADwAAAGRycy9kb3ducmV2LnhtbESPQW/CMAyF75P4D5GRuI0UDgx1BDSBCpwmje6wo2m8&#10;plrjlCZA9+/nwyRutt7ze59Xm8G36kZ9bAIbmE0zUMRVsA3XBj7L4nkJKiZki21gMvBLETbr0dMK&#10;cxvu/EG3U6qVhHDM0YBLqcu1jpUjj3EaOmLRvkPvMcna19r2eJdw3+p5li20x4alwWFHW0fVz+nq&#10;DZyLcDiXZXh/ORR+vzt+LSpnL8ZMxsPbK6hEQ3qY/6+PVvCFXn6RA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BMq8MAAADbAAAADwAAAAAAAAAAAAAAAACYAgAAZHJzL2Rv&#10;d25yZXYueG1sUEsFBgAAAAAEAAQA9QAAAIgDAAAAAA==&#10;" fillcolor="white [3201]" strokecolor="#4f81bd [3204]" strokeweight="2pt">
                  <v:textbox inset="1mm,1mm,1mm,1mm">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 xml:space="preserve">Lack of clear, impactful vehicle purchase provisions </w:t>
                        </w:r>
                      </w:p>
                    </w:txbxContent>
                  </v:textbox>
                </v:rect>
                <v:shape id="TextBox 16" o:spid="_x0000_s1035" type="#_x0000_t202" style="position:absolute;left:25709;top:126;width:14563;height:4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4OMIA&#10;AADbAAAADwAAAGRycy9kb3ducmV2LnhtbERPS2vCQBC+C/6HZQRvulFLLamriGJb6MkHpccxOybR&#10;7GzITjX++26h4G0+vufMFq2r1JWaUHo2MBomoIgzb0vODRz2m8ELqCDIFivPZOBOARbzbmeGqfU3&#10;3tJ1J7mKIRxSNFCI1KnWISvIYRj6mjhyJ984lAibXNsGbzHcVXqcJM/aYcmxocCaVgVll92PM3A+&#10;3t/Hh7D+PMvT5LSXr+n3+u1oTL/XLl9BCbXyEP+7P2ycP4K/X+IBe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jg4wgAAANsAAAAPAAAAAAAAAAAAAAAAAJgCAABkcnMvZG93&#10;bnJldi54bWxQSwUGAAAAAAQABAD1AAAAhwMAAAAA&#10;" filled="f" stroked="f">
                  <v:textbox inset="1mm,1mm,1mm,1mm">
                    <w:txbxContent>
                      <w:p w:rsidR="005D0A03" w:rsidRDefault="005D0A03">
                        <w:pPr>
                          <w:pStyle w:val="NormalWeb"/>
                          <w:spacing w:before="120" w:beforeAutospacing="0" w:after="120" w:afterAutospacing="0"/>
                          <w:textAlignment w:val="baseline"/>
                          <w:rPr>
                            <w:sz w:val="16"/>
                            <w:szCs w:val="16"/>
                          </w:rPr>
                        </w:pPr>
                        <w:r>
                          <w:rPr>
                            <w:rFonts w:ascii="Verdana" w:hAnsi="Verdana" w:cstheme="minorBidi"/>
                            <w:b/>
                            <w:bCs/>
                            <w:color w:val="0F5494"/>
                            <w:kern w:val="24"/>
                            <w:sz w:val="16"/>
                            <w:szCs w:val="16"/>
                            <w:u w:val="single"/>
                          </w:rPr>
                          <w:t>Drivers</w:t>
                        </w:r>
                      </w:p>
                    </w:txbxContent>
                  </v:textbox>
                </v:shape>
                <v:rect id="Rectangle 12" o:spid="_x0000_s1036" style="position:absolute;left:50058;top:22526;width:17129;height:1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53R8IA&#10;AADbAAAADwAAAGRycy9kb3ducmV2LnhtbERPPW/CMBDdkfofrKvUDZxmAJRiItQqDRNSSYeOR3yN&#10;I+JzGrsh/fcYqRLbPb3P2+ST7cRIg28dK3heJCCIa6dbbhR8VsV8DcIHZI2dY1LwRx7y7cNsg5l2&#10;F/6g8RgaEUPYZ6jAhNBnUvrakEW/cD1x5L7dYDFEODRSD3iJ4baTaZIspcWWY4PBnl4N1efjr1Vw&#10;Klx5qip3WJWFfX/bfy1ro3+Uenqcdi8gAk3hLv5373Wcn8Ltl3iA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ndHwgAAANsAAAAPAAAAAAAAAAAAAAAAAJgCAABkcnMvZG93&#10;bnJldi54bWxQSwUGAAAAAAQABAD1AAAAhwMAAAAA&#10;" fillcolor="white [3201]" strokecolor="#4f81bd [3204]" strokeweight="2pt">
                  <v:textbox inset="1mm,1mm,1mm,1mm">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Directive does not stimulate public procurement of clean, energy-efficient vehicles</w:t>
                        </w:r>
                      </w:p>
                    </w:txbxContent>
                  </v:textbox>
                </v:rect>
                <v:rect id="Rectangle 13" o:spid="_x0000_s1037" style="position:absolute;left:69849;top:5944;width:17338;height:13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S3MEA&#10;AADbAAAADwAAAGRycy9kb3ducmV2LnhtbERPTWvCQBC9C/0PyxS8mU1bUImuIpVUTwWNB49jdswG&#10;s7Mxu9X477uFgrd5vM+ZL3vbiBt1vnas4C1JQRCXTtdcKTgU+WgKwgdkjY1jUvAgD8vFy2COmXZ3&#10;3tFtHyoRQ9hnqMCE0GZS+tKQRZ+4ljhyZ9dZDBF2ldQd3mO4beR7mo6lxZpjg8GWPg2Vl/2PVXDK&#10;3eZUFO57ssnt13p7HJdGX5UavvarGYhAfXiK/91bHed/wN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C0tzBAAAA2wAAAA8AAAAAAAAAAAAAAAAAmAIAAGRycy9kb3du&#10;cmV2LnhtbFBLBQYAAAAABAAEAPUAAACGAwAAAAA=&#10;" fillcolor="white [3201]" strokecolor="#4f81bd [3204]" strokeweight="2pt">
                  <v:textbox inset="1mm,1mm,1mm,1mm">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No real impact on reducing GHG and pollutant emissions and in increasing energy efficiency of transport</w:t>
                        </w:r>
                      </w:p>
                    </w:txbxContent>
                  </v:textbox>
                </v:rect>
                <v:shape id="TextBox 19" o:spid="_x0000_s1038" type="#_x0000_t202" style="position:absolute;left:47472;top:268;width:14557;height:4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boMIA&#10;AADbAAAADwAAAGRycy9kb3ducmV2LnhtbERPS2vCQBC+F/wPywje6kYrtaSuUiptBU8+KD2O2TGJ&#10;ZmdDdtT4712h4G0+vudMZq2r1JmaUHo2MOgnoIgzb0vODWw3X89voIIgW6w8k4ErBZhNO08TTK2/&#10;8IrOa8lVDOGQooFCpE61DllBDkPf18SR2/vGoUTY5No2eInhrtLDJHnVDkuODQXW9FlQdlyfnIHD&#10;7voz3Ib58iCjl/1Gfsd/8++dMb1u+/EOSqiVh/jfvbBx/gjuv8QD9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ZugwgAAANsAAAAPAAAAAAAAAAAAAAAAAJgCAABkcnMvZG93&#10;bnJldi54bWxQSwUGAAAAAAQABAD1AAAAhwMAAAAA&#10;" filled="f" stroked="f">
                  <v:textbox inset="1mm,1mm,1mm,1mm">
                    <w:txbxContent>
                      <w:p w:rsidR="005D0A03" w:rsidRDefault="005D0A03">
                        <w:pPr>
                          <w:pStyle w:val="NormalWeb"/>
                          <w:spacing w:before="120" w:beforeAutospacing="0" w:after="120" w:afterAutospacing="0"/>
                          <w:textAlignment w:val="baseline"/>
                          <w:rPr>
                            <w:sz w:val="16"/>
                            <w:szCs w:val="16"/>
                          </w:rPr>
                        </w:pPr>
                        <w:r>
                          <w:rPr>
                            <w:rFonts w:ascii="Verdana" w:hAnsi="Verdana" w:cstheme="minorBidi"/>
                            <w:b/>
                            <w:bCs/>
                            <w:color w:val="0F5494"/>
                            <w:kern w:val="24"/>
                            <w:sz w:val="16"/>
                            <w:szCs w:val="16"/>
                            <w:u w:val="single"/>
                          </w:rPr>
                          <w:t>Problem</w:t>
                        </w:r>
                      </w:p>
                    </w:txbxContent>
                  </v:textbox>
                </v:shape>
                <v:shapetype id="_x0000_t32" coordsize="21600,21600" o:spt="32" o:oned="t" path="m,l21600,21600e" filled="f">
                  <v:path arrowok="t" fillok="f" o:connecttype="none"/>
                  <o:lock v:ext="edit" shapetype="t"/>
                </v:shapetype>
                <v:shape id="Straight Arrow Connector 15" o:spid="_x0000_s1039" type="#_x0000_t32" style="position:absolute;left:21684;top:10573;width:5300;height:6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ybwAAADbAAAADwAAAGRycy9kb3ducmV2LnhtbERPSwrCMBDdC94hjOBOUwVFqlHUIrj1&#10;c4ChGdtqMylJtPX2RhDczeN9Z7XpTC1e5HxlWcFknIAgzq2uuFBwvRxGCxA+IGusLZOCN3nYrPu9&#10;Fabatnyi1zkUIoawT1FBGUKTSunzkgz6sW2II3ezzmCI0BVSO2xjuKnlNEnm0mDFsaHEhvYl5Y/z&#10;0yhwx8ndz5vdPpnOrtmhrbIsu12UGg667RJEoC78xT/3Ucf5M/j+Eg+Q6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Q/FybwAAADbAAAADwAAAAAAAAAAAAAAAAChAgAA&#10;ZHJzL2Rvd25yZXYueG1sUEsFBgAAAAAEAAQA+QAAAIoDAAAAAA==&#10;" filled="t" fillcolor="white [3212]" strokecolor="#00307e" strokeweight="1.5pt">
                  <v:stroke endarrow="block" endarrowwidth="wide" endarrowlength="long"/>
                </v:shape>
                <v:shape id="Straight Arrow Connector 16" o:spid="_x0000_s1040" type="#_x0000_t32" style="position:absolute;left:21628;top:25874;width:5185;height:21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1bvr8AAADbAAAADwAAAGRycy9kb3ducmV2LnhtbERP24rCMBB9X9h/CLPg25pWsCy1UbRF&#10;8HXVDxia6WW3mZQk2vr3RljYtzmc6xS72QziTs73lhWkywQEcW11z62C6+X4+QXCB2SNg2VS8CAP&#10;u+37W4G5thN/0/0cWhFD2OeooAthzKX0dUcG/dKOxJFrrDMYInSt1A6nGG4GuUqSTBrsOTZ0OFLZ&#10;Uf17vhkF7pT++Gw8lMlqfa2OU19VVXNRavEx7zcgAs3hX/znPuk4P4PXL/EAuX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d1bvr8AAADbAAAADwAAAAAAAAAAAAAAAACh&#10;AgAAZHJzL2Rvd25yZXYueG1sUEsFBgAAAAAEAAQA+QAAAI0DAAAAAA==&#10;" filled="t" fillcolor="white [3212]" strokecolor="#00307e" strokeweight="1.5pt">
                  <v:stroke endarrow="block" endarrowwidth="wide" endarrowlength="long"/>
                </v:shape>
                <v:shape id="Straight Arrow Connector 17" o:spid="_x0000_s1041" type="#_x0000_t32" style="position:absolute;left:21433;top:36408;width:5590;height:2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Jb8AAADbAAAADwAAAGRycy9kb3ducmV2LnhtbERPzYrCMBC+C/sOYRb2pqnCulKbyq5F&#10;8Kr2AYZmbKvNpCTR1rc3grC3+fh+J9uMphN3cr61rGA+S0AQV1a3XCsoT7vpCoQPyBo7y6TgQR42&#10;+cckw1TbgQ90P4ZaxBD2KSpoQuhTKX3VkEE/sz1x5M7WGQwRulpqh0MMN51cJMlSGmw5NjTY07ah&#10;6nq8GQVuP7/4Zf+3TRbfZbEb2qIozielvj7H3zWIQGP4F7/dex3n/8Drl3iAz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pH+Jb8AAADbAAAADwAAAAAAAAAAAAAAAACh&#10;AgAAZHJzL2Rvd25yZXYueG1sUEsFBgAAAAAEAAQA+QAAAI0DAAAAAA==&#10;" filled="t" fillcolor="white [3212]" strokecolor="#00307e" strokeweight="1.5pt">
                  <v:stroke endarrow="block" endarrowwidth="wide" endarrowlength="long"/>
                </v:shape>
                <v:shape id="Straight Arrow Connector 19" o:spid="_x0000_s1042" type="#_x0000_t32" style="position:absolute;left:46741;top:16809;width:3317;height:11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PzL8AAADbAAAADwAAAGRycy9kb3ducmV2LnhtbERPzYrCMBC+C/sOYRb2pqnCylqbyq5F&#10;8Kr2AYZmbKvNpCTR1rc3grC3+fh+J9uMphN3cr61rGA+S0AQV1a3XCsoT7vpDwgfkDV2lknBgzxs&#10;8o9Jhqm2Ax/ofgy1iCHsU1TQhNCnUvqqIYN+ZnviyJ2tMxgidLXUDocYbjq5SJKlNNhybGiwp21D&#10;1fV4Mwrcfn7xy/5vmyy+y2I3tEVRnE9KfX2Ov2sQgcbwL3679zrOX8Hrl3iAz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ELPzL8AAADbAAAADwAAAAAAAAAAAAAAAACh&#10;AgAAZHJzL2Rvd25yZXYueG1sUEsFBgAAAAAEAAQA+QAAAI0DAAAAAA==&#10;" filled="t" fillcolor="white [3212]" strokecolor="#00307e" strokeweight="1.5pt">
                  <v:stroke endarrow="block" endarrowwidth="wide" endarrowlength="long"/>
                </v:shape>
                <v:shape id="Straight Arrow Connector 20" o:spid="_x0000_s1043" type="#_x0000_t32" style="position:absolute;left:46348;top:28659;width:3710;height:101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rGCMEAAADbAAAADwAAAGRycy9kb3ducmV2LnhtbERPTYvCMBC9C/6HMIIXWVM9iNs1igiK&#10;KIKrHnZvQzO21WZSmmirv94cBI+P9z2ZNaYQd6pcblnBoB+BIE6szjlVcDouv8YgnEfWWFgmBQ9y&#10;MJu2WxOMta35l+4Hn4oQwi5GBZn3ZSylSzIy6Pq2JA7c2VYGfYBVKnWFdQg3hRxG0UgazDk0ZFjS&#10;IqPkergZBd/7536885fN6j+pd3/O0mqre0p1O838B4Snxn/Eb/daKxiG9eFL+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OsYIwQAAANsAAAAPAAAAAAAAAAAAAAAA&#10;AKECAABkcnMvZG93bnJldi54bWxQSwUGAAAAAAQABAD5AAAAjwMAAAAA&#10;" filled="t" fillcolor="white [3212]" strokecolor="#00307e" strokeweight="1.5pt">
                  <v:stroke endarrow="block" endarrowwidth="wide" endarrowlength="long"/>
                </v:shape>
                <v:shape id="Straight Arrow Connector 21" o:spid="_x0000_s1044" type="#_x0000_t32" style="position:absolute;left:46736;top:27508;width:3322;height:11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Jd8AAAADbAAAADwAAAGRycy9kb3ducmV2LnhtbESP0YrCMBRE3xf8h3AF39a0BUWqUdQi&#10;+LrqB1yaa1ttbkoSbf17Iyz4OMzMGWa1GUwrnuR8Y1lBOk1AEJdWN1wpuJwPvwsQPiBrbC2Tghd5&#10;2KxHPyvMte35j56nUIkIYZ+jgjqELpfSlzUZ9FPbEUfvap3BEKWrpHbYR7hpZZYkc2mw4bhQY0f7&#10;msr76WEUuGN68/Nut0+y2aU49E1RFNezUpPxsF2CCDSEb/i/fdQKshQ+X+IP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YCXfAAAAA2wAAAA8AAAAAAAAAAAAAAAAA&#10;oQIAAGRycy9kb3ducmV2LnhtbFBLBQYAAAAABAAEAPkAAACOAwAAAAA=&#10;" filled="t" fillcolor="white [3212]" strokecolor="#00307e" strokeweight="1.5pt">
                  <v:stroke endarrow="block" endarrowwidth="wide" endarrowlength="long"/>
                </v:shape>
                <v:shape id="Straight Arrow Connector 22" o:spid="_x0000_s1045" type="#_x0000_t32" style="position:absolute;left:67187;top:12930;width:2662;height:157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95MUAAADbAAAADwAAAGRycy9kb3ducmV2LnhtbESPT2vCQBTE74V+h+UVvBTdNAfR6CpS&#10;qJQWwX8HvT2yzySafRuyq4l+elcQPA4z8xtmPG1NKS5Uu8Kygq9eBII4tbrgTMF289MdgHAeWWNp&#10;mRRcycF08v42xkTbhld0WftMBAi7BBXk3leJlC7NyaDr2Yo4eAdbG/RB1pnUNTYBbkoZR1FfGiw4&#10;LORY0XdO6Wl9NgqGy9tysPDHv/k+bRY7Z2n+rz+V6ny0sxEIT61/hZ/tX60gjuHxJfwAO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T95MUAAADbAAAADwAAAAAAAAAA&#10;AAAAAAChAgAAZHJzL2Rvd25yZXYueG1sUEsFBgAAAAAEAAQA+QAAAJMDAAAAAA==&#10;" filled="t" fillcolor="white [3212]" strokecolor="#00307e" strokeweight="1.5pt">
                  <v:stroke endarrow="block" endarrowwidth="wide" endarrowlength="long"/>
                </v:shape>
                <v:shape id="TextBox 29" o:spid="_x0000_s1046" type="#_x0000_t202" style="position:absolute;left:68117;top:253;width:14563;height:4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JacUA&#10;AADbAAAADwAAAGRycy9kb3ducmV2LnhtbESPX2vCQBDE3wv9DscKfasXo7QSPaVUWoU++Qfxcc2t&#10;SWxuL+S2Gr+9Vyj0cZiZ3zDTeedqdaE2VJ4NDPoJKOLc24oLA7vtx/MYVBBki7VnMnCjAPPZ48MU&#10;M+uvvKbLRgoVIRwyNFCKNJnWIS/JYej7hjh6J986lCjbQtsWrxHuap0myYt2WHFcKLGh95Ly782P&#10;M3A+3pbpLiy+zjIanrayfz0sPo/GPPW6twkooU7+w3/tlTWQDuH3S/wBe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MlpxQAAANsAAAAPAAAAAAAAAAAAAAAAAJgCAABkcnMv&#10;ZG93bnJldi54bWxQSwUGAAAAAAQABAD1AAAAigMAAAAA&#10;" filled="f" stroked="f">
                  <v:textbox inset="1mm,1mm,1mm,1mm">
                    <w:txbxContent>
                      <w:p w:rsidR="005D0A03" w:rsidRDefault="005D0A03">
                        <w:pPr>
                          <w:pStyle w:val="NormalWeb"/>
                          <w:spacing w:before="120" w:beforeAutospacing="0" w:after="120" w:afterAutospacing="0"/>
                          <w:textAlignment w:val="baseline"/>
                          <w:rPr>
                            <w:sz w:val="16"/>
                            <w:szCs w:val="16"/>
                          </w:rPr>
                        </w:pPr>
                        <w:r>
                          <w:rPr>
                            <w:rFonts w:ascii="Verdana" w:hAnsi="Verdana" w:cstheme="minorBidi"/>
                            <w:b/>
                            <w:bCs/>
                            <w:color w:val="0F5494"/>
                            <w:kern w:val="24"/>
                            <w:sz w:val="16"/>
                            <w:szCs w:val="16"/>
                            <w:u w:val="single"/>
                          </w:rPr>
                          <w:t>Implications</w:t>
                        </w:r>
                      </w:p>
                    </w:txbxContent>
                  </v:textbox>
                </v:shape>
                <v:shape id="Straight Arrow Connector 24" o:spid="_x0000_s1047" type="#_x0000_t32" style="position:absolute;left:21684;top:10573;width:5129;height:17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78IAAADbAAAADwAAAGRycy9kb3ducmV2LnhtbESPwWrDMBBE74X+g9hCbrUck4biRglt&#10;TMDXOP6AxdrYbq2VkZTY+fsoEOhxmJk3zGY3m0FcyfnesoJlkoIgbqzuuVVQnw7vnyB8QNY4WCYF&#10;N/Kw276+bDDXduIjXavQighhn6OCLoQxl9I3HRn0iR2Jo3e2zmCI0rVSO5wi3AwyS9O1NNhzXOhw&#10;pH1HzV91MQpcufz16/Fnn2YfdXGY+qIozielFm/z9xeIQHP4Dz/bpVaQreDxJf4A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q78IAAADbAAAADwAAAAAAAAAAAAAA&#10;AAChAgAAZHJzL2Rvd25yZXYueG1sUEsFBgAAAAAEAAQA+QAAAJADAAAAAA==&#10;" filled="t" fillcolor="white [3212]" strokecolor="#00307e" strokeweight="1.5pt">
                  <v:stroke endarrow="block" endarrowwidth="wide" endarrowlength="long"/>
                </v:shape>
                <v:rect id="Rectangle 25" o:spid="_x0000_s1048" style="position:absolute;top:41317;width:21623;height:5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ljsQA&#10;AADbAAAADwAAAGRycy9kb3ducmV2LnhtbESPQWvCQBSE74X+h+UVvNVNA1WJrlIsqZ4KGg8en9ln&#10;Nph9G7PbGP99t1DwOMzMN8xiNdhG9NT52rGCt3ECgrh0uuZKwaHIX2cgfEDW2DgmBXfysFo+Py0w&#10;0+7GO+r3oRIRwj5DBSaENpPSl4Ys+rFriaN3dp3FEGVXSd3hLcJtI9MkmUiLNccFgy2tDZWX/Y9V&#10;cMrd5lQU7nu6ye3X5/Y4KY2+KjV6GT7mIAIN4RH+b2+1gvQd/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JY7EAAAA2wAAAA8AAAAAAAAAAAAAAAAAmAIAAGRycy9k&#10;b3ducmV2LnhtbFBLBQYAAAAABAAEAPUAAACJAwAAAAA=&#10;" fillcolor="white [3201]" strokecolor="#4f81bd [3204]" strokeweight="2pt">
                  <v:textbox inset="1mm,1mm,1mm,1mm">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No reporting obligation</w:t>
                        </w:r>
                      </w:p>
                    </w:txbxContent>
                  </v:textbox>
                </v:rect>
                <v:shape id="Straight Arrow Connector 26" o:spid="_x0000_s1049" type="#_x0000_t32" style="position:absolute;left:21623;top:28350;width:5129;height:15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758YAAADbAAAADwAAAGRycy9kb3ducmV2LnhtbESPQWvCQBSE74L/YXlCL1I35hBs6ioi&#10;KKVFsGkPentkX5O02bchu01Sf70rCD0OM/MNs1wPphYdta6yrGA+i0AQ51ZXXCj4/Ng9LkA4j6yx&#10;tkwK/sjBejUeLTHVtud36jJfiABhl6KC0vsmldLlJRl0M9sQB+/LtgZ9kG0hdYt9gJtaxlGUSIMV&#10;h4USG9qWlP9kv0bB0/FyXBz89+v+nPeHk7O0f9NTpR4mw+YZhKfB/4fv7RetIE7g9iX8AL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f++fGAAAA2wAAAA8AAAAAAAAA&#10;AAAAAAAAoQIAAGRycy9kb3ducmV2LnhtbFBLBQYAAAAABAAEAPkAAACUAwAAAAA=&#10;" filled="t" fillcolor="white [3212]" strokecolor="#00307e" strokeweight="1.5pt">
                  <v:stroke endarrow="block" endarrowwidth="wide" endarrowlength="long"/>
                </v:shape>
                <v:shape id="Straight Arrow Connector 27" o:spid="_x0000_s1050" type="#_x0000_t32" style="position:absolute;left:21624;top:18550;width:5189;height:94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00mMIAAADbAAAADwAAAGRycy9kb3ducmV2LnhtbESPwWrDMBBE74X+g9hCbrUcQ9ziRglt&#10;TMDXJP6AxdrYbq2VkZTY+fsoEOhxmJk3zHo7m0FcyfnesoJlkoIgbqzuuVVQn/bvnyB8QNY4WCYF&#10;N/Kw3by+rLHQduIDXY+hFRHCvkAFXQhjIaVvOjLoEzsSR+9sncEQpWuldjhFuBlklqa5NNhzXOhw&#10;pF1Hzd/xYhS4avnr8/Fnl2arutxPfVmW55NSi7f5+wtEoDn8h5/tSivIPuDxJf4A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00mMIAAADbAAAADwAAAAAAAAAAAAAA&#10;AAChAgAAZHJzL2Rvd25yZXYueG1sUEsFBgAAAAAEAAQA+QAAAJADAAAAAA==&#10;" filled="t" fillcolor="white [3212]" strokecolor="#00307e" strokeweight="1.5pt">
                  <v:stroke endarrow="block" endarrowwidth="wide" endarrowlength="long"/>
                </v:shape>
                <v:rect id="Rectangle 28" o:spid="_x0000_s1051" style="position:absolute;left:69850;top:20494;width:17128;height:1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KEMAA&#10;AADbAAAADwAAAGRycy9kb3ducmV2LnhtbERPPW/CMBDdkfgP1lViI04ZAKUYVBUFmJAgDB2P+Igj&#10;4nOIDaT/vh6QGJ/e92LV20Y8qPO1YwWfSQqCuHS65krBqcjHcxA+IGtsHJOCP/KwWg4HC8y0e/KB&#10;HsdQiRjCPkMFJoQ2k9KXhiz6xLXEkbu4zmKIsKuk7vAZw20jJ2k6lRZrjg0GW/oxVF6Pd6vgnLvt&#10;uSjcfrbN7Wa9+52WRt+UGn30318gAvXhLX65d1rBJI6NX+I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qKEMAAAADbAAAADwAAAAAAAAAAAAAAAACYAgAAZHJzL2Rvd25y&#10;ZXYueG1sUEsFBgAAAAAEAAQA9QAAAIUDAAAAAA==&#10;" fillcolor="white [3201]" strokecolor="#4f81bd [3204]" strokeweight="2pt">
                  <v:textbox inset="1mm,1mm,1mm,1mm">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 xml:space="preserve">No real impact on general market uptake of clean vehicles </w:t>
                        </w:r>
                      </w:p>
                    </w:txbxContent>
                  </v:textbox>
                </v:rect>
                <v:rect id="Rectangle 29" o:spid="_x0000_s1052" style="position:absolute;left:69746;top:34791;width:17135;height:10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vi8QA&#10;AADbAAAADwAAAGRycy9kb3ducmV2LnhtbESPwW7CMBBE75X4B2uRuDUOHKBNMQgVBTghlfTQ4xJv&#10;46jxOo0NhL/HSEgcRzPzRjNf9rYRZ+p87VjBOElBEJdO11wp+C7y1zcQPiBrbByTgit5WC4GL3PM&#10;tLvwF50PoRIRwj5DBSaENpPSl4Ys+sS1xNH7dZ3FEGVXSd3hJcJtIydpOpUWa44LBlv6NFT+HU5W&#10;wTF322NRuP1sm9vNevczLY3+V2o07FcfIAL14Rl+tHdaweQd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GL4vEAAAA2wAAAA8AAAAAAAAAAAAAAAAAmAIAAGRycy9k&#10;b3ducmV2LnhtbFBLBQYAAAAABAAEAPUAAACJAwAAAAA=&#10;" fillcolor="white [3201]" strokecolor="#4f81bd [3204]" strokeweight="2pt">
                  <v:textbox inset="1mm,1mm,1mm,1mm">
                    <w:txbxContent>
                      <w:p w:rsidR="005D0A03" w:rsidRDefault="005D0A03">
                        <w:pPr>
                          <w:pStyle w:val="NormalWeb"/>
                          <w:kinsoku w:val="0"/>
                          <w:overflowPunct w:val="0"/>
                          <w:spacing w:before="120" w:beforeAutospacing="0" w:after="120" w:afterAutospacing="0"/>
                          <w:jc w:val="center"/>
                          <w:textAlignment w:val="baseline"/>
                          <w:rPr>
                            <w:sz w:val="16"/>
                            <w:szCs w:val="16"/>
                          </w:rPr>
                        </w:pPr>
                        <w:r>
                          <w:rPr>
                            <w:rFonts w:ascii="Arial" w:hAnsi="Arial" w:cstheme="minorBidi"/>
                            <w:b/>
                            <w:bCs/>
                            <w:color w:val="000000" w:themeColor="text1"/>
                            <w:kern w:val="24"/>
                            <w:sz w:val="16"/>
                            <w:szCs w:val="16"/>
                          </w:rPr>
                          <w:t>No real support to industry competitiveness and growth</w:t>
                        </w:r>
                      </w:p>
                    </w:txbxContent>
                  </v:textbox>
                </v:rect>
                <v:shape id="Straight Arrow Connector 30" o:spid="_x0000_s1053" type="#_x0000_t32" style="position:absolute;left:67186;top:27508;width:3313;height:11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1cIAAADbAAAADwAAAGRycy9kb3ducmV2LnhtbERPTYvCMBC9C/6HMMJeRFNXEK1GEWFF&#10;XATX9aC3oRnbajMpTdbW/fXmIHh8vO/ZojGFuFPlcssKBv0IBHFidc6pguPvV28MwnlkjYVlUvAg&#10;B4t5uzXDWNuaf+h+8KkIIexiVJB5X8ZSuiQjg65vS+LAXWxl0AdYpVJXWIdwU8jPKBpJgzmHhgxL&#10;WmWU3A5/RsFk/78f7/x1uz4n9e7kLK2/dVepj06znILw1Pi3+OXeaAXDsD58CT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Q1cIAAADbAAAADwAAAAAAAAAAAAAA&#10;AAChAgAAZHJzL2Rvd25yZXYueG1sUEsFBgAAAAAEAAQA+QAAAJADAAAAAA==&#10;" filled="t" fillcolor="white [3212]" strokecolor="#00307e" strokeweight="1.5pt">
                  <v:stroke endarrow="block" endarrowwidth="wide" endarrowlength="long"/>
                </v:shape>
                <v:shape id="Straight Arrow Connector 31" o:spid="_x0000_s1054" type="#_x0000_t32" style="position:absolute;left:67187;top:28659;width:2559;height:11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fqsEAAADbAAAADwAAAGRycy9kb3ducmV2LnhtbESP3YrCMBSE7wXfIZyFvdO0LitSTctq&#10;Ebz15wEOzbGtNicliba+/WZB2MthZr5hNsVoOvEk51vLCtJ5AoK4srrlWsHlvJ+tQPiArLGzTApe&#10;5KHIp5MNZtoOfKTnKdQiQthnqKAJoc+k9FVDBv3c9sTRu1pnMETpaqkdDhFuOrlIkqU02HJcaLCn&#10;XUPV/fQwCtwhvfllv90li+9LuR/asiyvZ6U+P8afNYhAY/gPv9sHreArhb8v8QfI/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gZ+qwQAAANsAAAAPAAAAAAAAAAAAAAAA&#10;AKECAABkcnMvZG93bnJldi54bWxQSwUGAAAAAAQABAD5AAAAjwMAAAAA&#10;" filled="t" fillcolor="white [3212]" strokecolor="#00307e" strokeweight="1.5pt">
                  <v:stroke endarrow="block" endarrowwidth="wide" endarrowlength="long"/>
                </v:shape>
                <w10:anchorlock/>
              </v:group>
            </w:pict>
          </mc:Fallback>
        </mc:AlternateContent>
      </w:r>
    </w:p>
    <w:p w:rsidR="002E508F" w:rsidRDefault="002E508F">
      <w:pPr>
        <w:spacing w:after="0" w:line="240" w:lineRule="auto"/>
        <w:jc w:val="both"/>
        <w:rPr>
          <w:rFonts w:ascii="Times New Roman" w:hAnsi="Times New Roman" w:cs="Times New Roman"/>
          <w:b/>
          <w:i/>
          <w:noProof/>
        </w:rPr>
      </w:pPr>
    </w:p>
    <w:p w:rsidR="002E508F" w:rsidRDefault="005D0A03">
      <w:pPr>
        <w:pStyle w:val="Heading2"/>
        <w:rPr>
          <w:noProof/>
        </w:rPr>
      </w:pPr>
      <w:bookmarkStart w:id="7" w:name="_Toc497141465"/>
      <w:r>
        <w:rPr>
          <w:noProof/>
        </w:rPr>
        <w:t>What is the nature and size of the problem? What are its implications?</w:t>
      </w:r>
      <w:bookmarkEnd w:id="7"/>
    </w:p>
    <w:p w:rsidR="002E508F" w:rsidRDefault="005D0A03">
      <w:pPr>
        <w:pStyle w:val="Heading3"/>
        <w:rPr>
          <w:noProof/>
        </w:rPr>
      </w:pPr>
      <w:bookmarkStart w:id="8" w:name="_Toc497141466"/>
      <w:r>
        <w:rPr>
          <w:noProof/>
        </w:rPr>
        <w:t>The Directive does not stimulate the public procurement of clean vehicles</w:t>
      </w:r>
      <w:bookmarkEnd w:id="8"/>
      <w:r>
        <w:rPr>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Public bodies have purchased rather small volumes of low-and zero-emission and other alternatively fuelled vehicles under the scope of the "Clean Vehicles" Directive.</w:t>
      </w:r>
      <w:r>
        <w:rPr>
          <w:rStyle w:val="FootnoteReference"/>
          <w:rFonts w:ascii="Times New Roman" w:hAnsi="Times New Roman" w:cs="Times New Roman"/>
          <w:noProof/>
        </w:rPr>
        <w:footnoteReference w:id="12"/>
      </w:r>
      <w:r>
        <w:rPr>
          <w:rFonts w:ascii="Times New Roman" w:hAnsi="Times New Roman" w:cs="Times New Roman"/>
          <w:noProof/>
        </w:rPr>
        <w:t xml:space="preserve"> For the time period of 2009-2015, an approximate average of 4.7% (or ~2,7k vehicles) of all new public passenger vehicles purchases, of 0.4% (or 0,02k vehicles) of all new vans purchases, of 0.07% (or 0,006k vehicles) of all rigid trucks purchases and of 1.7% percent (or 0,13k vehicles) of all new buses represented battery-electric, fuel-cell electric, plug-in hybrid or natural gas vehicles (see table 2.1). </w:t>
      </w:r>
    </w:p>
    <w:p w:rsidR="002E508F" w:rsidRDefault="005D0A03">
      <w:pPr>
        <w:pStyle w:val="Default"/>
        <w:spacing w:after="200"/>
        <w:jc w:val="both"/>
        <w:rPr>
          <w:rFonts w:ascii="Times New Roman" w:hAnsi="Times New Roman" w:cs="Times New Roman"/>
          <w:noProof/>
          <w:sz w:val="22"/>
          <w:szCs w:val="22"/>
        </w:rPr>
      </w:pPr>
      <w:r>
        <w:rPr>
          <w:rFonts w:ascii="Times New Roman" w:hAnsi="Times New Roman" w:cs="Times New Roman"/>
          <w:noProof/>
          <w:sz w:val="22"/>
          <w:szCs w:val="22"/>
        </w:rPr>
        <w:t>Results from the 2015 ex-post evaluation further corroborate these findings. In a survey among 156 contracting authorities, 87% of the respondents noted to have procured conventionally fuelled vehicles through contracts falling under the "Clean Vehicles" Directive. Only 4% noted to have bought battery-electric, hybrid or natural gas vehicles.</w:t>
      </w:r>
    </w:p>
    <w:p w:rsidR="002E508F" w:rsidRDefault="005D0A03">
      <w:pPr>
        <w:pStyle w:val="Default"/>
        <w:spacing w:after="200"/>
        <w:jc w:val="both"/>
        <w:rPr>
          <w:rFonts w:ascii="Times New Roman" w:hAnsi="Times New Roman" w:cs="Times New Roman"/>
          <w:b/>
          <w:noProof/>
          <w:sz w:val="20"/>
          <w:szCs w:val="20"/>
        </w:rPr>
      </w:pPr>
      <w:r>
        <w:rPr>
          <w:rFonts w:ascii="Times New Roman" w:hAnsi="Times New Roman" w:cs="Times New Roman"/>
          <w:b/>
          <w:noProof/>
          <w:sz w:val="20"/>
          <w:szCs w:val="20"/>
        </w:rPr>
        <w:t>Table 2.1: Vehicles purchased by public bodies under the scope of the "Clean Vehicles" Directive</w:t>
      </w:r>
    </w:p>
    <w:tbl>
      <w:tblPr>
        <w:tblW w:w="9506" w:type="dxa"/>
        <w:tblCellMar>
          <w:left w:w="0" w:type="dxa"/>
          <w:right w:w="0" w:type="dxa"/>
        </w:tblCellMar>
        <w:tblLook w:val="04A0" w:firstRow="1" w:lastRow="0" w:firstColumn="1" w:lastColumn="0" w:noHBand="0" w:noVBand="1"/>
      </w:tblPr>
      <w:tblGrid>
        <w:gridCol w:w="1219"/>
        <w:gridCol w:w="5138"/>
        <w:gridCol w:w="723"/>
        <w:gridCol w:w="2167"/>
        <w:gridCol w:w="259"/>
      </w:tblGrid>
      <w:tr w:rsidR="002E508F">
        <w:trPr>
          <w:gridAfter w:val="1"/>
          <w:wAfter w:w="277" w:type="dxa"/>
        </w:trPr>
        <w:tc>
          <w:tcPr>
            <w:tcW w:w="1233" w:type="dxa"/>
            <w:vMerge w:val="restart"/>
            <w:tcBorders>
              <w:top w:val="single" w:sz="8" w:space="0" w:color="auto"/>
              <w:left w:val="nil"/>
              <w:bottom w:val="single" w:sz="8" w:space="0" w:color="auto"/>
              <w:right w:val="nil"/>
            </w:tcBorders>
            <w:tcMar>
              <w:top w:w="0" w:type="dxa"/>
              <w:left w:w="108" w:type="dxa"/>
              <w:bottom w:w="0" w:type="dxa"/>
              <w:right w:w="108" w:type="dxa"/>
            </w:tcMar>
            <w:hideMark/>
          </w:tcPr>
          <w:p w:rsidR="002E508F" w:rsidRDefault="005D0A03">
            <w:pPr>
              <w:pStyle w:val="Default"/>
              <w:spacing w:line="252" w:lineRule="auto"/>
              <w:jc w:val="both"/>
              <w:rPr>
                <w:rFonts w:ascii="Times New Roman" w:hAnsi="Times New Roman" w:cs="Times New Roman"/>
                <w:b/>
                <w:bCs/>
                <w:noProof/>
                <w:sz w:val="20"/>
                <w:szCs w:val="20"/>
              </w:rPr>
            </w:pPr>
            <w:r>
              <w:rPr>
                <w:rFonts w:ascii="Times New Roman" w:hAnsi="Times New Roman" w:cs="Times New Roman"/>
                <w:b/>
                <w:bCs/>
                <w:noProof/>
                <w:sz w:val="20"/>
                <w:szCs w:val="20"/>
              </w:rPr>
              <w:t>Vehicle type</w:t>
            </w:r>
          </w:p>
        </w:tc>
        <w:tc>
          <w:tcPr>
            <w:tcW w:w="5396" w:type="dxa"/>
            <w:vMerge w:val="restart"/>
            <w:tcBorders>
              <w:top w:val="single" w:sz="8" w:space="0" w:color="auto"/>
              <w:left w:val="nil"/>
              <w:bottom w:val="single" w:sz="8" w:space="0" w:color="auto"/>
              <w:right w:val="nil"/>
            </w:tcBorders>
            <w:tcMar>
              <w:top w:w="0" w:type="dxa"/>
              <w:left w:w="108" w:type="dxa"/>
              <w:bottom w:w="0" w:type="dxa"/>
              <w:right w:w="108" w:type="dxa"/>
            </w:tcMar>
            <w:hideMark/>
          </w:tcPr>
          <w:p w:rsidR="002E508F" w:rsidRDefault="005D0A03">
            <w:pPr>
              <w:pStyle w:val="Default"/>
              <w:spacing w:line="252" w:lineRule="auto"/>
              <w:jc w:val="both"/>
              <w:rPr>
                <w:rFonts w:ascii="Times New Roman" w:hAnsi="Times New Roman" w:cs="Times New Roman"/>
                <w:b/>
                <w:bCs/>
                <w:noProof/>
                <w:sz w:val="20"/>
                <w:szCs w:val="20"/>
              </w:rPr>
            </w:pPr>
            <w:r>
              <w:rPr>
                <w:rFonts w:ascii="Times New Roman" w:hAnsi="Times New Roman" w:cs="Times New Roman"/>
                <w:b/>
                <w:bCs/>
                <w:noProof/>
                <w:sz w:val="20"/>
                <w:szCs w:val="20"/>
              </w:rPr>
              <w:t>Powertrain/fuel</w:t>
            </w:r>
          </w:p>
        </w:tc>
        <w:tc>
          <w:tcPr>
            <w:tcW w:w="2600" w:type="dxa"/>
            <w:gridSpan w:val="2"/>
            <w:tcBorders>
              <w:top w:val="single" w:sz="8" w:space="0" w:color="auto"/>
              <w:left w:val="nil"/>
              <w:bottom w:val="single" w:sz="12" w:space="0" w:color="auto"/>
              <w:right w:val="nil"/>
            </w:tcBorders>
          </w:tcPr>
          <w:p w:rsidR="002E508F" w:rsidRDefault="005D0A03">
            <w:pPr>
              <w:pStyle w:val="Default"/>
              <w:spacing w:line="252" w:lineRule="auto"/>
              <w:jc w:val="center"/>
              <w:rPr>
                <w:rFonts w:ascii="Times New Roman" w:hAnsi="Times New Roman" w:cs="Times New Roman"/>
                <w:b/>
                <w:bCs/>
                <w:noProof/>
                <w:sz w:val="20"/>
                <w:szCs w:val="20"/>
              </w:rPr>
            </w:pPr>
            <w:r>
              <w:rPr>
                <w:rFonts w:ascii="Times New Roman" w:hAnsi="Times New Roman" w:cs="Times New Roman"/>
                <w:b/>
                <w:bCs/>
                <w:noProof/>
                <w:sz w:val="20"/>
                <w:szCs w:val="20"/>
              </w:rPr>
              <w:t>Average purchases by public bodies (2009-2015)</w:t>
            </w:r>
          </w:p>
        </w:tc>
      </w:tr>
      <w:tr w:rsidR="002E508F">
        <w:tc>
          <w:tcPr>
            <w:tcW w:w="0" w:type="auto"/>
            <w:vMerge/>
            <w:tcBorders>
              <w:top w:val="single" w:sz="8" w:space="0" w:color="auto"/>
              <w:left w:val="nil"/>
              <w:bottom w:val="single" w:sz="8" w:space="0" w:color="auto"/>
              <w:right w:val="nil"/>
            </w:tcBorders>
            <w:vAlign w:val="center"/>
            <w:hideMark/>
          </w:tcPr>
          <w:p w:rsidR="002E508F" w:rsidRDefault="002E508F">
            <w:pPr>
              <w:spacing w:after="0"/>
              <w:rPr>
                <w:rFonts w:ascii="Times New Roman" w:hAnsi="Times New Roman"/>
                <w:b/>
                <w:bCs/>
                <w:noProof/>
                <w:color w:val="000000"/>
                <w:sz w:val="20"/>
                <w:szCs w:val="20"/>
              </w:rPr>
            </w:pPr>
          </w:p>
        </w:tc>
        <w:tc>
          <w:tcPr>
            <w:tcW w:w="5396" w:type="dxa"/>
            <w:vMerge/>
            <w:tcBorders>
              <w:top w:val="single" w:sz="8" w:space="0" w:color="auto"/>
              <w:left w:val="nil"/>
              <w:bottom w:val="single" w:sz="8" w:space="0" w:color="auto"/>
              <w:right w:val="nil"/>
            </w:tcBorders>
            <w:vAlign w:val="center"/>
            <w:hideMark/>
          </w:tcPr>
          <w:p w:rsidR="002E508F" w:rsidRDefault="002E508F">
            <w:pPr>
              <w:spacing w:after="0"/>
              <w:rPr>
                <w:rFonts w:ascii="Times New Roman" w:hAnsi="Times New Roman"/>
                <w:b/>
                <w:bCs/>
                <w:noProof/>
                <w:color w:val="000000"/>
                <w:sz w:val="20"/>
                <w:szCs w:val="20"/>
              </w:rPr>
            </w:pPr>
          </w:p>
        </w:tc>
        <w:tc>
          <w:tcPr>
            <w:tcW w:w="300" w:type="dxa"/>
            <w:tcBorders>
              <w:top w:val="nil"/>
              <w:left w:val="nil"/>
              <w:bottom w:val="single" w:sz="8" w:space="0" w:color="auto"/>
              <w:right w:val="nil"/>
            </w:tcBorders>
          </w:tcPr>
          <w:p w:rsidR="002E508F" w:rsidRDefault="005D0A03">
            <w:pPr>
              <w:pStyle w:val="Default"/>
              <w:spacing w:line="252" w:lineRule="auto"/>
              <w:jc w:val="center"/>
              <w:rPr>
                <w:rFonts w:ascii="Times New Roman" w:hAnsi="Times New Roman" w:cs="Times New Roman"/>
                <w:noProof/>
                <w:sz w:val="20"/>
                <w:szCs w:val="20"/>
              </w:rPr>
            </w:pPr>
            <w:r>
              <w:rPr>
                <w:rFonts w:ascii="Times New Roman" w:hAnsi="Times New Roman" w:cs="Times New Roman"/>
                <w:noProof/>
                <w:sz w:val="20"/>
                <w:szCs w:val="20"/>
              </w:rPr>
              <w:t>Absolute</w:t>
            </w:r>
          </w:p>
        </w:tc>
        <w:tc>
          <w:tcPr>
            <w:tcW w:w="2577" w:type="dxa"/>
            <w:gridSpan w:val="2"/>
            <w:tcBorders>
              <w:top w:val="nil"/>
              <w:left w:val="nil"/>
              <w:bottom w:val="single" w:sz="8" w:space="0" w:color="auto"/>
              <w:right w:val="nil"/>
            </w:tcBorders>
          </w:tcPr>
          <w:p w:rsidR="002E508F" w:rsidRDefault="005D0A03">
            <w:pPr>
              <w:pStyle w:val="Default"/>
              <w:spacing w:line="252" w:lineRule="auto"/>
              <w:jc w:val="center"/>
              <w:rPr>
                <w:rFonts w:ascii="Times New Roman" w:hAnsi="Times New Roman" w:cs="Times New Roman"/>
                <w:noProof/>
                <w:sz w:val="20"/>
                <w:szCs w:val="20"/>
              </w:rPr>
            </w:pPr>
            <w:r>
              <w:rPr>
                <w:rFonts w:ascii="Times New Roman" w:hAnsi="Times New Roman" w:cs="Times New Roman"/>
                <w:noProof/>
                <w:sz w:val="20"/>
                <w:szCs w:val="20"/>
              </w:rPr>
              <w:t>%</w:t>
            </w:r>
          </w:p>
        </w:tc>
      </w:tr>
      <w:tr w:rsidR="002E508F">
        <w:tc>
          <w:tcPr>
            <w:tcW w:w="1233" w:type="dxa"/>
            <w:tcBorders>
              <w:top w:val="nil"/>
              <w:left w:val="nil"/>
              <w:bottom w:val="single" w:sz="8" w:space="0" w:color="auto"/>
              <w:right w:val="nil"/>
            </w:tcBorders>
            <w:tcMar>
              <w:top w:w="0" w:type="dxa"/>
              <w:left w:w="108" w:type="dxa"/>
              <w:bottom w:w="0" w:type="dxa"/>
              <w:right w:w="108" w:type="dxa"/>
            </w:tcMar>
            <w:hideMark/>
          </w:tcPr>
          <w:p w:rsidR="002E508F" w:rsidRDefault="005D0A03">
            <w:pPr>
              <w:pStyle w:val="Default"/>
              <w:spacing w:line="252" w:lineRule="auto"/>
              <w:jc w:val="both"/>
              <w:rPr>
                <w:rFonts w:ascii="Times New Roman" w:hAnsi="Times New Roman" w:cs="Times New Roman"/>
                <w:noProof/>
                <w:sz w:val="20"/>
                <w:szCs w:val="20"/>
              </w:rPr>
            </w:pPr>
            <w:r>
              <w:rPr>
                <w:rFonts w:ascii="Times New Roman" w:hAnsi="Times New Roman" w:cs="Times New Roman"/>
                <w:noProof/>
                <w:sz w:val="20"/>
                <w:szCs w:val="20"/>
              </w:rPr>
              <w:t>Passenger cars</w:t>
            </w:r>
          </w:p>
        </w:tc>
        <w:tc>
          <w:tcPr>
            <w:tcW w:w="5396" w:type="dxa"/>
            <w:tcBorders>
              <w:top w:val="nil"/>
              <w:left w:val="nil"/>
              <w:bottom w:val="single" w:sz="8" w:space="0" w:color="auto"/>
              <w:right w:val="nil"/>
            </w:tcBorders>
            <w:tcMar>
              <w:top w:w="0" w:type="dxa"/>
              <w:left w:w="108" w:type="dxa"/>
              <w:bottom w:w="0" w:type="dxa"/>
              <w:right w:w="108" w:type="dxa"/>
            </w:tcMar>
            <w:hideMark/>
          </w:tcPr>
          <w:p w:rsidR="002E508F" w:rsidRDefault="005D0A03">
            <w:pPr>
              <w:pStyle w:val="Default"/>
              <w:spacing w:line="252"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Petrol/Diesel </w:t>
            </w:r>
          </w:p>
        </w:tc>
        <w:tc>
          <w:tcPr>
            <w:tcW w:w="300" w:type="dxa"/>
            <w:tcBorders>
              <w:top w:val="nil"/>
              <w:left w:val="nil"/>
              <w:bottom w:val="single" w:sz="8" w:space="0" w:color="auto"/>
              <w:right w:val="nil"/>
            </w:tcBorders>
          </w:tcPr>
          <w:p w:rsidR="002E508F" w:rsidRDefault="005D0A03">
            <w:pPr>
              <w:spacing w:after="0" w:line="252" w:lineRule="auto"/>
              <w:jc w:val="center"/>
              <w:rPr>
                <w:rFonts w:ascii="Times New Roman" w:hAnsi="Times New Roman"/>
                <w:noProof/>
                <w:color w:val="000000"/>
                <w:sz w:val="20"/>
                <w:szCs w:val="20"/>
              </w:rPr>
            </w:pPr>
            <w:r>
              <w:rPr>
                <w:rFonts w:ascii="Times New Roman" w:hAnsi="Times New Roman"/>
                <w:noProof/>
                <w:color w:val="000000"/>
                <w:sz w:val="20"/>
                <w:szCs w:val="20"/>
              </w:rPr>
              <w:t>56.7k</w:t>
            </w:r>
          </w:p>
        </w:tc>
        <w:tc>
          <w:tcPr>
            <w:tcW w:w="2577" w:type="dxa"/>
            <w:gridSpan w:val="2"/>
            <w:tcBorders>
              <w:top w:val="nil"/>
              <w:left w:val="nil"/>
              <w:bottom w:val="single" w:sz="8" w:space="0" w:color="auto"/>
              <w:right w:val="nil"/>
            </w:tcBorders>
          </w:tcPr>
          <w:p w:rsidR="002E508F" w:rsidRDefault="005D0A03">
            <w:pPr>
              <w:spacing w:after="0" w:line="252" w:lineRule="auto"/>
              <w:jc w:val="center"/>
              <w:rPr>
                <w:rFonts w:ascii="Times New Roman" w:hAnsi="Times New Roman"/>
                <w:noProof/>
                <w:color w:val="000000"/>
                <w:sz w:val="20"/>
                <w:szCs w:val="20"/>
              </w:rPr>
            </w:pPr>
            <w:r>
              <w:rPr>
                <w:rFonts w:ascii="Times New Roman" w:hAnsi="Times New Roman"/>
                <w:noProof/>
                <w:color w:val="000000"/>
                <w:sz w:val="20"/>
                <w:szCs w:val="20"/>
              </w:rPr>
              <w:t>95.3</w:t>
            </w:r>
          </w:p>
        </w:tc>
      </w:tr>
      <w:tr w:rsidR="002E508F">
        <w:tc>
          <w:tcPr>
            <w:tcW w:w="1233" w:type="dxa"/>
            <w:tcBorders>
              <w:top w:val="nil"/>
              <w:left w:val="nil"/>
              <w:bottom w:val="single" w:sz="8" w:space="0" w:color="auto"/>
              <w:right w:val="nil"/>
            </w:tcBorders>
            <w:tcMar>
              <w:top w:w="0" w:type="dxa"/>
              <w:left w:w="108" w:type="dxa"/>
              <w:bottom w:w="0" w:type="dxa"/>
              <w:right w:w="108" w:type="dxa"/>
            </w:tcMar>
          </w:tcPr>
          <w:p w:rsidR="002E508F" w:rsidRDefault="002E508F">
            <w:pPr>
              <w:pStyle w:val="Default"/>
              <w:spacing w:line="252" w:lineRule="auto"/>
              <w:jc w:val="both"/>
              <w:rPr>
                <w:rFonts w:ascii="Times New Roman" w:hAnsi="Times New Roman" w:cs="Times New Roman"/>
                <w:noProof/>
                <w:sz w:val="20"/>
                <w:szCs w:val="20"/>
              </w:rPr>
            </w:pPr>
          </w:p>
        </w:tc>
        <w:tc>
          <w:tcPr>
            <w:tcW w:w="5396" w:type="dxa"/>
            <w:tcBorders>
              <w:top w:val="nil"/>
              <w:left w:val="nil"/>
              <w:bottom w:val="single" w:sz="8" w:space="0" w:color="auto"/>
              <w:right w:val="nil"/>
            </w:tcBorders>
            <w:shd w:val="clear" w:color="auto" w:fill="EEECE1"/>
            <w:tcMar>
              <w:top w:w="0" w:type="dxa"/>
              <w:left w:w="108" w:type="dxa"/>
              <w:bottom w:w="0" w:type="dxa"/>
              <w:right w:w="108" w:type="dxa"/>
            </w:tcMar>
            <w:hideMark/>
          </w:tcPr>
          <w:p w:rsidR="002E508F" w:rsidRDefault="005D0A03">
            <w:pPr>
              <w:pStyle w:val="Default"/>
              <w:spacing w:line="252" w:lineRule="auto"/>
              <w:rPr>
                <w:rFonts w:ascii="Times New Roman" w:hAnsi="Times New Roman" w:cs="Times New Roman"/>
                <w:noProof/>
                <w:sz w:val="20"/>
                <w:szCs w:val="20"/>
              </w:rPr>
            </w:pPr>
            <w:r>
              <w:rPr>
                <w:rFonts w:ascii="Times New Roman" w:hAnsi="Times New Roman" w:cs="Times New Roman"/>
                <w:noProof/>
                <w:sz w:val="20"/>
                <w:szCs w:val="20"/>
              </w:rPr>
              <w:t xml:space="preserve">Alternative fuels </w:t>
            </w:r>
            <w:r>
              <w:rPr>
                <w:rFonts w:ascii="Times New Roman" w:hAnsi="Times New Roman" w:cs="Times New Roman"/>
                <w:noProof/>
                <w:sz w:val="20"/>
                <w:szCs w:val="20"/>
              </w:rPr>
              <w:br/>
              <w:t>(battery-electric, fuel-cell electric, PHEV, LPG, CNG, E85)</w:t>
            </w:r>
          </w:p>
        </w:tc>
        <w:tc>
          <w:tcPr>
            <w:tcW w:w="300" w:type="dxa"/>
            <w:tcBorders>
              <w:top w:val="nil"/>
              <w:left w:val="nil"/>
              <w:bottom w:val="single" w:sz="8" w:space="0" w:color="auto"/>
              <w:right w:val="nil"/>
            </w:tcBorders>
            <w:shd w:val="clear" w:color="auto" w:fill="EEECE1"/>
          </w:tcPr>
          <w:p w:rsidR="002E508F" w:rsidRDefault="005D0A03">
            <w:pPr>
              <w:spacing w:after="0" w:line="252" w:lineRule="auto"/>
              <w:jc w:val="center"/>
              <w:rPr>
                <w:rFonts w:ascii="Times New Roman" w:hAnsi="Times New Roman"/>
                <w:noProof/>
                <w:color w:val="000000"/>
                <w:sz w:val="20"/>
                <w:szCs w:val="20"/>
                <w:highlight w:val="yellow"/>
              </w:rPr>
            </w:pPr>
            <w:r>
              <w:rPr>
                <w:rFonts w:ascii="Times New Roman" w:hAnsi="Times New Roman"/>
                <w:noProof/>
                <w:color w:val="000000"/>
                <w:sz w:val="20"/>
                <w:szCs w:val="20"/>
              </w:rPr>
              <w:br/>
              <w:t>2.7k</w:t>
            </w:r>
          </w:p>
        </w:tc>
        <w:tc>
          <w:tcPr>
            <w:tcW w:w="2577" w:type="dxa"/>
            <w:gridSpan w:val="2"/>
            <w:tcBorders>
              <w:top w:val="nil"/>
              <w:left w:val="nil"/>
              <w:bottom w:val="single" w:sz="8" w:space="0" w:color="auto"/>
              <w:right w:val="nil"/>
            </w:tcBorders>
            <w:shd w:val="clear" w:color="auto" w:fill="EEECE1"/>
          </w:tcPr>
          <w:p w:rsidR="002E508F" w:rsidRDefault="005D0A03">
            <w:pPr>
              <w:spacing w:after="0" w:line="252" w:lineRule="auto"/>
              <w:jc w:val="center"/>
              <w:rPr>
                <w:rFonts w:ascii="Times New Roman" w:hAnsi="Times New Roman"/>
                <w:noProof/>
                <w:color w:val="000000"/>
                <w:sz w:val="20"/>
                <w:szCs w:val="20"/>
              </w:rPr>
            </w:pPr>
            <w:r>
              <w:rPr>
                <w:rFonts w:ascii="Times New Roman" w:hAnsi="Times New Roman"/>
                <w:noProof/>
                <w:color w:val="000000"/>
                <w:sz w:val="20"/>
                <w:szCs w:val="20"/>
              </w:rPr>
              <w:br/>
              <w:t>4.7</w:t>
            </w:r>
          </w:p>
        </w:tc>
      </w:tr>
      <w:tr w:rsidR="002E508F">
        <w:tc>
          <w:tcPr>
            <w:tcW w:w="1233" w:type="dxa"/>
            <w:tcBorders>
              <w:top w:val="nil"/>
              <w:left w:val="nil"/>
              <w:bottom w:val="single" w:sz="8" w:space="0" w:color="auto"/>
              <w:right w:val="nil"/>
            </w:tcBorders>
            <w:tcMar>
              <w:top w:w="0" w:type="dxa"/>
              <w:left w:w="108" w:type="dxa"/>
              <w:bottom w:w="0" w:type="dxa"/>
              <w:right w:w="108" w:type="dxa"/>
            </w:tcMar>
            <w:hideMark/>
          </w:tcPr>
          <w:p w:rsidR="002E508F" w:rsidRDefault="005D0A03">
            <w:pPr>
              <w:pStyle w:val="Default"/>
              <w:spacing w:line="252" w:lineRule="auto"/>
              <w:jc w:val="both"/>
              <w:rPr>
                <w:rFonts w:ascii="Times New Roman" w:hAnsi="Times New Roman" w:cs="Times New Roman"/>
                <w:noProof/>
                <w:sz w:val="20"/>
                <w:szCs w:val="20"/>
              </w:rPr>
            </w:pPr>
            <w:r>
              <w:rPr>
                <w:rFonts w:ascii="Times New Roman" w:hAnsi="Times New Roman" w:cs="Times New Roman"/>
                <w:noProof/>
                <w:sz w:val="20"/>
                <w:szCs w:val="20"/>
              </w:rPr>
              <w:t>Vans</w:t>
            </w:r>
          </w:p>
        </w:tc>
        <w:tc>
          <w:tcPr>
            <w:tcW w:w="5396" w:type="dxa"/>
            <w:tcBorders>
              <w:top w:val="nil"/>
              <w:left w:val="nil"/>
              <w:bottom w:val="single" w:sz="8" w:space="0" w:color="auto"/>
              <w:right w:val="nil"/>
            </w:tcBorders>
            <w:tcMar>
              <w:top w:w="0" w:type="dxa"/>
              <w:left w:w="108" w:type="dxa"/>
              <w:bottom w:w="0" w:type="dxa"/>
              <w:right w:w="108" w:type="dxa"/>
            </w:tcMar>
            <w:hideMark/>
          </w:tcPr>
          <w:p w:rsidR="002E508F" w:rsidRDefault="005D0A03">
            <w:pPr>
              <w:pStyle w:val="Default"/>
              <w:spacing w:line="252" w:lineRule="auto"/>
              <w:jc w:val="both"/>
              <w:rPr>
                <w:rFonts w:ascii="Times New Roman" w:hAnsi="Times New Roman" w:cs="Times New Roman"/>
                <w:noProof/>
                <w:sz w:val="20"/>
                <w:szCs w:val="20"/>
              </w:rPr>
            </w:pPr>
            <w:r>
              <w:rPr>
                <w:rFonts w:ascii="Times New Roman" w:hAnsi="Times New Roman" w:cs="Times New Roman"/>
                <w:noProof/>
                <w:sz w:val="20"/>
                <w:szCs w:val="20"/>
              </w:rPr>
              <w:t>Petrol/Diesel</w:t>
            </w:r>
          </w:p>
        </w:tc>
        <w:tc>
          <w:tcPr>
            <w:tcW w:w="300" w:type="dxa"/>
            <w:tcBorders>
              <w:top w:val="nil"/>
              <w:left w:val="nil"/>
              <w:bottom w:val="single" w:sz="8" w:space="0" w:color="auto"/>
              <w:right w:val="nil"/>
            </w:tcBorders>
          </w:tcPr>
          <w:p w:rsidR="002E508F" w:rsidRDefault="005D0A03">
            <w:pPr>
              <w:spacing w:after="0" w:line="252" w:lineRule="auto"/>
              <w:jc w:val="center"/>
              <w:rPr>
                <w:rFonts w:ascii="Times New Roman" w:hAnsi="Times New Roman"/>
                <w:noProof/>
                <w:color w:val="000000"/>
                <w:sz w:val="20"/>
                <w:szCs w:val="20"/>
              </w:rPr>
            </w:pPr>
            <w:r>
              <w:rPr>
                <w:rFonts w:ascii="Times New Roman" w:hAnsi="Times New Roman"/>
                <w:noProof/>
                <w:color w:val="000000"/>
                <w:sz w:val="20"/>
                <w:szCs w:val="20"/>
              </w:rPr>
              <w:t>7.4k</w:t>
            </w:r>
          </w:p>
        </w:tc>
        <w:tc>
          <w:tcPr>
            <w:tcW w:w="2577" w:type="dxa"/>
            <w:gridSpan w:val="2"/>
            <w:tcBorders>
              <w:top w:val="nil"/>
              <w:left w:val="nil"/>
              <w:bottom w:val="single" w:sz="8" w:space="0" w:color="auto"/>
              <w:right w:val="nil"/>
            </w:tcBorders>
          </w:tcPr>
          <w:p w:rsidR="002E508F" w:rsidRDefault="005D0A03">
            <w:pPr>
              <w:spacing w:after="0" w:line="252" w:lineRule="auto"/>
              <w:jc w:val="center"/>
              <w:rPr>
                <w:rFonts w:ascii="Times New Roman" w:hAnsi="Times New Roman"/>
                <w:noProof/>
                <w:color w:val="000000"/>
                <w:sz w:val="20"/>
                <w:szCs w:val="20"/>
              </w:rPr>
            </w:pPr>
            <w:r>
              <w:rPr>
                <w:rFonts w:ascii="Times New Roman" w:hAnsi="Times New Roman"/>
                <w:noProof/>
                <w:color w:val="000000"/>
                <w:sz w:val="20"/>
                <w:szCs w:val="20"/>
              </w:rPr>
              <w:t>99.6</w:t>
            </w:r>
          </w:p>
        </w:tc>
      </w:tr>
      <w:tr w:rsidR="002E508F">
        <w:tc>
          <w:tcPr>
            <w:tcW w:w="1233" w:type="dxa"/>
            <w:tcBorders>
              <w:top w:val="nil"/>
              <w:left w:val="nil"/>
              <w:bottom w:val="single" w:sz="8" w:space="0" w:color="auto"/>
              <w:right w:val="nil"/>
            </w:tcBorders>
            <w:tcMar>
              <w:top w:w="0" w:type="dxa"/>
              <w:left w:w="108" w:type="dxa"/>
              <w:bottom w:w="0" w:type="dxa"/>
              <w:right w:w="108" w:type="dxa"/>
            </w:tcMar>
          </w:tcPr>
          <w:p w:rsidR="002E508F" w:rsidRDefault="002E508F">
            <w:pPr>
              <w:pStyle w:val="Default"/>
              <w:spacing w:line="252" w:lineRule="auto"/>
              <w:jc w:val="both"/>
              <w:rPr>
                <w:rFonts w:ascii="Times New Roman" w:hAnsi="Times New Roman" w:cs="Times New Roman"/>
                <w:noProof/>
                <w:sz w:val="20"/>
                <w:szCs w:val="20"/>
              </w:rPr>
            </w:pPr>
          </w:p>
        </w:tc>
        <w:tc>
          <w:tcPr>
            <w:tcW w:w="5396" w:type="dxa"/>
            <w:tcBorders>
              <w:top w:val="nil"/>
              <w:left w:val="nil"/>
              <w:bottom w:val="single" w:sz="8" w:space="0" w:color="auto"/>
              <w:right w:val="nil"/>
            </w:tcBorders>
            <w:shd w:val="clear" w:color="auto" w:fill="EEECE1"/>
            <w:tcMar>
              <w:top w:w="0" w:type="dxa"/>
              <w:left w:w="108" w:type="dxa"/>
              <w:bottom w:w="0" w:type="dxa"/>
              <w:right w:w="108" w:type="dxa"/>
            </w:tcMar>
            <w:hideMark/>
          </w:tcPr>
          <w:p w:rsidR="002E508F" w:rsidRDefault="005D0A03">
            <w:pPr>
              <w:pStyle w:val="Default"/>
              <w:spacing w:line="252" w:lineRule="auto"/>
              <w:rPr>
                <w:rFonts w:ascii="Times New Roman" w:hAnsi="Times New Roman" w:cs="Times New Roman"/>
                <w:noProof/>
                <w:sz w:val="20"/>
                <w:szCs w:val="20"/>
              </w:rPr>
            </w:pPr>
            <w:r>
              <w:rPr>
                <w:rFonts w:ascii="Times New Roman" w:hAnsi="Times New Roman" w:cs="Times New Roman"/>
                <w:noProof/>
                <w:sz w:val="20"/>
                <w:szCs w:val="20"/>
              </w:rPr>
              <w:t xml:space="preserve">Clean (low- and zero-emission) </w:t>
            </w:r>
            <w:r>
              <w:rPr>
                <w:rFonts w:ascii="Times New Roman" w:hAnsi="Times New Roman" w:cs="Times New Roman"/>
                <w:noProof/>
                <w:sz w:val="20"/>
                <w:szCs w:val="20"/>
              </w:rPr>
              <w:br/>
              <w:t>(battery-electric, fuel-cell electric, PHEV, LPG, CNG, E85)</w:t>
            </w:r>
          </w:p>
        </w:tc>
        <w:tc>
          <w:tcPr>
            <w:tcW w:w="300" w:type="dxa"/>
            <w:tcBorders>
              <w:top w:val="nil"/>
              <w:left w:val="nil"/>
              <w:bottom w:val="single" w:sz="8" w:space="0" w:color="auto"/>
              <w:right w:val="nil"/>
            </w:tcBorders>
            <w:shd w:val="clear" w:color="auto" w:fill="EEECE1"/>
          </w:tcPr>
          <w:p w:rsidR="002E508F" w:rsidRDefault="005D0A03">
            <w:pPr>
              <w:spacing w:after="0" w:line="252" w:lineRule="auto"/>
              <w:jc w:val="center"/>
              <w:rPr>
                <w:rFonts w:ascii="Times New Roman" w:hAnsi="Times New Roman"/>
                <w:noProof/>
                <w:color w:val="000000"/>
                <w:sz w:val="20"/>
                <w:szCs w:val="20"/>
              </w:rPr>
            </w:pPr>
            <w:r>
              <w:rPr>
                <w:rFonts w:ascii="Times New Roman" w:hAnsi="Times New Roman"/>
                <w:noProof/>
                <w:color w:val="000000"/>
                <w:sz w:val="20"/>
                <w:szCs w:val="20"/>
              </w:rPr>
              <w:br/>
              <w:t>29</w:t>
            </w:r>
          </w:p>
        </w:tc>
        <w:tc>
          <w:tcPr>
            <w:tcW w:w="2577" w:type="dxa"/>
            <w:gridSpan w:val="2"/>
            <w:tcBorders>
              <w:top w:val="nil"/>
              <w:left w:val="nil"/>
              <w:bottom w:val="single" w:sz="8" w:space="0" w:color="auto"/>
              <w:right w:val="nil"/>
            </w:tcBorders>
            <w:shd w:val="clear" w:color="auto" w:fill="EEECE1"/>
          </w:tcPr>
          <w:p w:rsidR="002E508F" w:rsidRDefault="005D0A03">
            <w:pPr>
              <w:spacing w:after="0" w:line="252" w:lineRule="auto"/>
              <w:jc w:val="center"/>
              <w:rPr>
                <w:rFonts w:ascii="Times New Roman" w:hAnsi="Times New Roman"/>
                <w:noProof/>
                <w:color w:val="000000"/>
                <w:sz w:val="20"/>
                <w:szCs w:val="20"/>
              </w:rPr>
            </w:pPr>
            <w:r>
              <w:rPr>
                <w:rFonts w:ascii="Times New Roman" w:hAnsi="Times New Roman"/>
                <w:noProof/>
                <w:color w:val="000000"/>
                <w:sz w:val="20"/>
                <w:szCs w:val="20"/>
              </w:rPr>
              <w:br/>
              <w:t>0.4</w:t>
            </w:r>
          </w:p>
        </w:tc>
      </w:tr>
      <w:tr w:rsidR="002E508F">
        <w:tc>
          <w:tcPr>
            <w:tcW w:w="1233" w:type="dxa"/>
            <w:tcBorders>
              <w:top w:val="nil"/>
              <w:left w:val="nil"/>
              <w:bottom w:val="single" w:sz="8" w:space="0" w:color="auto"/>
              <w:right w:val="nil"/>
            </w:tcBorders>
            <w:tcMar>
              <w:top w:w="0" w:type="dxa"/>
              <w:left w:w="108" w:type="dxa"/>
              <w:bottom w:w="0" w:type="dxa"/>
              <w:right w:w="108" w:type="dxa"/>
            </w:tcMar>
            <w:hideMark/>
          </w:tcPr>
          <w:p w:rsidR="002E508F" w:rsidRDefault="005D0A03">
            <w:pPr>
              <w:pStyle w:val="Default"/>
              <w:spacing w:line="252" w:lineRule="auto"/>
              <w:jc w:val="both"/>
              <w:rPr>
                <w:rFonts w:ascii="Times New Roman" w:hAnsi="Times New Roman" w:cs="Times New Roman"/>
                <w:noProof/>
                <w:sz w:val="20"/>
                <w:szCs w:val="20"/>
              </w:rPr>
            </w:pPr>
            <w:r>
              <w:rPr>
                <w:rFonts w:ascii="Times New Roman" w:hAnsi="Times New Roman" w:cs="Times New Roman"/>
                <w:noProof/>
                <w:sz w:val="20"/>
                <w:szCs w:val="20"/>
              </w:rPr>
              <w:t>Rigid trucks</w:t>
            </w:r>
          </w:p>
        </w:tc>
        <w:tc>
          <w:tcPr>
            <w:tcW w:w="5396" w:type="dxa"/>
            <w:tcBorders>
              <w:top w:val="nil"/>
              <w:left w:val="nil"/>
              <w:bottom w:val="single" w:sz="8" w:space="0" w:color="auto"/>
              <w:right w:val="nil"/>
            </w:tcBorders>
            <w:tcMar>
              <w:top w:w="0" w:type="dxa"/>
              <w:left w:w="108" w:type="dxa"/>
              <w:bottom w:w="0" w:type="dxa"/>
              <w:right w:w="108" w:type="dxa"/>
            </w:tcMar>
            <w:hideMark/>
          </w:tcPr>
          <w:p w:rsidR="002E508F" w:rsidRDefault="005D0A03">
            <w:pPr>
              <w:pStyle w:val="Default"/>
              <w:spacing w:line="252" w:lineRule="auto"/>
              <w:jc w:val="both"/>
              <w:rPr>
                <w:rFonts w:ascii="Times New Roman" w:hAnsi="Times New Roman" w:cs="Times New Roman"/>
                <w:noProof/>
                <w:sz w:val="20"/>
                <w:szCs w:val="20"/>
              </w:rPr>
            </w:pPr>
            <w:r>
              <w:rPr>
                <w:rFonts w:ascii="Times New Roman" w:hAnsi="Times New Roman" w:cs="Times New Roman"/>
                <w:noProof/>
                <w:sz w:val="20"/>
                <w:szCs w:val="20"/>
              </w:rPr>
              <w:t>Diesel/Diesel Hybrid</w:t>
            </w:r>
          </w:p>
        </w:tc>
        <w:tc>
          <w:tcPr>
            <w:tcW w:w="300" w:type="dxa"/>
            <w:tcBorders>
              <w:top w:val="nil"/>
              <w:left w:val="nil"/>
              <w:bottom w:val="single" w:sz="8" w:space="0" w:color="auto"/>
              <w:right w:val="nil"/>
            </w:tcBorders>
          </w:tcPr>
          <w:p w:rsidR="002E508F" w:rsidRDefault="005D0A03">
            <w:pPr>
              <w:spacing w:after="0" w:line="252" w:lineRule="auto"/>
              <w:jc w:val="center"/>
              <w:rPr>
                <w:rFonts w:ascii="Times New Roman" w:hAnsi="Times New Roman"/>
                <w:noProof/>
                <w:color w:val="000000"/>
                <w:sz w:val="20"/>
                <w:szCs w:val="20"/>
              </w:rPr>
            </w:pPr>
            <w:r>
              <w:rPr>
                <w:rFonts w:ascii="Times New Roman" w:hAnsi="Times New Roman"/>
                <w:noProof/>
                <w:color w:val="000000"/>
                <w:sz w:val="20"/>
                <w:szCs w:val="20"/>
              </w:rPr>
              <w:t>9k</w:t>
            </w:r>
          </w:p>
        </w:tc>
        <w:tc>
          <w:tcPr>
            <w:tcW w:w="2577" w:type="dxa"/>
            <w:gridSpan w:val="2"/>
            <w:tcBorders>
              <w:top w:val="nil"/>
              <w:left w:val="nil"/>
              <w:bottom w:val="single" w:sz="8" w:space="0" w:color="auto"/>
              <w:right w:val="nil"/>
            </w:tcBorders>
          </w:tcPr>
          <w:p w:rsidR="002E508F" w:rsidRDefault="005D0A03">
            <w:pPr>
              <w:spacing w:after="0" w:line="252" w:lineRule="auto"/>
              <w:jc w:val="center"/>
              <w:rPr>
                <w:rFonts w:ascii="Times New Roman" w:hAnsi="Times New Roman"/>
                <w:noProof/>
                <w:color w:val="000000"/>
                <w:sz w:val="20"/>
                <w:szCs w:val="20"/>
              </w:rPr>
            </w:pPr>
            <w:r>
              <w:rPr>
                <w:rFonts w:ascii="Times New Roman" w:hAnsi="Times New Roman"/>
                <w:noProof/>
                <w:color w:val="000000"/>
                <w:sz w:val="20"/>
                <w:szCs w:val="20"/>
              </w:rPr>
              <w:t>99.9</w:t>
            </w:r>
          </w:p>
        </w:tc>
      </w:tr>
      <w:tr w:rsidR="002E508F">
        <w:trPr>
          <w:trHeight w:val="526"/>
        </w:trPr>
        <w:tc>
          <w:tcPr>
            <w:tcW w:w="1233" w:type="dxa"/>
            <w:tcBorders>
              <w:top w:val="nil"/>
              <w:left w:val="nil"/>
              <w:bottom w:val="single" w:sz="8" w:space="0" w:color="auto"/>
              <w:right w:val="nil"/>
            </w:tcBorders>
            <w:tcMar>
              <w:top w:w="0" w:type="dxa"/>
              <w:left w:w="108" w:type="dxa"/>
              <w:bottom w:w="0" w:type="dxa"/>
              <w:right w:w="108" w:type="dxa"/>
            </w:tcMar>
          </w:tcPr>
          <w:p w:rsidR="002E508F" w:rsidRDefault="002E508F">
            <w:pPr>
              <w:pStyle w:val="Default"/>
              <w:spacing w:line="252" w:lineRule="auto"/>
              <w:jc w:val="both"/>
              <w:rPr>
                <w:rFonts w:ascii="Times New Roman" w:hAnsi="Times New Roman" w:cs="Times New Roman"/>
                <w:noProof/>
                <w:sz w:val="20"/>
                <w:szCs w:val="20"/>
              </w:rPr>
            </w:pPr>
          </w:p>
        </w:tc>
        <w:tc>
          <w:tcPr>
            <w:tcW w:w="5396" w:type="dxa"/>
            <w:tcBorders>
              <w:top w:val="nil"/>
              <w:left w:val="nil"/>
              <w:bottom w:val="single" w:sz="8" w:space="0" w:color="auto"/>
              <w:right w:val="nil"/>
            </w:tcBorders>
            <w:shd w:val="clear" w:color="auto" w:fill="DDD9C3" w:themeFill="background2" w:themeFillShade="E6"/>
            <w:tcMar>
              <w:top w:w="0" w:type="dxa"/>
              <w:left w:w="108" w:type="dxa"/>
              <w:bottom w:w="0" w:type="dxa"/>
              <w:right w:w="108" w:type="dxa"/>
            </w:tcMar>
            <w:hideMark/>
          </w:tcPr>
          <w:p w:rsidR="002E508F" w:rsidRDefault="005D0A03">
            <w:pPr>
              <w:pStyle w:val="Default"/>
              <w:spacing w:line="252" w:lineRule="auto"/>
              <w:rPr>
                <w:rFonts w:ascii="Times New Roman" w:hAnsi="Times New Roman" w:cs="Times New Roman"/>
                <w:noProof/>
                <w:sz w:val="20"/>
                <w:szCs w:val="20"/>
              </w:rPr>
            </w:pPr>
            <w:r>
              <w:rPr>
                <w:rFonts w:ascii="Times New Roman" w:hAnsi="Times New Roman" w:cs="Times New Roman"/>
                <w:noProof/>
                <w:sz w:val="20"/>
                <w:szCs w:val="20"/>
              </w:rPr>
              <w:t xml:space="preserve">Clean (low- and zero-emission) </w:t>
            </w:r>
            <w:r>
              <w:rPr>
                <w:rFonts w:ascii="Times New Roman" w:hAnsi="Times New Roman" w:cs="Times New Roman"/>
                <w:noProof/>
                <w:sz w:val="20"/>
                <w:szCs w:val="20"/>
              </w:rPr>
              <w:br/>
              <w:t>(battery-electric, fuel-cell electric, LPG, CNG)</w:t>
            </w:r>
          </w:p>
        </w:tc>
        <w:tc>
          <w:tcPr>
            <w:tcW w:w="300" w:type="dxa"/>
            <w:tcBorders>
              <w:top w:val="nil"/>
              <w:left w:val="nil"/>
              <w:bottom w:val="single" w:sz="8" w:space="0" w:color="auto"/>
              <w:right w:val="nil"/>
            </w:tcBorders>
            <w:shd w:val="clear" w:color="auto" w:fill="DDD9C3" w:themeFill="background2" w:themeFillShade="E6"/>
          </w:tcPr>
          <w:p w:rsidR="002E508F" w:rsidRDefault="005D0A03">
            <w:pPr>
              <w:spacing w:after="0" w:line="252" w:lineRule="auto"/>
              <w:jc w:val="center"/>
              <w:rPr>
                <w:rFonts w:ascii="Times New Roman" w:hAnsi="Times New Roman"/>
                <w:noProof/>
                <w:color w:val="000000"/>
                <w:sz w:val="20"/>
                <w:szCs w:val="20"/>
              </w:rPr>
            </w:pPr>
            <w:r>
              <w:rPr>
                <w:rFonts w:ascii="Times New Roman" w:hAnsi="Times New Roman"/>
                <w:noProof/>
                <w:color w:val="000000"/>
                <w:sz w:val="20"/>
                <w:szCs w:val="20"/>
              </w:rPr>
              <w:br/>
              <w:t>6</w:t>
            </w:r>
          </w:p>
        </w:tc>
        <w:tc>
          <w:tcPr>
            <w:tcW w:w="2577" w:type="dxa"/>
            <w:gridSpan w:val="2"/>
            <w:tcBorders>
              <w:top w:val="nil"/>
              <w:left w:val="nil"/>
              <w:bottom w:val="single" w:sz="8" w:space="0" w:color="auto"/>
              <w:right w:val="nil"/>
            </w:tcBorders>
            <w:shd w:val="clear" w:color="auto" w:fill="DDD9C3" w:themeFill="background2" w:themeFillShade="E6"/>
          </w:tcPr>
          <w:p w:rsidR="002E508F" w:rsidRDefault="005D0A03">
            <w:pPr>
              <w:spacing w:after="0" w:line="252" w:lineRule="auto"/>
              <w:jc w:val="center"/>
              <w:rPr>
                <w:rFonts w:ascii="Times New Roman" w:hAnsi="Times New Roman"/>
                <w:noProof/>
                <w:color w:val="000000"/>
                <w:sz w:val="20"/>
                <w:szCs w:val="20"/>
              </w:rPr>
            </w:pPr>
            <w:r>
              <w:rPr>
                <w:rFonts w:ascii="Times New Roman" w:hAnsi="Times New Roman"/>
                <w:noProof/>
                <w:color w:val="000000"/>
                <w:sz w:val="20"/>
                <w:szCs w:val="20"/>
              </w:rPr>
              <w:br/>
              <w:t>0.07</w:t>
            </w:r>
          </w:p>
        </w:tc>
      </w:tr>
      <w:tr w:rsidR="002E508F">
        <w:tc>
          <w:tcPr>
            <w:tcW w:w="1233" w:type="dxa"/>
            <w:tcBorders>
              <w:top w:val="nil"/>
              <w:left w:val="nil"/>
              <w:bottom w:val="single" w:sz="8" w:space="0" w:color="auto"/>
              <w:right w:val="nil"/>
            </w:tcBorders>
            <w:tcMar>
              <w:top w:w="0" w:type="dxa"/>
              <w:left w:w="108" w:type="dxa"/>
              <w:bottom w:w="0" w:type="dxa"/>
              <w:right w:w="108" w:type="dxa"/>
            </w:tcMar>
            <w:hideMark/>
          </w:tcPr>
          <w:p w:rsidR="002E508F" w:rsidRDefault="005D0A03">
            <w:pPr>
              <w:pStyle w:val="Default"/>
              <w:spacing w:line="252" w:lineRule="auto"/>
              <w:jc w:val="both"/>
              <w:rPr>
                <w:rFonts w:ascii="Times New Roman" w:hAnsi="Times New Roman" w:cs="Times New Roman"/>
                <w:noProof/>
                <w:sz w:val="20"/>
                <w:szCs w:val="20"/>
              </w:rPr>
            </w:pPr>
            <w:r>
              <w:rPr>
                <w:rFonts w:ascii="Times New Roman" w:hAnsi="Times New Roman" w:cs="Times New Roman"/>
                <w:noProof/>
                <w:sz w:val="20"/>
                <w:szCs w:val="20"/>
              </w:rPr>
              <w:t>Buses</w:t>
            </w:r>
          </w:p>
        </w:tc>
        <w:tc>
          <w:tcPr>
            <w:tcW w:w="5396" w:type="dxa"/>
            <w:tcBorders>
              <w:top w:val="nil"/>
              <w:left w:val="nil"/>
              <w:bottom w:val="single" w:sz="8" w:space="0" w:color="auto"/>
              <w:right w:val="nil"/>
            </w:tcBorders>
            <w:tcMar>
              <w:top w:w="0" w:type="dxa"/>
              <w:left w:w="108" w:type="dxa"/>
              <w:bottom w:w="0" w:type="dxa"/>
              <w:right w:w="108" w:type="dxa"/>
            </w:tcMar>
            <w:hideMark/>
          </w:tcPr>
          <w:p w:rsidR="002E508F" w:rsidRDefault="005D0A03">
            <w:pPr>
              <w:pStyle w:val="Default"/>
              <w:spacing w:line="252" w:lineRule="auto"/>
              <w:jc w:val="both"/>
              <w:rPr>
                <w:rFonts w:ascii="Times New Roman" w:hAnsi="Times New Roman" w:cs="Times New Roman"/>
                <w:noProof/>
                <w:sz w:val="20"/>
                <w:szCs w:val="20"/>
              </w:rPr>
            </w:pPr>
            <w:r>
              <w:rPr>
                <w:rFonts w:ascii="Times New Roman" w:hAnsi="Times New Roman" w:cs="Times New Roman"/>
                <w:noProof/>
                <w:sz w:val="20"/>
                <w:szCs w:val="20"/>
              </w:rPr>
              <w:t>Diesel/Diesel Hybrid</w:t>
            </w:r>
          </w:p>
        </w:tc>
        <w:tc>
          <w:tcPr>
            <w:tcW w:w="300" w:type="dxa"/>
            <w:tcBorders>
              <w:top w:val="nil"/>
              <w:left w:val="nil"/>
              <w:bottom w:val="single" w:sz="8" w:space="0" w:color="auto"/>
              <w:right w:val="nil"/>
            </w:tcBorders>
          </w:tcPr>
          <w:p w:rsidR="002E508F" w:rsidRDefault="005D0A03">
            <w:pPr>
              <w:spacing w:after="0" w:line="252" w:lineRule="auto"/>
              <w:jc w:val="center"/>
              <w:rPr>
                <w:rFonts w:ascii="Times New Roman" w:hAnsi="Times New Roman"/>
                <w:noProof/>
                <w:color w:val="000000"/>
                <w:sz w:val="20"/>
                <w:szCs w:val="20"/>
              </w:rPr>
            </w:pPr>
            <w:r>
              <w:rPr>
                <w:rFonts w:ascii="Times New Roman" w:hAnsi="Times New Roman"/>
                <w:noProof/>
                <w:color w:val="000000"/>
                <w:sz w:val="20"/>
                <w:szCs w:val="20"/>
              </w:rPr>
              <w:t>7.8k</w:t>
            </w:r>
          </w:p>
        </w:tc>
        <w:tc>
          <w:tcPr>
            <w:tcW w:w="2577" w:type="dxa"/>
            <w:gridSpan w:val="2"/>
            <w:tcBorders>
              <w:top w:val="nil"/>
              <w:left w:val="nil"/>
              <w:bottom w:val="single" w:sz="8" w:space="0" w:color="auto"/>
              <w:right w:val="nil"/>
            </w:tcBorders>
          </w:tcPr>
          <w:p w:rsidR="002E508F" w:rsidRDefault="005D0A03">
            <w:pPr>
              <w:spacing w:after="0" w:line="252" w:lineRule="auto"/>
              <w:jc w:val="center"/>
              <w:rPr>
                <w:rFonts w:ascii="Times New Roman" w:hAnsi="Times New Roman"/>
                <w:noProof/>
                <w:color w:val="000000"/>
                <w:sz w:val="20"/>
                <w:szCs w:val="20"/>
              </w:rPr>
            </w:pPr>
            <w:r>
              <w:rPr>
                <w:rFonts w:ascii="Times New Roman" w:hAnsi="Times New Roman"/>
                <w:noProof/>
                <w:color w:val="000000"/>
                <w:sz w:val="20"/>
                <w:szCs w:val="20"/>
              </w:rPr>
              <w:t>98.3</w:t>
            </w:r>
          </w:p>
        </w:tc>
      </w:tr>
      <w:tr w:rsidR="002E508F">
        <w:tc>
          <w:tcPr>
            <w:tcW w:w="1233" w:type="dxa"/>
            <w:tcBorders>
              <w:top w:val="nil"/>
              <w:left w:val="nil"/>
              <w:bottom w:val="single" w:sz="8" w:space="0" w:color="auto"/>
              <w:right w:val="nil"/>
            </w:tcBorders>
            <w:tcMar>
              <w:top w:w="0" w:type="dxa"/>
              <w:left w:w="108" w:type="dxa"/>
              <w:bottom w:w="0" w:type="dxa"/>
              <w:right w:w="108" w:type="dxa"/>
            </w:tcMar>
          </w:tcPr>
          <w:p w:rsidR="002E508F" w:rsidRDefault="002E508F">
            <w:pPr>
              <w:pStyle w:val="Default"/>
              <w:spacing w:line="252" w:lineRule="auto"/>
              <w:jc w:val="both"/>
              <w:rPr>
                <w:rFonts w:ascii="Times New Roman" w:hAnsi="Times New Roman" w:cs="Times New Roman"/>
                <w:noProof/>
                <w:sz w:val="20"/>
                <w:szCs w:val="20"/>
              </w:rPr>
            </w:pPr>
          </w:p>
        </w:tc>
        <w:tc>
          <w:tcPr>
            <w:tcW w:w="5396" w:type="dxa"/>
            <w:tcBorders>
              <w:top w:val="nil"/>
              <w:left w:val="nil"/>
              <w:bottom w:val="single" w:sz="8" w:space="0" w:color="auto"/>
              <w:right w:val="nil"/>
            </w:tcBorders>
            <w:shd w:val="clear" w:color="auto" w:fill="DDD9C3" w:themeFill="background2" w:themeFillShade="E6"/>
            <w:tcMar>
              <w:top w:w="0" w:type="dxa"/>
              <w:left w:w="108" w:type="dxa"/>
              <w:bottom w:w="0" w:type="dxa"/>
              <w:right w:w="108" w:type="dxa"/>
            </w:tcMar>
            <w:hideMark/>
          </w:tcPr>
          <w:p w:rsidR="002E508F" w:rsidRDefault="005D0A03">
            <w:pPr>
              <w:pStyle w:val="Default"/>
              <w:spacing w:line="252" w:lineRule="auto"/>
              <w:rPr>
                <w:rFonts w:ascii="Times New Roman" w:hAnsi="Times New Roman" w:cs="Times New Roman"/>
                <w:noProof/>
                <w:sz w:val="20"/>
                <w:szCs w:val="20"/>
              </w:rPr>
            </w:pPr>
            <w:r>
              <w:rPr>
                <w:rFonts w:ascii="Times New Roman" w:hAnsi="Times New Roman" w:cs="Times New Roman"/>
                <w:noProof/>
                <w:sz w:val="20"/>
                <w:szCs w:val="20"/>
              </w:rPr>
              <w:t>Clean  (low- and zero-emission)</w:t>
            </w:r>
            <w:r>
              <w:rPr>
                <w:rFonts w:ascii="Times New Roman" w:hAnsi="Times New Roman" w:cs="Times New Roman"/>
                <w:noProof/>
                <w:sz w:val="20"/>
                <w:szCs w:val="20"/>
              </w:rPr>
              <w:br/>
              <w:t>(battery-electric, fuel-cell electric, PHEV, LPG, CNG)</w:t>
            </w:r>
          </w:p>
        </w:tc>
        <w:tc>
          <w:tcPr>
            <w:tcW w:w="300" w:type="dxa"/>
            <w:tcBorders>
              <w:top w:val="nil"/>
              <w:left w:val="nil"/>
              <w:bottom w:val="single" w:sz="8" w:space="0" w:color="auto"/>
              <w:right w:val="nil"/>
            </w:tcBorders>
            <w:shd w:val="clear" w:color="auto" w:fill="DDD9C3" w:themeFill="background2" w:themeFillShade="E6"/>
          </w:tcPr>
          <w:p w:rsidR="002E508F" w:rsidRDefault="005D0A03">
            <w:pPr>
              <w:spacing w:after="0" w:line="252" w:lineRule="auto"/>
              <w:jc w:val="center"/>
              <w:rPr>
                <w:rFonts w:ascii="Times New Roman" w:hAnsi="Times New Roman"/>
                <w:noProof/>
                <w:color w:val="000000"/>
                <w:sz w:val="20"/>
                <w:szCs w:val="20"/>
              </w:rPr>
            </w:pPr>
            <w:r>
              <w:rPr>
                <w:rFonts w:ascii="Times New Roman" w:hAnsi="Times New Roman"/>
                <w:noProof/>
                <w:color w:val="000000"/>
                <w:sz w:val="20"/>
                <w:szCs w:val="20"/>
              </w:rPr>
              <w:br/>
              <w:t>133</w:t>
            </w:r>
          </w:p>
        </w:tc>
        <w:tc>
          <w:tcPr>
            <w:tcW w:w="2577" w:type="dxa"/>
            <w:gridSpan w:val="2"/>
            <w:tcBorders>
              <w:top w:val="nil"/>
              <w:left w:val="nil"/>
              <w:bottom w:val="single" w:sz="8" w:space="0" w:color="auto"/>
              <w:right w:val="nil"/>
            </w:tcBorders>
            <w:shd w:val="clear" w:color="auto" w:fill="DDD9C3" w:themeFill="background2" w:themeFillShade="E6"/>
          </w:tcPr>
          <w:p w:rsidR="002E508F" w:rsidRDefault="005D0A03">
            <w:pPr>
              <w:spacing w:after="0" w:line="252" w:lineRule="auto"/>
              <w:jc w:val="center"/>
              <w:rPr>
                <w:rFonts w:ascii="Times New Roman" w:hAnsi="Times New Roman"/>
                <w:noProof/>
                <w:color w:val="000000"/>
                <w:sz w:val="20"/>
                <w:szCs w:val="20"/>
              </w:rPr>
            </w:pPr>
            <w:r>
              <w:rPr>
                <w:rFonts w:ascii="Times New Roman" w:hAnsi="Times New Roman"/>
                <w:noProof/>
                <w:color w:val="000000"/>
                <w:sz w:val="20"/>
                <w:szCs w:val="20"/>
              </w:rPr>
              <w:br/>
              <w:t>1.7</w:t>
            </w:r>
          </w:p>
        </w:tc>
      </w:tr>
    </w:tbl>
    <w:p w:rsidR="002E508F" w:rsidRDefault="005D0A03">
      <w:pPr>
        <w:spacing w:line="240" w:lineRule="auto"/>
        <w:jc w:val="both"/>
        <w:rPr>
          <w:rFonts w:ascii="Times New Roman" w:hAnsi="Times New Roman" w:cs="Times New Roman"/>
          <w:i/>
          <w:noProof/>
          <w:sz w:val="20"/>
          <w:szCs w:val="20"/>
        </w:rPr>
      </w:pPr>
      <w:r>
        <w:rPr>
          <w:rFonts w:ascii="Times New Roman" w:hAnsi="Times New Roman" w:cs="Times New Roman"/>
          <w:i/>
          <w:noProof/>
          <w:sz w:val="20"/>
          <w:szCs w:val="20"/>
        </w:rPr>
        <w:t>Source: Ricardo (2017) Support Study for the Impact Assessment of the revision of the Clean Vehicles Directive.</w:t>
      </w:r>
    </w:p>
    <w:p w:rsidR="002E508F" w:rsidRDefault="005D0A03">
      <w:pPr>
        <w:spacing w:line="240" w:lineRule="auto"/>
        <w:jc w:val="both"/>
        <w:rPr>
          <w:rFonts w:ascii="Times New Roman" w:hAnsi="Times New Roman" w:cs="Times New Roman"/>
          <w:noProof/>
        </w:rPr>
      </w:pPr>
      <w:bookmarkStart w:id="9" w:name="_Ref479769303"/>
      <w:r>
        <w:rPr>
          <w:rFonts w:ascii="Times New Roman" w:hAnsi="Times New Roman" w:cs="Times New Roman"/>
          <w:noProof/>
        </w:rPr>
        <w:t>This is a conservative estimate. The Impact Assessment support study has estimated the number of publicly procured vehicles based on information from the European Tender Electronic Database (TED).</w:t>
      </w:r>
      <w:r>
        <w:rPr>
          <w:rStyle w:val="FootnoteReference"/>
          <w:rFonts w:ascii="Times New Roman" w:hAnsi="Times New Roman" w:cs="Times New Roman"/>
          <w:noProof/>
        </w:rPr>
        <w:footnoteReference w:id="13"/>
      </w:r>
      <w:r>
        <w:rPr>
          <w:rFonts w:ascii="Times New Roman" w:hAnsi="Times New Roman" w:cs="Times New Roman"/>
          <w:noProof/>
        </w:rPr>
        <w:t xml:space="preserve"> The level of publication of public tenders at EU level is still low.</w:t>
      </w:r>
      <w:r>
        <w:rPr>
          <w:rStyle w:val="FootnoteReference"/>
          <w:rFonts w:ascii="Times New Roman" w:hAnsi="Times New Roman" w:cs="Times New Roman"/>
          <w:noProof/>
        </w:rPr>
        <w:footnoteReference w:id="14"/>
      </w:r>
      <w:r>
        <w:rPr>
          <w:rFonts w:ascii="Times New Roman" w:hAnsi="Times New Roman" w:cs="Times New Roman"/>
          <w:noProof/>
        </w:rPr>
        <w:t xml:space="preserve"> It is possible that both the number of contracts and the market shares of clean vehicles are underestimated. In the absence of a reporting obligation under the Directive, new registrations or vehicle stock for public sector vehicles are not commonly registered across the EU. In addition, there is little data available on the types of vehicles procured, or their lifetime use. Further information has been gathered from Member States. The Impact Assessment Support Study provides further detail on the approach. </w:t>
      </w:r>
    </w:p>
    <w:p w:rsidR="002E508F" w:rsidRDefault="005D0A03">
      <w:pPr>
        <w:pStyle w:val="Heading3"/>
        <w:rPr>
          <w:noProof/>
        </w:rPr>
      </w:pPr>
      <w:bookmarkStart w:id="10" w:name="_Toc497141467"/>
      <w:bookmarkEnd w:id="9"/>
      <w:r>
        <w:rPr>
          <w:noProof/>
        </w:rPr>
        <w:t>Implication: Limited impact on general market uptake</w:t>
      </w:r>
      <w:bookmarkEnd w:id="10"/>
      <w:r>
        <w:rPr>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In many instances, public procurement has not effectively helped the general market uptake of those vehicles. As figure 2.2 shows, market shares of these vehicles, and particularly the market shares of zero-emission vehicles (battery-electric, fuel cell electric), are still low. For example, the EU market share of battery-electric and plug-in hybrid electric passenger vehicles in new registrations was 1.15% in April 2017.</w:t>
      </w:r>
      <w:r>
        <w:rPr>
          <w:rStyle w:val="FootnoteReference"/>
          <w:rFonts w:ascii="Times New Roman" w:hAnsi="Times New Roman" w:cs="Times New Roman"/>
          <w:noProof/>
        </w:rPr>
        <w:footnoteReference w:id="15"/>
      </w:r>
      <w:r>
        <w:rPr>
          <w:rFonts w:ascii="Times New Roman" w:hAnsi="Times New Roman" w:cs="Times New Roman"/>
          <w:noProof/>
        </w:rPr>
        <w:t xml:space="preserve"> Deployment of these vehicles is also unevenly spread across Members States. In some Member States, a real market hardly exists (see fig. 2.2).</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A detailed example concerns the impact on the urban bus market segment. Here, Member States show an uneven record. Data from case studies carried out for this Impact Assessment show a higher share of alternatively fuelled buses in the total bus fleet of the Czech Republic (13.3% CNG buses, and 19.7% electric trolley buses), but a rather low share in the bus fleet of Germany (2.4% of the total bus fleet). In Sweden, approximately 5.6% of new bus registrations concerned CNG or battery-electric buses. A public transport survey among operators in 2013 found a market share of 1.2% for battery electric buses and of 7% for CNG-buses.</w:t>
      </w:r>
      <w:r>
        <w:rPr>
          <w:rStyle w:val="FootnoteReference"/>
          <w:rFonts w:ascii="Times New Roman" w:hAnsi="Times New Roman" w:cs="Times New Roman"/>
          <w:noProof/>
        </w:rPr>
        <w:footnoteReference w:id="16"/>
      </w:r>
    </w:p>
    <w:p w:rsidR="002E508F" w:rsidRDefault="005D0A03">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 xml:space="preserve">Figure 2.2: Number of newly registered alternatively fuelled vehicles and public/semi-public charging points in European Member States, 2017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lang w:eastAsia="en-GB"/>
        </w:rPr>
        <w:drawing>
          <wp:inline distT="0" distB="0" distL="0" distR="0" wp14:anchorId="1AFE5D2F" wp14:editId="2B498827">
            <wp:extent cx="5760720" cy="51055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5105536"/>
                    </a:xfrm>
                    <a:prstGeom prst="rect">
                      <a:avLst/>
                    </a:prstGeom>
                    <a:noFill/>
                    <a:ln>
                      <a:noFill/>
                    </a:ln>
                  </pic:spPr>
                </pic:pic>
              </a:graphicData>
            </a:graphic>
          </wp:inline>
        </w:drawing>
      </w:r>
    </w:p>
    <w:p w:rsidR="002E508F" w:rsidRDefault="005D0A03">
      <w:pPr>
        <w:spacing w:line="240" w:lineRule="auto"/>
        <w:jc w:val="both"/>
        <w:rPr>
          <w:rFonts w:ascii="Times New Roman" w:hAnsi="Times New Roman" w:cs="Times New Roman"/>
          <w:i/>
          <w:noProof/>
          <w:sz w:val="20"/>
          <w:szCs w:val="20"/>
        </w:rPr>
      </w:pPr>
      <w:r>
        <w:rPr>
          <w:rFonts w:ascii="Times New Roman" w:hAnsi="Times New Roman" w:cs="Times New Roman"/>
          <w:i/>
          <w:noProof/>
          <w:sz w:val="20"/>
          <w:szCs w:val="20"/>
        </w:rPr>
        <w:t xml:space="preserve">Source: European Alternative Fuels Observatory (access 15 July 2017), </w:t>
      </w:r>
      <w:hyperlink r:id="rId17" w:history="1">
        <w:r>
          <w:rPr>
            <w:rStyle w:val="Hyperlink"/>
            <w:rFonts w:ascii="Times New Roman" w:hAnsi="Times New Roman" w:cs="Times New Roman"/>
            <w:i/>
            <w:noProof/>
            <w:sz w:val="20"/>
            <w:szCs w:val="20"/>
          </w:rPr>
          <w:t>www.eafo.eu</w:t>
        </w:r>
      </w:hyperlink>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Figure 2.2 shows that registration numbers of alternatively-fuelled vehicles are generally low; and very low in quite a few Member States. The finding is corroborated when looking into the data on new car registrations by fuel type over the past years. Table 2.2 presents data for EU-15. The EU-15 include all advanced clean vehicle markets in the EU. In the wake of the discussion about real-world car emissions and policy intentions to restrict access of diesel cars in a number of cities, consumers are buying more petrol cars. Even in this sample of Member States with more advanced markets, the share of alternative fuelled cars has been stagnating over the past years: a slight rise in plug-in hybrids and battery-electric vehicles has been met by a decrease of other alternative fuels (natural gas) vehicles. </w:t>
      </w:r>
    </w:p>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rPr>
        <w:t xml:space="preserve">Public procurement is hence still relevant as a demand-side stimulus, particularly in Member States with low overall market shares of clean, low- and zero-emission and other alternative fuels vehicles. Even when the number of publicly purchased clean vehicles is small in total, it can help sustain a market that is obviously still in its beginning in all Member States. </w:t>
      </w:r>
    </w:p>
    <w:p w:rsidR="002E508F" w:rsidRDefault="005D0A03">
      <w:pPr>
        <w:spacing w:after="0"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Table 2.2: Registration of new cars in the EU15 according to fuel type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26"/>
        <w:gridCol w:w="1122"/>
        <w:gridCol w:w="1170"/>
        <w:gridCol w:w="1260"/>
        <w:gridCol w:w="1260"/>
        <w:gridCol w:w="1620"/>
        <w:gridCol w:w="1530"/>
      </w:tblGrid>
      <w:tr w:rsidR="002E508F">
        <w:tc>
          <w:tcPr>
            <w:tcW w:w="1326" w:type="dxa"/>
            <w:vMerge w:val="restart"/>
          </w:tcPr>
          <w:p w:rsidR="002E508F" w:rsidRDefault="002E508F">
            <w:pPr>
              <w:spacing w:after="0"/>
              <w:jc w:val="both"/>
              <w:rPr>
                <w:rFonts w:ascii="Times New Roman" w:hAnsi="Times New Roman" w:cs="Times New Roman"/>
                <w:noProof/>
                <w:sz w:val="20"/>
                <w:szCs w:val="20"/>
              </w:rPr>
            </w:pPr>
          </w:p>
        </w:tc>
        <w:tc>
          <w:tcPr>
            <w:tcW w:w="1122" w:type="dxa"/>
            <w:vMerge w:val="restart"/>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Diesel</w:t>
            </w:r>
          </w:p>
        </w:tc>
        <w:tc>
          <w:tcPr>
            <w:tcW w:w="1170" w:type="dxa"/>
            <w:vMerge w:val="restart"/>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Petrol</w:t>
            </w:r>
          </w:p>
        </w:tc>
        <w:tc>
          <w:tcPr>
            <w:tcW w:w="5670" w:type="dxa"/>
            <w:gridSpan w:val="4"/>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Alternative Fuels</w:t>
            </w:r>
          </w:p>
        </w:tc>
      </w:tr>
      <w:tr w:rsidR="002E508F">
        <w:tc>
          <w:tcPr>
            <w:tcW w:w="1326" w:type="dxa"/>
            <w:vMerge/>
          </w:tcPr>
          <w:p w:rsidR="002E508F" w:rsidRDefault="002E508F">
            <w:pPr>
              <w:spacing w:after="0"/>
              <w:jc w:val="both"/>
              <w:rPr>
                <w:rFonts w:ascii="Times New Roman" w:hAnsi="Times New Roman" w:cs="Times New Roman"/>
                <w:noProof/>
                <w:sz w:val="20"/>
                <w:szCs w:val="20"/>
              </w:rPr>
            </w:pPr>
          </w:p>
        </w:tc>
        <w:tc>
          <w:tcPr>
            <w:tcW w:w="1122" w:type="dxa"/>
            <w:vMerge/>
          </w:tcPr>
          <w:p w:rsidR="002E508F" w:rsidRDefault="002E508F">
            <w:pPr>
              <w:spacing w:after="0"/>
              <w:jc w:val="both"/>
              <w:rPr>
                <w:rFonts w:ascii="Times New Roman" w:hAnsi="Times New Roman" w:cs="Times New Roman"/>
                <w:noProof/>
                <w:sz w:val="20"/>
                <w:szCs w:val="20"/>
              </w:rPr>
            </w:pPr>
          </w:p>
        </w:tc>
        <w:tc>
          <w:tcPr>
            <w:tcW w:w="1170" w:type="dxa"/>
            <w:vMerge/>
          </w:tcPr>
          <w:p w:rsidR="002E508F" w:rsidRDefault="002E508F">
            <w:pPr>
              <w:spacing w:after="0"/>
              <w:jc w:val="both"/>
              <w:rPr>
                <w:rFonts w:ascii="Times New Roman" w:hAnsi="Times New Roman" w:cs="Times New Roman"/>
                <w:noProof/>
                <w:sz w:val="20"/>
                <w:szCs w:val="20"/>
              </w:rPr>
            </w:pPr>
          </w:p>
        </w:tc>
        <w:tc>
          <w:tcPr>
            <w:tcW w:w="126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Hybrid-electric</w:t>
            </w:r>
          </w:p>
        </w:tc>
        <w:tc>
          <w:tcPr>
            <w:tcW w:w="126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Electric chargeable</w:t>
            </w:r>
          </w:p>
        </w:tc>
        <w:tc>
          <w:tcPr>
            <w:tcW w:w="162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Other alternative fuels</w:t>
            </w:r>
          </w:p>
        </w:tc>
        <w:tc>
          <w:tcPr>
            <w:tcW w:w="153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Total alternative fuels</w:t>
            </w:r>
          </w:p>
        </w:tc>
      </w:tr>
      <w:tr w:rsidR="002E508F">
        <w:tc>
          <w:tcPr>
            <w:tcW w:w="1326"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2014</w:t>
            </w:r>
          </w:p>
        </w:tc>
        <w:tc>
          <w:tcPr>
            <w:tcW w:w="1122"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53.6%</w:t>
            </w:r>
          </w:p>
        </w:tc>
        <w:tc>
          <w:tcPr>
            <w:tcW w:w="117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42.3%</w:t>
            </w:r>
          </w:p>
        </w:tc>
        <w:tc>
          <w:tcPr>
            <w:tcW w:w="126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1.5%</w:t>
            </w:r>
          </w:p>
        </w:tc>
        <w:tc>
          <w:tcPr>
            <w:tcW w:w="126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0.6%</w:t>
            </w:r>
          </w:p>
        </w:tc>
        <w:tc>
          <w:tcPr>
            <w:tcW w:w="162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2.0%</w:t>
            </w:r>
          </w:p>
        </w:tc>
        <w:tc>
          <w:tcPr>
            <w:tcW w:w="153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4.2%</w:t>
            </w:r>
          </w:p>
        </w:tc>
      </w:tr>
      <w:tr w:rsidR="002E508F">
        <w:tc>
          <w:tcPr>
            <w:tcW w:w="1326"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2015</w:t>
            </w:r>
          </w:p>
        </w:tc>
        <w:tc>
          <w:tcPr>
            <w:tcW w:w="1122"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52.1%</w:t>
            </w:r>
          </w:p>
        </w:tc>
        <w:tc>
          <w:tcPr>
            <w:tcW w:w="117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43.5%</w:t>
            </w:r>
          </w:p>
        </w:tc>
        <w:tc>
          <w:tcPr>
            <w:tcW w:w="126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1.7%</w:t>
            </w:r>
          </w:p>
        </w:tc>
        <w:tc>
          <w:tcPr>
            <w:tcW w:w="126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1.2%</w:t>
            </w:r>
          </w:p>
        </w:tc>
        <w:tc>
          <w:tcPr>
            <w:tcW w:w="162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1.6%</w:t>
            </w:r>
          </w:p>
        </w:tc>
        <w:tc>
          <w:tcPr>
            <w:tcW w:w="153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4.5%</w:t>
            </w:r>
          </w:p>
        </w:tc>
      </w:tr>
      <w:tr w:rsidR="002E508F">
        <w:tc>
          <w:tcPr>
            <w:tcW w:w="1326"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2016</w:t>
            </w:r>
          </w:p>
        </w:tc>
        <w:tc>
          <w:tcPr>
            <w:tcW w:w="1122"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49.9%</w:t>
            </w:r>
          </w:p>
        </w:tc>
        <w:tc>
          <w:tcPr>
            <w:tcW w:w="117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45.8%</w:t>
            </w:r>
          </w:p>
        </w:tc>
        <w:tc>
          <w:tcPr>
            <w:tcW w:w="126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1.9%</w:t>
            </w:r>
          </w:p>
        </w:tc>
        <w:tc>
          <w:tcPr>
            <w:tcW w:w="126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1.1%</w:t>
            </w:r>
          </w:p>
        </w:tc>
        <w:tc>
          <w:tcPr>
            <w:tcW w:w="162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1.2%</w:t>
            </w:r>
          </w:p>
        </w:tc>
        <w:tc>
          <w:tcPr>
            <w:tcW w:w="1530"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4.2%</w:t>
            </w:r>
          </w:p>
        </w:tc>
      </w:tr>
    </w:tbl>
    <w:p w:rsidR="002E508F" w:rsidRDefault="005D0A03">
      <w:pPr>
        <w:spacing w:line="240" w:lineRule="auto"/>
        <w:rPr>
          <w:rFonts w:ascii="Times New Roman" w:hAnsi="Times New Roman" w:cs="Times New Roman"/>
          <w:noProof/>
          <w:sz w:val="20"/>
          <w:szCs w:val="20"/>
        </w:rPr>
      </w:pPr>
      <w:r>
        <w:rPr>
          <w:rFonts w:ascii="Times New Roman" w:hAnsi="Times New Roman" w:cs="Times New Roman"/>
          <w:noProof/>
          <w:sz w:val="20"/>
          <w:szCs w:val="20"/>
        </w:rPr>
        <w:t>EU 15: AT, BE, DE, DK, ES, FI, FR, GR, IE, IT, LU, NL, PT, SE, UK.</w:t>
      </w:r>
      <w:r>
        <w:rPr>
          <w:rFonts w:ascii="Lucida Sans Unicode" w:hAnsi="Lucida Sans Unicode" w:cs="Lucida Sans Unicode"/>
          <w:noProof/>
          <w:color w:val="4D4D4D"/>
          <w:sz w:val="20"/>
          <w:szCs w:val="20"/>
          <w:shd w:val="clear" w:color="auto" w:fill="F1F1F1"/>
        </w:rPr>
        <w:br/>
      </w:r>
      <w:r>
        <w:rPr>
          <w:rFonts w:ascii="Times New Roman" w:hAnsi="Times New Roman" w:cs="Times New Roman"/>
          <w:i/>
          <w:noProof/>
          <w:sz w:val="20"/>
          <w:szCs w:val="20"/>
        </w:rPr>
        <w:t xml:space="preserve">Source: ACEA (2017) alternative fuels vehicle registration in the EU, www.acea.eu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Achievement of the average CO</w:t>
      </w:r>
      <w:r>
        <w:rPr>
          <w:rFonts w:ascii="Times New Roman" w:hAnsi="Times New Roman" w:cs="Times New Roman"/>
          <w:noProof/>
          <w:vertAlign w:val="subscript"/>
        </w:rPr>
        <w:t>2</w:t>
      </w:r>
      <w:r>
        <w:rPr>
          <w:rFonts w:ascii="Times New Roman" w:hAnsi="Times New Roman" w:cs="Times New Roman"/>
          <w:noProof/>
        </w:rPr>
        <w:t>-emission performance targets for fleets of passenger cars and vans in the EU would be helped by additional public demand for low- and zero-emission or other alternative fuels vehicles. The uncertainty about vehicle demand is visible in Member States planning for alternative fuels infrastructure: the analysis of the national policy frameworks under Directive 2014/94/EU shows strong variances in levels of ambition and clarity.</w:t>
      </w:r>
      <w:r>
        <w:rPr>
          <w:rStyle w:val="FootnoteReference"/>
          <w:rFonts w:ascii="Times New Roman" w:hAnsi="Times New Roman" w:cs="Times New Roman"/>
          <w:noProof/>
        </w:rPr>
        <w:footnoteReference w:id="17"/>
      </w:r>
      <w:r>
        <w:rPr>
          <w:rFonts w:ascii="Times New Roman" w:hAnsi="Times New Roman" w:cs="Times New Roman"/>
          <w:noProof/>
        </w:rPr>
        <w:t xml:space="preserve"> Additional public demand for clean vehicles will contribute to security of investment into recharging and refuelling infrastructure.</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In many cases, public bodies still decide on the basis of the upfront purchase price.</w:t>
      </w:r>
      <w:r>
        <w:rPr>
          <w:rStyle w:val="FootnoteReference"/>
          <w:rFonts w:ascii="Times New Roman" w:hAnsi="Times New Roman" w:cs="Times New Roman"/>
          <w:noProof/>
        </w:rPr>
        <w:footnoteReference w:id="18"/>
      </w:r>
      <w:r>
        <w:rPr>
          <w:rFonts w:ascii="Times New Roman" w:hAnsi="Times New Roman" w:cs="Times New Roman"/>
          <w:noProof/>
        </w:rPr>
        <w:t xml:space="preserve"> Purchase prices of clean vehicles are still considerably higher compared to conventionally fuelled vehicles. For example, the average purchase price of a battery-electric bus is roughly double the price of a conventionally fuelled diesel bus. A business model based on total cost of ownership can reduce the cost gap, as successful examples of larger bus fleet deployment show (box 3). Public procurement provides a framework in which to validate new operating and business models.  </w:t>
      </w:r>
    </w:p>
    <w:p w:rsidR="002E508F" w:rsidRDefault="005D0A0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 xml:space="preserve">Box 3: Examples of public procurement of clean (low- and zero-emission and other alternative fuels) buses </w:t>
      </w:r>
    </w:p>
    <w:p w:rsidR="002E508F" w:rsidRDefault="005D0A0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The majority of procurements of battery-electric buses still include contracts for fewer vehicles, mostly in view of equipping a particular bus line.</w:t>
      </w:r>
      <w:r>
        <w:rPr>
          <w:rStyle w:val="FootnoteReference"/>
          <w:rFonts w:ascii="Times New Roman" w:hAnsi="Times New Roman" w:cs="Times New Roman"/>
          <w:noProof/>
          <w:sz w:val="20"/>
          <w:szCs w:val="20"/>
        </w:rPr>
        <w:footnoteReference w:id="19"/>
      </w:r>
      <w:r>
        <w:rPr>
          <w:rFonts w:ascii="Times New Roman" w:hAnsi="Times New Roman" w:cs="Times New Roman"/>
          <w:noProof/>
          <w:sz w:val="20"/>
          <w:szCs w:val="20"/>
        </w:rPr>
        <w:t xml:space="preserve"> In a few cases, public authorities have started procure a larger number of battery-electric of fuel-cell electric buses. For example, Eindhoven and the Region of Helmond have started in 11 December 2016 a new fleet of 43 articulated electric buses (18 meter), covering 9000 km every weekday. It surpassed 1 million electric kilometres in April 2017. The city of London is operating a fleet of 73 standard electric buses (12 meter). Through joining up procurement efforts with the help of the European Fuel Cells and Hydrogen Joint Undertaking, 142 fuel-cell electric buses will be deployed across 9 locations, supporting their further commercialisation. Several cities and regions, including London, Ile-de-France Region, Berlin, Copenhagen, or Hamburg have announced to stop purchasing conventionally fuelled buses in the near-term. </w:t>
      </w:r>
    </w:p>
    <w:p w:rsidR="002E508F" w:rsidRDefault="005D0A03">
      <w:pPr>
        <w:pStyle w:val="Heading3"/>
        <w:rPr>
          <w:noProof/>
        </w:rPr>
      </w:pPr>
      <w:bookmarkStart w:id="11" w:name="_Toc497141468"/>
      <w:r>
        <w:rPr>
          <w:noProof/>
        </w:rPr>
        <w:t>Implication: no real impact on reducing GHG and air pollutant emissions from transport and increasing energy efficiency</w:t>
      </w:r>
      <w:bookmarkEnd w:id="11"/>
    </w:p>
    <w:p w:rsidR="002E508F" w:rsidRDefault="005D0A03">
      <w:pPr>
        <w:pStyle w:val="Caption"/>
        <w:spacing w:before="0" w:after="200" w:line="240" w:lineRule="auto"/>
        <w:jc w:val="both"/>
        <w:rPr>
          <w:rFonts w:ascii="Times New Roman" w:hAnsi="Times New Roman" w:cs="Times New Roman"/>
          <w:iCs/>
          <w:noProof/>
        </w:rPr>
      </w:pPr>
      <w:r>
        <w:rPr>
          <w:rFonts w:ascii="Times New Roman" w:hAnsi="Times New Roman" w:cs="Times New Roman"/>
          <w:b w:val="0"/>
          <w:bCs/>
          <w:iCs/>
          <w:noProof/>
        </w:rPr>
        <w:t>The transport sector was responsible for 24% of EU greenhouse gas emissions in 2015</w:t>
      </w:r>
      <w:r>
        <w:rPr>
          <w:rFonts w:ascii="Times New Roman" w:hAnsi="Times New Roman" w:cs="Times New Roman"/>
          <w:b w:val="0"/>
          <w:bCs/>
          <w:iCs/>
          <w:noProof/>
          <w:lang w:val="en-US"/>
        </w:rPr>
        <w:t>;</w:t>
      </w:r>
      <w:r>
        <w:rPr>
          <w:rFonts w:ascii="Times New Roman" w:hAnsi="Times New Roman" w:cs="Times New Roman"/>
          <w:b w:val="0"/>
          <w:bCs/>
          <w:iCs/>
          <w:noProof/>
        </w:rPr>
        <w:t xml:space="preserve"> road transport accounted for 73% of the </w:t>
      </w:r>
      <w:r>
        <w:rPr>
          <w:rFonts w:ascii="Times New Roman" w:hAnsi="Times New Roman" w:cs="Times New Roman"/>
          <w:b w:val="0"/>
          <w:bCs/>
          <w:iCs/>
          <w:noProof/>
          <w:lang w:val="en-US"/>
        </w:rPr>
        <w:t xml:space="preserve">transport </w:t>
      </w:r>
      <w:r>
        <w:rPr>
          <w:rFonts w:ascii="Times New Roman" w:hAnsi="Times New Roman" w:cs="Times New Roman"/>
          <w:b w:val="0"/>
          <w:bCs/>
          <w:iCs/>
          <w:noProof/>
        </w:rPr>
        <w:t>emissions</w:t>
      </w:r>
      <w:r>
        <w:rPr>
          <w:rFonts w:ascii="Times New Roman" w:hAnsi="Times New Roman" w:cs="Times New Roman"/>
          <w:b w:val="0"/>
          <w:bCs/>
          <w:iCs/>
          <w:noProof/>
          <w:lang w:val="en-US"/>
        </w:rPr>
        <w:t>.</w:t>
      </w:r>
      <w:r>
        <w:rPr>
          <w:rStyle w:val="FootnoteReference"/>
          <w:rFonts w:ascii="Times New Roman" w:hAnsi="Times New Roman" w:cs="Times New Roman"/>
          <w:b w:val="0"/>
          <w:bCs/>
          <w:iCs/>
          <w:noProof/>
          <w:lang w:val="en-US"/>
        </w:rPr>
        <w:footnoteReference w:id="20"/>
      </w:r>
      <w:r>
        <w:rPr>
          <w:rStyle w:val="FootnoteReference"/>
          <w:rFonts w:ascii="Times New Roman" w:hAnsi="Times New Roman" w:cs="Times New Roman"/>
          <w:b w:val="0"/>
          <w:iCs/>
          <w:noProof/>
        </w:rPr>
        <w:t xml:space="preserve"> </w:t>
      </w:r>
      <w:r>
        <w:rPr>
          <w:rFonts w:ascii="Times New Roman" w:hAnsi="Times New Roman" w:cs="Times New Roman"/>
          <w:b w:val="0"/>
          <w:bCs/>
          <w:iCs/>
          <w:noProof/>
          <w:lang w:val="en-US"/>
        </w:rPr>
        <w:t xml:space="preserve">Emissions </w:t>
      </w:r>
      <w:r>
        <w:rPr>
          <w:rFonts w:ascii="Times New Roman" w:hAnsi="Times New Roman" w:cs="Times New Roman"/>
          <w:b w:val="0"/>
          <w:bCs/>
          <w:iCs/>
          <w:noProof/>
        </w:rPr>
        <w:t>from road transport in 2015 were still 19% higher than in 1990, despite the decrease observed between 2007 and 2013.</w:t>
      </w:r>
      <w:r>
        <w:rPr>
          <w:rStyle w:val="FootnoteReference"/>
          <w:rFonts w:ascii="Times New Roman" w:hAnsi="Times New Roman" w:cs="Times New Roman"/>
          <w:b w:val="0"/>
          <w:bCs/>
          <w:iCs/>
          <w:noProof/>
        </w:rPr>
        <w:footnoteReference w:id="21"/>
      </w:r>
      <w:r>
        <w:rPr>
          <w:rFonts w:ascii="Times New Roman" w:hAnsi="Times New Roman" w:cs="Times New Roman"/>
          <w:b w:val="0"/>
          <w:noProof/>
        </w:rPr>
        <w:t xml:space="preserve">The ex-post evaluation analysed the contribution from publicly procured vehicles under the Clean Vehicles Directive to emission reduction and energy efficiency increase in transport. It found them to be largely limited: </w:t>
      </w:r>
    </w:p>
    <w:p w:rsidR="002E508F" w:rsidRDefault="005D0A03">
      <w:pPr>
        <w:pStyle w:val="ListParagraph"/>
        <w:numPr>
          <w:ilvl w:val="0"/>
          <w:numId w:val="35"/>
        </w:numPr>
        <w:spacing w:after="0" w:line="240" w:lineRule="auto"/>
        <w:ind w:left="714" w:hanging="357"/>
        <w:contextualSpacing w:val="0"/>
        <w:jc w:val="both"/>
        <w:rPr>
          <w:rFonts w:ascii="Times New Roman" w:hAnsi="Times New Roman" w:cs="Times New Roman"/>
          <w:noProof/>
        </w:rPr>
      </w:pPr>
      <w:r>
        <w:rPr>
          <w:rFonts w:ascii="Times New Roman" w:hAnsi="Times New Roman" w:cs="Times New Roman"/>
          <w:i/>
          <w:noProof/>
        </w:rPr>
        <w:t>Impact on CO</w:t>
      </w:r>
      <w:r>
        <w:rPr>
          <w:rFonts w:ascii="Times New Roman" w:hAnsi="Times New Roman" w:cs="Times New Roman"/>
          <w:i/>
          <w:noProof/>
          <w:vertAlign w:val="subscript"/>
        </w:rPr>
        <w:t>2</w:t>
      </w:r>
      <w:r>
        <w:rPr>
          <w:rFonts w:ascii="Times New Roman" w:hAnsi="Times New Roman" w:cs="Times New Roman"/>
          <w:i/>
          <w:noProof/>
        </w:rPr>
        <w:t>-emissions</w:t>
      </w:r>
      <w:r>
        <w:rPr>
          <w:rFonts w:ascii="Times New Roman" w:hAnsi="Times New Roman" w:cs="Times New Roman"/>
          <w:noProof/>
        </w:rPr>
        <w:t>: A maximum 5.5% improvement in tank-to-wheel emissions for publicly procured passenger cars and 2.3% for vans compared to the baseline was estimated.</w:t>
      </w:r>
      <w:r>
        <w:rPr>
          <w:rStyle w:val="FootnoteReference"/>
          <w:rFonts w:ascii="Times New Roman" w:hAnsi="Times New Roman" w:cs="Times New Roman"/>
          <w:noProof/>
        </w:rPr>
        <w:footnoteReference w:id="22"/>
      </w:r>
      <w:r>
        <w:rPr>
          <w:rFonts w:ascii="Times New Roman" w:hAnsi="Times New Roman" w:cs="Times New Roman"/>
          <w:noProof/>
        </w:rPr>
        <w:t xml:space="preserve"> No change in performance compared to the baseline was detected for heavy-duty vehicles. </w:t>
      </w:r>
    </w:p>
    <w:p w:rsidR="002E508F" w:rsidRDefault="005D0A03">
      <w:pPr>
        <w:pStyle w:val="ListParagraph"/>
        <w:numPr>
          <w:ilvl w:val="0"/>
          <w:numId w:val="35"/>
        </w:numPr>
        <w:spacing w:before="120" w:after="120" w:line="240" w:lineRule="auto"/>
        <w:ind w:left="714" w:hanging="357"/>
        <w:contextualSpacing w:val="0"/>
        <w:jc w:val="both"/>
        <w:rPr>
          <w:rFonts w:ascii="Times New Roman" w:hAnsi="Times New Roman" w:cs="Times New Roman"/>
          <w:noProof/>
        </w:rPr>
      </w:pPr>
      <w:r>
        <w:rPr>
          <w:rFonts w:ascii="Times New Roman" w:hAnsi="Times New Roman" w:cs="Times New Roman"/>
          <w:i/>
          <w:noProof/>
        </w:rPr>
        <w:t>Impact on air pollutants:</w:t>
      </w:r>
      <w:r>
        <w:rPr>
          <w:rFonts w:ascii="Times New Roman" w:hAnsi="Times New Roman" w:cs="Times New Roman"/>
          <w:noProof/>
        </w:rPr>
        <w:t xml:space="preserve"> No effects on NMHC, NOx and PM emissions for passenger cars and only a marginal impact (0.01%) for vans, trucks and buses were estimated.</w:t>
      </w:r>
      <w:r>
        <w:rPr>
          <w:rStyle w:val="FootnoteReference"/>
          <w:rFonts w:ascii="Times New Roman" w:hAnsi="Times New Roman" w:cs="Times New Roman"/>
          <w:noProof/>
        </w:rPr>
        <w:footnoteReference w:id="23"/>
      </w:r>
      <w:r>
        <w:rPr>
          <w:rFonts w:ascii="Times New Roman" w:hAnsi="Times New Roman" w:cs="Times New Roman"/>
          <w:noProof/>
        </w:rPr>
        <w:t xml:space="preserve"> The transport sector is the biggest contributor to NO</w:t>
      </w:r>
      <w:r>
        <w:rPr>
          <w:rFonts w:ascii="Times New Roman" w:hAnsi="Times New Roman" w:cs="Times New Roman"/>
          <w:noProof/>
          <w:vertAlign w:val="subscript"/>
        </w:rPr>
        <w:t>x</w:t>
      </w:r>
      <w:r>
        <w:rPr>
          <w:rFonts w:ascii="Times New Roman" w:hAnsi="Times New Roman" w:cs="Times New Roman"/>
          <w:noProof/>
        </w:rPr>
        <w:t xml:space="preserve"> emissions (46% of overall EU emissions in 2014).  </w:t>
      </w:r>
    </w:p>
    <w:p w:rsidR="002E508F" w:rsidRDefault="005D0A03">
      <w:pPr>
        <w:pStyle w:val="ListParagraph"/>
        <w:numPr>
          <w:ilvl w:val="0"/>
          <w:numId w:val="35"/>
        </w:numPr>
        <w:spacing w:line="240" w:lineRule="auto"/>
        <w:contextualSpacing w:val="0"/>
        <w:jc w:val="both"/>
        <w:rPr>
          <w:rFonts w:ascii="Times New Roman" w:hAnsi="Times New Roman" w:cs="Times New Roman"/>
          <w:noProof/>
        </w:rPr>
      </w:pPr>
      <w:r>
        <w:rPr>
          <w:rFonts w:ascii="Times New Roman" w:hAnsi="Times New Roman" w:cs="Times New Roman"/>
          <w:i/>
          <w:noProof/>
        </w:rPr>
        <w:t>Impact on energy efficiency:</w:t>
      </w:r>
      <w:r>
        <w:rPr>
          <w:rFonts w:ascii="Times New Roman" w:hAnsi="Times New Roman" w:cs="Times New Roman"/>
          <w:noProof/>
        </w:rPr>
        <w:t xml:space="preserve"> The "Clean Vehicles" Directive had affected up to 1.8 percent of the overall fuel-efficient vehicles sales in the EU. Depending on the type of vehicle, trade-offs between energy-efficiency increase and air pollution impacts have to be considered.</w:t>
      </w:r>
      <w:r>
        <w:rPr>
          <w:rStyle w:val="FootnoteReference"/>
          <w:rFonts w:ascii="Times New Roman" w:hAnsi="Times New Roman" w:cs="Times New Roman"/>
          <w:noProof/>
        </w:rPr>
        <w:footnoteReference w:id="24"/>
      </w:r>
    </w:p>
    <w:p w:rsidR="002E508F" w:rsidRDefault="005D0A03">
      <w:pPr>
        <w:pStyle w:val="Heading3"/>
        <w:rPr>
          <w:noProof/>
        </w:rPr>
      </w:pPr>
      <w:bookmarkStart w:id="12" w:name="_Toc497141469"/>
      <w:r>
        <w:rPr>
          <w:noProof/>
        </w:rPr>
        <w:t>Implication: No real support to EU industry competitiveness and growth</w:t>
      </w:r>
      <w:bookmarkEnd w:id="12"/>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ex-post evaluation indicated that the volume of procurements targeted by the Directive amounted up to EUR 13.7 billion annually.</w:t>
      </w:r>
      <w:r>
        <w:rPr>
          <w:rStyle w:val="FootnoteReference"/>
          <w:rFonts w:ascii="Times New Roman" w:hAnsi="Times New Roman" w:cs="Times New Roman"/>
          <w:noProof/>
        </w:rPr>
        <w:footnoteReference w:id="25"/>
      </w:r>
      <w:r>
        <w:rPr>
          <w:rFonts w:ascii="Times New Roman" w:hAnsi="Times New Roman" w:cs="Times New Roman"/>
          <w:noProof/>
        </w:rPr>
        <w:t xml:space="preserve"> Compared to other policy levers, public procurement exercises a limited impact on innovation in light-duty vehicle technologies. It impacts more strongly the heavy duty transport market, particularly buses, but also special service trucks (e.g. waste collection). Lack of public demand can have an impact on competitiveness of this industry. In the ex-post evaluation, a survey was carried out with 36 contractors that supply vehicles to public authorities (table 2.3). Only a few mentioned that the Directive has had a considerable impact (and here in the area of trucks). A majority in the survey noted that the Directive either had no impact at all or only little impact; most often, respondents answered with "do not know", which indicates a low level of awareness about the Directive itself. </w:t>
      </w:r>
    </w:p>
    <w:p w:rsidR="002E508F" w:rsidRDefault="005D0A03">
      <w:pPr>
        <w:spacing w:line="240" w:lineRule="auto"/>
        <w:ind w:left="1418" w:hanging="1418"/>
        <w:jc w:val="both"/>
        <w:rPr>
          <w:rFonts w:ascii="Times New Roman" w:hAnsi="Times New Roman" w:cs="Times New Roman"/>
          <w:noProof/>
        </w:rPr>
      </w:pPr>
      <w:r>
        <w:rPr>
          <w:rFonts w:ascii="Times New Roman" w:hAnsi="Times New Roman" w:cs="Times New Roman"/>
          <w:b/>
          <w:noProof/>
          <w:sz w:val="20"/>
          <w:szCs w:val="20"/>
        </w:rPr>
        <w:t xml:space="preserve">Table 2.3: </w:t>
      </w:r>
      <w:r>
        <w:rPr>
          <w:rFonts w:ascii="Times New Roman" w:hAnsi="Times New Roman" w:cs="Times New Roman"/>
          <w:b/>
          <w:noProof/>
          <w:sz w:val="20"/>
          <w:szCs w:val="20"/>
        </w:rPr>
        <w:tab/>
        <w:t>Impact of Clean Vehicles Directive on the sales and deliveries of clean vehicles to public bodies by vehicle suppliers (n=36)</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04"/>
        <w:gridCol w:w="1336"/>
        <w:gridCol w:w="1337"/>
        <w:gridCol w:w="1337"/>
        <w:gridCol w:w="1337"/>
        <w:gridCol w:w="1337"/>
      </w:tblGrid>
      <w:tr w:rsidR="002E508F">
        <w:tc>
          <w:tcPr>
            <w:tcW w:w="2604" w:type="dxa"/>
            <w:tcBorders>
              <w:top w:val="single" w:sz="4" w:space="0" w:color="auto"/>
              <w:bottom w:val="single" w:sz="4" w:space="0" w:color="auto"/>
            </w:tcBorders>
          </w:tcPr>
          <w:p w:rsidR="002E508F" w:rsidRDefault="005D0A03">
            <w:pPr>
              <w:spacing w:after="0"/>
              <w:rPr>
                <w:rFonts w:ascii="Times New Roman" w:hAnsi="Times New Roman" w:cs="Times New Roman"/>
                <w:b/>
                <w:noProof/>
                <w:sz w:val="20"/>
                <w:szCs w:val="20"/>
              </w:rPr>
            </w:pPr>
            <w:r>
              <w:rPr>
                <w:rFonts w:ascii="Times New Roman" w:hAnsi="Times New Roman" w:cs="Times New Roman"/>
                <w:b/>
                <w:noProof/>
                <w:sz w:val="20"/>
                <w:szCs w:val="20"/>
              </w:rPr>
              <w:t>Types of vehicles</w:t>
            </w:r>
          </w:p>
        </w:tc>
        <w:tc>
          <w:tcPr>
            <w:tcW w:w="1336" w:type="dxa"/>
            <w:tcBorders>
              <w:top w:val="single" w:sz="4" w:space="0" w:color="auto"/>
              <w:bottom w:val="single" w:sz="4" w:space="0" w:color="auto"/>
            </w:tcBorders>
          </w:tcPr>
          <w:p w:rsidR="002E508F" w:rsidRDefault="005D0A03">
            <w:pPr>
              <w:spacing w:after="0"/>
              <w:jc w:val="center"/>
              <w:rPr>
                <w:rFonts w:ascii="Times New Roman" w:hAnsi="Times New Roman" w:cs="Times New Roman"/>
                <w:b/>
                <w:noProof/>
                <w:sz w:val="20"/>
                <w:szCs w:val="20"/>
              </w:rPr>
            </w:pPr>
            <w:r>
              <w:rPr>
                <w:rFonts w:ascii="Times New Roman" w:hAnsi="Times New Roman" w:cs="Times New Roman"/>
                <w:b/>
                <w:noProof/>
                <w:sz w:val="20"/>
                <w:szCs w:val="20"/>
              </w:rPr>
              <w:t>Not at all</w:t>
            </w:r>
          </w:p>
        </w:tc>
        <w:tc>
          <w:tcPr>
            <w:tcW w:w="1337" w:type="dxa"/>
            <w:tcBorders>
              <w:top w:val="single" w:sz="4" w:space="0" w:color="auto"/>
              <w:bottom w:val="single" w:sz="4" w:space="0" w:color="auto"/>
            </w:tcBorders>
          </w:tcPr>
          <w:p w:rsidR="002E508F" w:rsidRDefault="005D0A03">
            <w:pPr>
              <w:spacing w:after="0"/>
              <w:jc w:val="center"/>
              <w:rPr>
                <w:rFonts w:ascii="Times New Roman" w:hAnsi="Times New Roman" w:cs="Times New Roman"/>
                <w:b/>
                <w:noProof/>
                <w:sz w:val="20"/>
                <w:szCs w:val="20"/>
              </w:rPr>
            </w:pPr>
            <w:r>
              <w:rPr>
                <w:rFonts w:ascii="Times New Roman" w:hAnsi="Times New Roman" w:cs="Times New Roman"/>
                <w:b/>
                <w:noProof/>
                <w:sz w:val="20"/>
                <w:szCs w:val="20"/>
              </w:rPr>
              <w:t>A little</w:t>
            </w:r>
          </w:p>
        </w:tc>
        <w:tc>
          <w:tcPr>
            <w:tcW w:w="1337" w:type="dxa"/>
            <w:tcBorders>
              <w:top w:val="single" w:sz="4" w:space="0" w:color="auto"/>
              <w:bottom w:val="single" w:sz="4" w:space="0" w:color="auto"/>
            </w:tcBorders>
          </w:tcPr>
          <w:p w:rsidR="002E508F" w:rsidRDefault="005D0A03">
            <w:pPr>
              <w:spacing w:after="0"/>
              <w:jc w:val="center"/>
              <w:rPr>
                <w:rFonts w:ascii="Times New Roman" w:hAnsi="Times New Roman" w:cs="Times New Roman"/>
                <w:b/>
                <w:noProof/>
                <w:sz w:val="20"/>
                <w:szCs w:val="20"/>
              </w:rPr>
            </w:pPr>
            <w:r>
              <w:rPr>
                <w:rFonts w:ascii="Times New Roman" w:hAnsi="Times New Roman" w:cs="Times New Roman"/>
                <w:b/>
                <w:noProof/>
                <w:sz w:val="20"/>
                <w:szCs w:val="20"/>
              </w:rPr>
              <w:t>A moderate amount</w:t>
            </w:r>
          </w:p>
        </w:tc>
        <w:tc>
          <w:tcPr>
            <w:tcW w:w="1337" w:type="dxa"/>
            <w:tcBorders>
              <w:top w:val="single" w:sz="4" w:space="0" w:color="auto"/>
              <w:bottom w:val="single" w:sz="4" w:space="0" w:color="auto"/>
            </w:tcBorders>
          </w:tcPr>
          <w:p w:rsidR="002E508F" w:rsidRDefault="005D0A03">
            <w:pPr>
              <w:spacing w:after="0"/>
              <w:jc w:val="center"/>
              <w:rPr>
                <w:rFonts w:ascii="Times New Roman" w:hAnsi="Times New Roman" w:cs="Times New Roman"/>
                <w:b/>
                <w:noProof/>
                <w:sz w:val="20"/>
                <w:szCs w:val="20"/>
              </w:rPr>
            </w:pPr>
            <w:r>
              <w:rPr>
                <w:rFonts w:ascii="Times New Roman" w:hAnsi="Times New Roman" w:cs="Times New Roman"/>
                <w:b/>
                <w:noProof/>
                <w:sz w:val="20"/>
                <w:szCs w:val="20"/>
              </w:rPr>
              <w:t>A great deal</w:t>
            </w:r>
          </w:p>
        </w:tc>
        <w:tc>
          <w:tcPr>
            <w:tcW w:w="1337" w:type="dxa"/>
            <w:tcBorders>
              <w:top w:val="single" w:sz="4" w:space="0" w:color="auto"/>
              <w:bottom w:val="single" w:sz="4" w:space="0" w:color="auto"/>
            </w:tcBorders>
          </w:tcPr>
          <w:p w:rsidR="002E508F" w:rsidRDefault="005D0A03">
            <w:pPr>
              <w:spacing w:after="0"/>
              <w:jc w:val="center"/>
              <w:rPr>
                <w:rFonts w:ascii="Times New Roman" w:hAnsi="Times New Roman" w:cs="Times New Roman"/>
                <w:b/>
                <w:noProof/>
                <w:sz w:val="20"/>
                <w:szCs w:val="20"/>
              </w:rPr>
            </w:pPr>
            <w:r>
              <w:rPr>
                <w:rFonts w:ascii="Times New Roman" w:hAnsi="Times New Roman" w:cs="Times New Roman"/>
                <w:b/>
                <w:noProof/>
                <w:sz w:val="20"/>
                <w:szCs w:val="20"/>
              </w:rPr>
              <w:t>Do not know</w:t>
            </w:r>
          </w:p>
        </w:tc>
      </w:tr>
      <w:tr w:rsidR="002E508F">
        <w:tc>
          <w:tcPr>
            <w:tcW w:w="2604" w:type="dxa"/>
            <w:tcBorders>
              <w:top w:val="single" w:sz="4" w:space="0" w:color="auto"/>
            </w:tcBorders>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Passenger cars</w:t>
            </w:r>
          </w:p>
        </w:tc>
        <w:tc>
          <w:tcPr>
            <w:tcW w:w="1336" w:type="dxa"/>
            <w:tcBorders>
              <w:top w:val="single" w:sz="4" w:space="0" w:color="auto"/>
            </w:tcBorders>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6</w:t>
            </w:r>
          </w:p>
        </w:tc>
        <w:tc>
          <w:tcPr>
            <w:tcW w:w="1337" w:type="dxa"/>
            <w:tcBorders>
              <w:top w:val="single" w:sz="4" w:space="0" w:color="auto"/>
            </w:tcBorders>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3</w:t>
            </w:r>
          </w:p>
        </w:tc>
        <w:tc>
          <w:tcPr>
            <w:tcW w:w="1337" w:type="dxa"/>
            <w:tcBorders>
              <w:top w:val="single" w:sz="4" w:space="0" w:color="auto"/>
            </w:tcBorders>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1337" w:type="dxa"/>
            <w:tcBorders>
              <w:top w:val="single" w:sz="4" w:space="0" w:color="auto"/>
            </w:tcBorders>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0</w:t>
            </w:r>
          </w:p>
        </w:tc>
        <w:tc>
          <w:tcPr>
            <w:tcW w:w="1337" w:type="dxa"/>
            <w:tcBorders>
              <w:top w:val="single" w:sz="4" w:space="0" w:color="auto"/>
            </w:tcBorders>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12</w:t>
            </w:r>
          </w:p>
        </w:tc>
      </w:tr>
      <w:tr w:rsidR="002E508F">
        <w:tc>
          <w:tcPr>
            <w:tcW w:w="2604"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Buses or coaches</w:t>
            </w:r>
          </w:p>
        </w:tc>
        <w:tc>
          <w:tcPr>
            <w:tcW w:w="1336" w:type="dxa"/>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5</w:t>
            </w:r>
          </w:p>
        </w:tc>
        <w:tc>
          <w:tcPr>
            <w:tcW w:w="1337" w:type="dxa"/>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3</w:t>
            </w:r>
          </w:p>
        </w:tc>
        <w:tc>
          <w:tcPr>
            <w:tcW w:w="1337" w:type="dxa"/>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1337" w:type="dxa"/>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0</w:t>
            </w:r>
          </w:p>
        </w:tc>
        <w:tc>
          <w:tcPr>
            <w:tcW w:w="1337" w:type="dxa"/>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15</w:t>
            </w:r>
          </w:p>
        </w:tc>
      </w:tr>
      <w:tr w:rsidR="002E508F">
        <w:tc>
          <w:tcPr>
            <w:tcW w:w="2604"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 xml:space="preserve">Light (&lt;3.5 t) commercial vehicles </w:t>
            </w:r>
          </w:p>
        </w:tc>
        <w:tc>
          <w:tcPr>
            <w:tcW w:w="1336" w:type="dxa"/>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6</w:t>
            </w:r>
          </w:p>
        </w:tc>
        <w:tc>
          <w:tcPr>
            <w:tcW w:w="1337" w:type="dxa"/>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5</w:t>
            </w:r>
          </w:p>
        </w:tc>
        <w:tc>
          <w:tcPr>
            <w:tcW w:w="1337" w:type="dxa"/>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3</w:t>
            </w:r>
          </w:p>
        </w:tc>
        <w:tc>
          <w:tcPr>
            <w:tcW w:w="1337" w:type="dxa"/>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1337" w:type="dxa"/>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9</w:t>
            </w:r>
          </w:p>
        </w:tc>
      </w:tr>
      <w:tr w:rsidR="002E508F">
        <w:tc>
          <w:tcPr>
            <w:tcW w:w="2604" w:type="dxa"/>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Heavy good vehicles (trucks other than waste)</w:t>
            </w:r>
          </w:p>
        </w:tc>
        <w:tc>
          <w:tcPr>
            <w:tcW w:w="1336" w:type="dxa"/>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4</w:t>
            </w:r>
          </w:p>
        </w:tc>
        <w:tc>
          <w:tcPr>
            <w:tcW w:w="1337" w:type="dxa"/>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5</w:t>
            </w:r>
          </w:p>
        </w:tc>
        <w:tc>
          <w:tcPr>
            <w:tcW w:w="1337" w:type="dxa"/>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1337" w:type="dxa"/>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1337" w:type="dxa"/>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13</w:t>
            </w:r>
          </w:p>
        </w:tc>
      </w:tr>
      <w:tr w:rsidR="002E508F">
        <w:tc>
          <w:tcPr>
            <w:tcW w:w="2604" w:type="dxa"/>
            <w:tcBorders>
              <w:bottom w:val="single" w:sz="4" w:space="0" w:color="auto"/>
            </w:tcBorders>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Special service vehicles – waste collection and trucks</w:t>
            </w:r>
          </w:p>
        </w:tc>
        <w:tc>
          <w:tcPr>
            <w:tcW w:w="1336" w:type="dxa"/>
            <w:tcBorders>
              <w:bottom w:val="single" w:sz="4" w:space="0" w:color="auto"/>
            </w:tcBorders>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11</w:t>
            </w:r>
          </w:p>
        </w:tc>
        <w:tc>
          <w:tcPr>
            <w:tcW w:w="1337" w:type="dxa"/>
            <w:tcBorders>
              <w:bottom w:val="single" w:sz="4" w:space="0" w:color="auto"/>
            </w:tcBorders>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4</w:t>
            </w:r>
          </w:p>
        </w:tc>
        <w:tc>
          <w:tcPr>
            <w:tcW w:w="1337" w:type="dxa"/>
            <w:tcBorders>
              <w:bottom w:val="single" w:sz="4" w:space="0" w:color="auto"/>
            </w:tcBorders>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6</w:t>
            </w:r>
          </w:p>
        </w:tc>
        <w:tc>
          <w:tcPr>
            <w:tcW w:w="1337" w:type="dxa"/>
            <w:tcBorders>
              <w:bottom w:val="single" w:sz="4" w:space="0" w:color="auto"/>
            </w:tcBorders>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3</w:t>
            </w:r>
          </w:p>
        </w:tc>
        <w:tc>
          <w:tcPr>
            <w:tcW w:w="1337" w:type="dxa"/>
            <w:tcBorders>
              <w:bottom w:val="single" w:sz="4" w:space="0" w:color="auto"/>
            </w:tcBorders>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10</w:t>
            </w:r>
          </w:p>
        </w:tc>
      </w:tr>
      <w:tr w:rsidR="002E508F">
        <w:tc>
          <w:tcPr>
            <w:tcW w:w="2604" w:type="dxa"/>
            <w:tcBorders>
              <w:top w:val="single" w:sz="4" w:space="0" w:color="auto"/>
              <w:bottom w:val="single" w:sz="4" w:space="0" w:color="auto"/>
            </w:tcBorders>
          </w:tcPr>
          <w:p w:rsidR="002E508F" w:rsidRDefault="005D0A03">
            <w:pPr>
              <w:spacing w:after="0"/>
              <w:jc w:val="both"/>
              <w:rPr>
                <w:rFonts w:ascii="Times New Roman" w:hAnsi="Times New Roman" w:cs="Times New Roman"/>
                <w:noProof/>
                <w:sz w:val="20"/>
                <w:szCs w:val="20"/>
              </w:rPr>
            </w:pPr>
            <w:r>
              <w:rPr>
                <w:rFonts w:ascii="Times New Roman" w:hAnsi="Times New Roman" w:cs="Times New Roman"/>
                <w:noProof/>
                <w:sz w:val="20"/>
                <w:szCs w:val="20"/>
              </w:rPr>
              <w:t>Special emergency vehicles</w:t>
            </w:r>
          </w:p>
        </w:tc>
        <w:tc>
          <w:tcPr>
            <w:tcW w:w="1336" w:type="dxa"/>
            <w:tcBorders>
              <w:top w:val="single" w:sz="4" w:space="0" w:color="auto"/>
              <w:bottom w:val="single" w:sz="4" w:space="0" w:color="auto"/>
            </w:tcBorders>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5</w:t>
            </w:r>
          </w:p>
        </w:tc>
        <w:tc>
          <w:tcPr>
            <w:tcW w:w="1337" w:type="dxa"/>
            <w:tcBorders>
              <w:top w:val="single" w:sz="4" w:space="0" w:color="auto"/>
              <w:bottom w:val="single" w:sz="4" w:space="0" w:color="auto"/>
            </w:tcBorders>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4</w:t>
            </w:r>
          </w:p>
        </w:tc>
        <w:tc>
          <w:tcPr>
            <w:tcW w:w="1337" w:type="dxa"/>
            <w:tcBorders>
              <w:top w:val="single" w:sz="4" w:space="0" w:color="auto"/>
              <w:bottom w:val="single" w:sz="4" w:space="0" w:color="auto"/>
            </w:tcBorders>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1337" w:type="dxa"/>
            <w:tcBorders>
              <w:top w:val="single" w:sz="4" w:space="0" w:color="auto"/>
              <w:bottom w:val="single" w:sz="4" w:space="0" w:color="auto"/>
            </w:tcBorders>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0</w:t>
            </w:r>
          </w:p>
        </w:tc>
        <w:tc>
          <w:tcPr>
            <w:tcW w:w="1337" w:type="dxa"/>
            <w:tcBorders>
              <w:top w:val="single" w:sz="4" w:space="0" w:color="auto"/>
              <w:bottom w:val="single" w:sz="4" w:space="0" w:color="auto"/>
            </w:tcBorders>
          </w:tcPr>
          <w:p w:rsidR="002E508F" w:rsidRDefault="005D0A03">
            <w:pPr>
              <w:spacing w:after="0"/>
              <w:jc w:val="center"/>
              <w:rPr>
                <w:rFonts w:ascii="Times New Roman" w:hAnsi="Times New Roman" w:cs="Times New Roman"/>
                <w:noProof/>
                <w:sz w:val="20"/>
                <w:szCs w:val="20"/>
              </w:rPr>
            </w:pPr>
            <w:r>
              <w:rPr>
                <w:rFonts w:ascii="Times New Roman" w:hAnsi="Times New Roman" w:cs="Times New Roman"/>
                <w:noProof/>
                <w:sz w:val="20"/>
                <w:szCs w:val="20"/>
              </w:rPr>
              <w:t>12</w:t>
            </w:r>
          </w:p>
        </w:tc>
      </w:tr>
    </w:tbl>
    <w:p w:rsidR="002E508F" w:rsidRDefault="005D0A03">
      <w:pPr>
        <w:spacing w:line="240" w:lineRule="auto"/>
        <w:jc w:val="both"/>
        <w:rPr>
          <w:rFonts w:ascii="Times New Roman" w:hAnsi="Times New Roman" w:cs="Times New Roman"/>
          <w:i/>
          <w:noProof/>
        </w:rPr>
      </w:pPr>
      <w:r>
        <w:rPr>
          <w:rFonts w:ascii="Times New Roman" w:hAnsi="Times New Roman" w:cs="Times New Roman"/>
          <w:noProof/>
        </w:rPr>
        <w:t xml:space="preserve">   </w:t>
      </w:r>
      <w:r>
        <w:rPr>
          <w:rFonts w:ascii="Times New Roman" w:hAnsi="Times New Roman" w:cs="Times New Roman"/>
          <w:i/>
          <w:noProof/>
        </w:rPr>
        <w:t xml:space="preserve">Source: ex-post evaluation of the Clean Vehicles Directive, Brannigan et al, 2015, a.a.o. </w:t>
      </w:r>
    </w:p>
    <w:p w:rsidR="002E508F" w:rsidRDefault="005D0A03">
      <w:pPr>
        <w:spacing w:line="240" w:lineRule="auto"/>
        <w:jc w:val="both"/>
        <w:rPr>
          <w:rFonts w:ascii="Times New Roman" w:hAnsi="Times New Roman" w:cs="Times New Roman"/>
          <w:noProof/>
        </w:rPr>
      </w:pPr>
      <w:r>
        <w:rPr>
          <w:rFonts w:ascii="Times New Roman" w:hAnsi="Times New Roman" w:cs="Times New Roman"/>
          <w:b/>
          <w:noProof/>
          <w:sz w:val="20"/>
          <w:szCs w:val="20"/>
        </w:rPr>
        <w:br w:type="page"/>
      </w:r>
      <w:r>
        <w:rPr>
          <w:rFonts w:ascii="Times New Roman" w:hAnsi="Times New Roman" w:cs="Times New Roman"/>
          <w:noProof/>
        </w:rPr>
        <w:t>European manufacturers have not switched to larger manufacturing capacity for alternatively felled vehicles, and particularly battery-electric vehicles yet. While the EU could catch up to other regions with respect to producing vehicles, this is not true for all parts of the value chain, including particularly decisive parts such as batteries.</w:t>
      </w:r>
      <w:r>
        <w:rPr>
          <w:rStyle w:val="FootnoteReference"/>
          <w:rFonts w:ascii="Times New Roman" w:hAnsi="Times New Roman" w:cs="Times New Roman"/>
          <w:noProof/>
        </w:rPr>
        <w:footnoteReference w:id="26"/>
      </w:r>
      <w:r>
        <w:rPr>
          <w:rFonts w:ascii="Times New Roman" w:hAnsi="Times New Roman" w:cs="Times New Roman"/>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Taking the example of battery-electric vehicles, global market developments are driven by markets in China, the United States and a few European markets (see figure 2.3). Over the past years, competitiveness of international competitors in all segments of the market has grown. In 2016, China surpassed the United States in total electric care stock, with a rapidly growing market for battery-electric vehicles that supports domestic manufacturers. China and the US together account for approximately 60% of the global market and the EU for approximately 28%. </w:t>
      </w:r>
      <w:r>
        <w:rPr>
          <w:rFonts w:ascii="Times New Roman" w:hAnsi="Times New Roman" w:cs="Times New Roman"/>
          <w:noProof/>
          <w:lang w:eastAsia="en-GB"/>
        </w:rPr>
        <w:t>According to the International Energy Agency, around 70.500 vehicles were registered in the nine leading markets in the EU</w:t>
      </w:r>
      <w:r>
        <w:rPr>
          <w:rStyle w:val="FootnoteReference"/>
          <w:rFonts w:ascii="Times New Roman" w:hAnsi="Times New Roman" w:cs="Times New Roman"/>
          <w:noProof/>
          <w:lang w:eastAsia="en-GB"/>
        </w:rPr>
        <w:footnoteReference w:id="27"/>
      </w:r>
      <w:r>
        <w:rPr>
          <w:rFonts w:ascii="Times New Roman" w:hAnsi="Times New Roman" w:cs="Times New Roman"/>
          <w:noProof/>
          <w:lang w:eastAsia="en-GB"/>
        </w:rPr>
        <w:t>, compared to 71.000 vehicles in the United States and 146.720 vehicles in China in 2015.</w:t>
      </w:r>
    </w:p>
    <w:p w:rsidR="002E508F" w:rsidRDefault="005D0A03">
      <w:pPr>
        <w:spacing w:line="240" w:lineRule="auto"/>
        <w:jc w:val="both"/>
        <w:rPr>
          <w:rFonts w:ascii="Times New Roman" w:hAnsi="Times New Roman" w:cs="Times New Roman"/>
          <w:b/>
          <w:noProof/>
          <w:sz w:val="20"/>
          <w:szCs w:val="20"/>
          <w:lang w:eastAsia="en-GB"/>
        </w:rPr>
      </w:pPr>
      <w:r>
        <w:rPr>
          <w:rFonts w:ascii="Times New Roman" w:hAnsi="Times New Roman" w:cs="Times New Roman"/>
          <w:b/>
          <w:noProof/>
          <w:sz w:val="20"/>
          <w:szCs w:val="20"/>
          <w:lang w:eastAsia="en-GB"/>
        </w:rPr>
        <w:t>Fig. 2.3 Evolution of the global electric car stock, 2010-2016</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lang w:eastAsia="en-GB"/>
        </w:rPr>
        <w:drawing>
          <wp:inline distT="0" distB="0" distL="0" distR="0" wp14:anchorId="3EF8FCDC" wp14:editId="710962B4">
            <wp:extent cx="5760720" cy="2564117"/>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564117"/>
                    </a:xfrm>
                    <a:prstGeom prst="rect">
                      <a:avLst/>
                    </a:prstGeom>
                    <a:noFill/>
                    <a:ln>
                      <a:noFill/>
                    </a:ln>
                  </pic:spPr>
                </pic:pic>
              </a:graphicData>
            </a:graphic>
          </wp:inline>
        </w:drawing>
      </w:r>
      <w:r>
        <w:rPr>
          <w:rFonts w:ascii="Times New Roman" w:hAnsi="Times New Roman" w:cs="Times New Roman"/>
          <w:noProof/>
        </w:rPr>
        <w:br/>
      </w:r>
      <w:r>
        <w:rPr>
          <w:rFonts w:ascii="Times New Roman" w:hAnsi="Times New Roman" w:cs="Times New Roman"/>
          <w:i/>
          <w:noProof/>
          <w:sz w:val="20"/>
          <w:szCs w:val="20"/>
        </w:rPr>
        <w:t>Source: International Energy Agency (2017): Global EV outlook 2017: two million and counting, IEA: Paris</w:t>
      </w:r>
    </w:p>
    <w:p w:rsidR="002E508F" w:rsidRDefault="005D0A03">
      <w:pPr>
        <w:spacing w:line="240" w:lineRule="auto"/>
        <w:jc w:val="both"/>
        <w:rPr>
          <w:rFonts w:ascii="Times New Roman" w:hAnsi="Times New Roman" w:cs="Times New Roman"/>
          <w:noProof/>
          <w:lang w:eastAsia="en-GB"/>
        </w:rPr>
      </w:pPr>
      <w:r>
        <w:rPr>
          <w:rFonts w:ascii="Times New Roman" w:hAnsi="Times New Roman" w:cs="Times New Roman"/>
          <w:noProof/>
        </w:rPr>
        <w:t>Global dynamics in the segment of battery-electric buses are particularly relevant, as these are heavily influenced by public procurement. Chinese bus manufacturers, for example, are now also operating in the European market. According to data from the European Alternative Fuels Observatory, Chinese manufacturers hold a market share of 11.2% in battery-electric bus registrations in 2016.</w:t>
      </w:r>
      <w:r>
        <w:rPr>
          <w:rStyle w:val="FootnoteReference"/>
          <w:rFonts w:ascii="Times New Roman" w:hAnsi="Times New Roman" w:cs="Times New Roman"/>
          <w:noProof/>
          <w:lang w:eastAsia="en-GB"/>
        </w:rPr>
        <w:footnoteReference w:id="28"/>
      </w:r>
      <w:r>
        <w:rPr>
          <w:rFonts w:ascii="Times New Roman" w:hAnsi="Times New Roman" w:cs="Times New Roman"/>
          <w:noProof/>
        </w:rPr>
        <w:t xml:space="preserve"> Public procurement in China has helped to establish a strong global lead market. While the EU is one of the leading regions for R&amp;I on bus developments, the Asia-Pacific Regions is now hosting the largest producers of buses and batteries (box 4).</w:t>
      </w:r>
      <w:r>
        <w:rPr>
          <w:rStyle w:val="FootnoteReference"/>
          <w:rFonts w:ascii="Times New Roman" w:hAnsi="Times New Roman" w:cs="Times New Roman"/>
          <w:noProof/>
          <w:lang w:eastAsia="en-GB"/>
        </w:rPr>
        <w:t xml:space="preserve"> </w:t>
      </w:r>
      <w:r>
        <w:rPr>
          <w:rStyle w:val="FootnoteReference"/>
          <w:rFonts w:ascii="Times New Roman" w:hAnsi="Times New Roman" w:cs="Times New Roman"/>
          <w:noProof/>
          <w:sz w:val="20"/>
          <w:szCs w:val="20"/>
        </w:rPr>
        <w:footnoteReference w:id="29"/>
      </w:r>
      <w:r>
        <w:rPr>
          <w:rFonts w:ascii="Times New Roman" w:hAnsi="Times New Roman" w:cs="Times New Roman"/>
          <w:noProof/>
          <w:lang w:eastAsia="en-GB"/>
        </w:rPr>
        <w:t xml:space="preserve"> </w:t>
      </w:r>
    </w:p>
    <w:p w:rsidR="002E508F" w:rsidRDefault="005D0A03">
      <w:pPr>
        <w:spacing w:after="0" w:line="240" w:lineRule="auto"/>
        <w:rPr>
          <w:rFonts w:ascii="Times New Roman" w:hAnsi="Times New Roman" w:cs="Times New Roman"/>
          <w:noProof/>
          <w:lang w:eastAsia="en-GB"/>
        </w:rPr>
      </w:pPr>
      <w:r>
        <w:rPr>
          <w:rFonts w:ascii="Times New Roman" w:hAnsi="Times New Roman" w:cs="Times New Roman"/>
          <w:noProof/>
          <w:lang w:eastAsia="en-GB"/>
        </w:rPr>
        <w:br w:type="page"/>
      </w:r>
    </w:p>
    <w:p w:rsidR="002E508F" w:rsidRDefault="005D0A0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Box 4: Promotion of battery-electric bus deployment in China</w:t>
      </w:r>
    </w:p>
    <w:p w:rsidR="002E508F" w:rsidRDefault="005D0A0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China has witnessed a rapid increase on sales of battery-electric buses over the past three years. According to the International Energy Agency, China is leading the global deployment of electric bus fleets. The global electric bus stock is estimated to count 173 000 buses (2015 figures), out of which ~150 000 are battery-electric. 98% of the global stock is situated in China.</w:t>
      </w:r>
      <w:r>
        <w:rPr>
          <w:rStyle w:val="FootnoteReference"/>
          <w:rFonts w:ascii="Times New Roman" w:hAnsi="Times New Roman" w:cs="Times New Roman"/>
          <w:noProof/>
          <w:sz w:val="20"/>
          <w:szCs w:val="20"/>
        </w:rPr>
        <w:t xml:space="preserve"> </w:t>
      </w:r>
      <w:r>
        <w:rPr>
          <w:rFonts w:ascii="Times New Roman" w:hAnsi="Times New Roman" w:cs="Times New Roman"/>
          <w:noProof/>
          <w:sz w:val="20"/>
          <w:szCs w:val="20"/>
        </w:rPr>
        <w:t xml:space="preserve">The stock grew nearly six-fold in between 2014 and 2015, noting the relevant impact of public support from the Chinese government. </w:t>
      </w:r>
      <w:r>
        <w:rPr>
          <w:rStyle w:val="FootnoteReference"/>
          <w:rFonts w:ascii="Times New Roman" w:hAnsi="Times New Roman" w:cs="Times New Roman"/>
          <w:noProof/>
          <w:sz w:val="20"/>
          <w:szCs w:val="20"/>
        </w:rPr>
        <w:footnoteReference w:id="30"/>
      </w:r>
      <w:r>
        <w:rPr>
          <w:rFonts w:ascii="Times New Roman" w:hAnsi="Times New Roman" w:cs="Times New Roman"/>
          <w:noProof/>
          <w:sz w:val="20"/>
          <w:szCs w:val="20"/>
        </w:rPr>
        <w:t xml:space="preserve"> </w:t>
      </w:r>
    </w:p>
    <w:p w:rsidR="002E508F" w:rsidRDefault="005D0A03">
      <w:pPr>
        <w:pBdr>
          <w:top w:val="single" w:sz="4" w:space="1" w:color="auto"/>
          <w:left w:val="single" w:sz="4" w:space="4" w:color="auto"/>
          <w:bottom w:val="single" w:sz="4" w:space="1" w:color="auto"/>
          <w:right w:val="single" w:sz="4" w:space="4" w:color="auto"/>
        </w:pBdr>
        <w:shd w:val="clear" w:color="auto" w:fill="FFFFFF"/>
        <w:spacing w:line="240" w:lineRule="auto"/>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In November 2015 the Chinese Ministry of Transport, the Ministry of Finance and the Ministry of Industry and Information Technology jointly released a new regulation, which obligates local governments and relevant stakeholders to promote the integration of electric buses in public transport fleets. In this context, the share of new energy buses in public transport is targeted to rise to 30%, 60% and 80% until 2019 regarding specific provinces or cities. In Beijing, for instance, a share of 80% in 2019 is anticipated.</w:t>
      </w:r>
    </w:p>
    <w:p w:rsidR="002E508F" w:rsidRDefault="005D0A03">
      <w:pPr>
        <w:pStyle w:val="Heading2"/>
        <w:spacing w:before="240"/>
        <w:ind w:left="1202"/>
        <w:rPr>
          <w:noProof/>
        </w:rPr>
      </w:pPr>
      <w:bookmarkStart w:id="13" w:name="_Toc497141470"/>
      <w:r>
        <w:rPr>
          <w:noProof/>
        </w:rPr>
        <w:t>What are the main drivers of the problem?</w:t>
      </w:r>
      <w:bookmarkEnd w:id="13"/>
    </w:p>
    <w:p w:rsidR="002E508F" w:rsidRDefault="005D0A03">
      <w:pPr>
        <w:pStyle w:val="Standard"/>
        <w:spacing w:line="240" w:lineRule="auto"/>
        <w:jc w:val="both"/>
        <w:rPr>
          <w:noProof/>
        </w:rPr>
      </w:pPr>
      <w:r>
        <w:rPr>
          <w:rFonts w:ascii="Times New Roman" w:hAnsi="Times New Roman" w:cs="Times New Roman"/>
          <w:noProof/>
        </w:rPr>
        <w:t>Three main drivers underpin the main problem (see figure 2.1).</w:t>
      </w:r>
    </w:p>
    <w:p w:rsidR="002E508F" w:rsidRDefault="005D0A03">
      <w:pPr>
        <w:pStyle w:val="Heading3"/>
        <w:rPr>
          <w:noProof/>
        </w:rPr>
      </w:pPr>
      <w:bookmarkStart w:id="14" w:name="_Toc497141471"/>
      <w:r>
        <w:rPr>
          <w:noProof/>
        </w:rPr>
        <w:t>Driver 1: Limited range of contracts covered by the Directive</w:t>
      </w:r>
      <w:bookmarkEnd w:id="14"/>
    </w:p>
    <w:p w:rsidR="002E508F" w:rsidRDefault="005D0A03">
      <w:pPr>
        <w:pStyle w:val="Default"/>
        <w:spacing w:after="200"/>
        <w:jc w:val="both"/>
        <w:rPr>
          <w:rFonts w:ascii="Times New Roman" w:hAnsi="Times New Roman" w:cs="Times New Roman"/>
          <w:noProof/>
          <w:sz w:val="22"/>
          <w:szCs w:val="22"/>
        </w:rPr>
      </w:pPr>
      <w:r>
        <w:rPr>
          <w:rFonts w:ascii="Times New Roman" w:hAnsi="Times New Roman" w:cs="Times New Roman"/>
          <w:noProof/>
          <w:sz w:val="22"/>
          <w:szCs w:val="22"/>
        </w:rPr>
        <w:t>Due to the provisions of Art.3, the Directive does not cover all public procurement contracts, which limits its possibilities to trigger a larger market uptake. Analysis carried out for this Impact Assessment estimates that the Directive covered 14% of all publicly purchased passenger cars, 18.5% of all publicly procured vans, 74.7% of all publicly procured rigid trucks and 43.3% of all publicly procured buses in the period 2009-2015 (see table 2.4).</w:t>
      </w:r>
    </w:p>
    <w:p w:rsidR="002E508F" w:rsidRDefault="005D0A03">
      <w:pPr>
        <w:pStyle w:val="Default"/>
        <w:spacing w:after="200"/>
        <w:jc w:val="both"/>
        <w:rPr>
          <w:rFonts w:ascii="Times New Roman" w:hAnsi="Times New Roman" w:cs="Times New Roman"/>
          <w:noProof/>
          <w:sz w:val="22"/>
          <w:szCs w:val="22"/>
        </w:rPr>
      </w:pPr>
      <w:r>
        <w:rPr>
          <w:rFonts w:ascii="Times New Roman" w:hAnsi="Times New Roman" w:cs="Times New Roman"/>
          <w:noProof/>
          <w:sz w:val="22"/>
          <w:szCs w:val="22"/>
        </w:rPr>
        <w:t>Art.3 of the Directive stipulates:</w:t>
      </w:r>
    </w:p>
    <w:p w:rsidR="002E508F" w:rsidRDefault="005D0A03">
      <w:pPr>
        <w:pStyle w:val="Default"/>
        <w:numPr>
          <w:ilvl w:val="0"/>
          <w:numId w:val="22"/>
        </w:numPr>
        <w:spacing w:after="200"/>
        <w:jc w:val="both"/>
        <w:rPr>
          <w:rFonts w:ascii="Times New Roman" w:hAnsi="Times New Roman" w:cs="Times New Roman"/>
          <w:noProof/>
          <w:sz w:val="22"/>
          <w:szCs w:val="22"/>
        </w:rPr>
      </w:pPr>
      <w:r>
        <w:rPr>
          <w:rFonts w:ascii="Times New Roman" w:hAnsi="Times New Roman" w:cs="Times New Roman"/>
          <w:noProof/>
          <w:sz w:val="22"/>
          <w:szCs w:val="22"/>
        </w:rPr>
        <w:t>The Directive applies to contracts above the threshold of horizontal European procurement law. Service contracts below the €135,000 threshold for central public sector authorities and below the €209,000 threshold for sub-central contracting authorities are not covered by the Directive.</w:t>
      </w:r>
      <w:r>
        <w:rPr>
          <w:rStyle w:val="FootnoteReference"/>
          <w:noProof/>
          <w:sz w:val="22"/>
          <w:szCs w:val="22"/>
        </w:rPr>
        <w:footnoteReference w:id="31"/>
      </w:r>
      <w:r>
        <w:rPr>
          <w:rFonts w:ascii="Times New Roman" w:hAnsi="Times New Roman" w:cs="Times New Roman"/>
          <w:noProof/>
          <w:sz w:val="22"/>
          <w:szCs w:val="22"/>
        </w:rPr>
        <w:t xml:space="preserve"> Table 2.2 illustrates that this requirement substantially reduces the number of publicly procured vehicles affected by the Directive. </w:t>
      </w:r>
    </w:p>
    <w:p w:rsidR="002E508F" w:rsidRDefault="005D0A03">
      <w:pPr>
        <w:pStyle w:val="Default"/>
        <w:numPr>
          <w:ilvl w:val="0"/>
          <w:numId w:val="22"/>
        </w:numPr>
        <w:spacing w:after="200"/>
        <w:jc w:val="both"/>
        <w:rPr>
          <w:rFonts w:ascii="Times New Roman" w:hAnsi="Times New Roman" w:cs="Times New Roman"/>
          <w:noProof/>
          <w:sz w:val="22"/>
          <w:szCs w:val="22"/>
        </w:rPr>
      </w:pPr>
      <w:r>
        <w:rPr>
          <w:rFonts w:ascii="Times New Roman" w:hAnsi="Times New Roman" w:cs="Times New Roman"/>
          <w:noProof/>
          <w:sz w:val="22"/>
          <w:szCs w:val="22"/>
        </w:rPr>
        <w:t>Moreover, the Directive does not cover all contracts that are above the procurement thresholds. It only applies to purchase of vehicles. It does not cover other forms, e.g. such as the lease, rent or hire-purchase of vehicles. It is estimated that this affects at least 23% of all contracts above the threshold (see Table 2.5).</w:t>
      </w:r>
    </w:p>
    <w:p w:rsidR="002E508F" w:rsidRDefault="005D0A03">
      <w:pPr>
        <w:pStyle w:val="Standard"/>
        <w:numPr>
          <w:ilvl w:val="0"/>
          <w:numId w:val="22"/>
        </w:numPr>
        <w:spacing w:line="240" w:lineRule="auto"/>
        <w:jc w:val="both"/>
        <w:rPr>
          <w:rFonts w:ascii="Times New Roman" w:hAnsi="Times New Roman" w:cs="Times New Roman"/>
          <w:noProof/>
        </w:rPr>
      </w:pPr>
      <w:r>
        <w:rPr>
          <w:rFonts w:ascii="Times New Roman" w:hAnsi="Times New Roman" w:cs="Times New Roman"/>
          <w:noProof/>
        </w:rPr>
        <w:t xml:space="preserve">Finally, the Directive covers purchases by </w:t>
      </w:r>
      <w:r>
        <w:rPr>
          <w:rFonts w:ascii="Times New Roman" w:hAnsi="Times New Roman" w:cs="Times New Roman"/>
          <w:noProof/>
          <w:color w:val="000000"/>
        </w:rPr>
        <w:t xml:space="preserve">contracting authorities and operators “for the discharge of public service obligations under a public service contract … on public passenger transport services by rail and by road”. This definition does not cover operators for other public services for transport of persons or goods (e.g. waste collection, special transport services for the elderly people or people with a disability). </w:t>
      </w:r>
    </w:p>
    <w:p w:rsidR="002E508F" w:rsidRDefault="005D0A03">
      <w:pPr>
        <w:pStyle w:val="Default"/>
        <w:spacing w:after="200"/>
        <w:jc w:val="both"/>
        <w:rPr>
          <w:rFonts w:ascii="Times New Roman" w:hAnsi="Times New Roman" w:cs="Times New Roman"/>
          <w:noProof/>
          <w:sz w:val="22"/>
          <w:szCs w:val="22"/>
        </w:rPr>
      </w:pPr>
      <w:r>
        <w:rPr>
          <w:rFonts w:ascii="Times New Roman" w:hAnsi="Times New Roman" w:cs="Times New Roman"/>
          <w:noProof/>
          <w:sz w:val="22"/>
          <w:szCs w:val="22"/>
        </w:rPr>
        <w:t xml:space="preserve"> </w:t>
      </w:r>
    </w:p>
    <w:p w:rsidR="002E508F" w:rsidRDefault="002E508F">
      <w:pPr>
        <w:pStyle w:val="Default"/>
        <w:numPr>
          <w:ilvl w:val="0"/>
          <w:numId w:val="22"/>
        </w:numPr>
        <w:spacing w:after="200"/>
        <w:jc w:val="both"/>
        <w:rPr>
          <w:rFonts w:ascii="Times New Roman" w:hAnsi="Times New Roman" w:cs="Times New Roman"/>
          <w:noProof/>
          <w:sz w:val="22"/>
          <w:szCs w:val="22"/>
        </w:rPr>
        <w:sectPr w:rsidR="002E508F" w:rsidSect="005D0A03">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pgNumType w:start="2"/>
          <w:cols w:space="708"/>
          <w:docGrid w:linePitch="360"/>
        </w:sectPr>
      </w:pPr>
    </w:p>
    <w:p w:rsidR="002E508F" w:rsidRDefault="005D0A03">
      <w:pPr>
        <w:suppressAutoHyphens/>
        <w:autoSpaceDN w:val="0"/>
        <w:spacing w:before="120" w:after="0" w:line="240" w:lineRule="auto"/>
        <w:jc w:val="both"/>
        <w:textAlignment w:val="baseline"/>
        <w:rPr>
          <w:rFonts w:ascii="Times New Roman" w:hAnsi="Times New Roman" w:cs="Times New Roman"/>
          <w:b/>
          <w:noProof/>
        </w:rPr>
      </w:pPr>
      <w:r>
        <w:rPr>
          <w:rFonts w:ascii="Times New Roman" w:hAnsi="Times New Roman" w:cs="Times New Roman"/>
          <w:b/>
          <w:noProof/>
        </w:rPr>
        <w:t>Table 2.4: Comparison of total annual new vehicle registrations, estimates of the total number of publicly procured vehicles from the Clean Vehicles Directive ex-post evaluation and estimates of public vehicle purchases and clean vehicle purchases falling under the Clean Vehicles Directive</w:t>
      </w:r>
    </w:p>
    <w:tbl>
      <w:tblPr>
        <w:tblW w:w="14591"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970"/>
        <w:gridCol w:w="2014"/>
        <w:gridCol w:w="3229"/>
        <w:gridCol w:w="2391"/>
        <w:gridCol w:w="2010"/>
        <w:gridCol w:w="2977"/>
      </w:tblGrid>
      <w:tr w:rsidR="002E508F">
        <w:trPr>
          <w:trHeight w:val="1182"/>
        </w:trPr>
        <w:tc>
          <w:tcPr>
            <w:tcW w:w="1970" w:type="dxa"/>
            <w:shd w:val="clear" w:color="auto" w:fill="006BB7"/>
            <w:tcMar>
              <w:top w:w="0" w:type="dxa"/>
              <w:left w:w="45" w:type="dxa"/>
              <w:bottom w:w="0" w:type="dxa"/>
              <w:right w:w="45" w:type="dxa"/>
            </w:tcMar>
            <w:vAlign w:val="center"/>
            <w:hideMark/>
          </w:tcPr>
          <w:p w:rsidR="002E508F" w:rsidRDefault="005D0A03">
            <w:pPr>
              <w:autoSpaceDE w:val="0"/>
              <w:autoSpaceDN w:val="0"/>
              <w:spacing w:after="0" w:line="240" w:lineRule="auto"/>
              <w:rPr>
                <w:rFonts w:ascii="Times New Roman" w:hAnsi="Times New Roman" w:cs="Times New Roman"/>
                <w:b/>
                <w:noProof/>
                <w:sz w:val="20"/>
                <w:szCs w:val="20"/>
              </w:rPr>
            </w:pPr>
            <w:r>
              <w:rPr>
                <w:rFonts w:ascii="Times New Roman" w:hAnsi="Times New Roman" w:cs="Times New Roman"/>
                <w:b/>
                <w:bCs/>
                <w:noProof/>
                <w:color w:val="FFFFFF"/>
                <w:sz w:val="20"/>
                <w:szCs w:val="20"/>
              </w:rPr>
              <w:t>Vehicle / service</w:t>
            </w:r>
          </w:p>
        </w:tc>
        <w:tc>
          <w:tcPr>
            <w:tcW w:w="2014" w:type="dxa"/>
            <w:shd w:val="clear" w:color="auto" w:fill="006BB7"/>
            <w:tcMar>
              <w:top w:w="0" w:type="dxa"/>
              <w:left w:w="45" w:type="dxa"/>
              <w:bottom w:w="0" w:type="dxa"/>
              <w:right w:w="45" w:type="dxa"/>
            </w:tcMar>
            <w:vAlign w:val="center"/>
            <w:hideMark/>
          </w:tcPr>
          <w:p w:rsidR="002E508F" w:rsidRDefault="005D0A03">
            <w:pPr>
              <w:autoSpaceDE w:val="0"/>
              <w:autoSpaceDN w:val="0"/>
              <w:spacing w:after="0" w:line="240" w:lineRule="auto"/>
              <w:rPr>
                <w:rFonts w:ascii="Times New Roman" w:hAnsi="Times New Roman" w:cs="Times New Roman"/>
                <w:b/>
                <w:noProof/>
                <w:color w:val="FFFFFF" w:themeColor="background1"/>
                <w:sz w:val="20"/>
                <w:szCs w:val="20"/>
              </w:rPr>
            </w:pPr>
            <w:r>
              <w:rPr>
                <w:rFonts w:ascii="Times New Roman" w:hAnsi="Times New Roman" w:cs="Times New Roman"/>
                <w:b/>
                <w:bCs/>
                <w:noProof/>
                <w:color w:val="FFFFFF" w:themeColor="background1"/>
                <w:sz w:val="20"/>
                <w:szCs w:val="20"/>
              </w:rPr>
              <w:t>EU total new registrations (annual average 2009-2015)</w:t>
            </w:r>
          </w:p>
        </w:tc>
        <w:tc>
          <w:tcPr>
            <w:tcW w:w="3229" w:type="dxa"/>
            <w:shd w:val="clear" w:color="auto" w:fill="006BB7"/>
            <w:tcMar>
              <w:top w:w="0" w:type="dxa"/>
              <w:left w:w="45" w:type="dxa"/>
              <w:bottom w:w="0" w:type="dxa"/>
              <w:right w:w="45" w:type="dxa"/>
            </w:tcMar>
            <w:vAlign w:val="center"/>
            <w:hideMark/>
          </w:tcPr>
          <w:p w:rsidR="002E508F" w:rsidRDefault="005D0A03">
            <w:pPr>
              <w:autoSpaceDE w:val="0"/>
              <w:autoSpaceDN w:val="0"/>
              <w:spacing w:after="0" w:line="240" w:lineRule="auto"/>
              <w:rPr>
                <w:rFonts w:ascii="Times New Roman" w:hAnsi="Times New Roman" w:cs="Times New Roman"/>
                <w:b/>
                <w:noProof/>
                <w:color w:val="FFFFFF" w:themeColor="background1"/>
                <w:sz w:val="20"/>
                <w:szCs w:val="20"/>
              </w:rPr>
            </w:pPr>
            <w:r>
              <w:rPr>
                <w:rFonts w:ascii="Times New Roman" w:hAnsi="Times New Roman" w:cs="Times New Roman"/>
                <w:b/>
                <w:bCs/>
                <w:noProof/>
                <w:color w:val="FFFFFF" w:themeColor="background1"/>
                <w:sz w:val="20"/>
                <w:szCs w:val="20"/>
              </w:rPr>
              <w:t xml:space="preserve">Proportion of which is purchased </w:t>
            </w:r>
            <w:r>
              <w:rPr>
                <w:rFonts w:ascii="Times New Roman" w:hAnsi="Times New Roman" w:cs="Times New Roman"/>
                <w:b/>
                <w:bCs/>
                <w:noProof/>
                <w:color w:val="FFFFFF" w:themeColor="background1"/>
                <w:sz w:val="20"/>
                <w:szCs w:val="20"/>
              </w:rPr>
              <w:br/>
              <w:t xml:space="preserve">by the public sector – CVD Ex-post evaluation </w:t>
            </w:r>
            <w:r>
              <w:rPr>
                <w:rFonts w:ascii="Times New Roman" w:hAnsi="Times New Roman" w:cs="Times New Roman"/>
                <w:b/>
                <w:noProof/>
                <w:color w:val="FFFFFF" w:themeColor="background1"/>
                <w:sz w:val="20"/>
                <w:szCs w:val="20"/>
              </w:rPr>
              <w:t>(annual average 2012-2014)</w:t>
            </w:r>
          </w:p>
        </w:tc>
        <w:tc>
          <w:tcPr>
            <w:tcW w:w="2391" w:type="dxa"/>
            <w:shd w:val="clear" w:color="auto" w:fill="006BB7"/>
            <w:tcMar>
              <w:top w:w="0" w:type="dxa"/>
              <w:left w:w="45" w:type="dxa"/>
              <w:bottom w:w="0" w:type="dxa"/>
              <w:right w:w="45" w:type="dxa"/>
            </w:tcMar>
            <w:hideMark/>
          </w:tcPr>
          <w:p w:rsidR="002E508F" w:rsidRDefault="005D0A03">
            <w:pPr>
              <w:spacing w:after="0" w:line="240" w:lineRule="auto"/>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 xml:space="preserve">Total vehicles procured (purchases/leases/services) reported in TED </w:t>
            </w:r>
            <w:r>
              <w:rPr>
                <w:rFonts w:ascii="Times New Roman" w:hAnsi="Times New Roman" w:cs="Times New Roman"/>
                <w:b/>
                <w:bCs/>
                <w:noProof/>
                <w:color w:val="FFFFFF" w:themeColor="background1"/>
                <w:sz w:val="20"/>
                <w:szCs w:val="20"/>
              </w:rPr>
              <w:t>(annual average for 2009-2015)</w:t>
            </w:r>
          </w:p>
        </w:tc>
        <w:tc>
          <w:tcPr>
            <w:tcW w:w="2010" w:type="dxa"/>
            <w:shd w:val="clear" w:color="auto" w:fill="006BB7"/>
            <w:hideMark/>
          </w:tcPr>
          <w:p w:rsidR="002E508F" w:rsidRDefault="005D0A03">
            <w:pPr>
              <w:spacing w:after="0" w:line="240" w:lineRule="auto"/>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CVD scope</w:t>
            </w:r>
          </w:p>
          <w:p w:rsidR="002E508F" w:rsidRDefault="005D0A03">
            <w:pPr>
              <w:spacing w:after="0" w:line="240" w:lineRule="auto"/>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 xml:space="preserve">Vehicles purchased </w:t>
            </w:r>
            <w:r>
              <w:rPr>
                <w:rFonts w:ascii="Times New Roman" w:hAnsi="Times New Roman" w:cs="Times New Roman"/>
                <w:b/>
                <w:noProof/>
                <w:color w:val="FFFFFF" w:themeColor="background1"/>
                <w:sz w:val="20"/>
                <w:szCs w:val="20"/>
              </w:rPr>
              <w:br/>
              <w:t xml:space="preserve">by the public sector </w:t>
            </w:r>
            <w:r>
              <w:rPr>
                <w:rFonts w:ascii="Times New Roman" w:hAnsi="Times New Roman" w:cs="Times New Roman"/>
                <w:b/>
                <w:bCs/>
                <w:noProof/>
                <w:color w:val="FFFFFF" w:themeColor="background1"/>
                <w:sz w:val="20"/>
                <w:szCs w:val="20"/>
              </w:rPr>
              <w:t>(average 2009-2015)</w:t>
            </w:r>
          </w:p>
        </w:tc>
        <w:tc>
          <w:tcPr>
            <w:tcW w:w="2977" w:type="dxa"/>
            <w:shd w:val="clear" w:color="auto" w:fill="006BB7"/>
            <w:hideMark/>
          </w:tcPr>
          <w:p w:rsidR="002E508F" w:rsidRDefault="005D0A03">
            <w:pPr>
              <w:spacing w:after="0" w:line="240" w:lineRule="auto"/>
              <w:rPr>
                <w:rFonts w:ascii="Times New Roman" w:hAnsi="Times New Roman" w:cs="Times New Roman"/>
                <w:b/>
                <w:bCs/>
                <w:noProof/>
                <w:color w:val="FFFFFF"/>
                <w:sz w:val="20"/>
                <w:szCs w:val="20"/>
                <w:vertAlign w:val="superscript"/>
              </w:rPr>
            </w:pPr>
            <w:r>
              <w:rPr>
                <w:rFonts w:ascii="Times New Roman" w:hAnsi="Times New Roman" w:cs="Times New Roman"/>
                <w:b/>
                <w:bCs/>
                <w:noProof/>
                <w:color w:val="FFFFFF"/>
                <w:sz w:val="20"/>
                <w:szCs w:val="20"/>
              </w:rPr>
              <w:t>Proportion of vehicles purchased by the public sector which are clean vehicles</w:t>
            </w:r>
            <w:r>
              <w:rPr>
                <w:rStyle w:val="FootnoteReference"/>
                <w:rFonts w:ascii="Times New Roman" w:hAnsi="Times New Roman" w:cs="Times New Roman"/>
                <w:b/>
                <w:bCs/>
                <w:noProof/>
                <w:color w:val="FFFFFF"/>
                <w:sz w:val="20"/>
                <w:szCs w:val="20"/>
              </w:rPr>
              <w:footnoteReference w:id="32"/>
            </w:r>
            <w:r>
              <w:rPr>
                <w:rFonts w:ascii="Times New Roman" w:hAnsi="Times New Roman" w:cs="Times New Roman"/>
                <w:b/>
                <w:bCs/>
                <w:noProof/>
                <w:color w:val="FFFFFF"/>
                <w:sz w:val="20"/>
                <w:szCs w:val="20"/>
              </w:rPr>
              <w:t xml:space="preserve"> </w:t>
            </w:r>
            <w:r>
              <w:rPr>
                <w:rFonts w:ascii="Times New Roman" w:hAnsi="Times New Roman" w:cs="Times New Roman"/>
                <w:b/>
                <w:bCs/>
                <w:noProof/>
                <w:color w:val="FFFFFF" w:themeColor="background1"/>
                <w:sz w:val="20"/>
                <w:szCs w:val="20"/>
              </w:rPr>
              <w:t>(average 2009-2015)</w:t>
            </w:r>
          </w:p>
        </w:tc>
      </w:tr>
      <w:tr w:rsidR="002E508F">
        <w:trPr>
          <w:trHeight w:val="1398"/>
        </w:trPr>
        <w:tc>
          <w:tcPr>
            <w:tcW w:w="1970" w:type="dxa"/>
            <w:shd w:val="clear" w:color="auto" w:fill="EDF3F7"/>
            <w:tcMar>
              <w:top w:w="0" w:type="dxa"/>
              <w:left w:w="45" w:type="dxa"/>
              <w:bottom w:w="0" w:type="dxa"/>
              <w:right w:w="45" w:type="dxa"/>
            </w:tcMar>
            <w:vAlign w:val="center"/>
            <w:hideMark/>
          </w:tcPr>
          <w:p w:rsidR="002E508F" w:rsidRDefault="005D0A03">
            <w:pPr>
              <w:autoSpaceDE w:val="0"/>
              <w:autoSpaceDN w:val="0"/>
              <w:spacing w:after="0" w:line="240" w:lineRule="auto"/>
              <w:rPr>
                <w:rFonts w:ascii="Times New Roman" w:hAnsi="Times New Roman" w:cs="Times New Roman"/>
                <w:b/>
                <w:noProof/>
                <w:sz w:val="20"/>
                <w:szCs w:val="20"/>
              </w:rPr>
            </w:pPr>
            <w:r>
              <w:rPr>
                <w:rFonts w:ascii="Times New Roman" w:hAnsi="Times New Roman" w:cs="Times New Roman"/>
                <w:b/>
                <w:noProof/>
                <w:sz w:val="20"/>
                <w:szCs w:val="20"/>
              </w:rPr>
              <w:t>Passenger cars</w:t>
            </w:r>
          </w:p>
        </w:tc>
        <w:tc>
          <w:tcPr>
            <w:tcW w:w="2014" w:type="dxa"/>
            <w:shd w:val="clear" w:color="auto" w:fill="EDF3F7"/>
            <w:tcMar>
              <w:top w:w="0" w:type="dxa"/>
              <w:left w:w="45" w:type="dxa"/>
              <w:bottom w:w="0" w:type="dxa"/>
              <w:right w:w="45" w:type="dxa"/>
            </w:tcMar>
            <w:vAlign w:val="center"/>
            <w:hideMark/>
          </w:tcPr>
          <w:p w:rsidR="002E508F" w:rsidRDefault="005D0A03">
            <w:pPr>
              <w:autoSpaceDE w:val="0"/>
              <w:autoSpaceDN w:val="0"/>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13.7 million</w:t>
            </w:r>
          </w:p>
        </w:tc>
        <w:tc>
          <w:tcPr>
            <w:tcW w:w="3229" w:type="dxa"/>
            <w:shd w:val="clear" w:color="auto" w:fill="EDF3F7"/>
            <w:tcMar>
              <w:top w:w="0" w:type="dxa"/>
              <w:left w:w="45" w:type="dxa"/>
              <w:bottom w:w="0" w:type="dxa"/>
              <w:right w:w="45" w:type="dxa"/>
            </w:tcMar>
            <w:vAlign w:val="center"/>
            <w:hideMark/>
          </w:tcPr>
          <w:p w:rsidR="002E508F" w:rsidRDefault="005D0A03">
            <w:pPr>
              <w:autoSpaceDE w:val="0"/>
              <w:autoSpaceDN w:val="0"/>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405k vehicles</w:t>
            </w:r>
          </w:p>
          <w:p w:rsidR="002E508F" w:rsidRDefault="005D0A03">
            <w:pPr>
              <w:autoSpaceDE w:val="0"/>
              <w:autoSpaceDN w:val="0"/>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3.4% of EU new car registrations</w:t>
            </w:r>
          </w:p>
        </w:tc>
        <w:tc>
          <w:tcPr>
            <w:tcW w:w="2391" w:type="dxa"/>
            <w:shd w:val="clear" w:color="auto" w:fill="EDF3F7"/>
            <w:tcMar>
              <w:top w:w="0" w:type="dxa"/>
              <w:left w:w="45" w:type="dxa"/>
              <w:bottom w:w="0" w:type="dxa"/>
              <w:right w:w="45" w:type="dxa"/>
            </w:tcMar>
          </w:tcPr>
          <w:p w:rsidR="002E508F" w:rsidRDefault="002E508F">
            <w:pPr>
              <w:spacing w:after="0" w:line="240" w:lineRule="auto"/>
              <w:jc w:val="center"/>
              <w:rPr>
                <w:rFonts w:ascii="Times New Roman" w:hAnsi="Times New Roman" w:cs="Times New Roman"/>
                <w:noProof/>
                <w:sz w:val="20"/>
                <w:szCs w:val="20"/>
              </w:rPr>
            </w:pPr>
          </w:p>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68.5k vehicles</w:t>
            </w:r>
          </w:p>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0.5% of EU new car registrations</w:t>
            </w:r>
          </w:p>
        </w:tc>
        <w:tc>
          <w:tcPr>
            <w:tcW w:w="2010" w:type="dxa"/>
            <w:shd w:val="clear" w:color="auto" w:fill="EDF3F7"/>
          </w:tcPr>
          <w:p w:rsidR="002E508F" w:rsidRDefault="005D0A03">
            <w:pPr>
              <w:spacing w:after="0" w:line="240" w:lineRule="auto"/>
              <w:ind w:left="142"/>
              <w:jc w:val="center"/>
              <w:rPr>
                <w:rFonts w:ascii="Times New Roman" w:hAnsi="Times New Roman" w:cs="Times New Roman"/>
                <w:noProof/>
                <w:sz w:val="20"/>
                <w:szCs w:val="20"/>
              </w:rPr>
            </w:pPr>
            <w:r>
              <w:rPr>
                <w:rFonts w:ascii="Times New Roman" w:hAnsi="Times New Roman" w:cs="Times New Roman"/>
                <w:noProof/>
                <w:sz w:val="20"/>
                <w:szCs w:val="20"/>
              </w:rPr>
              <w:t>56.7K vehicles</w:t>
            </w:r>
          </w:p>
          <w:p w:rsidR="002E508F" w:rsidRDefault="005D0A03">
            <w:pPr>
              <w:spacing w:after="0" w:line="240" w:lineRule="auto"/>
              <w:ind w:left="142"/>
              <w:jc w:val="center"/>
              <w:rPr>
                <w:rFonts w:ascii="Times New Roman" w:hAnsi="Times New Roman" w:cs="Times New Roman"/>
                <w:noProof/>
                <w:sz w:val="20"/>
                <w:szCs w:val="20"/>
              </w:rPr>
            </w:pPr>
            <w:r>
              <w:rPr>
                <w:rFonts w:ascii="Times New Roman" w:hAnsi="Times New Roman" w:cs="Times New Roman"/>
                <w:noProof/>
                <w:sz w:val="20"/>
                <w:szCs w:val="20"/>
              </w:rPr>
              <w:t>14% of public purchases</w:t>
            </w:r>
          </w:p>
          <w:p w:rsidR="002E508F" w:rsidRDefault="005D0A03">
            <w:pPr>
              <w:spacing w:after="0" w:line="240" w:lineRule="auto"/>
              <w:ind w:left="142"/>
              <w:jc w:val="center"/>
              <w:rPr>
                <w:rFonts w:ascii="Times New Roman" w:hAnsi="Times New Roman" w:cs="Times New Roman"/>
                <w:noProof/>
                <w:sz w:val="20"/>
                <w:szCs w:val="20"/>
              </w:rPr>
            </w:pPr>
            <w:r>
              <w:rPr>
                <w:rFonts w:ascii="Times New Roman" w:hAnsi="Times New Roman" w:cs="Times New Roman"/>
                <w:noProof/>
                <w:sz w:val="20"/>
                <w:szCs w:val="20"/>
              </w:rPr>
              <w:t>0.4% of EU new car registrations</w:t>
            </w:r>
          </w:p>
        </w:tc>
        <w:tc>
          <w:tcPr>
            <w:tcW w:w="2977" w:type="dxa"/>
            <w:shd w:val="clear" w:color="auto" w:fill="EDF3F7"/>
            <w:hideMark/>
          </w:tcPr>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2.7k vehicles</w:t>
            </w:r>
          </w:p>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4.7% of public purchases</w:t>
            </w:r>
          </w:p>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 xml:space="preserve">0.02% of total registrations </w:t>
            </w:r>
          </w:p>
        </w:tc>
      </w:tr>
      <w:tr w:rsidR="002E508F">
        <w:tc>
          <w:tcPr>
            <w:tcW w:w="1970" w:type="dxa"/>
            <w:shd w:val="clear" w:color="auto" w:fill="FFFFFF"/>
            <w:tcMar>
              <w:top w:w="0" w:type="dxa"/>
              <w:left w:w="45" w:type="dxa"/>
              <w:bottom w:w="0" w:type="dxa"/>
              <w:right w:w="45" w:type="dxa"/>
            </w:tcMar>
            <w:vAlign w:val="center"/>
            <w:hideMark/>
          </w:tcPr>
          <w:p w:rsidR="002E508F" w:rsidRDefault="005D0A03">
            <w:pPr>
              <w:autoSpaceDE w:val="0"/>
              <w:autoSpaceDN w:val="0"/>
              <w:spacing w:after="0" w:line="240" w:lineRule="auto"/>
              <w:rPr>
                <w:rFonts w:ascii="Times New Roman" w:hAnsi="Times New Roman" w:cs="Times New Roman"/>
                <w:b/>
                <w:noProof/>
                <w:sz w:val="20"/>
                <w:szCs w:val="20"/>
              </w:rPr>
            </w:pPr>
            <w:r>
              <w:rPr>
                <w:rFonts w:ascii="Times New Roman" w:hAnsi="Times New Roman" w:cs="Times New Roman"/>
                <w:b/>
                <w:noProof/>
                <w:sz w:val="20"/>
                <w:szCs w:val="20"/>
              </w:rPr>
              <w:t>Light commercial vehicles</w:t>
            </w:r>
          </w:p>
        </w:tc>
        <w:tc>
          <w:tcPr>
            <w:tcW w:w="2014" w:type="dxa"/>
            <w:shd w:val="clear" w:color="auto" w:fill="FFFFFF"/>
            <w:tcMar>
              <w:top w:w="0" w:type="dxa"/>
              <w:left w:w="45" w:type="dxa"/>
              <w:bottom w:w="0" w:type="dxa"/>
              <w:right w:w="45" w:type="dxa"/>
            </w:tcMar>
            <w:vAlign w:val="center"/>
            <w:hideMark/>
          </w:tcPr>
          <w:p w:rsidR="002E508F" w:rsidRDefault="005D0A03">
            <w:pPr>
              <w:autoSpaceDE w:val="0"/>
              <w:autoSpaceDN w:val="0"/>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1.5 million</w:t>
            </w:r>
          </w:p>
        </w:tc>
        <w:tc>
          <w:tcPr>
            <w:tcW w:w="3229" w:type="dxa"/>
            <w:shd w:val="clear" w:color="auto" w:fill="FFFFFF"/>
            <w:tcMar>
              <w:top w:w="0" w:type="dxa"/>
              <w:left w:w="45" w:type="dxa"/>
              <w:bottom w:w="0" w:type="dxa"/>
              <w:right w:w="45" w:type="dxa"/>
            </w:tcMar>
            <w:vAlign w:val="center"/>
            <w:hideMark/>
          </w:tcPr>
          <w:p w:rsidR="002E508F" w:rsidRDefault="005D0A03">
            <w:pPr>
              <w:autoSpaceDE w:val="0"/>
              <w:autoSpaceDN w:val="0"/>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40k vehicles</w:t>
            </w:r>
          </w:p>
          <w:p w:rsidR="002E508F" w:rsidRDefault="005D0A03">
            <w:pPr>
              <w:autoSpaceDE w:val="0"/>
              <w:autoSpaceDN w:val="0"/>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2.8% of EU new van registrations </w:t>
            </w:r>
          </w:p>
        </w:tc>
        <w:tc>
          <w:tcPr>
            <w:tcW w:w="2391" w:type="dxa"/>
            <w:shd w:val="clear" w:color="auto" w:fill="FFFFFF"/>
            <w:tcMar>
              <w:top w:w="0" w:type="dxa"/>
              <w:left w:w="45" w:type="dxa"/>
              <w:bottom w:w="0" w:type="dxa"/>
              <w:right w:w="45" w:type="dxa"/>
            </w:tcMar>
            <w:hideMark/>
          </w:tcPr>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9.4k vehicles</w:t>
            </w:r>
          </w:p>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0.61% of EU new van registrations</w:t>
            </w:r>
          </w:p>
        </w:tc>
        <w:tc>
          <w:tcPr>
            <w:tcW w:w="2010" w:type="dxa"/>
            <w:shd w:val="clear" w:color="auto" w:fill="FFFFFF"/>
            <w:hideMark/>
          </w:tcPr>
          <w:p w:rsidR="002E508F" w:rsidRDefault="005D0A03">
            <w:pPr>
              <w:spacing w:after="0" w:line="240" w:lineRule="auto"/>
              <w:ind w:left="142"/>
              <w:jc w:val="center"/>
              <w:rPr>
                <w:rFonts w:ascii="Times New Roman" w:hAnsi="Times New Roman" w:cs="Times New Roman"/>
                <w:noProof/>
                <w:sz w:val="20"/>
                <w:szCs w:val="20"/>
              </w:rPr>
            </w:pPr>
            <w:r>
              <w:rPr>
                <w:rFonts w:ascii="Times New Roman" w:hAnsi="Times New Roman" w:cs="Times New Roman"/>
                <w:noProof/>
                <w:sz w:val="20"/>
                <w:szCs w:val="20"/>
              </w:rPr>
              <w:t>7.4k vehicles</w:t>
            </w:r>
          </w:p>
          <w:p w:rsidR="002E508F" w:rsidRDefault="005D0A03">
            <w:pPr>
              <w:spacing w:after="0" w:line="240" w:lineRule="auto"/>
              <w:ind w:left="142"/>
              <w:jc w:val="center"/>
              <w:rPr>
                <w:rFonts w:ascii="Times New Roman" w:hAnsi="Times New Roman" w:cs="Times New Roman"/>
                <w:noProof/>
                <w:sz w:val="20"/>
                <w:szCs w:val="20"/>
              </w:rPr>
            </w:pPr>
            <w:r>
              <w:rPr>
                <w:rFonts w:ascii="Times New Roman" w:hAnsi="Times New Roman" w:cs="Times New Roman"/>
                <w:noProof/>
                <w:sz w:val="20"/>
                <w:szCs w:val="20"/>
              </w:rPr>
              <w:t>18.5% of public purchases</w:t>
            </w:r>
          </w:p>
          <w:p w:rsidR="002E508F" w:rsidRDefault="005D0A03">
            <w:pPr>
              <w:spacing w:after="0" w:line="240" w:lineRule="auto"/>
              <w:ind w:left="142"/>
              <w:jc w:val="center"/>
              <w:rPr>
                <w:rFonts w:ascii="Times New Roman" w:hAnsi="Times New Roman" w:cs="Times New Roman"/>
                <w:noProof/>
                <w:sz w:val="20"/>
                <w:szCs w:val="20"/>
              </w:rPr>
            </w:pPr>
            <w:r>
              <w:rPr>
                <w:rFonts w:ascii="Times New Roman" w:hAnsi="Times New Roman" w:cs="Times New Roman"/>
                <w:noProof/>
                <w:sz w:val="20"/>
                <w:szCs w:val="20"/>
              </w:rPr>
              <w:t>0.5% of EU new van registrations</w:t>
            </w:r>
          </w:p>
        </w:tc>
        <w:tc>
          <w:tcPr>
            <w:tcW w:w="2977" w:type="dxa"/>
            <w:shd w:val="clear" w:color="auto" w:fill="FFFFFF"/>
            <w:hideMark/>
          </w:tcPr>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29 vehicles</w:t>
            </w:r>
          </w:p>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0.4% of public purchases</w:t>
            </w:r>
          </w:p>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0.002% of total registrations</w:t>
            </w:r>
          </w:p>
        </w:tc>
      </w:tr>
      <w:tr w:rsidR="002E508F">
        <w:tc>
          <w:tcPr>
            <w:tcW w:w="1970" w:type="dxa"/>
            <w:shd w:val="clear" w:color="auto" w:fill="EDF3F7"/>
            <w:tcMar>
              <w:top w:w="0" w:type="dxa"/>
              <w:left w:w="45" w:type="dxa"/>
              <w:bottom w:w="0" w:type="dxa"/>
              <w:right w:w="45" w:type="dxa"/>
            </w:tcMar>
            <w:vAlign w:val="center"/>
            <w:hideMark/>
          </w:tcPr>
          <w:p w:rsidR="002E508F" w:rsidRDefault="005D0A03">
            <w:pPr>
              <w:autoSpaceDE w:val="0"/>
              <w:autoSpaceDN w:val="0"/>
              <w:spacing w:after="0" w:line="240" w:lineRule="auto"/>
              <w:rPr>
                <w:rFonts w:ascii="Times New Roman" w:hAnsi="Times New Roman" w:cs="Times New Roman"/>
                <w:b/>
                <w:noProof/>
                <w:sz w:val="20"/>
                <w:szCs w:val="20"/>
              </w:rPr>
            </w:pPr>
            <w:r>
              <w:rPr>
                <w:rFonts w:ascii="Times New Roman" w:hAnsi="Times New Roman" w:cs="Times New Roman"/>
                <w:b/>
                <w:noProof/>
                <w:sz w:val="20"/>
                <w:szCs w:val="20"/>
              </w:rPr>
              <w:t>Rigid trucks</w:t>
            </w:r>
          </w:p>
        </w:tc>
        <w:tc>
          <w:tcPr>
            <w:tcW w:w="2014" w:type="dxa"/>
            <w:shd w:val="clear" w:color="auto" w:fill="EDF3F7"/>
            <w:tcMar>
              <w:top w:w="0" w:type="dxa"/>
              <w:left w:w="45" w:type="dxa"/>
              <w:bottom w:w="0" w:type="dxa"/>
              <w:right w:w="45" w:type="dxa"/>
            </w:tcMar>
            <w:vAlign w:val="center"/>
            <w:hideMark/>
          </w:tcPr>
          <w:p w:rsidR="002E508F" w:rsidRDefault="005D0A03">
            <w:pPr>
              <w:autoSpaceDE w:val="0"/>
              <w:autoSpaceDN w:val="0"/>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120k</w:t>
            </w:r>
          </w:p>
        </w:tc>
        <w:tc>
          <w:tcPr>
            <w:tcW w:w="3229" w:type="dxa"/>
            <w:shd w:val="clear" w:color="auto" w:fill="EDF3F7"/>
            <w:tcMar>
              <w:top w:w="0" w:type="dxa"/>
              <w:left w:w="45" w:type="dxa"/>
              <w:bottom w:w="0" w:type="dxa"/>
              <w:right w:w="45" w:type="dxa"/>
            </w:tcMar>
            <w:vAlign w:val="center"/>
            <w:hideMark/>
          </w:tcPr>
          <w:p w:rsidR="002E508F" w:rsidRDefault="005D0A03">
            <w:pPr>
              <w:autoSpaceDE w:val="0"/>
              <w:autoSpaceDN w:val="0"/>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12k vehicles</w:t>
            </w:r>
          </w:p>
          <w:p w:rsidR="002E508F" w:rsidRDefault="005D0A03">
            <w:pPr>
              <w:autoSpaceDE w:val="0"/>
              <w:autoSpaceDN w:val="0"/>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6.4% of EU new rigid truck registrations</w:t>
            </w:r>
          </w:p>
        </w:tc>
        <w:tc>
          <w:tcPr>
            <w:tcW w:w="2391" w:type="dxa"/>
            <w:shd w:val="clear" w:color="auto" w:fill="EDF3F7"/>
            <w:tcMar>
              <w:top w:w="0" w:type="dxa"/>
              <w:left w:w="45" w:type="dxa"/>
              <w:bottom w:w="0" w:type="dxa"/>
              <w:right w:w="45" w:type="dxa"/>
            </w:tcMar>
            <w:hideMark/>
          </w:tcPr>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13.5k vehicles</w:t>
            </w:r>
          </w:p>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11.25% of EU new rigid truck registrations</w:t>
            </w:r>
          </w:p>
        </w:tc>
        <w:tc>
          <w:tcPr>
            <w:tcW w:w="2010" w:type="dxa"/>
            <w:shd w:val="clear" w:color="auto" w:fill="EDF3F7"/>
            <w:hideMark/>
          </w:tcPr>
          <w:p w:rsidR="002E508F" w:rsidRDefault="005D0A03">
            <w:pPr>
              <w:spacing w:after="0" w:line="240" w:lineRule="auto"/>
              <w:ind w:left="142"/>
              <w:jc w:val="center"/>
              <w:rPr>
                <w:rFonts w:ascii="Times New Roman" w:hAnsi="Times New Roman" w:cs="Times New Roman"/>
                <w:noProof/>
                <w:sz w:val="20"/>
                <w:szCs w:val="20"/>
              </w:rPr>
            </w:pPr>
            <w:r>
              <w:rPr>
                <w:rFonts w:ascii="Times New Roman" w:hAnsi="Times New Roman" w:cs="Times New Roman"/>
                <w:noProof/>
                <w:sz w:val="20"/>
                <w:szCs w:val="20"/>
              </w:rPr>
              <w:t>9k vehicles</w:t>
            </w:r>
          </w:p>
          <w:p w:rsidR="002E508F" w:rsidRDefault="005D0A03">
            <w:pPr>
              <w:spacing w:after="0" w:line="240" w:lineRule="auto"/>
              <w:ind w:left="142"/>
              <w:jc w:val="center"/>
              <w:rPr>
                <w:rFonts w:ascii="Times New Roman" w:hAnsi="Times New Roman" w:cs="Times New Roman"/>
                <w:noProof/>
                <w:sz w:val="20"/>
                <w:szCs w:val="20"/>
              </w:rPr>
            </w:pPr>
            <w:r>
              <w:rPr>
                <w:rFonts w:ascii="Times New Roman" w:hAnsi="Times New Roman" w:cs="Times New Roman"/>
                <w:noProof/>
                <w:sz w:val="20"/>
                <w:szCs w:val="20"/>
              </w:rPr>
              <w:t>74.7% of public purchases</w:t>
            </w:r>
          </w:p>
          <w:p w:rsidR="002E508F" w:rsidRDefault="005D0A03">
            <w:pPr>
              <w:spacing w:after="0" w:line="240" w:lineRule="auto"/>
              <w:ind w:left="142"/>
              <w:jc w:val="center"/>
              <w:rPr>
                <w:rFonts w:ascii="Times New Roman" w:hAnsi="Times New Roman" w:cs="Times New Roman"/>
                <w:noProof/>
                <w:sz w:val="20"/>
                <w:szCs w:val="20"/>
              </w:rPr>
            </w:pPr>
            <w:r>
              <w:rPr>
                <w:rFonts w:ascii="Times New Roman" w:hAnsi="Times New Roman" w:cs="Times New Roman"/>
                <w:noProof/>
                <w:sz w:val="20"/>
                <w:szCs w:val="20"/>
              </w:rPr>
              <w:t>7.5% of new EU new rigid truck registrations</w:t>
            </w:r>
          </w:p>
        </w:tc>
        <w:tc>
          <w:tcPr>
            <w:tcW w:w="2977" w:type="dxa"/>
            <w:shd w:val="clear" w:color="auto" w:fill="EDF3F7"/>
            <w:hideMark/>
          </w:tcPr>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 xml:space="preserve">6 vehicles </w:t>
            </w:r>
          </w:p>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0.07% of rigid trucks purchased</w:t>
            </w:r>
          </w:p>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0.005% of total registrations</w:t>
            </w:r>
          </w:p>
        </w:tc>
      </w:tr>
      <w:tr w:rsidR="002E508F">
        <w:tc>
          <w:tcPr>
            <w:tcW w:w="1970" w:type="dxa"/>
            <w:shd w:val="clear" w:color="auto" w:fill="FFFFFF"/>
            <w:tcMar>
              <w:top w:w="0" w:type="dxa"/>
              <w:left w:w="45" w:type="dxa"/>
              <w:bottom w:w="0" w:type="dxa"/>
              <w:right w:w="45" w:type="dxa"/>
            </w:tcMar>
            <w:vAlign w:val="center"/>
            <w:hideMark/>
          </w:tcPr>
          <w:p w:rsidR="002E508F" w:rsidRDefault="005D0A03">
            <w:pPr>
              <w:autoSpaceDE w:val="0"/>
              <w:autoSpaceDN w:val="0"/>
              <w:spacing w:after="0" w:line="240" w:lineRule="auto"/>
              <w:rPr>
                <w:rFonts w:ascii="Times New Roman" w:hAnsi="Times New Roman" w:cs="Times New Roman"/>
                <w:b/>
                <w:noProof/>
                <w:sz w:val="20"/>
                <w:szCs w:val="20"/>
              </w:rPr>
            </w:pPr>
            <w:r>
              <w:rPr>
                <w:rFonts w:ascii="Times New Roman" w:hAnsi="Times New Roman" w:cs="Times New Roman"/>
                <w:b/>
                <w:noProof/>
                <w:sz w:val="20"/>
                <w:szCs w:val="20"/>
              </w:rPr>
              <w:t>Buses</w:t>
            </w:r>
          </w:p>
        </w:tc>
        <w:tc>
          <w:tcPr>
            <w:tcW w:w="2014" w:type="dxa"/>
            <w:shd w:val="clear" w:color="auto" w:fill="FFFFFF"/>
            <w:tcMar>
              <w:top w:w="0" w:type="dxa"/>
              <w:left w:w="45" w:type="dxa"/>
              <w:bottom w:w="0" w:type="dxa"/>
              <w:right w:w="45" w:type="dxa"/>
            </w:tcMar>
            <w:vAlign w:val="center"/>
            <w:hideMark/>
          </w:tcPr>
          <w:p w:rsidR="002E508F" w:rsidRDefault="005D0A03">
            <w:pPr>
              <w:autoSpaceDE w:val="0"/>
              <w:autoSpaceDN w:val="0"/>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29k</w:t>
            </w:r>
          </w:p>
        </w:tc>
        <w:tc>
          <w:tcPr>
            <w:tcW w:w="3229" w:type="dxa"/>
            <w:shd w:val="clear" w:color="auto" w:fill="FFFFFF"/>
            <w:tcMar>
              <w:top w:w="0" w:type="dxa"/>
              <w:left w:w="45" w:type="dxa"/>
              <w:bottom w:w="0" w:type="dxa"/>
              <w:right w:w="45" w:type="dxa"/>
            </w:tcMar>
            <w:vAlign w:val="center"/>
            <w:hideMark/>
          </w:tcPr>
          <w:p w:rsidR="002E508F" w:rsidRDefault="005D0A03">
            <w:pPr>
              <w:autoSpaceDE w:val="0"/>
              <w:autoSpaceDN w:val="0"/>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18k vehicles</w:t>
            </w:r>
          </w:p>
          <w:p w:rsidR="002E508F" w:rsidRDefault="005D0A03">
            <w:pPr>
              <w:autoSpaceDE w:val="0"/>
              <w:autoSpaceDN w:val="0"/>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75% of EU new bus registrations</w:t>
            </w:r>
          </w:p>
        </w:tc>
        <w:tc>
          <w:tcPr>
            <w:tcW w:w="2391" w:type="dxa"/>
            <w:shd w:val="clear" w:color="auto" w:fill="FFFFFF"/>
            <w:tcMar>
              <w:top w:w="0" w:type="dxa"/>
              <w:left w:w="45" w:type="dxa"/>
              <w:bottom w:w="0" w:type="dxa"/>
              <w:right w:w="45" w:type="dxa"/>
            </w:tcMar>
            <w:hideMark/>
          </w:tcPr>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12.7k vehicles</w:t>
            </w:r>
          </w:p>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43.11% of EU new bus registrations</w:t>
            </w:r>
          </w:p>
        </w:tc>
        <w:tc>
          <w:tcPr>
            <w:tcW w:w="2010" w:type="dxa"/>
            <w:shd w:val="clear" w:color="auto" w:fill="FFFFFF"/>
            <w:hideMark/>
          </w:tcPr>
          <w:p w:rsidR="002E508F" w:rsidRDefault="005D0A03">
            <w:pPr>
              <w:spacing w:after="0" w:line="240" w:lineRule="auto"/>
              <w:ind w:left="142"/>
              <w:jc w:val="center"/>
              <w:rPr>
                <w:rFonts w:ascii="Times New Roman" w:hAnsi="Times New Roman" w:cs="Times New Roman"/>
                <w:noProof/>
                <w:sz w:val="20"/>
                <w:szCs w:val="20"/>
              </w:rPr>
            </w:pPr>
            <w:r>
              <w:rPr>
                <w:rFonts w:ascii="Times New Roman" w:hAnsi="Times New Roman" w:cs="Times New Roman"/>
                <w:noProof/>
                <w:sz w:val="20"/>
                <w:szCs w:val="20"/>
              </w:rPr>
              <w:t>7.8k vehicles</w:t>
            </w:r>
          </w:p>
          <w:p w:rsidR="002E508F" w:rsidRDefault="005D0A03">
            <w:pPr>
              <w:spacing w:after="0" w:line="240" w:lineRule="auto"/>
              <w:ind w:left="142"/>
              <w:jc w:val="center"/>
              <w:rPr>
                <w:rFonts w:ascii="Times New Roman" w:hAnsi="Times New Roman" w:cs="Times New Roman"/>
                <w:noProof/>
                <w:sz w:val="20"/>
                <w:szCs w:val="20"/>
              </w:rPr>
            </w:pPr>
            <w:r>
              <w:rPr>
                <w:rFonts w:ascii="Times New Roman" w:hAnsi="Times New Roman" w:cs="Times New Roman"/>
                <w:noProof/>
                <w:sz w:val="20"/>
                <w:szCs w:val="20"/>
              </w:rPr>
              <w:t>43.3% of public purchases</w:t>
            </w:r>
          </w:p>
          <w:p w:rsidR="002E508F" w:rsidRDefault="005D0A03">
            <w:pPr>
              <w:spacing w:after="0" w:line="240" w:lineRule="auto"/>
              <w:ind w:left="142"/>
              <w:jc w:val="center"/>
              <w:rPr>
                <w:rFonts w:ascii="Times New Roman" w:hAnsi="Times New Roman" w:cs="Times New Roman"/>
                <w:noProof/>
                <w:sz w:val="20"/>
                <w:szCs w:val="20"/>
              </w:rPr>
            </w:pPr>
            <w:r>
              <w:rPr>
                <w:rFonts w:ascii="Times New Roman" w:hAnsi="Times New Roman" w:cs="Times New Roman"/>
                <w:noProof/>
                <w:sz w:val="20"/>
                <w:szCs w:val="20"/>
              </w:rPr>
              <w:t>26.5% of EU new bus registrations</w:t>
            </w:r>
          </w:p>
        </w:tc>
        <w:tc>
          <w:tcPr>
            <w:tcW w:w="2977" w:type="dxa"/>
            <w:shd w:val="clear" w:color="auto" w:fill="FFFFFF"/>
            <w:hideMark/>
          </w:tcPr>
          <w:p w:rsidR="002E508F" w:rsidRDefault="005D0A03">
            <w:pPr>
              <w:spacing w:after="0" w:line="240" w:lineRule="auto"/>
              <w:ind w:left="142"/>
              <w:jc w:val="center"/>
              <w:rPr>
                <w:rFonts w:ascii="Times New Roman" w:hAnsi="Times New Roman" w:cs="Times New Roman"/>
                <w:noProof/>
                <w:sz w:val="20"/>
                <w:szCs w:val="20"/>
              </w:rPr>
            </w:pPr>
            <w:r>
              <w:rPr>
                <w:rFonts w:ascii="Times New Roman" w:hAnsi="Times New Roman" w:cs="Times New Roman"/>
                <w:noProof/>
                <w:sz w:val="20"/>
                <w:szCs w:val="20"/>
              </w:rPr>
              <w:t>133 vehicles</w:t>
            </w:r>
          </w:p>
          <w:p w:rsidR="002E508F" w:rsidRDefault="005D0A03">
            <w:pPr>
              <w:spacing w:after="0" w:line="240" w:lineRule="auto"/>
              <w:jc w:val="center"/>
              <w:rPr>
                <w:rStyle w:val="FootnoteReference"/>
                <w:rFonts w:ascii="Times New Roman" w:hAnsi="Times New Roman" w:cs="Times New Roman"/>
                <w:noProof/>
                <w:sz w:val="20"/>
                <w:szCs w:val="20"/>
              </w:rPr>
            </w:pPr>
            <w:r>
              <w:rPr>
                <w:rFonts w:ascii="Times New Roman" w:hAnsi="Times New Roman" w:cs="Times New Roman"/>
                <w:noProof/>
                <w:sz w:val="20"/>
                <w:szCs w:val="20"/>
              </w:rPr>
              <w:t>1.7% of buses purchased</w:t>
            </w:r>
            <w:r>
              <w:rPr>
                <w:rStyle w:val="FootnoteReference"/>
                <w:rFonts w:ascii="Times New Roman" w:hAnsi="Times New Roman" w:cs="Times New Roman"/>
                <w:noProof/>
                <w:sz w:val="20"/>
                <w:szCs w:val="20"/>
              </w:rPr>
              <w:t xml:space="preserve"> </w:t>
            </w:r>
          </w:p>
          <w:p w:rsidR="002E508F" w:rsidRDefault="005D0A03">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0.45% of total registrations</w:t>
            </w:r>
          </w:p>
        </w:tc>
      </w:tr>
    </w:tbl>
    <w:p w:rsidR="002E508F" w:rsidRDefault="005D0A03">
      <w:pPr>
        <w:suppressAutoHyphens/>
        <w:autoSpaceDN w:val="0"/>
        <w:spacing w:before="120" w:after="0" w:line="240" w:lineRule="auto"/>
        <w:jc w:val="both"/>
        <w:textAlignment w:val="baseline"/>
        <w:rPr>
          <w:rFonts w:ascii="Times New Roman" w:hAnsi="Times New Roman" w:cs="Times New Roman"/>
          <w:i/>
          <w:noProof/>
          <w:sz w:val="20"/>
          <w:szCs w:val="20"/>
        </w:rPr>
      </w:pPr>
      <w:r>
        <w:rPr>
          <w:rFonts w:ascii="Times New Roman" w:hAnsi="Times New Roman" w:cs="Times New Roman"/>
          <w:i/>
          <w:noProof/>
          <w:sz w:val="20"/>
          <w:szCs w:val="20"/>
        </w:rPr>
        <w:t xml:space="preserve">Source: based on Ricardo (2017): Support Study to the Impact Assessment of the Clean Vehicles Directive </w:t>
      </w:r>
    </w:p>
    <w:p w:rsidR="002E508F" w:rsidRDefault="005D0A03">
      <w:pPr>
        <w:suppressAutoHyphens/>
        <w:autoSpaceDN w:val="0"/>
        <w:spacing w:before="120" w:after="0" w:line="240" w:lineRule="auto"/>
        <w:textAlignment w:val="baseline"/>
        <w:rPr>
          <w:rFonts w:ascii="Times New Roman" w:hAnsi="Times New Roman" w:cs="Times New Roman"/>
          <w:i/>
          <w:noProof/>
        </w:rPr>
        <w:sectPr w:rsidR="002E508F">
          <w:headerReference w:type="even" r:id="rId25"/>
          <w:headerReference w:type="default" r:id="rId26"/>
          <w:footerReference w:type="even" r:id="rId27"/>
          <w:footerReference w:type="default" r:id="rId28"/>
          <w:headerReference w:type="first" r:id="rId29"/>
          <w:footerReference w:type="first" r:id="rId30"/>
          <w:pgSz w:w="16838" w:h="11906" w:orient="landscape"/>
          <w:pgMar w:top="1418" w:right="1418" w:bottom="1418" w:left="1418" w:header="709" w:footer="709" w:gutter="0"/>
          <w:cols w:space="708"/>
          <w:docGrid w:linePitch="360"/>
        </w:sectPr>
      </w:pPr>
      <w:r>
        <w:rPr>
          <w:rFonts w:ascii="Times New Roman" w:hAnsi="Times New Roman" w:cs="Times New Roman"/>
          <w:i/>
          <w:noProof/>
        </w:rPr>
        <w:t xml:space="preserve"> </w:t>
      </w:r>
    </w:p>
    <w:p w:rsidR="002E508F" w:rsidRDefault="005D0A03">
      <w:pPr>
        <w:pStyle w:val="Caption"/>
        <w:rPr>
          <w:rFonts w:ascii="Times New Roman" w:hAnsi="Times New Roman" w:cs="Times New Roman"/>
          <w:noProof/>
          <w:sz w:val="20"/>
        </w:rPr>
      </w:pPr>
      <w:r>
        <w:rPr>
          <w:rFonts w:ascii="Times New Roman" w:hAnsi="Times New Roman" w:cs="Times New Roman"/>
          <w:noProof/>
          <w:sz w:val="20"/>
        </w:rPr>
        <w:t>Table 2.5 Number of vehicles publicly procured by vehicle type and type of contract (Average for 2009-2015 period, on the basis of the TED database)</w:t>
      </w:r>
    </w:p>
    <w:tbl>
      <w:tblPr>
        <w:tblW w:w="5000" w:type="pct"/>
        <w:tblLook w:val="04A0" w:firstRow="1" w:lastRow="0" w:firstColumn="1" w:lastColumn="0" w:noHBand="0" w:noVBand="1"/>
      </w:tblPr>
      <w:tblGrid>
        <w:gridCol w:w="1967"/>
        <w:gridCol w:w="2108"/>
        <w:gridCol w:w="3566"/>
        <w:gridCol w:w="1645"/>
      </w:tblGrid>
      <w:tr w:rsidR="002E508F">
        <w:trPr>
          <w:trHeight w:val="227"/>
          <w:tblHeader/>
        </w:trPr>
        <w:tc>
          <w:tcPr>
            <w:tcW w:w="1059" w:type="pct"/>
            <w:tcBorders>
              <w:top w:val="nil"/>
              <w:left w:val="single" w:sz="8" w:space="0" w:color="auto"/>
              <w:bottom w:val="single" w:sz="8" w:space="0" w:color="auto"/>
              <w:right w:val="single" w:sz="8" w:space="0" w:color="auto"/>
            </w:tcBorders>
            <w:shd w:val="clear" w:color="auto" w:fill="00B0F0"/>
            <w:noWrap/>
            <w:vAlign w:val="bottom"/>
            <w:hideMark/>
          </w:tcPr>
          <w:p w:rsidR="002E508F" w:rsidRDefault="005D0A03">
            <w:pPr>
              <w:spacing w:after="0"/>
              <w:jc w:val="center"/>
              <w:rPr>
                <w:rFonts w:ascii="Times New Roman" w:hAnsi="Times New Roman" w:cs="Times New Roman"/>
                <w:b/>
                <w:bCs/>
                <w:noProof/>
                <w:color w:val="FFFFFF"/>
                <w:sz w:val="20"/>
                <w:szCs w:val="20"/>
                <w:lang w:eastAsia="en-GB"/>
              </w:rPr>
            </w:pPr>
            <w:r>
              <w:rPr>
                <w:rFonts w:ascii="Times New Roman" w:hAnsi="Times New Roman" w:cs="Times New Roman"/>
                <w:b/>
                <w:bCs/>
                <w:noProof/>
                <w:color w:val="FFFFFF"/>
                <w:sz w:val="20"/>
                <w:szCs w:val="20"/>
                <w:lang w:eastAsia="en-GB"/>
              </w:rPr>
              <w:t>Type of vehicle</w:t>
            </w:r>
          </w:p>
        </w:tc>
        <w:tc>
          <w:tcPr>
            <w:tcW w:w="1135" w:type="pct"/>
            <w:tcBorders>
              <w:top w:val="nil"/>
              <w:left w:val="nil"/>
              <w:bottom w:val="single" w:sz="8" w:space="0" w:color="auto"/>
              <w:right w:val="single" w:sz="8" w:space="0" w:color="auto"/>
            </w:tcBorders>
            <w:shd w:val="clear" w:color="auto" w:fill="00B0F0"/>
            <w:noWrap/>
            <w:vAlign w:val="bottom"/>
            <w:hideMark/>
          </w:tcPr>
          <w:p w:rsidR="002E508F" w:rsidRDefault="005D0A03">
            <w:pPr>
              <w:spacing w:after="0"/>
              <w:jc w:val="center"/>
              <w:rPr>
                <w:rFonts w:ascii="Times New Roman" w:hAnsi="Times New Roman" w:cs="Times New Roman"/>
                <w:b/>
                <w:bCs/>
                <w:noProof/>
                <w:color w:val="FFFFFF"/>
                <w:sz w:val="20"/>
                <w:szCs w:val="20"/>
                <w:lang w:eastAsia="en-GB"/>
              </w:rPr>
            </w:pPr>
            <w:r>
              <w:rPr>
                <w:rFonts w:ascii="Times New Roman" w:hAnsi="Times New Roman" w:cs="Times New Roman"/>
                <w:b/>
                <w:bCs/>
                <w:noProof/>
                <w:color w:val="FFFFFF"/>
                <w:sz w:val="20"/>
                <w:szCs w:val="20"/>
                <w:lang w:eastAsia="en-GB"/>
              </w:rPr>
              <w:t>Type of contract</w:t>
            </w:r>
          </w:p>
        </w:tc>
        <w:tc>
          <w:tcPr>
            <w:tcW w:w="1920" w:type="pct"/>
            <w:tcBorders>
              <w:top w:val="nil"/>
              <w:left w:val="nil"/>
              <w:bottom w:val="single" w:sz="8" w:space="0" w:color="auto"/>
              <w:right w:val="single" w:sz="8" w:space="0" w:color="auto"/>
            </w:tcBorders>
            <w:shd w:val="clear" w:color="auto" w:fill="00B0F0"/>
            <w:noWrap/>
            <w:vAlign w:val="bottom"/>
            <w:hideMark/>
          </w:tcPr>
          <w:p w:rsidR="002E508F" w:rsidRDefault="005D0A03">
            <w:pPr>
              <w:spacing w:after="0"/>
              <w:jc w:val="center"/>
              <w:rPr>
                <w:rFonts w:ascii="Times New Roman" w:hAnsi="Times New Roman" w:cs="Times New Roman"/>
                <w:b/>
                <w:bCs/>
                <w:noProof/>
                <w:color w:val="FFFFFF"/>
                <w:sz w:val="20"/>
                <w:szCs w:val="20"/>
                <w:lang w:eastAsia="en-GB"/>
              </w:rPr>
            </w:pPr>
            <w:r>
              <w:rPr>
                <w:rFonts w:ascii="Times New Roman" w:hAnsi="Times New Roman" w:cs="Times New Roman"/>
                <w:b/>
                <w:bCs/>
                <w:noProof/>
                <w:color w:val="FFFFFF"/>
                <w:sz w:val="20"/>
                <w:szCs w:val="20"/>
                <w:lang w:eastAsia="en-GB"/>
              </w:rPr>
              <w:t>Number of vehicles procured</w:t>
            </w:r>
          </w:p>
          <w:p w:rsidR="002E508F" w:rsidRDefault="005D0A03">
            <w:pPr>
              <w:spacing w:after="0"/>
              <w:jc w:val="center"/>
              <w:rPr>
                <w:rFonts w:ascii="Times New Roman" w:hAnsi="Times New Roman" w:cs="Times New Roman"/>
                <w:b/>
                <w:bCs/>
                <w:noProof/>
                <w:color w:val="FFFFFF"/>
                <w:sz w:val="20"/>
                <w:szCs w:val="20"/>
                <w:lang w:eastAsia="en-GB"/>
              </w:rPr>
            </w:pPr>
            <w:r>
              <w:rPr>
                <w:rFonts w:ascii="Times New Roman" w:hAnsi="Times New Roman" w:cs="Times New Roman"/>
                <w:b/>
                <w:bCs/>
                <w:noProof/>
                <w:color w:val="FFFFFF"/>
                <w:sz w:val="20"/>
                <w:szCs w:val="20"/>
                <w:lang w:eastAsia="en-GB"/>
              </w:rPr>
              <w:t>(Average 2009-2015)</w:t>
            </w:r>
          </w:p>
        </w:tc>
        <w:tc>
          <w:tcPr>
            <w:tcW w:w="886" w:type="pct"/>
            <w:tcBorders>
              <w:top w:val="nil"/>
              <w:left w:val="nil"/>
              <w:bottom w:val="single" w:sz="8" w:space="0" w:color="auto"/>
              <w:right w:val="single" w:sz="8" w:space="0" w:color="auto"/>
            </w:tcBorders>
            <w:shd w:val="clear" w:color="auto" w:fill="00B0F0"/>
            <w:hideMark/>
          </w:tcPr>
          <w:p w:rsidR="002E508F" w:rsidRDefault="005D0A03">
            <w:pPr>
              <w:spacing w:after="0"/>
              <w:jc w:val="center"/>
              <w:rPr>
                <w:rFonts w:ascii="Times New Roman" w:hAnsi="Times New Roman" w:cs="Times New Roman"/>
                <w:b/>
                <w:bCs/>
                <w:noProof/>
                <w:color w:val="FFFFFF"/>
                <w:sz w:val="20"/>
                <w:szCs w:val="20"/>
                <w:lang w:eastAsia="en-GB"/>
              </w:rPr>
            </w:pPr>
            <w:r>
              <w:rPr>
                <w:rFonts w:ascii="Times New Roman" w:hAnsi="Times New Roman" w:cs="Times New Roman"/>
                <w:b/>
                <w:bCs/>
                <w:noProof/>
                <w:color w:val="FFFFFF"/>
                <w:sz w:val="20"/>
                <w:szCs w:val="20"/>
                <w:lang w:eastAsia="en-GB"/>
              </w:rPr>
              <w:t>% share</w:t>
            </w:r>
          </w:p>
        </w:tc>
      </w:tr>
      <w:tr w:rsidR="002E508F">
        <w:trPr>
          <w:trHeight w:val="227"/>
        </w:trPr>
        <w:tc>
          <w:tcPr>
            <w:tcW w:w="1059" w:type="pct"/>
            <w:vMerge w:val="restart"/>
            <w:tcBorders>
              <w:top w:val="nil"/>
              <w:left w:val="single" w:sz="8" w:space="0" w:color="auto"/>
              <w:bottom w:val="single" w:sz="8" w:space="0" w:color="auto"/>
              <w:right w:val="single" w:sz="8" w:space="0" w:color="auto"/>
            </w:tcBorders>
            <w:shd w:val="clear" w:color="auto" w:fill="FFFFFF"/>
            <w:noWrap/>
            <w:vAlign w:val="center"/>
          </w:tcPr>
          <w:p w:rsidR="002E508F" w:rsidRDefault="005D0A03">
            <w:pPr>
              <w:spacing w:after="0"/>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Passenger Car</w:t>
            </w:r>
          </w:p>
          <w:p w:rsidR="002E508F" w:rsidRDefault="002E508F">
            <w:pPr>
              <w:spacing w:after="0"/>
              <w:rPr>
                <w:rFonts w:ascii="Times New Roman" w:hAnsi="Times New Roman" w:cs="Times New Roman"/>
                <w:noProof/>
                <w:color w:val="000000"/>
                <w:sz w:val="20"/>
                <w:szCs w:val="20"/>
                <w:lang w:eastAsia="en-GB"/>
              </w:rPr>
            </w:pPr>
          </w:p>
        </w:tc>
        <w:tc>
          <w:tcPr>
            <w:tcW w:w="1135" w:type="pct"/>
            <w:tcBorders>
              <w:top w:val="nil"/>
              <w:left w:val="nil"/>
              <w:bottom w:val="single" w:sz="8" w:space="0" w:color="auto"/>
              <w:right w:val="single" w:sz="8" w:space="0" w:color="auto"/>
            </w:tcBorders>
            <w:shd w:val="clear" w:color="auto" w:fill="FFFFFF"/>
            <w:noWrap/>
            <w:vAlign w:val="center"/>
            <w:hideMark/>
          </w:tcPr>
          <w:p w:rsidR="002E508F" w:rsidRDefault="005D0A03">
            <w:pPr>
              <w:spacing w:after="0"/>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Lease</w:t>
            </w:r>
          </w:p>
        </w:tc>
        <w:tc>
          <w:tcPr>
            <w:tcW w:w="1920" w:type="pct"/>
            <w:tcBorders>
              <w:top w:val="nil"/>
              <w:left w:val="nil"/>
              <w:bottom w:val="single" w:sz="8" w:space="0" w:color="auto"/>
              <w:right w:val="single" w:sz="8" w:space="0" w:color="auto"/>
            </w:tcBorders>
            <w:shd w:val="clear" w:color="auto" w:fill="FFFFFF"/>
            <w:noWrap/>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11,019</w:t>
            </w:r>
          </w:p>
        </w:tc>
        <w:tc>
          <w:tcPr>
            <w:tcW w:w="886" w:type="pct"/>
            <w:tcBorders>
              <w:top w:val="nil"/>
              <w:left w:val="nil"/>
              <w:bottom w:val="single" w:sz="8" w:space="0" w:color="auto"/>
              <w:right w:val="single" w:sz="8" w:space="0" w:color="auto"/>
            </w:tcBorders>
            <w:shd w:val="clear" w:color="auto" w:fill="FFFFFF"/>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16%</w:t>
            </w:r>
          </w:p>
        </w:tc>
      </w:tr>
      <w:tr w:rsidR="002E508F">
        <w:trPr>
          <w:trHeight w:val="227"/>
        </w:trPr>
        <w:tc>
          <w:tcPr>
            <w:tcW w:w="0" w:type="auto"/>
            <w:vMerge/>
            <w:tcBorders>
              <w:top w:val="nil"/>
              <w:left w:val="single" w:sz="8" w:space="0" w:color="auto"/>
              <w:bottom w:val="single" w:sz="8" w:space="0" w:color="auto"/>
              <w:right w:val="single" w:sz="8" w:space="0" w:color="auto"/>
            </w:tcBorders>
            <w:vAlign w:val="center"/>
            <w:hideMark/>
          </w:tcPr>
          <w:p w:rsidR="002E508F" w:rsidRDefault="002E508F">
            <w:pPr>
              <w:spacing w:after="0"/>
              <w:rPr>
                <w:rFonts w:ascii="Times New Roman" w:hAnsi="Times New Roman" w:cs="Times New Roman"/>
                <w:noProof/>
                <w:color w:val="000000"/>
                <w:sz w:val="20"/>
                <w:szCs w:val="20"/>
                <w:lang w:eastAsia="en-GB"/>
              </w:rPr>
            </w:pPr>
          </w:p>
        </w:tc>
        <w:tc>
          <w:tcPr>
            <w:tcW w:w="1135" w:type="pct"/>
            <w:tcBorders>
              <w:top w:val="nil"/>
              <w:left w:val="nil"/>
              <w:bottom w:val="single" w:sz="8" w:space="0" w:color="auto"/>
              <w:right w:val="single" w:sz="8" w:space="0" w:color="auto"/>
            </w:tcBorders>
            <w:shd w:val="clear" w:color="auto" w:fill="FFFFFF"/>
            <w:noWrap/>
            <w:vAlign w:val="center"/>
            <w:hideMark/>
          </w:tcPr>
          <w:p w:rsidR="002E508F" w:rsidRDefault="005D0A03">
            <w:pPr>
              <w:spacing w:after="0"/>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Purchase</w:t>
            </w:r>
          </w:p>
        </w:tc>
        <w:tc>
          <w:tcPr>
            <w:tcW w:w="1920" w:type="pct"/>
            <w:tcBorders>
              <w:top w:val="nil"/>
              <w:left w:val="nil"/>
              <w:bottom w:val="single" w:sz="8" w:space="0" w:color="auto"/>
              <w:right w:val="single" w:sz="8" w:space="0" w:color="auto"/>
            </w:tcBorders>
            <w:shd w:val="clear" w:color="auto" w:fill="FFFFFF"/>
            <w:noWrap/>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56,750</w:t>
            </w:r>
          </w:p>
        </w:tc>
        <w:tc>
          <w:tcPr>
            <w:tcW w:w="886" w:type="pct"/>
            <w:tcBorders>
              <w:top w:val="nil"/>
              <w:left w:val="nil"/>
              <w:bottom w:val="single" w:sz="8" w:space="0" w:color="auto"/>
              <w:right w:val="single" w:sz="8" w:space="0" w:color="auto"/>
            </w:tcBorders>
            <w:shd w:val="clear" w:color="auto" w:fill="FFFFFF"/>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83%</w:t>
            </w:r>
          </w:p>
        </w:tc>
      </w:tr>
      <w:tr w:rsidR="002E508F">
        <w:trPr>
          <w:trHeight w:val="227"/>
        </w:trPr>
        <w:tc>
          <w:tcPr>
            <w:tcW w:w="0" w:type="auto"/>
            <w:vMerge/>
            <w:tcBorders>
              <w:top w:val="nil"/>
              <w:left w:val="single" w:sz="8" w:space="0" w:color="auto"/>
              <w:bottom w:val="single" w:sz="8" w:space="0" w:color="auto"/>
              <w:right w:val="single" w:sz="8" w:space="0" w:color="auto"/>
            </w:tcBorders>
            <w:vAlign w:val="center"/>
            <w:hideMark/>
          </w:tcPr>
          <w:p w:rsidR="002E508F" w:rsidRDefault="002E508F">
            <w:pPr>
              <w:spacing w:after="0"/>
              <w:rPr>
                <w:rFonts w:ascii="Times New Roman" w:hAnsi="Times New Roman" w:cs="Times New Roman"/>
                <w:noProof/>
                <w:color w:val="000000"/>
                <w:sz w:val="20"/>
                <w:szCs w:val="20"/>
                <w:lang w:eastAsia="en-GB"/>
              </w:rPr>
            </w:pPr>
          </w:p>
        </w:tc>
        <w:tc>
          <w:tcPr>
            <w:tcW w:w="1135" w:type="pct"/>
            <w:tcBorders>
              <w:top w:val="nil"/>
              <w:left w:val="nil"/>
              <w:bottom w:val="single" w:sz="8" w:space="0" w:color="auto"/>
              <w:right w:val="single" w:sz="8" w:space="0" w:color="auto"/>
            </w:tcBorders>
            <w:shd w:val="clear" w:color="auto" w:fill="FFFFFF"/>
            <w:noWrap/>
            <w:vAlign w:val="center"/>
            <w:hideMark/>
          </w:tcPr>
          <w:p w:rsidR="002E508F" w:rsidRDefault="005D0A03">
            <w:pPr>
              <w:spacing w:after="0"/>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Services</w:t>
            </w:r>
          </w:p>
        </w:tc>
        <w:tc>
          <w:tcPr>
            <w:tcW w:w="1920" w:type="pct"/>
            <w:tcBorders>
              <w:top w:val="nil"/>
              <w:left w:val="nil"/>
              <w:bottom w:val="single" w:sz="8" w:space="0" w:color="auto"/>
              <w:right w:val="single" w:sz="8" w:space="0" w:color="auto"/>
            </w:tcBorders>
            <w:shd w:val="clear" w:color="auto" w:fill="FFFFFF"/>
            <w:noWrap/>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745</w:t>
            </w:r>
          </w:p>
        </w:tc>
        <w:tc>
          <w:tcPr>
            <w:tcW w:w="886" w:type="pct"/>
            <w:tcBorders>
              <w:top w:val="nil"/>
              <w:left w:val="nil"/>
              <w:bottom w:val="single" w:sz="8" w:space="0" w:color="auto"/>
              <w:right w:val="single" w:sz="8" w:space="0" w:color="auto"/>
            </w:tcBorders>
            <w:shd w:val="clear" w:color="auto" w:fill="FFFFFF"/>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1%</w:t>
            </w:r>
          </w:p>
        </w:tc>
      </w:tr>
      <w:tr w:rsidR="002E508F">
        <w:trPr>
          <w:trHeight w:val="227"/>
        </w:trPr>
        <w:tc>
          <w:tcPr>
            <w:tcW w:w="0" w:type="auto"/>
            <w:vMerge/>
            <w:tcBorders>
              <w:top w:val="nil"/>
              <w:left w:val="single" w:sz="8" w:space="0" w:color="auto"/>
              <w:bottom w:val="single" w:sz="8" w:space="0" w:color="auto"/>
              <w:right w:val="single" w:sz="8" w:space="0" w:color="auto"/>
            </w:tcBorders>
            <w:vAlign w:val="center"/>
            <w:hideMark/>
          </w:tcPr>
          <w:p w:rsidR="002E508F" w:rsidRDefault="002E508F">
            <w:pPr>
              <w:spacing w:after="0"/>
              <w:rPr>
                <w:rFonts w:ascii="Times New Roman" w:hAnsi="Times New Roman" w:cs="Times New Roman"/>
                <w:noProof/>
                <w:color w:val="000000"/>
                <w:sz w:val="20"/>
                <w:szCs w:val="20"/>
                <w:lang w:eastAsia="en-GB"/>
              </w:rPr>
            </w:pPr>
          </w:p>
        </w:tc>
        <w:tc>
          <w:tcPr>
            <w:tcW w:w="1135" w:type="pct"/>
            <w:tcBorders>
              <w:top w:val="nil"/>
              <w:left w:val="nil"/>
              <w:bottom w:val="single" w:sz="8" w:space="0" w:color="auto"/>
              <w:right w:val="single" w:sz="8" w:space="0" w:color="auto"/>
            </w:tcBorders>
            <w:noWrap/>
            <w:vAlign w:val="center"/>
            <w:hideMark/>
          </w:tcPr>
          <w:p w:rsidR="002E508F" w:rsidRDefault="005D0A03">
            <w:pPr>
              <w:spacing w:after="0"/>
              <w:rPr>
                <w:rFonts w:ascii="Times New Roman" w:hAnsi="Times New Roman" w:cs="Times New Roman"/>
                <w:b/>
                <w:bCs/>
                <w:noProof/>
                <w:sz w:val="20"/>
                <w:szCs w:val="20"/>
                <w:lang w:eastAsia="en-GB"/>
              </w:rPr>
            </w:pPr>
            <w:r>
              <w:rPr>
                <w:rFonts w:ascii="Times New Roman" w:hAnsi="Times New Roman" w:cs="Times New Roman"/>
                <w:b/>
                <w:bCs/>
                <w:noProof/>
                <w:sz w:val="20"/>
                <w:szCs w:val="20"/>
                <w:lang w:eastAsia="en-GB"/>
              </w:rPr>
              <w:t>Total</w:t>
            </w:r>
          </w:p>
        </w:tc>
        <w:tc>
          <w:tcPr>
            <w:tcW w:w="1920" w:type="pct"/>
            <w:tcBorders>
              <w:top w:val="nil"/>
              <w:left w:val="nil"/>
              <w:bottom w:val="single" w:sz="8" w:space="0" w:color="auto"/>
              <w:right w:val="single" w:sz="8" w:space="0" w:color="auto"/>
            </w:tcBorders>
            <w:noWrap/>
            <w:vAlign w:val="bottom"/>
            <w:hideMark/>
          </w:tcPr>
          <w:p w:rsidR="002E508F" w:rsidRDefault="005D0A03">
            <w:pPr>
              <w:spacing w:after="0"/>
              <w:jc w:val="center"/>
              <w:rPr>
                <w:rFonts w:ascii="Times New Roman" w:hAnsi="Times New Roman" w:cs="Times New Roman"/>
                <w:b/>
                <w:bCs/>
                <w:noProof/>
                <w:sz w:val="20"/>
                <w:szCs w:val="20"/>
                <w:lang w:eastAsia="en-GB"/>
              </w:rPr>
            </w:pPr>
            <w:r>
              <w:rPr>
                <w:rFonts w:ascii="Times New Roman" w:hAnsi="Times New Roman" w:cs="Times New Roman"/>
                <w:b/>
                <w:noProof/>
                <w:sz w:val="20"/>
                <w:szCs w:val="20"/>
              </w:rPr>
              <w:t>68,514</w:t>
            </w:r>
          </w:p>
        </w:tc>
        <w:tc>
          <w:tcPr>
            <w:tcW w:w="886" w:type="pct"/>
            <w:tcBorders>
              <w:top w:val="nil"/>
              <w:left w:val="nil"/>
              <w:bottom w:val="single" w:sz="8" w:space="0" w:color="auto"/>
              <w:right w:val="single" w:sz="8" w:space="0" w:color="auto"/>
            </w:tcBorders>
            <w:vAlign w:val="bottom"/>
            <w:hideMark/>
          </w:tcPr>
          <w:p w:rsidR="002E508F" w:rsidRDefault="005D0A03">
            <w:pPr>
              <w:spacing w:after="0"/>
              <w:jc w:val="center"/>
              <w:rPr>
                <w:rFonts w:ascii="Times New Roman" w:hAnsi="Times New Roman" w:cs="Times New Roman"/>
                <w:b/>
                <w:bCs/>
                <w:noProof/>
                <w:sz w:val="20"/>
                <w:szCs w:val="20"/>
                <w:lang w:eastAsia="en-GB"/>
              </w:rPr>
            </w:pPr>
            <w:r>
              <w:rPr>
                <w:rFonts w:ascii="Times New Roman" w:hAnsi="Times New Roman" w:cs="Times New Roman"/>
                <w:b/>
                <w:noProof/>
                <w:sz w:val="20"/>
                <w:szCs w:val="20"/>
              </w:rPr>
              <w:t>100%</w:t>
            </w:r>
          </w:p>
        </w:tc>
      </w:tr>
      <w:tr w:rsidR="002E508F">
        <w:trPr>
          <w:trHeight w:val="227"/>
        </w:trPr>
        <w:tc>
          <w:tcPr>
            <w:tcW w:w="1059" w:type="pct"/>
            <w:vMerge w:val="restart"/>
            <w:tcBorders>
              <w:top w:val="nil"/>
              <w:left w:val="single" w:sz="8" w:space="0" w:color="auto"/>
              <w:bottom w:val="single" w:sz="8" w:space="0" w:color="auto"/>
              <w:right w:val="single" w:sz="8" w:space="0" w:color="auto"/>
            </w:tcBorders>
            <w:shd w:val="clear" w:color="auto" w:fill="FFFFFF"/>
            <w:noWrap/>
            <w:vAlign w:val="center"/>
            <w:hideMark/>
          </w:tcPr>
          <w:p w:rsidR="002E508F" w:rsidRDefault="005D0A03">
            <w:pPr>
              <w:spacing w:after="0"/>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Van</w:t>
            </w:r>
          </w:p>
        </w:tc>
        <w:tc>
          <w:tcPr>
            <w:tcW w:w="1135" w:type="pct"/>
            <w:tcBorders>
              <w:top w:val="nil"/>
              <w:left w:val="nil"/>
              <w:bottom w:val="single" w:sz="8" w:space="0" w:color="auto"/>
              <w:right w:val="single" w:sz="8" w:space="0" w:color="auto"/>
            </w:tcBorders>
            <w:noWrap/>
            <w:vAlign w:val="center"/>
            <w:hideMark/>
          </w:tcPr>
          <w:p w:rsidR="002E508F" w:rsidRDefault="005D0A03">
            <w:pPr>
              <w:spacing w:after="0"/>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Lease</w:t>
            </w:r>
          </w:p>
        </w:tc>
        <w:tc>
          <w:tcPr>
            <w:tcW w:w="1920" w:type="pct"/>
            <w:tcBorders>
              <w:top w:val="nil"/>
              <w:left w:val="nil"/>
              <w:bottom w:val="single" w:sz="8" w:space="0" w:color="auto"/>
              <w:right w:val="single" w:sz="8" w:space="0" w:color="auto"/>
            </w:tcBorders>
            <w:noWrap/>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914</w:t>
            </w:r>
          </w:p>
        </w:tc>
        <w:tc>
          <w:tcPr>
            <w:tcW w:w="886" w:type="pct"/>
            <w:tcBorders>
              <w:top w:val="nil"/>
              <w:left w:val="nil"/>
              <w:bottom w:val="single" w:sz="8" w:space="0" w:color="auto"/>
              <w:right w:val="single" w:sz="8" w:space="0" w:color="auto"/>
            </w:tcBorders>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10%</w:t>
            </w:r>
          </w:p>
        </w:tc>
      </w:tr>
      <w:tr w:rsidR="002E508F">
        <w:trPr>
          <w:trHeight w:val="227"/>
        </w:trPr>
        <w:tc>
          <w:tcPr>
            <w:tcW w:w="0" w:type="auto"/>
            <w:vMerge/>
            <w:tcBorders>
              <w:top w:val="nil"/>
              <w:left w:val="single" w:sz="8" w:space="0" w:color="auto"/>
              <w:bottom w:val="single" w:sz="8" w:space="0" w:color="auto"/>
              <w:right w:val="single" w:sz="8" w:space="0" w:color="auto"/>
            </w:tcBorders>
            <w:vAlign w:val="center"/>
            <w:hideMark/>
          </w:tcPr>
          <w:p w:rsidR="002E508F" w:rsidRDefault="002E508F">
            <w:pPr>
              <w:spacing w:after="0"/>
              <w:rPr>
                <w:rFonts w:ascii="Times New Roman" w:hAnsi="Times New Roman" w:cs="Times New Roman"/>
                <w:noProof/>
                <w:color w:val="000000"/>
                <w:sz w:val="20"/>
                <w:szCs w:val="20"/>
                <w:lang w:eastAsia="en-GB"/>
              </w:rPr>
            </w:pPr>
          </w:p>
        </w:tc>
        <w:tc>
          <w:tcPr>
            <w:tcW w:w="1135" w:type="pct"/>
            <w:tcBorders>
              <w:top w:val="nil"/>
              <w:left w:val="nil"/>
              <w:bottom w:val="single" w:sz="8" w:space="0" w:color="auto"/>
              <w:right w:val="single" w:sz="8" w:space="0" w:color="auto"/>
            </w:tcBorders>
            <w:noWrap/>
            <w:vAlign w:val="center"/>
            <w:hideMark/>
          </w:tcPr>
          <w:p w:rsidR="002E508F" w:rsidRDefault="005D0A03">
            <w:pPr>
              <w:spacing w:after="0"/>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Purchase</w:t>
            </w:r>
          </w:p>
        </w:tc>
        <w:tc>
          <w:tcPr>
            <w:tcW w:w="1920" w:type="pct"/>
            <w:tcBorders>
              <w:top w:val="nil"/>
              <w:left w:val="nil"/>
              <w:bottom w:val="single" w:sz="8" w:space="0" w:color="auto"/>
              <w:right w:val="single" w:sz="8" w:space="0" w:color="auto"/>
            </w:tcBorders>
            <w:noWrap/>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7,388</w:t>
            </w:r>
          </w:p>
        </w:tc>
        <w:tc>
          <w:tcPr>
            <w:tcW w:w="886" w:type="pct"/>
            <w:tcBorders>
              <w:top w:val="nil"/>
              <w:left w:val="nil"/>
              <w:bottom w:val="single" w:sz="8" w:space="0" w:color="auto"/>
              <w:right w:val="single" w:sz="8" w:space="0" w:color="auto"/>
            </w:tcBorders>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79%</w:t>
            </w:r>
          </w:p>
        </w:tc>
      </w:tr>
      <w:tr w:rsidR="002E508F">
        <w:trPr>
          <w:trHeight w:val="227"/>
        </w:trPr>
        <w:tc>
          <w:tcPr>
            <w:tcW w:w="0" w:type="auto"/>
            <w:vMerge/>
            <w:tcBorders>
              <w:top w:val="nil"/>
              <w:left w:val="single" w:sz="8" w:space="0" w:color="auto"/>
              <w:bottom w:val="single" w:sz="8" w:space="0" w:color="auto"/>
              <w:right w:val="single" w:sz="8" w:space="0" w:color="auto"/>
            </w:tcBorders>
            <w:vAlign w:val="center"/>
            <w:hideMark/>
          </w:tcPr>
          <w:p w:rsidR="002E508F" w:rsidRDefault="002E508F">
            <w:pPr>
              <w:spacing w:after="0"/>
              <w:rPr>
                <w:rFonts w:ascii="Times New Roman" w:hAnsi="Times New Roman" w:cs="Times New Roman"/>
                <w:noProof/>
                <w:color w:val="000000"/>
                <w:sz w:val="20"/>
                <w:szCs w:val="20"/>
                <w:lang w:eastAsia="en-GB"/>
              </w:rPr>
            </w:pPr>
          </w:p>
        </w:tc>
        <w:tc>
          <w:tcPr>
            <w:tcW w:w="1135" w:type="pct"/>
            <w:tcBorders>
              <w:top w:val="nil"/>
              <w:left w:val="nil"/>
              <w:bottom w:val="single" w:sz="8" w:space="0" w:color="auto"/>
              <w:right w:val="single" w:sz="8" w:space="0" w:color="auto"/>
            </w:tcBorders>
            <w:noWrap/>
            <w:vAlign w:val="center"/>
            <w:hideMark/>
          </w:tcPr>
          <w:p w:rsidR="002E508F" w:rsidRDefault="005D0A03">
            <w:pPr>
              <w:spacing w:after="0"/>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Services</w:t>
            </w:r>
          </w:p>
        </w:tc>
        <w:tc>
          <w:tcPr>
            <w:tcW w:w="1920" w:type="pct"/>
            <w:tcBorders>
              <w:top w:val="nil"/>
              <w:left w:val="nil"/>
              <w:bottom w:val="single" w:sz="8" w:space="0" w:color="auto"/>
              <w:right w:val="single" w:sz="8" w:space="0" w:color="auto"/>
            </w:tcBorders>
            <w:noWrap/>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1,088</w:t>
            </w:r>
          </w:p>
        </w:tc>
        <w:tc>
          <w:tcPr>
            <w:tcW w:w="886" w:type="pct"/>
            <w:tcBorders>
              <w:top w:val="nil"/>
              <w:left w:val="nil"/>
              <w:bottom w:val="single" w:sz="8" w:space="0" w:color="auto"/>
              <w:right w:val="single" w:sz="8" w:space="0" w:color="auto"/>
            </w:tcBorders>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12%</w:t>
            </w:r>
          </w:p>
        </w:tc>
      </w:tr>
      <w:tr w:rsidR="002E508F">
        <w:trPr>
          <w:trHeight w:val="227"/>
        </w:trPr>
        <w:tc>
          <w:tcPr>
            <w:tcW w:w="0" w:type="auto"/>
            <w:vMerge/>
            <w:tcBorders>
              <w:top w:val="nil"/>
              <w:left w:val="single" w:sz="8" w:space="0" w:color="auto"/>
              <w:bottom w:val="single" w:sz="8" w:space="0" w:color="auto"/>
              <w:right w:val="single" w:sz="8" w:space="0" w:color="auto"/>
            </w:tcBorders>
            <w:vAlign w:val="center"/>
            <w:hideMark/>
          </w:tcPr>
          <w:p w:rsidR="002E508F" w:rsidRDefault="002E508F">
            <w:pPr>
              <w:spacing w:after="0"/>
              <w:rPr>
                <w:rFonts w:ascii="Times New Roman" w:hAnsi="Times New Roman" w:cs="Times New Roman"/>
                <w:noProof/>
                <w:color w:val="000000"/>
                <w:sz w:val="20"/>
                <w:szCs w:val="20"/>
                <w:lang w:eastAsia="en-GB"/>
              </w:rPr>
            </w:pPr>
          </w:p>
        </w:tc>
        <w:tc>
          <w:tcPr>
            <w:tcW w:w="1135" w:type="pct"/>
            <w:tcBorders>
              <w:top w:val="nil"/>
              <w:left w:val="nil"/>
              <w:bottom w:val="single" w:sz="8" w:space="0" w:color="auto"/>
              <w:right w:val="single" w:sz="8" w:space="0" w:color="auto"/>
            </w:tcBorders>
            <w:noWrap/>
            <w:vAlign w:val="center"/>
            <w:hideMark/>
          </w:tcPr>
          <w:p w:rsidR="002E508F" w:rsidRDefault="005D0A03">
            <w:pPr>
              <w:spacing w:after="0"/>
              <w:rPr>
                <w:rFonts w:ascii="Times New Roman" w:hAnsi="Times New Roman" w:cs="Times New Roman"/>
                <w:b/>
                <w:bCs/>
                <w:noProof/>
                <w:sz w:val="20"/>
                <w:szCs w:val="20"/>
                <w:lang w:eastAsia="en-GB"/>
              </w:rPr>
            </w:pPr>
            <w:r>
              <w:rPr>
                <w:rFonts w:ascii="Times New Roman" w:hAnsi="Times New Roman" w:cs="Times New Roman"/>
                <w:b/>
                <w:bCs/>
                <w:noProof/>
                <w:sz w:val="20"/>
                <w:szCs w:val="20"/>
                <w:lang w:eastAsia="en-GB"/>
              </w:rPr>
              <w:t>Total</w:t>
            </w:r>
          </w:p>
        </w:tc>
        <w:tc>
          <w:tcPr>
            <w:tcW w:w="1920" w:type="pct"/>
            <w:tcBorders>
              <w:top w:val="nil"/>
              <w:left w:val="nil"/>
              <w:bottom w:val="single" w:sz="8" w:space="0" w:color="auto"/>
              <w:right w:val="single" w:sz="8" w:space="0" w:color="auto"/>
            </w:tcBorders>
            <w:noWrap/>
            <w:vAlign w:val="bottom"/>
            <w:hideMark/>
          </w:tcPr>
          <w:p w:rsidR="002E508F" w:rsidRDefault="005D0A03">
            <w:pPr>
              <w:spacing w:after="0"/>
              <w:jc w:val="center"/>
              <w:rPr>
                <w:rFonts w:ascii="Times New Roman" w:hAnsi="Times New Roman" w:cs="Times New Roman"/>
                <w:b/>
                <w:bCs/>
                <w:noProof/>
                <w:color w:val="FFFFFF"/>
                <w:sz w:val="20"/>
                <w:szCs w:val="20"/>
                <w:lang w:eastAsia="en-GB"/>
              </w:rPr>
            </w:pPr>
            <w:r>
              <w:rPr>
                <w:rFonts w:ascii="Times New Roman" w:hAnsi="Times New Roman" w:cs="Times New Roman"/>
                <w:b/>
                <w:noProof/>
                <w:color w:val="000000"/>
                <w:sz w:val="20"/>
                <w:szCs w:val="20"/>
              </w:rPr>
              <w:t>9,389</w:t>
            </w:r>
          </w:p>
        </w:tc>
        <w:tc>
          <w:tcPr>
            <w:tcW w:w="886" w:type="pct"/>
            <w:tcBorders>
              <w:top w:val="nil"/>
              <w:left w:val="nil"/>
              <w:bottom w:val="single" w:sz="8" w:space="0" w:color="auto"/>
              <w:right w:val="single" w:sz="8" w:space="0" w:color="auto"/>
            </w:tcBorders>
            <w:vAlign w:val="bottom"/>
            <w:hideMark/>
          </w:tcPr>
          <w:p w:rsidR="002E508F" w:rsidRDefault="005D0A03">
            <w:pPr>
              <w:spacing w:after="0"/>
              <w:jc w:val="center"/>
              <w:rPr>
                <w:rFonts w:ascii="Times New Roman" w:hAnsi="Times New Roman" w:cs="Times New Roman"/>
                <w:b/>
                <w:bCs/>
                <w:noProof/>
                <w:color w:val="FFFFFF"/>
                <w:sz w:val="20"/>
                <w:szCs w:val="20"/>
                <w:lang w:eastAsia="en-GB"/>
              </w:rPr>
            </w:pPr>
            <w:r>
              <w:rPr>
                <w:rFonts w:ascii="Times New Roman" w:hAnsi="Times New Roman" w:cs="Times New Roman"/>
                <w:b/>
                <w:noProof/>
                <w:color w:val="000000"/>
                <w:sz w:val="20"/>
                <w:szCs w:val="20"/>
              </w:rPr>
              <w:t>100%</w:t>
            </w:r>
          </w:p>
        </w:tc>
      </w:tr>
      <w:tr w:rsidR="002E508F">
        <w:trPr>
          <w:trHeight w:val="227"/>
        </w:trPr>
        <w:tc>
          <w:tcPr>
            <w:tcW w:w="1059" w:type="pct"/>
            <w:vMerge w:val="restart"/>
            <w:tcBorders>
              <w:top w:val="nil"/>
              <w:left w:val="single" w:sz="8" w:space="0" w:color="auto"/>
              <w:bottom w:val="single" w:sz="8" w:space="0" w:color="auto"/>
              <w:right w:val="single" w:sz="8" w:space="0" w:color="auto"/>
            </w:tcBorders>
            <w:shd w:val="clear" w:color="auto" w:fill="FFFFFF"/>
            <w:noWrap/>
            <w:vAlign w:val="center"/>
            <w:hideMark/>
          </w:tcPr>
          <w:p w:rsidR="002E508F" w:rsidRDefault="005D0A03">
            <w:pPr>
              <w:spacing w:after="0"/>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Truck</w:t>
            </w:r>
          </w:p>
        </w:tc>
        <w:tc>
          <w:tcPr>
            <w:tcW w:w="1135" w:type="pct"/>
            <w:tcBorders>
              <w:top w:val="nil"/>
              <w:left w:val="nil"/>
              <w:bottom w:val="single" w:sz="8" w:space="0" w:color="auto"/>
              <w:right w:val="single" w:sz="8" w:space="0" w:color="auto"/>
            </w:tcBorders>
            <w:noWrap/>
            <w:vAlign w:val="center"/>
            <w:hideMark/>
          </w:tcPr>
          <w:p w:rsidR="002E508F" w:rsidRDefault="005D0A03">
            <w:pPr>
              <w:spacing w:after="0"/>
              <w:rPr>
                <w:rFonts w:ascii="Times New Roman" w:hAnsi="Times New Roman" w:cs="Times New Roman"/>
                <w:noProof/>
                <w:sz w:val="20"/>
                <w:szCs w:val="20"/>
                <w:lang w:eastAsia="en-GB"/>
              </w:rPr>
            </w:pPr>
            <w:r>
              <w:rPr>
                <w:rFonts w:ascii="Times New Roman" w:hAnsi="Times New Roman" w:cs="Times New Roman"/>
                <w:noProof/>
                <w:sz w:val="20"/>
                <w:szCs w:val="20"/>
                <w:lang w:eastAsia="en-GB"/>
              </w:rPr>
              <w:t>Lease</w:t>
            </w:r>
          </w:p>
        </w:tc>
        <w:tc>
          <w:tcPr>
            <w:tcW w:w="1920" w:type="pct"/>
            <w:tcBorders>
              <w:top w:val="nil"/>
              <w:left w:val="nil"/>
              <w:bottom w:val="single" w:sz="8" w:space="0" w:color="auto"/>
              <w:right w:val="single" w:sz="8" w:space="0" w:color="auto"/>
            </w:tcBorders>
            <w:noWrap/>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4,191</w:t>
            </w:r>
          </w:p>
        </w:tc>
        <w:tc>
          <w:tcPr>
            <w:tcW w:w="886" w:type="pct"/>
            <w:tcBorders>
              <w:top w:val="nil"/>
              <w:left w:val="nil"/>
              <w:bottom w:val="single" w:sz="8" w:space="0" w:color="auto"/>
              <w:right w:val="single" w:sz="8" w:space="0" w:color="auto"/>
            </w:tcBorders>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31%</w:t>
            </w:r>
          </w:p>
        </w:tc>
      </w:tr>
      <w:tr w:rsidR="002E508F">
        <w:trPr>
          <w:trHeight w:val="227"/>
        </w:trPr>
        <w:tc>
          <w:tcPr>
            <w:tcW w:w="0" w:type="auto"/>
            <w:vMerge/>
            <w:tcBorders>
              <w:top w:val="nil"/>
              <w:left w:val="single" w:sz="8" w:space="0" w:color="auto"/>
              <w:bottom w:val="single" w:sz="8" w:space="0" w:color="auto"/>
              <w:right w:val="single" w:sz="8" w:space="0" w:color="auto"/>
            </w:tcBorders>
            <w:vAlign w:val="center"/>
            <w:hideMark/>
          </w:tcPr>
          <w:p w:rsidR="002E508F" w:rsidRDefault="002E508F">
            <w:pPr>
              <w:spacing w:after="0"/>
              <w:rPr>
                <w:rFonts w:ascii="Times New Roman" w:hAnsi="Times New Roman" w:cs="Times New Roman"/>
                <w:noProof/>
                <w:color w:val="000000"/>
                <w:sz w:val="20"/>
                <w:szCs w:val="20"/>
                <w:lang w:eastAsia="en-GB"/>
              </w:rPr>
            </w:pPr>
          </w:p>
        </w:tc>
        <w:tc>
          <w:tcPr>
            <w:tcW w:w="1135" w:type="pct"/>
            <w:tcBorders>
              <w:top w:val="nil"/>
              <w:left w:val="nil"/>
              <w:bottom w:val="single" w:sz="8" w:space="0" w:color="auto"/>
              <w:right w:val="single" w:sz="8" w:space="0" w:color="auto"/>
            </w:tcBorders>
            <w:noWrap/>
            <w:vAlign w:val="center"/>
            <w:hideMark/>
          </w:tcPr>
          <w:p w:rsidR="002E508F" w:rsidRDefault="005D0A03">
            <w:pPr>
              <w:spacing w:after="0"/>
              <w:rPr>
                <w:rFonts w:ascii="Times New Roman" w:hAnsi="Times New Roman" w:cs="Times New Roman"/>
                <w:noProof/>
                <w:sz w:val="20"/>
                <w:szCs w:val="20"/>
                <w:lang w:eastAsia="en-GB"/>
              </w:rPr>
            </w:pPr>
            <w:r>
              <w:rPr>
                <w:rFonts w:ascii="Times New Roman" w:hAnsi="Times New Roman" w:cs="Times New Roman"/>
                <w:noProof/>
                <w:sz w:val="20"/>
                <w:szCs w:val="20"/>
                <w:lang w:eastAsia="en-GB"/>
              </w:rPr>
              <w:t>Purchase</w:t>
            </w:r>
          </w:p>
        </w:tc>
        <w:tc>
          <w:tcPr>
            <w:tcW w:w="1920" w:type="pct"/>
            <w:tcBorders>
              <w:top w:val="nil"/>
              <w:left w:val="nil"/>
              <w:bottom w:val="single" w:sz="8" w:space="0" w:color="auto"/>
              <w:right w:val="single" w:sz="8" w:space="0" w:color="auto"/>
            </w:tcBorders>
            <w:noWrap/>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8,968</w:t>
            </w:r>
          </w:p>
        </w:tc>
        <w:tc>
          <w:tcPr>
            <w:tcW w:w="886" w:type="pct"/>
            <w:tcBorders>
              <w:top w:val="nil"/>
              <w:left w:val="nil"/>
              <w:bottom w:val="single" w:sz="8" w:space="0" w:color="auto"/>
              <w:right w:val="single" w:sz="8" w:space="0" w:color="auto"/>
            </w:tcBorders>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67%</w:t>
            </w:r>
          </w:p>
        </w:tc>
      </w:tr>
      <w:tr w:rsidR="002E508F">
        <w:trPr>
          <w:trHeight w:val="227"/>
        </w:trPr>
        <w:tc>
          <w:tcPr>
            <w:tcW w:w="0" w:type="auto"/>
            <w:vMerge/>
            <w:tcBorders>
              <w:top w:val="nil"/>
              <w:left w:val="single" w:sz="8" w:space="0" w:color="auto"/>
              <w:bottom w:val="single" w:sz="8" w:space="0" w:color="auto"/>
              <w:right w:val="single" w:sz="8" w:space="0" w:color="auto"/>
            </w:tcBorders>
            <w:vAlign w:val="center"/>
            <w:hideMark/>
          </w:tcPr>
          <w:p w:rsidR="002E508F" w:rsidRDefault="002E508F">
            <w:pPr>
              <w:spacing w:after="0"/>
              <w:rPr>
                <w:rFonts w:ascii="Times New Roman" w:hAnsi="Times New Roman" w:cs="Times New Roman"/>
                <w:noProof/>
                <w:color w:val="000000"/>
                <w:sz w:val="20"/>
                <w:szCs w:val="20"/>
                <w:lang w:eastAsia="en-GB"/>
              </w:rPr>
            </w:pPr>
          </w:p>
        </w:tc>
        <w:tc>
          <w:tcPr>
            <w:tcW w:w="1135" w:type="pct"/>
            <w:tcBorders>
              <w:top w:val="nil"/>
              <w:left w:val="nil"/>
              <w:bottom w:val="single" w:sz="8" w:space="0" w:color="auto"/>
              <w:right w:val="single" w:sz="8" w:space="0" w:color="auto"/>
            </w:tcBorders>
            <w:noWrap/>
            <w:vAlign w:val="center"/>
            <w:hideMark/>
          </w:tcPr>
          <w:p w:rsidR="002E508F" w:rsidRDefault="005D0A03">
            <w:pPr>
              <w:spacing w:after="0"/>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Services</w:t>
            </w:r>
          </w:p>
        </w:tc>
        <w:tc>
          <w:tcPr>
            <w:tcW w:w="1920" w:type="pct"/>
            <w:tcBorders>
              <w:top w:val="nil"/>
              <w:left w:val="nil"/>
              <w:bottom w:val="single" w:sz="8" w:space="0" w:color="auto"/>
              <w:right w:val="single" w:sz="8" w:space="0" w:color="auto"/>
            </w:tcBorders>
            <w:noWrap/>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298</w:t>
            </w:r>
          </w:p>
        </w:tc>
        <w:tc>
          <w:tcPr>
            <w:tcW w:w="886" w:type="pct"/>
            <w:tcBorders>
              <w:top w:val="nil"/>
              <w:left w:val="nil"/>
              <w:bottom w:val="single" w:sz="8" w:space="0" w:color="auto"/>
              <w:right w:val="single" w:sz="8" w:space="0" w:color="auto"/>
            </w:tcBorders>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2%</w:t>
            </w:r>
          </w:p>
        </w:tc>
      </w:tr>
      <w:tr w:rsidR="002E508F">
        <w:trPr>
          <w:trHeight w:val="227"/>
        </w:trPr>
        <w:tc>
          <w:tcPr>
            <w:tcW w:w="0" w:type="auto"/>
            <w:vMerge/>
            <w:tcBorders>
              <w:top w:val="nil"/>
              <w:left w:val="single" w:sz="8" w:space="0" w:color="auto"/>
              <w:bottom w:val="single" w:sz="8" w:space="0" w:color="auto"/>
              <w:right w:val="single" w:sz="8" w:space="0" w:color="auto"/>
            </w:tcBorders>
            <w:vAlign w:val="center"/>
            <w:hideMark/>
          </w:tcPr>
          <w:p w:rsidR="002E508F" w:rsidRDefault="002E508F">
            <w:pPr>
              <w:spacing w:after="0"/>
              <w:rPr>
                <w:rFonts w:ascii="Times New Roman" w:hAnsi="Times New Roman" w:cs="Times New Roman"/>
                <w:noProof/>
                <w:color w:val="000000"/>
                <w:sz w:val="20"/>
                <w:szCs w:val="20"/>
                <w:lang w:eastAsia="en-GB"/>
              </w:rPr>
            </w:pPr>
          </w:p>
        </w:tc>
        <w:tc>
          <w:tcPr>
            <w:tcW w:w="1135" w:type="pct"/>
            <w:tcBorders>
              <w:top w:val="nil"/>
              <w:left w:val="nil"/>
              <w:bottom w:val="single" w:sz="8" w:space="0" w:color="auto"/>
              <w:right w:val="single" w:sz="8" w:space="0" w:color="auto"/>
            </w:tcBorders>
            <w:noWrap/>
            <w:vAlign w:val="center"/>
            <w:hideMark/>
          </w:tcPr>
          <w:p w:rsidR="002E508F" w:rsidRDefault="005D0A03">
            <w:pPr>
              <w:spacing w:after="0"/>
              <w:rPr>
                <w:rFonts w:ascii="Times New Roman" w:hAnsi="Times New Roman" w:cs="Times New Roman"/>
                <w:b/>
                <w:bCs/>
                <w:noProof/>
                <w:sz w:val="20"/>
                <w:szCs w:val="20"/>
                <w:lang w:eastAsia="en-GB"/>
              </w:rPr>
            </w:pPr>
            <w:r>
              <w:rPr>
                <w:rFonts w:ascii="Times New Roman" w:hAnsi="Times New Roman" w:cs="Times New Roman"/>
                <w:b/>
                <w:bCs/>
                <w:noProof/>
                <w:sz w:val="20"/>
                <w:szCs w:val="20"/>
                <w:lang w:eastAsia="en-GB"/>
              </w:rPr>
              <w:t>Total</w:t>
            </w:r>
          </w:p>
        </w:tc>
        <w:tc>
          <w:tcPr>
            <w:tcW w:w="1920" w:type="pct"/>
            <w:tcBorders>
              <w:top w:val="nil"/>
              <w:left w:val="nil"/>
              <w:bottom w:val="single" w:sz="8" w:space="0" w:color="auto"/>
              <w:right w:val="single" w:sz="8" w:space="0" w:color="auto"/>
            </w:tcBorders>
            <w:noWrap/>
            <w:vAlign w:val="bottom"/>
            <w:hideMark/>
          </w:tcPr>
          <w:p w:rsidR="002E508F" w:rsidRDefault="005D0A03">
            <w:pPr>
              <w:spacing w:after="0"/>
              <w:jc w:val="center"/>
              <w:rPr>
                <w:rFonts w:ascii="Times New Roman" w:hAnsi="Times New Roman" w:cs="Times New Roman"/>
                <w:b/>
                <w:bCs/>
                <w:noProof/>
                <w:color w:val="FFFFFF"/>
                <w:sz w:val="20"/>
                <w:szCs w:val="20"/>
                <w:lang w:eastAsia="en-GB"/>
              </w:rPr>
            </w:pPr>
            <w:r>
              <w:rPr>
                <w:rFonts w:ascii="Times New Roman" w:hAnsi="Times New Roman" w:cs="Times New Roman"/>
                <w:b/>
                <w:noProof/>
                <w:color w:val="000000"/>
                <w:sz w:val="20"/>
                <w:szCs w:val="20"/>
              </w:rPr>
              <w:t>13,457</w:t>
            </w:r>
          </w:p>
        </w:tc>
        <w:tc>
          <w:tcPr>
            <w:tcW w:w="886" w:type="pct"/>
            <w:tcBorders>
              <w:top w:val="nil"/>
              <w:left w:val="nil"/>
              <w:bottom w:val="single" w:sz="8" w:space="0" w:color="auto"/>
              <w:right w:val="single" w:sz="8" w:space="0" w:color="auto"/>
            </w:tcBorders>
            <w:vAlign w:val="bottom"/>
            <w:hideMark/>
          </w:tcPr>
          <w:p w:rsidR="002E508F" w:rsidRDefault="005D0A03">
            <w:pPr>
              <w:spacing w:after="0"/>
              <w:jc w:val="center"/>
              <w:rPr>
                <w:rFonts w:ascii="Times New Roman" w:hAnsi="Times New Roman" w:cs="Times New Roman"/>
                <w:b/>
                <w:bCs/>
                <w:noProof/>
                <w:color w:val="FFFFFF"/>
                <w:sz w:val="20"/>
                <w:szCs w:val="20"/>
                <w:lang w:eastAsia="en-GB"/>
              </w:rPr>
            </w:pPr>
            <w:r>
              <w:rPr>
                <w:rFonts w:ascii="Times New Roman" w:hAnsi="Times New Roman" w:cs="Times New Roman"/>
                <w:b/>
                <w:noProof/>
                <w:color w:val="000000"/>
                <w:sz w:val="20"/>
                <w:szCs w:val="20"/>
              </w:rPr>
              <w:t>100%</w:t>
            </w:r>
          </w:p>
        </w:tc>
      </w:tr>
      <w:tr w:rsidR="002E508F">
        <w:trPr>
          <w:trHeight w:val="227"/>
        </w:trPr>
        <w:tc>
          <w:tcPr>
            <w:tcW w:w="1059" w:type="pct"/>
            <w:vMerge w:val="restart"/>
            <w:tcBorders>
              <w:top w:val="nil"/>
              <w:left w:val="single" w:sz="8" w:space="0" w:color="auto"/>
              <w:bottom w:val="single" w:sz="4" w:space="0" w:color="auto"/>
              <w:right w:val="single" w:sz="8" w:space="0" w:color="auto"/>
            </w:tcBorders>
            <w:shd w:val="clear" w:color="auto" w:fill="FFFFFF"/>
            <w:noWrap/>
            <w:vAlign w:val="center"/>
            <w:hideMark/>
          </w:tcPr>
          <w:p w:rsidR="002E508F" w:rsidRDefault="005D0A03">
            <w:pPr>
              <w:spacing w:after="0"/>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Bus</w:t>
            </w:r>
          </w:p>
        </w:tc>
        <w:tc>
          <w:tcPr>
            <w:tcW w:w="1135" w:type="pct"/>
            <w:tcBorders>
              <w:top w:val="nil"/>
              <w:left w:val="nil"/>
              <w:bottom w:val="single" w:sz="8" w:space="0" w:color="auto"/>
              <w:right w:val="single" w:sz="8" w:space="0" w:color="auto"/>
            </w:tcBorders>
            <w:noWrap/>
            <w:vAlign w:val="center"/>
            <w:hideMark/>
          </w:tcPr>
          <w:p w:rsidR="002E508F" w:rsidRDefault="005D0A03">
            <w:pPr>
              <w:spacing w:after="0"/>
              <w:rPr>
                <w:rFonts w:ascii="Times New Roman" w:hAnsi="Times New Roman" w:cs="Times New Roman"/>
                <w:noProof/>
                <w:sz w:val="20"/>
                <w:szCs w:val="20"/>
                <w:lang w:eastAsia="en-GB"/>
              </w:rPr>
            </w:pPr>
            <w:r>
              <w:rPr>
                <w:rFonts w:ascii="Times New Roman" w:hAnsi="Times New Roman" w:cs="Times New Roman"/>
                <w:noProof/>
                <w:sz w:val="20"/>
                <w:szCs w:val="20"/>
                <w:lang w:eastAsia="en-GB"/>
              </w:rPr>
              <w:t>Lease</w:t>
            </w:r>
          </w:p>
        </w:tc>
        <w:tc>
          <w:tcPr>
            <w:tcW w:w="1920" w:type="pct"/>
            <w:tcBorders>
              <w:top w:val="nil"/>
              <w:left w:val="nil"/>
              <w:bottom w:val="single" w:sz="8" w:space="0" w:color="auto"/>
              <w:right w:val="single" w:sz="8" w:space="0" w:color="auto"/>
            </w:tcBorders>
            <w:noWrap/>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1,293</w:t>
            </w:r>
          </w:p>
        </w:tc>
        <w:tc>
          <w:tcPr>
            <w:tcW w:w="886" w:type="pct"/>
            <w:tcBorders>
              <w:top w:val="nil"/>
              <w:left w:val="nil"/>
              <w:bottom w:val="single" w:sz="8" w:space="0" w:color="auto"/>
              <w:right w:val="single" w:sz="8" w:space="0" w:color="auto"/>
            </w:tcBorders>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10%</w:t>
            </w:r>
          </w:p>
        </w:tc>
      </w:tr>
      <w:tr w:rsidR="002E508F">
        <w:trPr>
          <w:trHeight w:val="227"/>
        </w:trPr>
        <w:tc>
          <w:tcPr>
            <w:tcW w:w="0" w:type="auto"/>
            <w:vMerge/>
            <w:tcBorders>
              <w:top w:val="nil"/>
              <w:left w:val="single" w:sz="8" w:space="0" w:color="auto"/>
              <w:bottom w:val="single" w:sz="4" w:space="0" w:color="auto"/>
              <w:right w:val="single" w:sz="8" w:space="0" w:color="auto"/>
            </w:tcBorders>
            <w:vAlign w:val="center"/>
            <w:hideMark/>
          </w:tcPr>
          <w:p w:rsidR="002E508F" w:rsidRDefault="002E508F">
            <w:pPr>
              <w:spacing w:after="0"/>
              <w:rPr>
                <w:rFonts w:ascii="Times New Roman" w:hAnsi="Times New Roman" w:cs="Times New Roman"/>
                <w:noProof/>
                <w:color w:val="000000"/>
                <w:sz w:val="20"/>
                <w:szCs w:val="20"/>
                <w:lang w:eastAsia="en-GB"/>
              </w:rPr>
            </w:pPr>
          </w:p>
        </w:tc>
        <w:tc>
          <w:tcPr>
            <w:tcW w:w="1135" w:type="pct"/>
            <w:tcBorders>
              <w:top w:val="nil"/>
              <w:left w:val="nil"/>
              <w:bottom w:val="single" w:sz="8" w:space="0" w:color="auto"/>
              <w:right w:val="single" w:sz="8" w:space="0" w:color="auto"/>
            </w:tcBorders>
            <w:noWrap/>
            <w:vAlign w:val="center"/>
            <w:hideMark/>
          </w:tcPr>
          <w:p w:rsidR="002E508F" w:rsidRDefault="005D0A03">
            <w:pPr>
              <w:spacing w:after="0"/>
              <w:rPr>
                <w:rFonts w:ascii="Times New Roman" w:hAnsi="Times New Roman" w:cs="Times New Roman"/>
                <w:noProof/>
                <w:sz w:val="20"/>
                <w:szCs w:val="20"/>
                <w:lang w:eastAsia="en-GB"/>
              </w:rPr>
            </w:pPr>
            <w:r>
              <w:rPr>
                <w:rFonts w:ascii="Times New Roman" w:hAnsi="Times New Roman" w:cs="Times New Roman"/>
                <w:noProof/>
                <w:sz w:val="20"/>
                <w:szCs w:val="20"/>
                <w:lang w:eastAsia="en-GB"/>
              </w:rPr>
              <w:t>Purchase</w:t>
            </w:r>
          </w:p>
        </w:tc>
        <w:tc>
          <w:tcPr>
            <w:tcW w:w="1920" w:type="pct"/>
            <w:tcBorders>
              <w:top w:val="nil"/>
              <w:left w:val="nil"/>
              <w:bottom w:val="single" w:sz="8" w:space="0" w:color="auto"/>
              <w:right w:val="single" w:sz="8" w:space="0" w:color="auto"/>
            </w:tcBorders>
            <w:noWrap/>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7,799</w:t>
            </w:r>
          </w:p>
        </w:tc>
        <w:tc>
          <w:tcPr>
            <w:tcW w:w="886" w:type="pct"/>
            <w:tcBorders>
              <w:top w:val="nil"/>
              <w:left w:val="nil"/>
              <w:bottom w:val="single" w:sz="8" w:space="0" w:color="auto"/>
              <w:right w:val="single" w:sz="8" w:space="0" w:color="auto"/>
            </w:tcBorders>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61%</w:t>
            </w:r>
          </w:p>
        </w:tc>
      </w:tr>
      <w:tr w:rsidR="002E508F">
        <w:trPr>
          <w:trHeight w:val="227"/>
        </w:trPr>
        <w:tc>
          <w:tcPr>
            <w:tcW w:w="0" w:type="auto"/>
            <w:vMerge/>
            <w:tcBorders>
              <w:top w:val="nil"/>
              <w:left w:val="single" w:sz="8" w:space="0" w:color="auto"/>
              <w:bottom w:val="single" w:sz="4" w:space="0" w:color="auto"/>
              <w:right w:val="single" w:sz="8" w:space="0" w:color="auto"/>
            </w:tcBorders>
            <w:vAlign w:val="center"/>
            <w:hideMark/>
          </w:tcPr>
          <w:p w:rsidR="002E508F" w:rsidRDefault="002E508F">
            <w:pPr>
              <w:spacing w:after="0"/>
              <w:rPr>
                <w:rFonts w:ascii="Times New Roman" w:hAnsi="Times New Roman" w:cs="Times New Roman"/>
                <w:noProof/>
                <w:color w:val="000000"/>
                <w:sz w:val="20"/>
                <w:szCs w:val="20"/>
                <w:lang w:eastAsia="en-GB"/>
              </w:rPr>
            </w:pPr>
          </w:p>
        </w:tc>
        <w:tc>
          <w:tcPr>
            <w:tcW w:w="1135" w:type="pct"/>
            <w:tcBorders>
              <w:top w:val="nil"/>
              <w:left w:val="nil"/>
              <w:bottom w:val="single" w:sz="8" w:space="0" w:color="auto"/>
              <w:right w:val="single" w:sz="8" w:space="0" w:color="auto"/>
            </w:tcBorders>
            <w:noWrap/>
            <w:vAlign w:val="center"/>
            <w:hideMark/>
          </w:tcPr>
          <w:p w:rsidR="002E508F" w:rsidRDefault="005D0A03">
            <w:pPr>
              <w:spacing w:after="0"/>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Services</w:t>
            </w:r>
          </w:p>
        </w:tc>
        <w:tc>
          <w:tcPr>
            <w:tcW w:w="1920" w:type="pct"/>
            <w:tcBorders>
              <w:top w:val="nil"/>
              <w:left w:val="nil"/>
              <w:bottom w:val="single" w:sz="8" w:space="0" w:color="auto"/>
              <w:right w:val="single" w:sz="8" w:space="0" w:color="auto"/>
            </w:tcBorders>
            <w:noWrap/>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3,604</w:t>
            </w:r>
          </w:p>
        </w:tc>
        <w:tc>
          <w:tcPr>
            <w:tcW w:w="886" w:type="pct"/>
            <w:tcBorders>
              <w:top w:val="nil"/>
              <w:left w:val="nil"/>
              <w:bottom w:val="single" w:sz="8" w:space="0" w:color="auto"/>
              <w:right w:val="single" w:sz="8" w:space="0" w:color="auto"/>
            </w:tcBorders>
            <w:vAlign w:val="bottom"/>
            <w:hideMark/>
          </w:tcPr>
          <w:p w:rsidR="002E508F" w:rsidRDefault="005D0A03">
            <w:pPr>
              <w:spacing w:after="0"/>
              <w:jc w:val="cente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rPr>
              <w:t>28%</w:t>
            </w:r>
          </w:p>
        </w:tc>
      </w:tr>
      <w:tr w:rsidR="002E508F">
        <w:trPr>
          <w:trHeight w:val="227"/>
        </w:trPr>
        <w:tc>
          <w:tcPr>
            <w:tcW w:w="0" w:type="auto"/>
            <w:vMerge/>
            <w:tcBorders>
              <w:top w:val="nil"/>
              <w:left w:val="single" w:sz="8" w:space="0" w:color="auto"/>
              <w:bottom w:val="single" w:sz="4" w:space="0" w:color="auto"/>
              <w:right w:val="single" w:sz="8" w:space="0" w:color="auto"/>
            </w:tcBorders>
            <w:vAlign w:val="center"/>
            <w:hideMark/>
          </w:tcPr>
          <w:p w:rsidR="002E508F" w:rsidRDefault="002E508F">
            <w:pPr>
              <w:spacing w:after="0"/>
              <w:rPr>
                <w:rFonts w:ascii="Times New Roman" w:hAnsi="Times New Roman" w:cs="Times New Roman"/>
                <w:noProof/>
                <w:color w:val="000000"/>
                <w:sz w:val="20"/>
                <w:szCs w:val="20"/>
                <w:lang w:eastAsia="en-GB"/>
              </w:rPr>
            </w:pPr>
          </w:p>
        </w:tc>
        <w:tc>
          <w:tcPr>
            <w:tcW w:w="1135" w:type="pct"/>
            <w:tcBorders>
              <w:top w:val="nil"/>
              <w:left w:val="nil"/>
              <w:bottom w:val="single" w:sz="4" w:space="0" w:color="auto"/>
              <w:right w:val="single" w:sz="8" w:space="0" w:color="auto"/>
            </w:tcBorders>
            <w:noWrap/>
            <w:vAlign w:val="center"/>
            <w:hideMark/>
          </w:tcPr>
          <w:p w:rsidR="002E508F" w:rsidRDefault="005D0A03">
            <w:pPr>
              <w:spacing w:after="0"/>
              <w:rPr>
                <w:rFonts w:ascii="Times New Roman" w:hAnsi="Times New Roman" w:cs="Times New Roman"/>
                <w:noProof/>
                <w:sz w:val="20"/>
                <w:szCs w:val="20"/>
                <w:lang w:eastAsia="en-GB"/>
              </w:rPr>
            </w:pPr>
            <w:r>
              <w:rPr>
                <w:rFonts w:ascii="Times New Roman" w:hAnsi="Times New Roman" w:cs="Times New Roman"/>
                <w:b/>
                <w:bCs/>
                <w:noProof/>
                <w:sz w:val="20"/>
                <w:szCs w:val="20"/>
                <w:lang w:eastAsia="en-GB"/>
              </w:rPr>
              <w:t>Total</w:t>
            </w:r>
          </w:p>
        </w:tc>
        <w:tc>
          <w:tcPr>
            <w:tcW w:w="1920" w:type="pct"/>
            <w:tcBorders>
              <w:top w:val="nil"/>
              <w:left w:val="nil"/>
              <w:bottom w:val="single" w:sz="4" w:space="0" w:color="auto"/>
              <w:right w:val="single" w:sz="8" w:space="0" w:color="auto"/>
            </w:tcBorders>
            <w:noWrap/>
            <w:vAlign w:val="bottom"/>
            <w:hideMark/>
          </w:tcPr>
          <w:p w:rsidR="002E508F" w:rsidRDefault="005D0A03">
            <w:pPr>
              <w:spacing w:after="0"/>
              <w:jc w:val="center"/>
              <w:rPr>
                <w:rFonts w:ascii="Times New Roman" w:hAnsi="Times New Roman" w:cs="Times New Roman"/>
                <w:b/>
                <w:bCs/>
                <w:noProof/>
                <w:color w:val="FFFFFF"/>
                <w:sz w:val="20"/>
                <w:szCs w:val="20"/>
                <w:lang w:eastAsia="en-GB"/>
              </w:rPr>
            </w:pPr>
            <w:r>
              <w:rPr>
                <w:rFonts w:ascii="Times New Roman" w:hAnsi="Times New Roman" w:cs="Times New Roman"/>
                <w:b/>
                <w:noProof/>
                <w:color w:val="000000"/>
                <w:sz w:val="20"/>
                <w:szCs w:val="20"/>
              </w:rPr>
              <w:t>12,696</w:t>
            </w:r>
          </w:p>
        </w:tc>
        <w:tc>
          <w:tcPr>
            <w:tcW w:w="886" w:type="pct"/>
            <w:tcBorders>
              <w:top w:val="nil"/>
              <w:left w:val="nil"/>
              <w:bottom w:val="single" w:sz="4" w:space="0" w:color="auto"/>
              <w:right w:val="single" w:sz="8" w:space="0" w:color="auto"/>
            </w:tcBorders>
            <w:vAlign w:val="bottom"/>
            <w:hideMark/>
          </w:tcPr>
          <w:p w:rsidR="002E508F" w:rsidRDefault="005D0A03">
            <w:pPr>
              <w:spacing w:after="0"/>
              <w:jc w:val="center"/>
              <w:rPr>
                <w:rFonts w:ascii="Times New Roman" w:hAnsi="Times New Roman" w:cs="Times New Roman"/>
                <w:b/>
                <w:bCs/>
                <w:noProof/>
                <w:color w:val="FFFFFF"/>
                <w:sz w:val="20"/>
                <w:szCs w:val="20"/>
                <w:lang w:eastAsia="en-GB"/>
              </w:rPr>
            </w:pPr>
            <w:r>
              <w:rPr>
                <w:rFonts w:ascii="Times New Roman" w:hAnsi="Times New Roman" w:cs="Times New Roman"/>
                <w:b/>
                <w:noProof/>
                <w:color w:val="000000"/>
                <w:sz w:val="20"/>
                <w:szCs w:val="20"/>
              </w:rPr>
              <w:t>100%</w:t>
            </w:r>
          </w:p>
        </w:tc>
      </w:tr>
      <w:tr w:rsidR="002E508F">
        <w:trPr>
          <w:trHeight w:val="75"/>
        </w:trPr>
        <w:tc>
          <w:tcPr>
            <w:tcW w:w="1059"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508F" w:rsidRDefault="005D0A03">
            <w:pPr>
              <w:spacing w:after="0"/>
              <w:rPr>
                <w:rFonts w:ascii="Times New Roman" w:hAnsi="Times New Roman" w:cs="Times New Roman"/>
                <w:b/>
                <w:bCs/>
                <w:noProof/>
                <w:sz w:val="20"/>
                <w:szCs w:val="20"/>
                <w:lang w:eastAsia="en-GB"/>
              </w:rPr>
            </w:pPr>
            <w:r>
              <w:rPr>
                <w:rFonts w:ascii="Times New Roman" w:hAnsi="Times New Roman" w:cs="Times New Roman"/>
                <w:b/>
                <w:bCs/>
                <w:noProof/>
                <w:sz w:val="20"/>
                <w:szCs w:val="20"/>
                <w:lang w:eastAsia="en-GB"/>
              </w:rPr>
              <w:t>Total</w:t>
            </w:r>
          </w:p>
        </w:tc>
        <w:tc>
          <w:tcPr>
            <w:tcW w:w="113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508F" w:rsidRDefault="005D0A03">
            <w:pPr>
              <w:spacing w:after="0"/>
              <w:rPr>
                <w:rFonts w:ascii="Times New Roman" w:hAnsi="Times New Roman" w:cs="Times New Roman"/>
                <w:b/>
                <w:bCs/>
                <w:noProof/>
                <w:sz w:val="20"/>
                <w:szCs w:val="20"/>
                <w:lang w:eastAsia="en-GB"/>
              </w:rPr>
            </w:pPr>
            <w:r>
              <w:rPr>
                <w:rFonts w:ascii="Times New Roman" w:hAnsi="Times New Roman" w:cs="Times New Roman"/>
                <w:noProof/>
                <w:sz w:val="20"/>
                <w:szCs w:val="20"/>
                <w:lang w:eastAsia="en-GB"/>
              </w:rPr>
              <w:t>Lease</w:t>
            </w:r>
          </w:p>
        </w:tc>
        <w:tc>
          <w:tcPr>
            <w:tcW w:w="192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2E508F" w:rsidRDefault="005D0A03">
            <w:pPr>
              <w:spacing w:after="0"/>
              <w:jc w:val="center"/>
              <w:rPr>
                <w:rFonts w:ascii="Times New Roman" w:hAnsi="Times New Roman" w:cs="Times New Roman"/>
                <w:b/>
                <w:bCs/>
                <w:noProof/>
                <w:sz w:val="20"/>
                <w:szCs w:val="20"/>
                <w:lang w:eastAsia="en-GB"/>
              </w:rPr>
            </w:pPr>
            <w:r>
              <w:rPr>
                <w:rFonts w:ascii="Times New Roman" w:hAnsi="Times New Roman" w:cs="Times New Roman"/>
                <w:noProof/>
                <w:sz w:val="20"/>
                <w:szCs w:val="20"/>
              </w:rPr>
              <w:t>17,417</w:t>
            </w:r>
          </w:p>
        </w:tc>
        <w:tc>
          <w:tcPr>
            <w:tcW w:w="8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2E508F" w:rsidRDefault="005D0A03">
            <w:pPr>
              <w:spacing w:after="0"/>
              <w:jc w:val="center"/>
              <w:rPr>
                <w:rFonts w:ascii="Times New Roman" w:hAnsi="Times New Roman" w:cs="Times New Roman"/>
                <w:b/>
                <w:bCs/>
                <w:noProof/>
                <w:sz w:val="20"/>
                <w:szCs w:val="20"/>
                <w:lang w:eastAsia="en-GB"/>
              </w:rPr>
            </w:pPr>
            <w:r>
              <w:rPr>
                <w:rFonts w:ascii="Times New Roman" w:hAnsi="Times New Roman" w:cs="Times New Roman"/>
                <w:noProof/>
                <w:sz w:val="20"/>
                <w:szCs w:val="20"/>
              </w:rPr>
              <w:t>17%</w:t>
            </w:r>
          </w:p>
        </w:tc>
      </w:tr>
      <w:tr w:rsidR="002E508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508F" w:rsidRDefault="002E508F">
            <w:pPr>
              <w:spacing w:after="0"/>
              <w:rPr>
                <w:rFonts w:ascii="Times New Roman" w:hAnsi="Times New Roman" w:cs="Times New Roman"/>
                <w:b/>
                <w:bCs/>
                <w:noProof/>
                <w:sz w:val="20"/>
                <w:szCs w:val="20"/>
                <w:lang w:eastAsia="en-GB"/>
              </w:rPr>
            </w:pPr>
          </w:p>
        </w:tc>
        <w:tc>
          <w:tcPr>
            <w:tcW w:w="113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508F" w:rsidRDefault="005D0A03">
            <w:pPr>
              <w:spacing w:after="0"/>
              <w:rPr>
                <w:rFonts w:ascii="Times New Roman" w:hAnsi="Times New Roman" w:cs="Times New Roman"/>
                <w:b/>
                <w:bCs/>
                <w:noProof/>
                <w:sz w:val="20"/>
                <w:szCs w:val="20"/>
                <w:lang w:eastAsia="en-GB"/>
              </w:rPr>
            </w:pPr>
            <w:r>
              <w:rPr>
                <w:rFonts w:ascii="Times New Roman" w:hAnsi="Times New Roman" w:cs="Times New Roman"/>
                <w:noProof/>
                <w:sz w:val="20"/>
                <w:szCs w:val="20"/>
                <w:lang w:eastAsia="en-GB"/>
              </w:rPr>
              <w:t>Purchase</w:t>
            </w:r>
          </w:p>
        </w:tc>
        <w:tc>
          <w:tcPr>
            <w:tcW w:w="192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2E508F" w:rsidRDefault="005D0A03">
            <w:pPr>
              <w:spacing w:after="0"/>
              <w:jc w:val="center"/>
              <w:rPr>
                <w:rFonts w:ascii="Times New Roman" w:hAnsi="Times New Roman" w:cs="Times New Roman"/>
                <w:b/>
                <w:bCs/>
                <w:noProof/>
                <w:sz w:val="20"/>
                <w:szCs w:val="20"/>
                <w:lang w:eastAsia="en-GB"/>
              </w:rPr>
            </w:pPr>
            <w:r>
              <w:rPr>
                <w:rFonts w:ascii="Times New Roman" w:hAnsi="Times New Roman" w:cs="Times New Roman"/>
                <w:noProof/>
                <w:sz w:val="20"/>
                <w:szCs w:val="20"/>
              </w:rPr>
              <w:t>80,905</w:t>
            </w:r>
          </w:p>
        </w:tc>
        <w:tc>
          <w:tcPr>
            <w:tcW w:w="8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2E508F" w:rsidRDefault="005D0A03">
            <w:pPr>
              <w:spacing w:after="0"/>
              <w:jc w:val="center"/>
              <w:rPr>
                <w:rFonts w:ascii="Times New Roman" w:hAnsi="Times New Roman" w:cs="Times New Roman"/>
                <w:b/>
                <w:bCs/>
                <w:noProof/>
                <w:sz w:val="20"/>
                <w:szCs w:val="20"/>
                <w:lang w:eastAsia="en-GB"/>
              </w:rPr>
            </w:pPr>
            <w:r>
              <w:rPr>
                <w:rFonts w:ascii="Times New Roman" w:hAnsi="Times New Roman" w:cs="Times New Roman"/>
                <w:noProof/>
                <w:sz w:val="20"/>
                <w:szCs w:val="20"/>
              </w:rPr>
              <w:t>78%</w:t>
            </w:r>
          </w:p>
        </w:tc>
      </w:tr>
      <w:tr w:rsidR="002E508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508F" w:rsidRDefault="002E508F">
            <w:pPr>
              <w:spacing w:after="0"/>
              <w:rPr>
                <w:rFonts w:ascii="Times New Roman" w:hAnsi="Times New Roman" w:cs="Times New Roman"/>
                <w:b/>
                <w:bCs/>
                <w:noProof/>
                <w:sz w:val="20"/>
                <w:szCs w:val="20"/>
                <w:lang w:eastAsia="en-GB"/>
              </w:rPr>
            </w:pPr>
          </w:p>
        </w:tc>
        <w:tc>
          <w:tcPr>
            <w:tcW w:w="113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508F" w:rsidRDefault="005D0A03">
            <w:pPr>
              <w:spacing w:after="0"/>
              <w:rPr>
                <w:rFonts w:ascii="Times New Roman" w:hAnsi="Times New Roman" w:cs="Times New Roman"/>
                <w:b/>
                <w:bCs/>
                <w:noProof/>
                <w:sz w:val="20"/>
                <w:szCs w:val="20"/>
                <w:lang w:eastAsia="en-GB"/>
              </w:rPr>
            </w:pPr>
            <w:r>
              <w:rPr>
                <w:rFonts w:ascii="Times New Roman" w:hAnsi="Times New Roman" w:cs="Times New Roman"/>
                <w:noProof/>
                <w:sz w:val="20"/>
                <w:szCs w:val="20"/>
                <w:lang w:eastAsia="en-GB"/>
              </w:rPr>
              <w:t>Services</w:t>
            </w:r>
          </w:p>
        </w:tc>
        <w:tc>
          <w:tcPr>
            <w:tcW w:w="192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2E508F" w:rsidRDefault="005D0A03">
            <w:pPr>
              <w:spacing w:after="0"/>
              <w:jc w:val="center"/>
              <w:rPr>
                <w:rFonts w:ascii="Times New Roman" w:hAnsi="Times New Roman" w:cs="Times New Roman"/>
                <w:b/>
                <w:bCs/>
                <w:noProof/>
                <w:sz w:val="20"/>
                <w:szCs w:val="20"/>
                <w:lang w:eastAsia="en-GB"/>
              </w:rPr>
            </w:pPr>
            <w:r>
              <w:rPr>
                <w:rFonts w:ascii="Times New Roman" w:hAnsi="Times New Roman" w:cs="Times New Roman"/>
                <w:noProof/>
                <w:sz w:val="20"/>
                <w:szCs w:val="20"/>
              </w:rPr>
              <w:t>5,735</w:t>
            </w:r>
          </w:p>
        </w:tc>
        <w:tc>
          <w:tcPr>
            <w:tcW w:w="8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2E508F" w:rsidRDefault="005D0A03">
            <w:pPr>
              <w:spacing w:after="0"/>
              <w:jc w:val="center"/>
              <w:rPr>
                <w:rFonts w:ascii="Times New Roman" w:hAnsi="Times New Roman" w:cs="Times New Roman"/>
                <w:b/>
                <w:bCs/>
                <w:noProof/>
                <w:sz w:val="20"/>
                <w:szCs w:val="20"/>
                <w:lang w:eastAsia="en-GB"/>
              </w:rPr>
            </w:pPr>
            <w:r>
              <w:rPr>
                <w:rFonts w:ascii="Times New Roman" w:hAnsi="Times New Roman" w:cs="Times New Roman"/>
                <w:noProof/>
                <w:sz w:val="20"/>
                <w:szCs w:val="20"/>
              </w:rPr>
              <w:t>6%</w:t>
            </w:r>
          </w:p>
        </w:tc>
      </w:tr>
      <w:tr w:rsidR="002E508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508F" w:rsidRDefault="002E508F">
            <w:pPr>
              <w:spacing w:after="0"/>
              <w:rPr>
                <w:rFonts w:ascii="Times New Roman" w:hAnsi="Times New Roman" w:cs="Times New Roman"/>
                <w:b/>
                <w:bCs/>
                <w:noProof/>
                <w:sz w:val="20"/>
                <w:szCs w:val="20"/>
                <w:lang w:eastAsia="en-GB"/>
              </w:rPr>
            </w:pPr>
          </w:p>
        </w:tc>
        <w:tc>
          <w:tcPr>
            <w:tcW w:w="113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508F" w:rsidRDefault="005D0A03">
            <w:pPr>
              <w:spacing w:after="0"/>
              <w:rPr>
                <w:rFonts w:ascii="Times New Roman" w:hAnsi="Times New Roman" w:cs="Times New Roman"/>
                <w:b/>
                <w:bCs/>
                <w:noProof/>
                <w:sz w:val="20"/>
                <w:szCs w:val="20"/>
                <w:lang w:eastAsia="en-GB"/>
              </w:rPr>
            </w:pPr>
            <w:r>
              <w:rPr>
                <w:rFonts w:ascii="Times New Roman" w:hAnsi="Times New Roman" w:cs="Times New Roman"/>
                <w:b/>
                <w:bCs/>
                <w:noProof/>
                <w:sz w:val="20"/>
                <w:szCs w:val="20"/>
                <w:lang w:eastAsia="en-GB"/>
              </w:rPr>
              <w:t>Total</w:t>
            </w:r>
          </w:p>
        </w:tc>
        <w:tc>
          <w:tcPr>
            <w:tcW w:w="192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2E508F" w:rsidRDefault="005D0A03">
            <w:pPr>
              <w:spacing w:after="0"/>
              <w:jc w:val="center"/>
              <w:rPr>
                <w:rFonts w:ascii="Times New Roman" w:hAnsi="Times New Roman" w:cs="Times New Roman"/>
                <w:b/>
                <w:bCs/>
                <w:noProof/>
                <w:sz w:val="20"/>
                <w:szCs w:val="20"/>
                <w:lang w:eastAsia="en-GB"/>
              </w:rPr>
            </w:pPr>
            <w:r>
              <w:rPr>
                <w:rFonts w:ascii="Times New Roman" w:hAnsi="Times New Roman" w:cs="Times New Roman"/>
                <w:b/>
                <w:noProof/>
                <w:sz w:val="20"/>
                <w:szCs w:val="20"/>
              </w:rPr>
              <w:t>104,057</w:t>
            </w:r>
          </w:p>
        </w:tc>
        <w:tc>
          <w:tcPr>
            <w:tcW w:w="8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2E508F" w:rsidRDefault="005D0A03">
            <w:pPr>
              <w:spacing w:after="0"/>
              <w:jc w:val="center"/>
              <w:rPr>
                <w:rFonts w:ascii="Times New Roman" w:hAnsi="Times New Roman" w:cs="Times New Roman"/>
                <w:b/>
                <w:bCs/>
                <w:noProof/>
                <w:sz w:val="20"/>
                <w:szCs w:val="20"/>
                <w:lang w:eastAsia="en-GB"/>
              </w:rPr>
            </w:pPr>
            <w:r>
              <w:rPr>
                <w:rFonts w:ascii="Times New Roman" w:hAnsi="Times New Roman" w:cs="Times New Roman"/>
                <w:b/>
                <w:noProof/>
                <w:sz w:val="20"/>
                <w:szCs w:val="20"/>
              </w:rPr>
              <w:t>100%</w:t>
            </w:r>
          </w:p>
        </w:tc>
      </w:tr>
    </w:tbl>
    <w:p w:rsidR="002E508F" w:rsidRDefault="005D0A03">
      <w:pPr>
        <w:rPr>
          <w:rFonts w:ascii="Times New Roman" w:hAnsi="Times New Roman" w:cs="Times New Roman"/>
          <w:i/>
          <w:noProof/>
          <w:sz w:val="20"/>
          <w:szCs w:val="20"/>
        </w:rPr>
      </w:pPr>
      <w:r>
        <w:rPr>
          <w:rFonts w:ascii="Times New Roman" w:hAnsi="Times New Roman" w:cs="Times New Roman"/>
          <w:i/>
          <w:noProof/>
          <w:sz w:val="20"/>
          <w:szCs w:val="20"/>
        </w:rPr>
        <w:t>Sources: Ricardo (2017) Support Study to the Impact Assessment of the Clean Vehicles Directive</w:t>
      </w:r>
    </w:p>
    <w:p w:rsidR="002E508F" w:rsidRDefault="005D0A03">
      <w:pPr>
        <w:pStyle w:val="Standard"/>
        <w:spacing w:line="240" w:lineRule="auto"/>
        <w:jc w:val="both"/>
        <w:rPr>
          <w:noProof/>
        </w:rPr>
      </w:pPr>
      <w:r>
        <w:rPr>
          <w:rFonts w:ascii="Times New Roman" w:hAnsi="Times New Roman" w:cs="Times New Roman"/>
          <w:noProof/>
        </w:rPr>
        <w:t xml:space="preserve">In the Open Public Consultation for this Impact Assessment, 67% (87 out of 130 contributions) strongly or somewhat agreed that it was a relevant problem driver. In the targeted consultation activities, experts from public authorities, transport operators and manufacturers agreed that the scope of the Directive limits its market impact. </w:t>
      </w:r>
    </w:p>
    <w:p w:rsidR="002E508F" w:rsidRDefault="005D0A03">
      <w:pPr>
        <w:pStyle w:val="Heading3"/>
        <w:rPr>
          <w:noProof/>
        </w:rPr>
      </w:pPr>
      <w:bookmarkStart w:id="15" w:name="_Toc497141472"/>
      <w:r>
        <w:rPr>
          <w:noProof/>
        </w:rPr>
        <w:t>Driver 2: Lack of clear, impactful vehicle purchase provisions</w:t>
      </w:r>
      <w:bookmarkEnd w:id="15"/>
      <w:r>
        <w:rPr>
          <w:noProof/>
        </w:rPr>
        <w:t xml:space="preserve"> </w:t>
      </w:r>
    </w:p>
    <w:p w:rsidR="002E508F" w:rsidRDefault="005D0A03">
      <w:pPr>
        <w:autoSpaceDE w:val="0"/>
        <w:autoSpaceDN w:val="0"/>
        <w:adjustRightInd w:val="0"/>
        <w:spacing w:line="240" w:lineRule="auto"/>
        <w:jc w:val="both"/>
        <w:rPr>
          <w:rFonts w:ascii="Times New Roman" w:hAnsi="Times New Roman" w:cs="Times New Roman"/>
          <w:noProof/>
        </w:rPr>
      </w:pPr>
      <w:r>
        <w:rPr>
          <w:rFonts w:ascii="Times New Roman" w:hAnsi="Times New Roman" w:cs="Times New Roman"/>
          <w:noProof/>
        </w:rPr>
        <w:t>Art. 5 (3) of the Directive does not include clear vehicle-related purchase provisions. It notes the principal need to address energy and environmental concerns in technical specifications, but does not specify further vehicle requirements. Similarly, it notes the possibility to use environmental impacts as awards criteria, but does not set further specifications for their weighting. In the end, the success of the Directive depends on the willingness of public bodies to act, but it does not stimulate the decision for a clean vehicle purchase as such. The implementation has not sent clear, long-term signals to the market. In the survey among contracting authorities in the ex-post evaluation, a total of 63 (out of 156) respondents (or 40%) noted that they used the option to set technical specifications. Close to all of these respondents demanded vehicles that complied with existing Euro VI standards. A total of 68 (out of 156) respondents (or 44%) respondents noted that they use environmental and energy impacts as award criteria. Of those respondents, 75% noted that environment criteria made up less than 20% in the weighting of impacts in the purchase decision.</w:t>
      </w:r>
      <w:r>
        <w:rPr>
          <w:rStyle w:val="FootnoteReference"/>
          <w:rFonts w:ascii="Times New Roman" w:hAnsi="Times New Roman" w:cs="Times New Roman"/>
          <w:noProof/>
        </w:rPr>
        <w:footnoteReference w:id="33"/>
      </w:r>
    </w:p>
    <w:p w:rsidR="002E508F" w:rsidRDefault="005D0A03">
      <w:pPr>
        <w:autoSpaceDE w:val="0"/>
        <w:autoSpaceDN w:val="0"/>
        <w:adjustRightInd w:val="0"/>
        <w:spacing w:line="240" w:lineRule="auto"/>
        <w:jc w:val="both"/>
        <w:rPr>
          <w:rFonts w:ascii="Times New Roman" w:hAnsi="Times New Roman" w:cs="Times New Roman"/>
          <w:noProof/>
        </w:rPr>
      </w:pPr>
      <w:r>
        <w:rPr>
          <w:rFonts w:ascii="Times New Roman" w:hAnsi="Times New Roman" w:cs="Times New Roman"/>
          <w:noProof/>
        </w:rPr>
        <w:t xml:space="preserve">A large majority of respondents (84%, 109 out of 130 contributions) to the Open Public Consultation strongly or somewhat agreed that the lack of a clear definition undermines the practical relevance and market signals of the Directive. In this context, 73% (95 out of 130) also strongly or somewhat agreed that the absence of clear minimum procurement targets is a key problem driver. </w:t>
      </w:r>
    </w:p>
    <w:p w:rsidR="002E508F" w:rsidRDefault="005D0A03">
      <w:pPr>
        <w:autoSpaceDE w:val="0"/>
        <w:autoSpaceDN w:val="0"/>
        <w:adjustRightInd w:val="0"/>
        <w:spacing w:line="240" w:lineRule="auto"/>
        <w:jc w:val="both"/>
        <w:rPr>
          <w:rFonts w:ascii="Times New Roman" w:hAnsi="Times New Roman" w:cs="Times New Roman"/>
          <w:noProof/>
        </w:rPr>
      </w:pPr>
      <w:r>
        <w:rPr>
          <w:rFonts w:ascii="Times New Roman" w:hAnsi="Times New Roman" w:cs="Times New Roman"/>
          <w:noProof/>
          <w:lang w:eastAsia="en-GB"/>
        </w:rPr>
        <w:t>The lack of clear vehicle-specific criteria is combined with the lack of alignment of procurement criteria at EU level that could trigger better market impact. The Directive provides different options to include operational life-time environmental and energy impacts in purchase decisions.</w:t>
      </w:r>
      <w:r>
        <w:rPr>
          <w:rStyle w:val="FootnoteReference"/>
          <w:rFonts w:ascii="Times New Roman" w:hAnsi="Times New Roman" w:cs="Times New Roman"/>
          <w:noProof/>
          <w:lang w:eastAsia="en-GB"/>
        </w:rPr>
        <w:footnoteReference w:id="34"/>
      </w:r>
      <w:r>
        <w:rPr>
          <w:rFonts w:ascii="Times New Roman" w:hAnsi="Times New Roman" w:cs="Times New Roman"/>
          <w:noProof/>
          <w:lang w:eastAsia="en-GB"/>
        </w:rPr>
        <w:t xml:space="preserve"> Nearly all Member States have transposed all options into national law.</w:t>
      </w:r>
      <w:r>
        <w:rPr>
          <w:rStyle w:val="FootnoteReference"/>
          <w:rFonts w:ascii="Times New Roman" w:hAnsi="Times New Roman" w:cs="Times New Roman"/>
          <w:noProof/>
          <w:lang w:eastAsia="en-GB"/>
        </w:rPr>
        <w:footnoteReference w:id="35"/>
      </w:r>
      <w:r>
        <w:rPr>
          <w:rFonts w:ascii="Times New Roman" w:hAnsi="Times New Roman" w:cs="Times New Roman"/>
          <w:noProof/>
          <w:lang w:eastAsia="en-GB"/>
        </w:rPr>
        <w:t xml:space="preserve"> Following the lack of specific provisions such as a definition of a clean vehicle or weighting of impacts, the implementation of the Directive has not led to a greater use of harmonised criteria for public procurement and additionally not to greater harmonisation in determining life-time operational environment and energy cost. </w:t>
      </w:r>
    </w:p>
    <w:p w:rsidR="002E508F" w:rsidRDefault="005D0A03">
      <w:pPr>
        <w:autoSpaceDE w:val="0"/>
        <w:autoSpaceDN w:val="0"/>
        <w:adjustRightInd w:val="0"/>
        <w:spacing w:line="240" w:lineRule="auto"/>
        <w:jc w:val="both"/>
        <w:rPr>
          <w:rFonts w:ascii="Times New Roman" w:hAnsi="Times New Roman" w:cs="Times New Roman"/>
          <w:noProof/>
          <w:lang w:eastAsia="en-GB"/>
        </w:rPr>
      </w:pPr>
      <w:r>
        <w:rPr>
          <w:rFonts w:ascii="Times New Roman" w:hAnsi="Times New Roman" w:cs="Times New Roman"/>
          <w:noProof/>
        </w:rPr>
        <w:t>58% (75 out of 130) respondents to the Open Public Consultation strongly or somewhat agreed that the opportunity to choose between transposition options has furthered the variety of public procurement approaches. It</w:t>
      </w:r>
      <w:r>
        <w:rPr>
          <w:rFonts w:ascii="Times New Roman" w:hAnsi="Times New Roman" w:cs="Times New Roman"/>
          <w:noProof/>
          <w:lang w:eastAsia="en-GB"/>
        </w:rPr>
        <w:t xml:space="preserve"> has undermined the Directive's objective as cited in Recital 11: the application of harmonised criteria at EU level should lead to a significant market impact.</w:t>
      </w:r>
    </w:p>
    <w:p w:rsidR="002E508F" w:rsidRDefault="005D0A03">
      <w:pPr>
        <w:pStyle w:val="Heading3"/>
        <w:rPr>
          <w:noProof/>
        </w:rPr>
      </w:pPr>
      <w:bookmarkStart w:id="16" w:name="_Toc497141473"/>
      <w:r>
        <w:rPr>
          <w:noProof/>
        </w:rPr>
        <w:t>Driver 3: Complex provisions for the use of the monetisation methodology</w:t>
      </w:r>
      <w:bookmarkEnd w:id="16"/>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At the time of the adoption of the Directive in 2009, mandatory inclusion of operational life time cost into purchase decisions was regarded to be the best way to influence the market (see recital 16 of Directive 2009/33/EC). Monetisation of external effects appeared promising.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In the contracting authorities' survey during the ex-post evaluation, 13% (from 156 respondents) noted that they had monetised impacts. Of those 13%, only 29% (6 out of 21) noted that they had used the methodology as defined by the Directive, which is a mere minority.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rare use of the monetisation methodology has been confirmed in the consultation activities for this Impact Assessment.</w:t>
      </w:r>
      <w:r>
        <w:rPr>
          <w:rStyle w:val="FootnoteReference"/>
          <w:rFonts w:ascii="Times New Roman" w:hAnsi="Times New Roman" w:cs="Times New Roman"/>
          <w:noProof/>
        </w:rPr>
        <w:footnoteReference w:id="36"/>
      </w:r>
      <w:r>
        <w:rPr>
          <w:rFonts w:ascii="Times New Roman" w:hAnsi="Times New Roman" w:cs="Times New Roman"/>
          <w:noProof/>
        </w:rPr>
        <w:t xml:space="preserve"> Interviewees noted that the methodology is complex to apply. Relevant expertise is often missing. Moreover, in the absence of any harmonised EU standard for measuring fuel consumption or CO</w:t>
      </w:r>
      <w:r>
        <w:rPr>
          <w:rFonts w:ascii="Times New Roman" w:hAnsi="Times New Roman" w:cs="Times New Roman"/>
          <w:noProof/>
          <w:vertAlign w:val="subscript"/>
        </w:rPr>
        <w:t>2</w:t>
      </w:r>
      <w:r>
        <w:rPr>
          <w:rFonts w:ascii="Times New Roman" w:hAnsi="Times New Roman" w:cs="Times New Roman"/>
          <w:noProof/>
        </w:rPr>
        <w:t xml:space="preserve"> emissions from heavy duty vehicles, use of the methodology is restricted.  During the Open Public Consultation for this Impact Assessment, 46% (59 out of 130) of respondents strongly agreed and 22% (28 out of 130) somehow agreed that the rare use of the methodology is due to the perceived complexity of the provisions of the Directive.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In addition to the concerns about the complexity, there are concerns about the suitability of the methodology, which might also explain the limited use. In the ex-post evaluation survey with 156 authorities, 34% of respondents objected to the appropriateness of the methodology and its parameters for a good evaluation of environmental and energy impacts. Only 18% agreed; and 46% did not express an opinion. The methodology gives greater emphasis to energy efficiency compared to pollutant and CO</w:t>
      </w:r>
      <w:r>
        <w:rPr>
          <w:rFonts w:ascii="Times New Roman" w:hAnsi="Times New Roman" w:cs="Times New Roman"/>
          <w:noProof/>
          <w:vertAlign w:val="subscript"/>
        </w:rPr>
        <w:t>2</w:t>
      </w:r>
      <w:r>
        <w:rPr>
          <w:rFonts w:ascii="Times New Roman" w:hAnsi="Times New Roman" w:cs="Times New Roman"/>
          <w:noProof/>
        </w:rPr>
        <w:t xml:space="preserve"> emissions. The methodology confers higher scores to conventionally-powered fuel efficient vehicles, including diesel vehicles, which creates a bias towards diesel vehicles.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As part of the Open Public Consultation, 59% (77 out of 130) of respondents strongly or somewhat agreed that the methodology is too complex and can benefit diesel vehicles. A substantial increase of its use in an unchanged manner can actually lead to an increase of the problem at hand.</w:t>
      </w:r>
    </w:p>
    <w:p w:rsidR="002E508F" w:rsidRDefault="005D0A03">
      <w:pPr>
        <w:pStyle w:val="Heading2"/>
        <w:rPr>
          <w:noProof/>
        </w:rPr>
      </w:pPr>
      <w:bookmarkStart w:id="17" w:name="_Toc497141474"/>
      <w:r>
        <w:rPr>
          <w:noProof/>
        </w:rPr>
        <w:t>Who is affected by the problem?</w:t>
      </w:r>
      <w:bookmarkEnd w:id="17"/>
      <w:r>
        <w:rPr>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Citizens are affected by the lack of contribution from publicly procured vehicles to the reduction in CO</w:t>
      </w:r>
      <w:r>
        <w:rPr>
          <w:rFonts w:ascii="Times New Roman" w:hAnsi="Times New Roman" w:cs="Times New Roman"/>
          <w:noProof/>
          <w:vertAlign w:val="subscript"/>
        </w:rPr>
        <w:t>2</w:t>
      </w:r>
      <w:r>
        <w:rPr>
          <w:rFonts w:ascii="Times New Roman" w:hAnsi="Times New Roman" w:cs="Times New Roman"/>
          <w:noProof/>
        </w:rPr>
        <w:t xml:space="preserve"> and air pollutant emissions. More than 85% of the urban population is exposed to fine particulate matter (PM</w:t>
      </w:r>
      <w:r>
        <w:rPr>
          <w:rFonts w:ascii="Times New Roman" w:hAnsi="Times New Roman" w:cs="Times New Roman"/>
          <w:noProof/>
          <w:vertAlign w:val="subscript"/>
        </w:rPr>
        <w:t>2.5</w:t>
      </w:r>
      <w:r>
        <w:rPr>
          <w:rFonts w:ascii="Times New Roman" w:hAnsi="Times New Roman" w:cs="Times New Roman"/>
          <w:noProof/>
        </w:rPr>
        <w:t xml:space="preserve">) at levels deemed harmful to health by the WHO. In 2013, PM </w:t>
      </w:r>
      <w:r>
        <w:rPr>
          <w:rFonts w:ascii="Times New Roman" w:hAnsi="Times New Roman" w:cs="Times New Roman"/>
          <w:noProof/>
          <w:vertAlign w:val="subscript"/>
        </w:rPr>
        <w:t xml:space="preserve">2.5 </w:t>
      </w:r>
      <w:r>
        <w:rPr>
          <w:rFonts w:ascii="Times New Roman" w:hAnsi="Times New Roman" w:cs="Times New Roman"/>
          <w:noProof/>
        </w:rPr>
        <w:t>was responsible for more than 400000 premature deaths per year in the Union, in spite of emission reductions in previous years. NO</w:t>
      </w:r>
      <w:r>
        <w:rPr>
          <w:rFonts w:ascii="Times New Roman" w:hAnsi="Times New Roman" w:cs="Times New Roman"/>
          <w:noProof/>
          <w:vertAlign w:val="subscript"/>
        </w:rPr>
        <w:t>2</w:t>
      </w:r>
      <w:r>
        <w:rPr>
          <w:rFonts w:ascii="Times New Roman" w:hAnsi="Times New Roman" w:cs="Times New Roman"/>
          <w:noProof/>
        </w:rPr>
        <w:t xml:space="preserve"> exposure resulted in up to 70000 premature deaths per year in the Union.</w:t>
      </w:r>
      <w:r>
        <w:rPr>
          <w:rStyle w:val="FootnoteReference"/>
          <w:rFonts w:ascii="Times New Roman" w:hAnsi="Times New Roman" w:cs="Times New Roman"/>
          <w:noProof/>
        </w:rPr>
        <w:footnoteReference w:id="37"/>
      </w:r>
      <w:r>
        <w:rPr>
          <w:rFonts w:ascii="Times New Roman" w:hAnsi="Times New Roman" w:cs="Times New Roman"/>
          <w:noProof/>
        </w:rPr>
        <w:t xml:space="preserve"> Climate change impacts are also found to have direct human health impacts, including illness or premature death from flooding, rainfalls, storms or heat.</w:t>
      </w:r>
      <w:r>
        <w:rPr>
          <w:rStyle w:val="FootnoteReference"/>
          <w:rFonts w:ascii="Times New Roman" w:hAnsi="Times New Roman" w:cs="Times New Roman"/>
          <w:noProof/>
        </w:rPr>
        <w:footnoteReference w:id="38"/>
      </w:r>
      <w:r>
        <w:rPr>
          <w:rFonts w:ascii="Times New Roman" w:hAnsi="Times New Roman" w:cs="Times New Roman"/>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Public reactions to high levels of air pollution are recorded in form of lawsuits. Corresponding, several courts have ruled against public authorities, noting failure to comply with legal air quality requirements.</w:t>
      </w:r>
      <w:r>
        <w:rPr>
          <w:rStyle w:val="FootnoteReference"/>
          <w:rFonts w:ascii="Times New Roman" w:hAnsi="Times New Roman" w:cs="Times New Roman"/>
          <w:noProof/>
        </w:rPr>
        <w:footnoteReference w:id="39"/>
      </w:r>
      <w:r>
        <w:rPr>
          <w:rFonts w:ascii="Times New Roman" w:hAnsi="Times New Roman" w:cs="Times New Roman"/>
          <w:noProof/>
        </w:rPr>
        <w:t xml:space="preserve"> Public authorities are starting to react, adapting, among others, measures such as urban access restriction schemes. A limited availability of clean vehicles sold at comparatively high prices affects public bodies' ability to accelerate fleet transitions towards low-emission mobility solutions.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Manufactures of low- and zero-emission and other alternatively fuelled vehicles and recharging infrastructure technologies face investment risks, particularly in the heavy-duty sector. In the absence of policy certainty and secure larger-scale tenders on a regular basis, it can be difficult to plan for larger production capacity. Similarly, investment decisions by energy providers and grid operators are affected: deployment of a larger number of battery-electric buses, for example, can have huge repercussions for local energy grids, but investments into a stable and smart grid are affected by the uncertainty about vehicle demand. A long-term policy framework would help investment planning. </w:t>
      </w:r>
    </w:p>
    <w:p w:rsidR="002E508F" w:rsidRDefault="005D0A03">
      <w:pPr>
        <w:spacing w:line="240" w:lineRule="auto"/>
        <w:jc w:val="both"/>
        <w:rPr>
          <w:rFonts w:ascii="Times New Roman" w:hAnsi="Times New Roman"/>
          <w:noProof/>
        </w:rPr>
      </w:pPr>
      <w:r>
        <w:rPr>
          <w:rFonts w:ascii="Times New Roman" w:hAnsi="Times New Roman"/>
          <w:noProof/>
        </w:rPr>
        <w:t xml:space="preserve">In general, all relevant public and private actors need to change behaviour. Public bodies can have a stronger impact through purchasing clean vehicles large enough to matter for industry production and investment at scale. Captive fleet solutions (vehicles and infrastructures) can be advanced. Manufacturers need to extend the number of available vehicles, improve their reliability and bring purchase prices down. Manufacturers and standardisation organisations need to continue working on common standards. Public authorities, manufacturers and suppliers can impact the problem by developing suitable business models for the whole chain of purchase, operation and maintenance. </w:t>
      </w:r>
    </w:p>
    <w:p w:rsidR="002E508F" w:rsidRDefault="005D0A03">
      <w:pPr>
        <w:pStyle w:val="Heading2"/>
        <w:rPr>
          <w:noProof/>
        </w:rPr>
      </w:pPr>
      <w:bookmarkStart w:id="18" w:name="_Toc497141475"/>
      <w:r>
        <w:rPr>
          <w:noProof/>
        </w:rPr>
        <w:t>How would the problem evolve, all things being equal?</w:t>
      </w:r>
      <w:bookmarkEnd w:id="18"/>
      <w:r>
        <w:rPr>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Directive will continue to exercise a very limited impact on the market uptake of clean (low- and zero-emission vehicles). The multiple alternative implementation options, including a lack of detail of provisions for the actual public procurement of clean vehicles, will continue to sustain the current diversity of public procurement policy practices at Member State level.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As noted in Annex 6 (box 1) of this Impact Assessment Report, some Member States or single regions or cities have already put ambitious public procurement frameworks into place that set minimum procurement requirements for clean, i.e. low- and zero-emission or other alternative fuels vehicles. In the baseline scenario, some Member States and contracting authorities, entities and operators therein will continue to use vehicle procurement to drive forward the markets. However, they will continue to set punctual incentives and market stimulus for single markets within the Union. They cannot substitute the lack of a EU-wide coherent minimum level of common policy ambition for the procurement of vehicles that translates a market impetus beyond the frontrunners of this policy development. On their own, the relevant share in overall vehicle markets transactions of public procurement in single Member States remains too small. In a larger set of Member States, the main effort will be on substituting older conventional vehicles with modern conventional vehicles.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In the baseline scenario, around 2.1 million vehicles are projected to be publicly procured</w:t>
      </w:r>
      <w:r>
        <w:rPr>
          <w:rStyle w:val="FootnoteReference"/>
          <w:rFonts w:ascii="Times New Roman" w:hAnsi="Times New Roman" w:cs="Times New Roman"/>
          <w:noProof/>
        </w:rPr>
        <w:footnoteReference w:id="40"/>
      </w:r>
      <w:r>
        <w:rPr>
          <w:rFonts w:ascii="Times New Roman" w:hAnsi="Times New Roman" w:cs="Times New Roman"/>
          <w:noProof/>
        </w:rPr>
        <w:t xml:space="preserve"> between 2020 and 2035 under purchase, lease or services contracts (Table 2.6). Battery- and fuel-cell electric, plug-in hybrid and, natural gas vehicles would represent around 7% of publicly procured vehicles in 2020, going up to 16% by 2035. Over the 2020-2035 period, clean vehicles would thus represent around 12% of the total vehicles procured, which represents an improvement, but still under-utilises the potential of public procurement to contribute to a low-emission mobility transition. Without further action, their increasing share would be mostly driven by cost reductions of technologies.</w:t>
      </w:r>
      <w:r>
        <w:rPr>
          <w:rStyle w:val="FootnoteReference"/>
          <w:rFonts w:ascii="Times New Roman" w:hAnsi="Times New Roman" w:cs="Times New Roman"/>
          <w:noProof/>
        </w:rPr>
        <w:footnoteReference w:id="41"/>
      </w:r>
      <w:r>
        <w:rPr>
          <w:rFonts w:ascii="Times New Roman" w:hAnsi="Times New Roman" w:cs="Times New Roman"/>
          <w:noProof/>
        </w:rPr>
        <w:t xml:space="preserve"> A description of the Baseline scenario assumptions is provided in Annex 4 </w:t>
      </w:r>
      <w:r>
        <w:rPr>
          <w:rFonts w:ascii="Times New Roman" w:hAnsi="Times New Roman" w:cs="Times New Roman"/>
          <w:i/>
          <w:noProof/>
        </w:rPr>
        <w:t xml:space="preserve">"Analytical models used in preparing the impact assessment" </w:t>
      </w:r>
      <w:r>
        <w:rPr>
          <w:rFonts w:ascii="Times New Roman" w:hAnsi="Times New Roman" w:cs="Times New Roman"/>
          <w:noProof/>
        </w:rPr>
        <w:t>and further in the Impact Assessment Support Study.</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A sensitivity analysis has been performed for buses, using information on market prospects provided by key vehicle manufacturers and transport operators for the bus market, which differ from the reference scenario. The upper bound of the number of clean vehicles procured in Table 2.6 (in brackets) corresponds to more optimistic assumptions on the uptake of clean buses.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structure of the vehicles procured (i.e. the share of clean vehicles) would not be significantly different from that of the vehicles registrations in the Baseline scenario, however. Therefore, without further action, the Directive will result in limited impact on the market uptake of clean (low- and zero-emission vehicles). </w:t>
      </w:r>
    </w:p>
    <w:p w:rsidR="002E508F" w:rsidRDefault="005D0A03">
      <w:pPr>
        <w:spacing w:after="0"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Table 2.6: Baseline development of clean vehicle procurement under purchase, lease and services contracts for buses</w:t>
      </w:r>
    </w:p>
    <w:tbl>
      <w:tblPr>
        <w:tblStyle w:val="CVD"/>
        <w:tblW w:w="5000" w:type="pct"/>
        <w:tblLayout w:type="fixed"/>
        <w:tblLook w:val="04A0" w:firstRow="1" w:lastRow="0" w:firstColumn="1" w:lastColumn="0" w:noHBand="0" w:noVBand="1"/>
      </w:tblPr>
      <w:tblGrid>
        <w:gridCol w:w="2241"/>
        <w:gridCol w:w="1409"/>
        <w:gridCol w:w="1409"/>
        <w:gridCol w:w="1409"/>
        <w:gridCol w:w="1409"/>
        <w:gridCol w:w="1409"/>
      </w:tblGrid>
      <w:tr w:rsidR="002E508F" w:rsidTr="002E508F">
        <w:trPr>
          <w:cnfStyle w:val="100000000000" w:firstRow="1" w:lastRow="0" w:firstColumn="0" w:lastColumn="0" w:oddVBand="0" w:evenVBand="0" w:oddHBand="0" w:evenHBand="0" w:firstRowFirstColumn="0" w:firstRowLastColumn="0" w:lastRowFirstColumn="0" w:lastRowLastColumn="0"/>
          <w:trHeight w:val="340"/>
          <w:tblHeader/>
        </w:trPr>
        <w:tc>
          <w:tcPr>
            <w:tcW w:w="1805" w:type="dxa"/>
            <w:hideMark/>
          </w:tcPr>
          <w:p w:rsidR="002E508F" w:rsidRDefault="002E508F">
            <w:pPr>
              <w:spacing w:after="120" w:line="240" w:lineRule="auto"/>
              <w:rPr>
                <w:rFonts w:ascii="Times New Roman" w:hAnsi="Times New Roman"/>
                <w:b/>
                <w:bCs/>
                <w:noProof/>
                <w:sz w:val="20"/>
                <w:szCs w:val="20"/>
                <w:lang w:eastAsia="en-GB"/>
              </w:rPr>
            </w:pPr>
          </w:p>
        </w:tc>
        <w:tc>
          <w:tcPr>
            <w:tcW w:w="1134" w:type="dxa"/>
            <w:noWrap/>
            <w:hideMark/>
          </w:tcPr>
          <w:p w:rsidR="002E508F" w:rsidRDefault="005D0A03">
            <w:pPr>
              <w:spacing w:after="120" w:line="240" w:lineRule="auto"/>
              <w:rPr>
                <w:rFonts w:ascii="Times New Roman" w:hAnsi="Times New Roman"/>
                <w:b/>
                <w:bCs/>
                <w:noProof/>
                <w:sz w:val="20"/>
                <w:szCs w:val="20"/>
                <w:lang w:eastAsia="en-GB"/>
              </w:rPr>
            </w:pPr>
            <w:r>
              <w:rPr>
                <w:rFonts w:ascii="Times New Roman" w:hAnsi="Times New Roman"/>
                <w:b/>
                <w:bCs/>
                <w:noProof/>
                <w:sz w:val="20"/>
                <w:szCs w:val="20"/>
                <w:lang w:eastAsia="en-GB"/>
              </w:rPr>
              <w:t>2020</w:t>
            </w:r>
          </w:p>
        </w:tc>
        <w:tc>
          <w:tcPr>
            <w:tcW w:w="1134" w:type="dxa"/>
            <w:noWrap/>
            <w:hideMark/>
          </w:tcPr>
          <w:p w:rsidR="002E508F" w:rsidRDefault="005D0A03">
            <w:pPr>
              <w:spacing w:after="120" w:line="240" w:lineRule="auto"/>
              <w:rPr>
                <w:rFonts w:ascii="Times New Roman" w:hAnsi="Times New Roman"/>
                <w:b/>
                <w:bCs/>
                <w:noProof/>
                <w:sz w:val="20"/>
                <w:szCs w:val="20"/>
                <w:lang w:eastAsia="en-GB"/>
              </w:rPr>
            </w:pPr>
            <w:r>
              <w:rPr>
                <w:rFonts w:ascii="Times New Roman" w:hAnsi="Times New Roman"/>
                <w:b/>
                <w:bCs/>
                <w:noProof/>
                <w:sz w:val="20"/>
                <w:szCs w:val="20"/>
                <w:lang w:eastAsia="en-GB"/>
              </w:rPr>
              <w:t>2025</w:t>
            </w:r>
          </w:p>
        </w:tc>
        <w:tc>
          <w:tcPr>
            <w:tcW w:w="1134" w:type="dxa"/>
            <w:noWrap/>
            <w:hideMark/>
          </w:tcPr>
          <w:p w:rsidR="002E508F" w:rsidRDefault="005D0A03">
            <w:pPr>
              <w:spacing w:after="120" w:line="240" w:lineRule="auto"/>
              <w:rPr>
                <w:rFonts w:ascii="Times New Roman" w:hAnsi="Times New Roman"/>
                <w:b/>
                <w:bCs/>
                <w:noProof/>
                <w:sz w:val="20"/>
                <w:szCs w:val="20"/>
                <w:lang w:eastAsia="en-GB"/>
              </w:rPr>
            </w:pPr>
            <w:r>
              <w:rPr>
                <w:rFonts w:ascii="Times New Roman" w:hAnsi="Times New Roman"/>
                <w:b/>
                <w:bCs/>
                <w:noProof/>
                <w:sz w:val="20"/>
                <w:szCs w:val="20"/>
                <w:lang w:eastAsia="en-GB"/>
              </w:rPr>
              <w:t>2030</w:t>
            </w:r>
          </w:p>
        </w:tc>
        <w:tc>
          <w:tcPr>
            <w:tcW w:w="1134" w:type="dxa"/>
            <w:noWrap/>
            <w:hideMark/>
          </w:tcPr>
          <w:p w:rsidR="002E508F" w:rsidRDefault="005D0A03">
            <w:pPr>
              <w:spacing w:after="120" w:line="240" w:lineRule="auto"/>
              <w:rPr>
                <w:rFonts w:ascii="Times New Roman" w:hAnsi="Times New Roman"/>
                <w:b/>
                <w:bCs/>
                <w:noProof/>
                <w:sz w:val="20"/>
                <w:szCs w:val="20"/>
                <w:lang w:eastAsia="en-GB"/>
              </w:rPr>
            </w:pPr>
            <w:r>
              <w:rPr>
                <w:rFonts w:ascii="Times New Roman" w:hAnsi="Times New Roman"/>
                <w:b/>
                <w:bCs/>
                <w:noProof/>
                <w:sz w:val="20"/>
                <w:szCs w:val="20"/>
                <w:lang w:eastAsia="en-GB"/>
              </w:rPr>
              <w:t>2035</w:t>
            </w:r>
          </w:p>
        </w:tc>
        <w:tc>
          <w:tcPr>
            <w:tcW w:w="1134" w:type="dxa"/>
          </w:tcPr>
          <w:p w:rsidR="002E508F" w:rsidRDefault="005D0A03">
            <w:pPr>
              <w:spacing w:after="120" w:line="240" w:lineRule="auto"/>
              <w:rPr>
                <w:rFonts w:ascii="Times New Roman" w:hAnsi="Times New Roman"/>
                <w:b/>
                <w:bCs/>
                <w:noProof/>
                <w:sz w:val="20"/>
                <w:szCs w:val="20"/>
                <w:lang w:eastAsia="en-GB"/>
              </w:rPr>
            </w:pPr>
            <w:r>
              <w:rPr>
                <w:rFonts w:ascii="Times New Roman" w:hAnsi="Times New Roman"/>
                <w:b/>
                <w:bCs/>
                <w:noProof/>
                <w:sz w:val="20"/>
                <w:szCs w:val="20"/>
                <w:lang w:eastAsia="en-GB"/>
              </w:rPr>
              <w:t>2020-2035 (cumulative)</w:t>
            </w:r>
          </w:p>
        </w:tc>
      </w:tr>
      <w:tr w:rsidR="002E508F" w:rsidTr="002E508F">
        <w:trPr>
          <w:trHeight w:val="340"/>
        </w:trPr>
        <w:tc>
          <w:tcPr>
            <w:tcW w:w="1805" w:type="dxa"/>
            <w:tcBorders>
              <w:top w:val="nil"/>
              <w:left w:val="single" w:sz="8" w:space="0" w:color="BFBFBF"/>
              <w:bottom w:val="single" w:sz="8" w:space="0" w:color="BFBFBF"/>
              <w:right w:val="single" w:sz="8" w:space="0" w:color="BFBFBF"/>
            </w:tcBorders>
            <w:shd w:val="clear" w:color="auto" w:fill="auto"/>
          </w:tcPr>
          <w:p w:rsidR="002E508F" w:rsidRDefault="005D0A03">
            <w:pPr>
              <w:spacing w:after="120" w:line="240" w:lineRule="auto"/>
              <w:jc w:val="left"/>
              <w:rPr>
                <w:rFonts w:ascii="Times New Roman" w:hAnsi="Times New Roman"/>
                <w:b/>
                <w:bCs/>
                <w:noProof/>
                <w:color w:val="000000"/>
                <w:sz w:val="20"/>
                <w:szCs w:val="20"/>
              </w:rPr>
            </w:pPr>
            <w:r>
              <w:rPr>
                <w:rFonts w:ascii="Times New Roman" w:hAnsi="Times New Roman"/>
                <w:b/>
                <w:bCs/>
                <w:noProof/>
                <w:color w:val="000000"/>
                <w:sz w:val="20"/>
                <w:szCs w:val="20"/>
                <w:lang w:eastAsia="en-GB"/>
              </w:rPr>
              <w:t>Vehicles procured per year</w:t>
            </w:r>
          </w:p>
        </w:tc>
        <w:tc>
          <w:tcPr>
            <w:tcW w:w="1134" w:type="dxa"/>
            <w:tcBorders>
              <w:top w:val="nil"/>
              <w:left w:val="nil"/>
              <w:bottom w:val="single" w:sz="8" w:space="0" w:color="BFBFBF"/>
              <w:right w:val="single" w:sz="8" w:space="0" w:color="BFBFBF"/>
            </w:tcBorders>
            <w:shd w:val="clear" w:color="auto" w:fill="auto"/>
            <w:noWrap/>
          </w:tcPr>
          <w:p w:rsidR="002E508F" w:rsidRDefault="005D0A03">
            <w:pPr>
              <w:spacing w:after="120" w:line="240" w:lineRule="auto"/>
              <w:rPr>
                <w:rFonts w:ascii="Times New Roman" w:hAnsi="Times New Roman"/>
                <w:noProof/>
                <w:sz w:val="20"/>
                <w:szCs w:val="20"/>
              </w:rPr>
            </w:pPr>
            <w:r>
              <w:rPr>
                <w:rFonts w:ascii="Times New Roman" w:hAnsi="Times New Roman"/>
                <w:noProof/>
                <w:sz w:val="20"/>
                <w:szCs w:val="20"/>
              </w:rPr>
              <w:t>119,550</w:t>
            </w:r>
          </w:p>
        </w:tc>
        <w:tc>
          <w:tcPr>
            <w:tcW w:w="1134" w:type="dxa"/>
            <w:tcBorders>
              <w:top w:val="nil"/>
              <w:left w:val="nil"/>
              <w:bottom w:val="single" w:sz="8" w:space="0" w:color="BFBFBF"/>
              <w:right w:val="single" w:sz="8" w:space="0" w:color="BFBFBF"/>
            </w:tcBorders>
            <w:shd w:val="clear" w:color="auto" w:fill="auto"/>
            <w:noWrap/>
          </w:tcPr>
          <w:p w:rsidR="002E508F" w:rsidRDefault="005D0A03">
            <w:pPr>
              <w:spacing w:after="120" w:line="240" w:lineRule="auto"/>
              <w:rPr>
                <w:rFonts w:ascii="Times New Roman" w:hAnsi="Times New Roman"/>
                <w:noProof/>
                <w:sz w:val="20"/>
                <w:szCs w:val="20"/>
              </w:rPr>
            </w:pPr>
            <w:r>
              <w:rPr>
                <w:rFonts w:ascii="Times New Roman" w:hAnsi="Times New Roman"/>
                <w:noProof/>
                <w:sz w:val="20"/>
                <w:szCs w:val="20"/>
              </w:rPr>
              <w:t>131,960</w:t>
            </w:r>
          </w:p>
        </w:tc>
        <w:tc>
          <w:tcPr>
            <w:tcW w:w="1134" w:type="dxa"/>
            <w:tcBorders>
              <w:top w:val="nil"/>
              <w:left w:val="nil"/>
              <w:bottom w:val="single" w:sz="8" w:space="0" w:color="BFBFBF"/>
              <w:right w:val="single" w:sz="8" w:space="0" w:color="BFBFBF"/>
            </w:tcBorders>
            <w:shd w:val="clear" w:color="auto" w:fill="auto"/>
            <w:noWrap/>
          </w:tcPr>
          <w:p w:rsidR="002E508F" w:rsidRDefault="005D0A03">
            <w:pPr>
              <w:spacing w:after="120" w:line="240" w:lineRule="auto"/>
              <w:rPr>
                <w:rFonts w:ascii="Times New Roman" w:hAnsi="Times New Roman"/>
                <w:noProof/>
                <w:sz w:val="20"/>
                <w:szCs w:val="20"/>
              </w:rPr>
            </w:pPr>
            <w:r>
              <w:rPr>
                <w:rFonts w:ascii="Times New Roman" w:hAnsi="Times New Roman"/>
                <w:noProof/>
                <w:sz w:val="20"/>
                <w:szCs w:val="20"/>
              </w:rPr>
              <w:t>139,040</w:t>
            </w:r>
          </w:p>
        </w:tc>
        <w:tc>
          <w:tcPr>
            <w:tcW w:w="1134" w:type="dxa"/>
            <w:tcBorders>
              <w:top w:val="nil"/>
              <w:left w:val="nil"/>
              <w:bottom w:val="single" w:sz="8" w:space="0" w:color="BFBFBF"/>
              <w:right w:val="single" w:sz="8" w:space="0" w:color="BFBFBF"/>
            </w:tcBorders>
            <w:shd w:val="clear" w:color="auto" w:fill="auto"/>
            <w:noWrap/>
          </w:tcPr>
          <w:p w:rsidR="002E508F" w:rsidRDefault="005D0A03">
            <w:pPr>
              <w:spacing w:after="120" w:line="240" w:lineRule="auto"/>
              <w:rPr>
                <w:rFonts w:ascii="Times New Roman" w:hAnsi="Times New Roman"/>
                <w:noProof/>
                <w:sz w:val="20"/>
                <w:szCs w:val="20"/>
              </w:rPr>
            </w:pPr>
            <w:r>
              <w:rPr>
                <w:rFonts w:ascii="Times New Roman" w:hAnsi="Times New Roman"/>
                <w:noProof/>
                <w:sz w:val="20"/>
                <w:szCs w:val="20"/>
              </w:rPr>
              <w:t>142,020</w:t>
            </w:r>
          </w:p>
        </w:tc>
        <w:tc>
          <w:tcPr>
            <w:tcW w:w="1134" w:type="dxa"/>
            <w:tcBorders>
              <w:top w:val="nil"/>
              <w:left w:val="nil"/>
              <w:bottom w:val="single" w:sz="8" w:space="0" w:color="BFBFBF"/>
              <w:right w:val="single" w:sz="8" w:space="0" w:color="BFBFBF"/>
            </w:tcBorders>
            <w:shd w:val="clear" w:color="auto" w:fill="auto"/>
          </w:tcPr>
          <w:p w:rsidR="002E508F" w:rsidRDefault="005D0A03">
            <w:pPr>
              <w:spacing w:after="120" w:line="240" w:lineRule="auto"/>
              <w:rPr>
                <w:rFonts w:ascii="Times New Roman" w:hAnsi="Times New Roman"/>
                <w:noProof/>
                <w:sz w:val="20"/>
                <w:szCs w:val="20"/>
              </w:rPr>
            </w:pPr>
            <w:r>
              <w:rPr>
                <w:rFonts w:ascii="Times New Roman" w:hAnsi="Times New Roman"/>
                <w:noProof/>
                <w:sz w:val="20"/>
                <w:szCs w:val="20"/>
              </w:rPr>
              <w:t>2,139,680</w:t>
            </w:r>
          </w:p>
        </w:tc>
      </w:tr>
      <w:tr w:rsidR="002E508F" w:rsidTr="002E508F">
        <w:trPr>
          <w:trHeight w:val="340"/>
        </w:trPr>
        <w:tc>
          <w:tcPr>
            <w:tcW w:w="1805" w:type="dxa"/>
            <w:tcBorders>
              <w:top w:val="nil"/>
              <w:left w:val="single" w:sz="8" w:space="0" w:color="BFBFBF"/>
              <w:bottom w:val="single" w:sz="8" w:space="0" w:color="BFBFBF"/>
              <w:right w:val="single" w:sz="8" w:space="0" w:color="BFBFBF"/>
            </w:tcBorders>
            <w:shd w:val="clear" w:color="auto" w:fill="auto"/>
          </w:tcPr>
          <w:p w:rsidR="002E508F" w:rsidRDefault="005D0A03">
            <w:pPr>
              <w:spacing w:after="120" w:line="240" w:lineRule="auto"/>
              <w:jc w:val="left"/>
              <w:rPr>
                <w:rFonts w:ascii="Times New Roman" w:hAnsi="Times New Roman"/>
                <w:b/>
                <w:bCs/>
                <w:noProof/>
                <w:color w:val="000000"/>
                <w:sz w:val="20"/>
                <w:szCs w:val="20"/>
              </w:rPr>
            </w:pPr>
            <w:r>
              <w:rPr>
                <w:rFonts w:ascii="Times New Roman" w:hAnsi="Times New Roman"/>
                <w:b/>
                <w:bCs/>
                <w:noProof/>
                <w:sz w:val="20"/>
                <w:szCs w:val="20"/>
                <w:lang w:eastAsia="en-GB"/>
              </w:rPr>
              <w:t xml:space="preserve">Number of clean vehicles procured per year </w:t>
            </w:r>
            <w:r>
              <w:rPr>
                <w:rFonts w:ascii="Times New Roman" w:hAnsi="Times New Roman"/>
                <w:b/>
                <w:bCs/>
                <w:noProof/>
                <w:color w:val="000000"/>
                <w:sz w:val="20"/>
                <w:szCs w:val="20"/>
              </w:rPr>
              <w:t xml:space="preserve"> </w:t>
            </w:r>
          </w:p>
        </w:tc>
        <w:tc>
          <w:tcPr>
            <w:tcW w:w="1134" w:type="dxa"/>
            <w:tcBorders>
              <w:top w:val="nil"/>
              <w:left w:val="nil"/>
              <w:bottom w:val="single" w:sz="8" w:space="0" w:color="BFBFBF"/>
              <w:right w:val="single" w:sz="8" w:space="0" w:color="BFBFBF"/>
            </w:tcBorders>
            <w:shd w:val="clear" w:color="auto" w:fill="auto"/>
            <w:noWrap/>
          </w:tcPr>
          <w:p w:rsidR="002E508F" w:rsidRDefault="005D0A03">
            <w:pPr>
              <w:spacing w:after="120" w:line="240" w:lineRule="auto"/>
              <w:rPr>
                <w:rFonts w:ascii="Times New Roman" w:hAnsi="Times New Roman"/>
                <w:noProof/>
                <w:sz w:val="20"/>
                <w:szCs w:val="20"/>
              </w:rPr>
            </w:pPr>
            <w:r>
              <w:rPr>
                <w:rFonts w:ascii="Times New Roman" w:hAnsi="Times New Roman"/>
                <w:noProof/>
                <w:sz w:val="20"/>
                <w:szCs w:val="20"/>
              </w:rPr>
              <w:t xml:space="preserve">8,140 (10,170) </w:t>
            </w:r>
          </w:p>
        </w:tc>
        <w:tc>
          <w:tcPr>
            <w:tcW w:w="1134" w:type="dxa"/>
            <w:tcBorders>
              <w:top w:val="nil"/>
              <w:left w:val="nil"/>
              <w:bottom w:val="single" w:sz="8" w:space="0" w:color="BFBFBF"/>
              <w:right w:val="single" w:sz="8" w:space="0" w:color="BFBFBF"/>
            </w:tcBorders>
            <w:shd w:val="clear" w:color="auto" w:fill="auto"/>
            <w:noWrap/>
          </w:tcPr>
          <w:p w:rsidR="002E508F" w:rsidRDefault="005D0A03">
            <w:pPr>
              <w:spacing w:after="120" w:line="240" w:lineRule="auto"/>
              <w:rPr>
                <w:rFonts w:ascii="Times New Roman" w:hAnsi="Times New Roman"/>
                <w:noProof/>
                <w:sz w:val="20"/>
                <w:szCs w:val="20"/>
              </w:rPr>
            </w:pPr>
            <w:r>
              <w:rPr>
                <w:rFonts w:ascii="Times New Roman" w:hAnsi="Times New Roman"/>
                <w:noProof/>
                <w:sz w:val="20"/>
                <w:szCs w:val="20"/>
              </w:rPr>
              <w:t>14,040 (17,570 )</w:t>
            </w:r>
          </w:p>
        </w:tc>
        <w:tc>
          <w:tcPr>
            <w:tcW w:w="1134" w:type="dxa"/>
            <w:tcBorders>
              <w:top w:val="nil"/>
              <w:left w:val="nil"/>
              <w:bottom w:val="single" w:sz="8" w:space="0" w:color="BFBFBF"/>
              <w:right w:val="single" w:sz="8" w:space="0" w:color="BFBFBF"/>
            </w:tcBorders>
            <w:shd w:val="clear" w:color="auto" w:fill="auto"/>
            <w:noWrap/>
          </w:tcPr>
          <w:p w:rsidR="002E508F" w:rsidRDefault="005D0A03">
            <w:pPr>
              <w:spacing w:after="120" w:line="240" w:lineRule="auto"/>
              <w:rPr>
                <w:rFonts w:ascii="Times New Roman" w:hAnsi="Times New Roman"/>
                <w:noProof/>
                <w:sz w:val="20"/>
                <w:szCs w:val="20"/>
              </w:rPr>
            </w:pPr>
            <w:r>
              <w:rPr>
                <w:rFonts w:ascii="Times New Roman" w:hAnsi="Times New Roman"/>
                <w:noProof/>
                <w:sz w:val="20"/>
                <w:szCs w:val="20"/>
              </w:rPr>
              <w:t xml:space="preserve">19,860  (24,960) </w:t>
            </w:r>
          </w:p>
        </w:tc>
        <w:tc>
          <w:tcPr>
            <w:tcW w:w="1134" w:type="dxa"/>
            <w:tcBorders>
              <w:top w:val="nil"/>
              <w:left w:val="nil"/>
              <w:bottom w:val="single" w:sz="8" w:space="0" w:color="BFBFBF"/>
              <w:right w:val="single" w:sz="8" w:space="0" w:color="BFBFBF"/>
            </w:tcBorders>
            <w:shd w:val="clear" w:color="auto" w:fill="auto"/>
            <w:noWrap/>
          </w:tcPr>
          <w:p w:rsidR="002E508F" w:rsidRDefault="005D0A03">
            <w:pPr>
              <w:spacing w:after="120" w:line="240" w:lineRule="auto"/>
              <w:rPr>
                <w:rFonts w:ascii="Times New Roman" w:hAnsi="Times New Roman"/>
                <w:noProof/>
                <w:sz w:val="20"/>
                <w:szCs w:val="20"/>
              </w:rPr>
            </w:pPr>
            <w:r>
              <w:rPr>
                <w:rFonts w:ascii="Times New Roman" w:hAnsi="Times New Roman"/>
                <w:noProof/>
                <w:sz w:val="20"/>
                <w:szCs w:val="20"/>
              </w:rPr>
              <w:t xml:space="preserve">22,440  (27,530) </w:t>
            </w:r>
          </w:p>
        </w:tc>
        <w:tc>
          <w:tcPr>
            <w:tcW w:w="1134" w:type="dxa"/>
            <w:tcBorders>
              <w:top w:val="nil"/>
              <w:left w:val="nil"/>
              <w:bottom w:val="single" w:sz="8" w:space="0" w:color="BFBFBF"/>
              <w:right w:val="single" w:sz="8" w:space="0" w:color="BFBFBF"/>
            </w:tcBorders>
            <w:shd w:val="clear" w:color="auto" w:fill="auto"/>
          </w:tcPr>
          <w:p w:rsidR="002E508F" w:rsidRDefault="005D0A03">
            <w:pPr>
              <w:spacing w:after="120" w:line="240" w:lineRule="auto"/>
              <w:rPr>
                <w:rFonts w:ascii="Times New Roman" w:hAnsi="Times New Roman"/>
                <w:noProof/>
                <w:sz w:val="20"/>
                <w:szCs w:val="20"/>
              </w:rPr>
            </w:pPr>
            <w:r>
              <w:rPr>
                <w:rFonts w:ascii="Times New Roman" w:hAnsi="Times New Roman"/>
                <w:noProof/>
                <w:sz w:val="20"/>
                <w:szCs w:val="20"/>
              </w:rPr>
              <w:t xml:space="preserve">261,260  (325,730) </w:t>
            </w:r>
          </w:p>
        </w:tc>
      </w:tr>
      <w:tr w:rsidR="002E508F" w:rsidTr="002E508F">
        <w:trPr>
          <w:trHeight w:val="340"/>
        </w:trPr>
        <w:tc>
          <w:tcPr>
            <w:tcW w:w="1805" w:type="dxa"/>
            <w:tcBorders>
              <w:top w:val="single" w:sz="8" w:space="0" w:color="BFBFBF"/>
              <w:left w:val="single" w:sz="8" w:space="0" w:color="BFBFBF"/>
              <w:bottom w:val="single" w:sz="8" w:space="0" w:color="BFBFBF"/>
              <w:right w:val="single" w:sz="8" w:space="0" w:color="BFBFBF"/>
            </w:tcBorders>
            <w:shd w:val="clear" w:color="auto" w:fill="auto"/>
          </w:tcPr>
          <w:p w:rsidR="002E508F" w:rsidRDefault="005D0A03">
            <w:pPr>
              <w:spacing w:after="120" w:line="240" w:lineRule="auto"/>
              <w:jc w:val="left"/>
              <w:rPr>
                <w:rFonts w:ascii="Times New Roman" w:hAnsi="Times New Roman"/>
                <w:b/>
                <w:bCs/>
                <w:noProof/>
                <w:sz w:val="20"/>
                <w:szCs w:val="20"/>
                <w:lang w:eastAsia="en-GB"/>
              </w:rPr>
            </w:pPr>
            <w:r>
              <w:rPr>
                <w:rFonts w:ascii="Times New Roman" w:hAnsi="Times New Roman"/>
                <w:b/>
                <w:bCs/>
                <w:noProof/>
                <w:sz w:val="20"/>
                <w:szCs w:val="20"/>
                <w:lang w:eastAsia="en-GB"/>
              </w:rPr>
              <w:t>% of clean vehicles of total vehicles procured per year</w:t>
            </w:r>
          </w:p>
        </w:tc>
        <w:tc>
          <w:tcPr>
            <w:tcW w:w="1134" w:type="dxa"/>
            <w:tcBorders>
              <w:top w:val="single" w:sz="8" w:space="0" w:color="BFBFBF"/>
              <w:left w:val="nil"/>
              <w:bottom w:val="single" w:sz="8" w:space="0" w:color="BFBFBF"/>
              <w:right w:val="single" w:sz="8" w:space="0" w:color="BFBFBF"/>
            </w:tcBorders>
            <w:shd w:val="clear" w:color="auto" w:fill="auto"/>
            <w:noWrap/>
          </w:tcPr>
          <w:p w:rsidR="002E508F" w:rsidRDefault="005D0A03">
            <w:pPr>
              <w:spacing w:after="120" w:line="240" w:lineRule="auto"/>
              <w:rPr>
                <w:rFonts w:ascii="Times New Roman" w:hAnsi="Times New Roman"/>
                <w:noProof/>
                <w:sz w:val="20"/>
                <w:szCs w:val="20"/>
              </w:rPr>
            </w:pPr>
            <w:r>
              <w:rPr>
                <w:rFonts w:ascii="Times New Roman" w:hAnsi="Times New Roman"/>
                <w:noProof/>
                <w:sz w:val="20"/>
                <w:szCs w:val="20"/>
              </w:rPr>
              <w:t>7% (9%)</w:t>
            </w:r>
          </w:p>
        </w:tc>
        <w:tc>
          <w:tcPr>
            <w:tcW w:w="1134" w:type="dxa"/>
            <w:tcBorders>
              <w:top w:val="single" w:sz="8" w:space="0" w:color="BFBFBF"/>
              <w:left w:val="nil"/>
              <w:bottom w:val="single" w:sz="8" w:space="0" w:color="BFBFBF"/>
              <w:right w:val="single" w:sz="8" w:space="0" w:color="BFBFBF"/>
            </w:tcBorders>
            <w:shd w:val="clear" w:color="auto" w:fill="auto"/>
            <w:noWrap/>
          </w:tcPr>
          <w:p w:rsidR="002E508F" w:rsidRDefault="005D0A03">
            <w:pPr>
              <w:spacing w:after="120" w:line="240" w:lineRule="auto"/>
              <w:rPr>
                <w:rFonts w:ascii="Times New Roman" w:hAnsi="Times New Roman"/>
                <w:noProof/>
                <w:sz w:val="20"/>
                <w:szCs w:val="20"/>
              </w:rPr>
            </w:pPr>
            <w:r>
              <w:rPr>
                <w:rFonts w:ascii="Times New Roman" w:hAnsi="Times New Roman"/>
                <w:noProof/>
                <w:sz w:val="20"/>
                <w:szCs w:val="20"/>
              </w:rPr>
              <w:t>11% (13%)</w:t>
            </w:r>
          </w:p>
        </w:tc>
        <w:tc>
          <w:tcPr>
            <w:tcW w:w="1134" w:type="dxa"/>
            <w:tcBorders>
              <w:top w:val="single" w:sz="8" w:space="0" w:color="BFBFBF"/>
              <w:left w:val="nil"/>
              <w:bottom w:val="single" w:sz="8" w:space="0" w:color="BFBFBF"/>
              <w:right w:val="single" w:sz="8" w:space="0" w:color="BFBFBF"/>
            </w:tcBorders>
            <w:shd w:val="clear" w:color="auto" w:fill="auto"/>
            <w:noWrap/>
          </w:tcPr>
          <w:p w:rsidR="002E508F" w:rsidRDefault="005D0A03">
            <w:pPr>
              <w:spacing w:after="120" w:line="240" w:lineRule="auto"/>
              <w:rPr>
                <w:rFonts w:ascii="Times New Roman" w:hAnsi="Times New Roman"/>
                <w:noProof/>
                <w:sz w:val="20"/>
                <w:szCs w:val="20"/>
              </w:rPr>
            </w:pPr>
            <w:r>
              <w:rPr>
                <w:rFonts w:ascii="Times New Roman" w:hAnsi="Times New Roman"/>
                <w:noProof/>
                <w:sz w:val="20"/>
                <w:szCs w:val="20"/>
              </w:rPr>
              <w:t>14% (18%)</w:t>
            </w:r>
          </w:p>
        </w:tc>
        <w:tc>
          <w:tcPr>
            <w:tcW w:w="1134" w:type="dxa"/>
            <w:tcBorders>
              <w:top w:val="single" w:sz="8" w:space="0" w:color="BFBFBF"/>
              <w:left w:val="nil"/>
              <w:bottom w:val="single" w:sz="8" w:space="0" w:color="BFBFBF"/>
              <w:right w:val="single" w:sz="8" w:space="0" w:color="BFBFBF"/>
            </w:tcBorders>
            <w:shd w:val="clear" w:color="auto" w:fill="auto"/>
            <w:noWrap/>
          </w:tcPr>
          <w:p w:rsidR="002E508F" w:rsidRDefault="005D0A03">
            <w:pPr>
              <w:spacing w:after="120" w:line="240" w:lineRule="auto"/>
              <w:rPr>
                <w:rFonts w:ascii="Times New Roman" w:hAnsi="Times New Roman"/>
                <w:noProof/>
                <w:sz w:val="20"/>
                <w:szCs w:val="20"/>
              </w:rPr>
            </w:pPr>
            <w:r>
              <w:rPr>
                <w:rFonts w:ascii="Times New Roman" w:hAnsi="Times New Roman"/>
                <w:noProof/>
                <w:sz w:val="20"/>
                <w:szCs w:val="20"/>
              </w:rPr>
              <w:t>16% (19%)</w:t>
            </w:r>
          </w:p>
        </w:tc>
        <w:tc>
          <w:tcPr>
            <w:tcW w:w="1134" w:type="dxa"/>
            <w:tcBorders>
              <w:top w:val="single" w:sz="8" w:space="0" w:color="BFBFBF"/>
              <w:left w:val="nil"/>
              <w:bottom w:val="single" w:sz="8" w:space="0" w:color="BFBFBF"/>
              <w:right w:val="single" w:sz="8" w:space="0" w:color="BFBFBF"/>
            </w:tcBorders>
            <w:shd w:val="clear" w:color="auto" w:fill="auto"/>
          </w:tcPr>
          <w:p w:rsidR="002E508F" w:rsidRDefault="005D0A03">
            <w:pPr>
              <w:spacing w:after="120" w:line="240" w:lineRule="auto"/>
              <w:rPr>
                <w:rFonts w:ascii="Times New Roman" w:hAnsi="Times New Roman"/>
                <w:noProof/>
                <w:sz w:val="20"/>
                <w:szCs w:val="20"/>
              </w:rPr>
            </w:pPr>
            <w:r>
              <w:rPr>
                <w:rFonts w:ascii="Times New Roman" w:hAnsi="Times New Roman"/>
                <w:noProof/>
                <w:sz w:val="20"/>
                <w:szCs w:val="20"/>
              </w:rPr>
              <w:t>12% (15%)</w:t>
            </w:r>
          </w:p>
        </w:tc>
      </w:tr>
    </w:tbl>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noProof/>
          <w:sz w:val="20"/>
          <w:szCs w:val="20"/>
        </w:rPr>
        <w:t xml:space="preserve">Source: </w:t>
      </w:r>
      <w:r>
        <w:rPr>
          <w:rFonts w:ascii="Times New Roman" w:hAnsi="Times New Roman" w:cs="Times New Roman"/>
          <w:i/>
          <w:noProof/>
          <w:sz w:val="20"/>
          <w:szCs w:val="20"/>
        </w:rPr>
        <w:t>Ricardo (2017) Support Study to the Impact Assessment of the Clean Vehicles Directive</w:t>
      </w:r>
      <w:r>
        <w:rPr>
          <w:rFonts w:ascii="Times New Roman" w:hAnsi="Times New Roman" w:cs="Times New Roman"/>
          <w:noProof/>
          <w:sz w:val="20"/>
          <w:szCs w:val="20"/>
        </w:rPr>
        <w:t xml:space="preserve"> </w:t>
      </w:r>
      <w:r>
        <w:rPr>
          <w:rFonts w:ascii="Times New Roman" w:hAnsi="Times New Roman" w:cs="Times New Roman"/>
          <w:noProof/>
        </w:rPr>
        <w:br/>
      </w:r>
      <w:r>
        <w:rPr>
          <w:rFonts w:ascii="Times New Roman" w:hAnsi="Times New Roman" w:cs="Times New Roman"/>
          <w:noProof/>
        </w:rPr>
        <w:br/>
        <w:t>From an industry perspective, uncertainty over demand will continue to persist, particularly in the area of heavy-duty transport. In an increasing number of cases, public tenders with a focus on clean, alternatively fuelled transport solutions could be awarded to foreign competitors. Given the long lead times for fleet renewal, the contribution to low-emission mobility will remain limited. CO</w:t>
      </w:r>
      <w:r>
        <w:rPr>
          <w:rFonts w:ascii="Times New Roman" w:hAnsi="Times New Roman" w:cs="Times New Roman"/>
          <w:noProof/>
          <w:vertAlign w:val="subscript"/>
        </w:rPr>
        <w:t>2</w:t>
      </w:r>
      <w:r>
        <w:rPr>
          <w:rFonts w:ascii="Times New Roman" w:hAnsi="Times New Roman" w:cs="Times New Roman"/>
          <w:noProof/>
        </w:rPr>
        <w:t xml:space="preserve"> and air pollutant emissions</w:t>
      </w:r>
      <w:r>
        <w:rPr>
          <w:rFonts w:ascii="Times New Roman" w:hAnsi="Times New Roman" w:cs="Times New Roman"/>
          <w:i/>
          <w:noProof/>
        </w:rPr>
        <w:t xml:space="preserve"> </w:t>
      </w:r>
      <w:r>
        <w:rPr>
          <w:rFonts w:ascii="Times New Roman" w:hAnsi="Times New Roman" w:cs="Times New Roman"/>
          <w:noProof/>
        </w:rPr>
        <w:t xml:space="preserve">from publicly procured vehicle will not be significantly reduced.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revision of the Directive forms part of a comprehensive set of measures, including supply and demand side measures and enabling conditions. The effect of demand-side measures is dependent on supply-side measures, and vice versa. More stringent vehicle CO</w:t>
      </w:r>
      <w:r>
        <w:rPr>
          <w:rFonts w:ascii="Times New Roman" w:hAnsi="Times New Roman" w:cs="Times New Roman"/>
          <w:noProof/>
          <w:vertAlign w:val="subscript"/>
        </w:rPr>
        <w:t>2</w:t>
      </w:r>
      <w:r>
        <w:rPr>
          <w:rFonts w:ascii="Times New Roman" w:hAnsi="Times New Roman" w:cs="Times New Roman"/>
          <w:noProof/>
        </w:rPr>
        <w:t xml:space="preserve"> standards could reduce the direct impact of the Directive on emissions but would also make it easier to achieve its objectives and reduce its compliance costs. While CO</w:t>
      </w:r>
      <w:r>
        <w:rPr>
          <w:rFonts w:ascii="Times New Roman" w:hAnsi="Times New Roman" w:cs="Times New Roman"/>
          <w:noProof/>
          <w:vertAlign w:val="subscript"/>
        </w:rPr>
        <w:t>2</w:t>
      </w:r>
      <w:r>
        <w:rPr>
          <w:rFonts w:ascii="Times New Roman" w:hAnsi="Times New Roman" w:cs="Times New Roman"/>
          <w:noProof/>
        </w:rPr>
        <w:t xml:space="preserve"> emission standards are better placed for delivering significant CO</w:t>
      </w:r>
      <w:r>
        <w:rPr>
          <w:rFonts w:ascii="Times New Roman" w:hAnsi="Times New Roman" w:cs="Times New Roman"/>
          <w:noProof/>
          <w:vertAlign w:val="subscript"/>
        </w:rPr>
        <w:t>2</w:t>
      </w:r>
      <w:r>
        <w:rPr>
          <w:rFonts w:ascii="Times New Roman" w:hAnsi="Times New Roman" w:cs="Times New Roman"/>
          <w:noProof/>
        </w:rPr>
        <w:t xml:space="preserve"> emissions reductions in the road transport sector, the revision of the Directive could provide a useful complementary contribution by incentivising the renewal of vehicle fleets.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baseline scenario assumes the implementation of the CO</w:t>
      </w:r>
      <w:r>
        <w:rPr>
          <w:rFonts w:ascii="Times New Roman" w:hAnsi="Times New Roman" w:cs="Times New Roman"/>
          <w:noProof/>
          <w:vertAlign w:val="subscript"/>
        </w:rPr>
        <w:t>2</w:t>
      </w:r>
      <w:r>
        <w:rPr>
          <w:rFonts w:ascii="Times New Roman" w:hAnsi="Times New Roman" w:cs="Times New Roman"/>
          <w:noProof/>
        </w:rPr>
        <w:t xml:space="preserve"> standards for cars and vans in line with current legislation, as required by Better Regulation principles.</w:t>
      </w:r>
      <w:r>
        <w:rPr>
          <w:rStyle w:val="FootnoteReference"/>
          <w:rFonts w:ascii="Times New Roman" w:hAnsi="Times New Roman" w:cs="Times New Roman"/>
          <w:noProof/>
        </w:rPr>
        <w:footnoteReference w:id="42"/>
      </w:r>
      <w:r>
        <w:rPr>
          <w:rFonts w:ascii="Times New Roman" w:hAnsi="Times New Roman" w:cs="Times New Roman"/>
          <w:noProof/>
        </w:rPr>
        <w:t xml:space="preserve"> No policy action to strengthen the stringency of the target is assumed after 2020/2021 in the baseline. More stringent CO</w:t>
      </w:r>
      <w:r>
        <w:rPr>
          <w:rFonts w:ascii="Times New Roman" w:hAnsi="Times New Roman" w:cs="Times New Roman"/>
          <w:noProof/>
          <w:vertAlign w:val="subscript"/>
        </w:rPr>
        <w:t>2</w:t>
      </w:r>
      <w:r>
        <w:rPr>
          <w:rFonts w:ascii="Times New Roman" w:hAnsi="Times New Roman" w:cs="Times New Roman"/>
          <w:noProof/>
        </w:rPr>
        <w:t xml:space="preserve"> standards for cars and vans post-2020 would result in a higher share of clean vehicles in the new vehicle fleet and thus in the total vehicles procured in the baseline. Consequently, the impact of policy options in terms of uptake of clean vehicles and environmental impacts may be more limited when compared to such alternative baseline. This is due to the overlapping effects between policies. In other words the combined effect of more stringent CO</w:t>
      </w:r>
      <w:r>
        <w:rPr>
          <w:rFonts w:ascii="Times New Roman" w:hAnsi="Times New Roman" w:cs="Times New Roman"/>
          <w:noProof/>
          <w:vertAlign w:val="subscript"/>
        </w:rPr>
        <w:t>2</w:t>
      </w:r>
      <w:r>
        <w:rPr>
          <w:rFonts w:ascii="Times New Roman" w:hAnsi="Times New Roman" w:cs="Times New Roman"/>
          <w:noProof/>
        </w:rPr>
        <w:t xml:space="preserve"> standards for cars and vans and revised procurement rules under the Directive would be lower than the sum of their individual effects.</w:t>
      </w:r>
      <w:r>
        <w:rPr>
          <w:rStyle w:val="FootnoteReference"/>
          <w:rFonts w:ascii="Times New Roman" w:hAnsi="Times New Roman" w:cs="Times New Roman"/>
          <w:noProof/>
        </w:rPr>
        <w:footnoteReference w:id="43"/>
      </w:r>
      <w:r>
        <w:rPr>
          <w:rFonts w:ascii="Times New Roman" w:hAnsi="Times New Roman" w:cs="Times New Roman"/>
          <w:noProof/>
        </w:rPr>
        <w:t xml:space="preserve"> </w:t>
      </w:r>
    </w:p>
    <w:p w:rsidR="002E508F" w:rsidRDefault="005D0A03">
      <w:pPr>
        <w:spacing w:after="0" w:line="240" w:lineRule="auto"/>
        <w:rPr>
          <w:rFonts w:ascii="Times New Roman" w:hAnsi="Times New Roman" w:cs="Times New Roman"/>
          <w:b/>
          <w:smallCaps/>
          <w:noProof/>
        </w:rPr>
      </w:pPr>
      <w:r>
        <w:rPr>
          <w:noProof/>
        </w:rPr>
        <w:br w:type="page"/>
      </w:r>
    </w:p>
    <w:p w:rsidR="002E508F" w:rsidRDefault="005D0A03">
      <w:pPr>
        <w:pStyle w:val="Heading1"/>
        <w:rPr>
          <w:noProof/>
        </w:rPr>
      </w:pPr>
      <w:bookmarkStart w:id="19" w:name="_Toc497141476"/>
      <w:r>
        <w:rPr>
          <w:noProof/>
        </w:rPr>
        <w:t>Why should the EU act?</w:t>
      </w:r>
      <w:bookmarkEnd w:id="19"/>
    </w:p>
    <w:p w:rsidR="002E508F" w:rsidRDefault="005D0A03">
      <w:pPr>
        <w:pStyle w:val="Heading2"/>
        <w:rPr>
          <w:noProof/>
        </w:rPr>
      </w:pPr>
      <w:bookmarkStart w:id="20" w:name="_Toc497141477"/>
      <w:r>
        <w:rPr>
          <w:noProof/>
        </w:rPr>
        <w:t>The EU's right to act</w:t>
      </w:r>
      <w:bookmarkEnd w:id="20"/>
      <w:r>
        <w:rPr>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Directive 2009/33/EC is based on Art 192 of the Treaty establishing the European Union.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European co-legislator principally underlined the role and relevance of public procurement to contribute to the achievement of long-term EU environmental, climate and energy as well as growth and competitiveness objectives with the adoption of the Clean Vehicles Directive. It is also confirmed by Directive 2014/24/EU on public procurement and Directive 2014/25/EU on procurement by entities operating in the water, energy, transport and postal services sectors. </w:t>
      </w:r>
    </w:p>
    <w:p w:rsidR="002E508F" w:rsidRDefault="005D0A03">
      <w:pPr>
        <w:pStyle w:val="Heading2"/>
        <w:rPr>
          <w:noProof/>
        </w:rPr>
      </w:pPr>
      <w:bookmarkStart w:id="21" w:name="_Toc497141478"/>
      <w:r>
        <w:rPr>
          <w:noProof/>
        </w:rPr>
        <w:t>Subsidiarity check</w:t>
      </w:r>
      <w:bookmarkEnd w:id="21"/>
    </w:p>
    <w:p w:rsidR="002E508F" w:rsidRDefault="005D0A03">
      <w:pPr>
        <w:spacing w:line="240" w:lineRule="auto"/>
        <w:jc w:val="both"/>
        <w:rPr>
          <w:rFonts w:ascii="Times New Roman" w:hAnsi="Times New Roman" w:cs="Times New Roman"/>
          <w:noProof/>
          <w:color w:val="000000"/>
        </w:rPr>
      </w:pPr>
      <w:r>
        <w:rPr>
          <w:rFonts w:ascii="Times New Roman" w:hAnsi="Times New Roman" w:cs="Times New Roman"/>
          <w:noProof/>
          <w:color w:val="000000"/>
        </w:rPr>
        <w:t xml:space="preserve">Transport, environment and procurement law remain shared competences. But the sectorial harmonization of procurement rules is an EU competence. Problems linked to the current text of the Directive could not be achieved by measures on other levels since Member State jurisdiction ends at the national borders. There is a clear need for EU action.  </w:t>
      </w:r>
    </w:p>
    <w:p w:rsidR="002E508F" w:rsidRDefault="005D0A03">
      <w:pPr>
        <w:spacing w:line="240" w:lineRule="auto"/>
        <w:jc w:val="both"/>
        <w:rPr>
          <w:rFonts w:ascii="Times New Roman" w:hAnsi="Times New Roman" w:cs="Times New Roman"/>
          <w:i/>
          <w:noProof/>
        </w:rPr>
      </w:pPr>
      <w:r>
        <w:rPr>
          <w:rFonts w:ascii="Times New Roman" w:hAnsi="Times New Roman" w:cs="Times New Roman"/>
          <w:noProof/>
        </w:rPr>
        <w:t xml:space="preserve">EU intervention is limited to provide for a minimum level direction to public demand to stimulate a (cost) effective contribution to the widely agreed market uptake of clean vehicles. It helps ensuring a simpler, better coordinated approach. All measures are considered to be principally proportionate in terms of their impacts. They do not principally intervene into Member State competence to organise the provision of (public) transport; and they also do not principally constrain the ability to choose the most relevant technology. As noted in section 3.4 the principal ability of contracting authorities, entities and affected operators to choose technologies according to needs is not affected, as this initiative only targets a minimum share of procurement within a Member State through a technological-neutral low-emission mobility approach and leaves full choice of conventional and innovative technologies for the remaining rest. This initiative also does not tend to intervene directly into the decision-making procedures at local and regional level, but addresses the national level, where Member States are granted the flexibility to adapt the implementation according to domestic conditions and comparative capabilities.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color w:val="000000"/>
        </w:rPr>
        <w:t>Reduction of CO</w:t>
      </w:r>
      <w:r>
        <w:rPr>
          <w:rFonts w:ascii="Times New Roman" w:hAnsi="Times New Roman" w:cs="Times New Roman"/>
          <w:noProof/>
          <w:color w:val="000000"/>
          <w:vertAlign w:val="subscript"/>
        </w:rPr>
        <w:t>2</w:t>
      </w:r>
      <w:r>
        <w:rPr>
          <w:rFonts w:ascii="Times New Roman" w:hAnsi="Times New Roman" w:cs="Times New Roman"/>
          <w:noProof/>
          <w:color w:val="000000"/>
        </w:rPr>
        <w:t xml:space="preserve"> include a </w:t>
      </w:r>
      <w:r>
        <w:rPr>
          <w:rFonts w:ascii="Times New Roman" w:hAnsi="Times New Roman" w:cs="Times New Roman"/>
          <w:noProof/>
        </w:rPr>
        <w:t xml:space="preserve">clear and widely accepted cross-border dimension. Member States have the means to promote more fuel-efficient vehicles, e.g. through public procurement. In the lack of clear policy provisions and their consistent applications, effectiveness will be subject to the willingness of other countries applying similar measures. Air pollution is mostly a local externality and must be addressed primarily at local level. But the large scale of the air pollution problem and its move across Member States and cities (see section 2.3) as well as the large scale of potential impacts of climate change justifies actions at all levels of governance to address the problems. This perception also underpins key parts of the European acquis.  </w:t>
      </w:r>
    </w:p>
    <w:p w:rsidR="002E508F" w:rsidRDefault="005D0A03">
      <w:pPr>
        <w:spacing w:line="240" w:lineRule="auto"/>
        <w:jc w:val="both"/>
        <w:rPr>
          <w:rFonts w:ascii="Times New Roman" w:hAnsi="Times New Roman" w:cs="Times New Roman"/>
          <w:i/>
          <w:noProof/>
        </w:rPr>
      </w:pPr>
      <w:r>
        <w:rPr>
          <w:rFonts w:ascii="Times New Roman" w:hAnsi="Times New Roman" w:cs="Times New Roman"/>
          <w:noProof/>
        </w:rPr>
        <w:t xml:space="preserve">Public demand is a relevant market driver in the heavy-goods sector and particularly for urban buses. A minimum level direction is required to create certainty of demand which helps investment planning and scaling of production capacity. Without such action, future global competitiveness of the European transport sector could be undermined in this market segment. </w:t>
      </w:r>
    </w:p>
    <w:p w:rsidR="002E508F" w:rsidRDefault="005D0A03">
      <w:pPr>
        <w:pStyle w:val="Heading2"/>
        <w:rPr>
          <w:noProof/>
        </w:rPr>
      </w:pPr>
      <w:bookmarkStart w:id="22" w:name="_Toc497141479"/>
      <w:r>
        <w:rPr>
          <w:noProof/>
        </w:rPr>
        <w:t>EU added value</w:t>
      </w:r>
      <w:bookmarkEnd w:id="22"/>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Action at EU level helps ensuring greater clarity and long-term policy signal for market actors. It ensures a simpler and more effective policy framework to guide public procurement of clean vehicles, thus contributing to key EU policy objectives on growth, jobs and competitiveness as well as on completing the Energy Union.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As persistent challenges such as climate change and air pollution remain on the policy agenda, actions to tackle them should make best use of possible synergies. Without specific new provisions in the Directive, a bottom-up approach through different national policies will not provide the clear and stable long-term policy framework that can effectively help leverage relevant market investments in the whole of the Union. Setting up a clear definition of clean vehicles will effectively inform other procurement policies at national, regional and local levels, and thus create better policy coherence and greater market certainty. This initiative also has important synergy effects with the proposal for new CO</w:t>
      </w:r>
      <w:r>
        <w:rPr>
          <w:rFonts w:ascii="Times New Roman" w:hAnsi="Times New Roman" w:cs="Times New Roman"/>
          <w:noProof/>
          <w:vertAlign w:val="subscript"/>
        </w:rPr>
        <w:t>2</w:t>
      </w:r>
      <w:r>
        <w:rPr>
          <w:rFonts w:ascii="Times New Roman" w:hAnsi="Times New Roman" w:cs="Times New Roman"/>
          <w:noProof/>
        </w:rPr>
        <w:t xml:space="preserve"> emission performance standards for cars and vans post-2020, ensuring additional demand for low- and zero-emission vehicles.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An effective, long-term common policy framework enables joining up procurement and reaching market impact much more effectively.  The revised Directive can contribute to competitiveness and long-term growth of the transport sector; particularly in the heavy goods sector, where it is the key market demand driver for alternatively fuelled urban buses. Better coordinated action will support the functioning of the internal market. Such an approach is best placed to accelerate the needed cost reductions and enable economies of scale. The revised Directive can help guide future EU funding and financing in the area of transport and mobility: a definition of clean vehicles can underpin priority setting for EU funds. Better coordinated public procurement can add to the needed demand for the recharging and refuelling infrastructure that is being implemented under Directive 2014/94/EU on alternative fuels infrastructure.</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Actions under the policy options of this initiative could contribute to simplifying the implementation of the Directive by replacing the current vague provisions with clear requirements and removing the broader choice of implementation mechanisms. This policy initiative is also well-timed, as a number of public bodies in Member States have started to procure innovative clean vehicles technologies at larger scale. The measures considered under the different policy packages of this initiative can take this momentum and extend it beyond the current group of front-runner cities and regions. Coupled with targeted support opportunities at EU level through both funding and intelligent financing, it seems possible to address the gap and trigger market growth in all Member States. </w:t>
      </w:r>
    </w:p>
    <w:p w:rsidR="002E508F" w:rsidRDefault="005D0A03">
      <w:pPr>
        <w:pStyle w:val="Heading2"/>
        <w:rPr>
          <w:noProof/>
        </w:rPr>
      </w:pPr>
      <w:bookmarkStart w:id="23" w:name="_Toc497141480"/>
      <w:r>
        <w:rPr>
          <w:noProof/>
        </w:rPr>
        <w:t>Why act now?</w:t>
      </w:r>
      <w:bookmarkEnd w:id="23"/>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Markets for low- and zero-emission and other alternative fuels vehicles need to accelerate to greater mass market use, the Low-Emission Mobility Strategy of the Commission notes. All available policy levers are needed in an intelligent policy mix in order to incentivise purchase of vehicles and leverage investment into infrastructures. As table 2.2 shows, consumers are still cautious with embracing low- and zero-emission and other alternatively fuelled vehicles. Key concerns relate to reliability and accessibility of recharging, choice of models and their purchase prices. While some markets in Member States have seen increased growth (though at a low overall level), other markets in Member States are not picking up (figure 2.2).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Policy certainty is needed at a time when cities and regions are implementing new approaches to clean, sustainable mobility and when manufacturers are planning large-scale investments into new powertrain technologies and their infrastructures (see box 4). Demand is still considerably low in many domestic markets of the Union. These vehicles are needed for an effective contribution from transport to reaching long-term climate, energy and environmental policy objectives of the Union. Increasingly, low- and zero-emission vehicle technologies also shape the future market and competitiveness of the transport sector. </w:t>
      </w:r>
    </w:p>
    <w:tbl>
      <w:tblPr>
        <w:tblStyle w:val="TableGrid"/>
        <w:tblW w:w="0" w:type="auto"/>
        <w:tblLook w:val="04A0" w:firstRow="1" w:lastRow="0" w:firstColumn="1" w:lastColumn="0" w:noHBand="0" w:noVBand="1"/>
      </w:tblPr>
      <w:tblGrid>
        <w:gridCol w:w="9286"/>
      </w:tblGrid>
      <w:tr w:rsidR="002E508F">
        <w:tc>
          <w:tcPr>
            <w:tcW w:w="9286" w:type="dxa"/>
          </w:tcPr>
          <w:p w:rsidR="002E508F" w:rsidRDefault="005D0A03">
            <w:pPr>
              <w:jc w:val="both"/>
              <w:rPr>
                <w:rFonts w:ascii="Times New Roman" w:hAnsi="Times New Roman" w:cs="Times New Roman"/>
                <w:b/>
                <w:noProof/>
                <w:sz w:val="20"/>
                <w:szCs w:val="20"/>
              </w:rPr>
            </w:pPr>
            <w:r>
              <w:rPr>
                <w:rFonts w:ascii="Times New Roman" w:hAnsi="Times New Roman" w:cs="Times New Roman"/>
                <w:b/>
                <w:noProof/>
                <w:sz w:val="20"/>
                <w:szCs w:val="20"/>
              </w:rPr>
              <w:t>Box 4: List of OEM announcements on battery-electric car ambition (by April 2017)</w:t>
            </w:r>
          </w:p>
          <w:p w:rsidR="002E508F" w:rsidRDefault="005D0A03">
            <w:pPr>
              <w:pStyle w:val="ListParagraph"/>
              <w:numPr>
                <w:ilvl w:val="0"/>
                <w:numId w:val="22"/>
              </w:num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BMW has announced a target of 0.1 million electric car sales in 2017, and of 15-25% of the BMW group's sales by 2025.</w:t>
            </w:r>
          </w:p>
          <w:p w:rsidR="002E508F" w:rsidRDefault="005D0A03">
            <w:pPr>
              <w:pStyle w:val="ListParagraph"/>
              <w:numPr>
                <w:ilvl w:val="0"/>
                <w:numId w:val="22"/>
              </w:numPr>
              <w:spacing w:after="0" w:line="240" w:lineRule="auto"/>
              <w:ind w:left="714" w:hanging="357"/>
              <w:contextualSpacing w:val="0"/>
              <w:jc w:val="both"/>
              <w:rPr>
                <w:rFonts w:ascii="Times New Roman" w:hAnsi="Times New Roman" w:cs="Times New Roman"/>
                <w:noProof/>
                <w:sz w:val="20"/>
                <w:szCs w:val="20"/>
              </w:rPr>
            </w:pPr>
            <w:r>
              <w:rPr>
                <w:rFonts w:ascii="Times New Roman" w:hAnsi="Times New Roman" w:cs="Times New Roman"/>
                <w:noProof/>
                <w:sz w:val="20"/>
                <w:szCs w:val="20"/>
              </w:rPr>
              <w:t>Chevrolet (GM) has announced a target of 30thousand annual electric car sales by 2017.</w:t>
            </w:r>
          </w:p>
          <w:p w:rsidR="002E508F" w:rsidRDefault="005D0A03">
            <w:pPr>
              <w:pStyle w:val="ListParagraph"/>
              <w:numPr>
                <w:ilvl w:val="0"/>
                <w:numId w:val="22"/>
              </w:numPr>
              <w:spacing w:after="0" w:line="240" w:lineRule="auto"/>
              <w:ind w:left="714" w:hanging="357"/>
              <w:contextualSpacing w:val="0"/>
              <w:jc w:val="both"/>
              <w:rPr>
                <w:rFonts w:ascii="Times New Roman" w:hAnsi="Times New Roman" w:cs="Times New Roman"/>
                <w:noProof/>
                <w:sz w:val="20"/>
                <w:szCs w:val="20"/>
              </w:rPr>
            </w:pPr>
            <w:r>
              <w:rPr>
                <w:rFonts w:ascii="Times New Roman" w:hAnsi="Times New Roman" w:cs="Times New Roman"/>
                <w:noProof/>
                <w:sz w:val="20"/>
                <w:szCs w:val="20"/>
              </w:rPr>
              <w:t>Daimler has announced a target of 0.1 million annual electric car sales by 2020</w:t>
            </w:r>
          </w:p>
          <w:p w:rsidR="002E508F" w:rsidRDefault="005D0A03">
            <w:pPr>
              <w:pStyle w:val="ListParagraph"/>
              <w:numPr>
                <w:ilvl w:val="0"/>
                <w:numId w:val="22"/>
              </w:numPr>
              <w:spacing w:after="0" w:line="240" w:lineRule="auto"/>
              <w:ind w:left="714" w:hanging="357"/>
              <w:contextualSpacing w:val="0"/>
              <w:jc w:val="both"/>
              <w:rPr>
                <w:rFonts w:ascii="Times New Roman" w:hAnsi="Times New Roman" w:cs="Times New Roman"/>
                <w:noProof/>
                <w:sz w:val="20"/>
                <w:szCs w:val="20"/>
              </w:rPr>
            </w:pPr>
            <w:r>
              <w:rPr>
                <w:rFonts w:ascii="Times New Roman" w:hAnsi="Times New Roman" w:cs="Times New Roman"/>
                <w:noProof/>
                <w:sz w:val="20"/>
                <w:szCs w:val="20"/>
              </w:rPr>
              <w:t>Ford has announced the ambition to introduce 13 new electric car models by 2020</w:t>
            </w:r>
          </w:p>
          <w:p w:rsidR="002E508F" w:rsidRDefault="005D0A03">
            <w:pPr>
              <w:pStyle w:val="ListParagraph"/>
              <w:numPr>
                <w:ilvl w:val="0"/>
                <w:numId w:val="22"/>
              </w:numPr>
              <w:spacing w:after="0" w:line="240" w:lineRule="auto"/>
              <w:ind w:left="714" w:hanging="357"/>
              <w:contextualSpacing w:val="0"/>
              <w:jc w:val="both"/>
              <w:rPr>
                <w:rFonts w:ascii="Times New Roman" w:hAnsi="Times New Roman" w:cs="Times New Roman"/>
                <w:noProof/>
                <w:sz w:val="20"/>
                <w:szCs w:val="20"/>
              </w:rPr>
            </w:pPr>
            <w:r>
              <w:rPr>
                <w:rFonts w:ascii="Times New Roman" w:hAnsi="Times New Roman" w:cs="Times New Roman"/>
                <w:noProof/>
                <w:sz w:val="20"/>
                <w:szCs w:val="20"/>
              </w:rPr>
              <w:t>Honda has announced to have two thirds of group sales in 2030 consist of electrified vehicles (battery-electric and plug-in hybrid)</w:t>
            </w:r>
          </w:p>
          <w:p w:rsidR="002E508F" w:rsidRDefault="005D0A03">
            <w:pPr>
              <w:pStyle w:val="ListParagraph"/>
              <w:numPr>
                <w:ilvl w:val="0"/>
                <w:numId w:val="22"/>
              </w:numPr>
              <w:spacing w:after="0" w:line="240" w:lineRule="auto"/>
              <w:ind w:left="714" w:hanging="357"/>
              <w:contextualSpacing w:val="0"/>
              <w:jc w:val="both"/>
              <w:rPr>
                <w:rFonts w:ascii="Times New Roman" w:hAnsi="Times New Roman" w:cs="Times New Roman"/>
                <w:noProof/>
                <w:sz w:val="20"/>
                <w:szCs w:val="20"/>
              </w:rPr>
            </w:pPr>
            <w:r>
              <w:rPr>
                <w:rFonts w:ascii="Times New Roman" w:hAnsi="Times New Roman" w:cs="Times New Roman"/>
                <w:noProof/>
                <w:sz w:val="20"/>
                <w:szCs w:val="20"/>
              </w:rPr>
              <w:t>Renault-Nissan aspires to have cumulative sales of electric cars by 2020 of 1.5 million</w:t>
            </w:r>
          </w:p>
          <w:p w:rsidR="002E508F" w:rsidRDefault="005D0A03">
            <w:pPr>
              <w:pStyle w:val="ListParagraph"/>
              <w:numPr>
                <w:ilvl w:val="0"/>
                <w:numId w:val="22"/>
              </w:numPr>
              <w:spacing w:after="0" w:line="240" w:lineRule="auto"/>
              <w:ind w:left="714" w:hanging="357"/>
              <w:contextualSpacing w:val="0"/>
              <w:jc w:val="both"/>
              <w:rPr>
                <w:rFonts w:ascii="Times New Roman" w:hAnsi="Times New Roman" w:cs="Times New Roman"/>
                <w:noProof/>
                <w:sz w:val="20"/>
                <w:szCs w:val="20"/>
              </w:rPr>
            </w:pPr>
            <w:r>
              <w:rPr>
                <w:rFonts w:ascii="Times New Roman" w:hAnsi="Times New Roman" w:cs="Times New Roman"/>
                <w:noProof/>
                <w:sz w:val="20"/>
                <w:szCs w:val="20"/>
              </w:rPr>
              <w:t>Tesla has announced to target sales of 1 million electric cars by 2020</w:t>
            </w:r>
          </w:p>
          <w:p w:rsidR="002E508F" w:rsidRDefault="005D0A03">
            <w:pPr>
              <w:pStyle w:val="ListParagraph"/>
              <w:numPr>
                <w:ilvl w:val="0"/>
                <w:numId w:val="22"/>
              </w:numPr>
              <w:spacing w:after="0" w:line="240" w:lineRule="auto"/>
              <w:ind w:left="714" w:hanging="357"/>
              <w:contextualSpacing w:val="0"/>
              <w:jc w:val="both"/>
              <w:rPr>
                <w:rFonts w:ascii="Times New Roman" w:hAnsi="Times New Roman" w:cs="Times New Roman"/>
                <w:noProof/>
                <w:sz w:val="20"/>
                <w:szCs w:val="20"/>
              </w:rPr>
            </w:pPr>
            <w:r>
              <w:rPr>
                <w:rFonts w:ascii="Times New Roman" w:hAnsi="Times New Roman" w:cs="Times New Roman"/>
                <w:noProof/>
                <w:sz w:val="20"/>
                <w:szCs w:val="20"/>
              </w:rPr>
              <w:t>Volkswagen has announced a target of 25% of group sales by 2025 to be electric vehicles</w:t>
            </w:r>
          </w:p>
          <w:p w:rsidR="002E508F" w:rsidRDefault="005D0A03">
            <w:pPr>
              <w:pStyle w:val="ListParagraph"/>
              <w:numPr>
                <w:ilvl w:val="0"/>
                <w:numId w:val="22"/>
              </w:numPr>
              <w:spacing w:after="0" w:line="240" w:lineRule="auto"/>
              <w:ind w:left="714" w:hanging="357"/>
              <w:contextualSpacing w:val="0"/>
              <w:jc w:val="both"/>
              <w:rPr>
                <w:rFonts w:ascii="Times New Roman" w:hAnsi="Times New Roman" w:cs="Times New Roman"/>
                <w:noProof/>
                <w:sz w:val="20"/>
                <w:szCs w:val="20"/>
              </w:rPr>
            </w:pPr>
            <w:r>
              <w:rPr>
                <w:rFonts w:ascii="Times New Roman" w:hAnsi="Times New Roman" w:cs="Times New Roman"/>
                <w:noProof/>
                <w:sz w:val="20"/>
                <w:szCs w:val="20"/>
              </w:rPr>
              <w:t xml:space="preserve">Volvo just announced that every car from 2019 onwards will have an electric motor, and launching 5 fully electric cars in between 2019 and 2021. </w:t>
            </w:r>
          </w:p>
        </w:tc>
      </w:tr>
    </w:tbl>
    <w:p w:rsidR="002E508F" w:rsidRDefault="005D0A03">
      <w:pPr>
        <w:spacing w:line="240" w:lineRule="auto"/>
        <w:jc w:val="both"/>
        <w:rPr>
          <w:rFonts w:ascii="Times New Roman" w:hAnsi="Times New Roman" w:cs="Times New Roman"/>
          <w:i/>
          <w:noProof/>
          <w:sz w:val="20"/>
          <w:szCs w:val="20"/>
        </w:rPr>
      </w:pPr>
      <w:r>
        <w:rPr>
          <w:rFonts w:ascii="Times New Roman" w:hAnsi="Times New Roman" w:cs="Times New Roman"/>
          <w:noProof/>
          <w:sz w:val="20"/>
          <w:szCs w:val="20"/>
        </w:rPr>
        <w:t xml:space="preserve">Source: </w:t>
      </w:r>
      <w:r>
        <w:rPr>
          <w:rFonts w:ascii="Times New Roman" w:hAnsi="Times New Roman" w:cs="Times New Roman"/>
          <w:i/>
          <w:noProof/>
          <w:sz w:val="20"/>
          <w:szCs w:val="20"/>
        </w:rPr>
        <w:t>International Energy Agency (2017): Global EV outlook 2017: two million and counting, IEA: Paris</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This outlook changes the prospects for contracting authorities, entities and specific operators: in the future, they will have a much better ability to choose from an increasingly larger palette of vehicles. Cost reduction is expected to happen in quickly accelerating markets</w:t>
      </w:r>
      <w:r>
        <w:rPr>
          <w:rStyle w:val="FootnoteReference"/>
          <w:rFonts w:ascii="Times New Roman" w:hAnsi="Times New Roman" w:cs="Times New Roman"/>
          <w:noProof/>
        </w:rPr>
        <w:footnoteReference w:id="44"/>
      </w:r>
      <w:r>
        <w:rPr>
          <w:rFonts w:ascii="Times New Roman" w:hAnsi="Times New Roman" w:cs="Times New Roman"/>
          <w:noProof/>
        </w:rPr>
        <w:t xml:space="preserve">. The benefits and cost-efficiency of such clean vehicles are clearly demonstrable over time, contributing to attractive, quiet multi-modal solutions in public transport and to overall improvements in air quality and noise reduction, among other (see section 6).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Public fleet procurement of clean vehicles can influence private purchases of clean vehicles. Under conditions of perceived risk and uncertainty, consumers tend to favour known, familiar solutions. Increased visibility of clean vehicles and their infrastructures in day-to-day transport increases public confidence that the technologies are mature and trustworthy. This concerns particularly Member States, where the market take up is still very low (see section 2.1.2) and where suitable infrastructure does not exist everywhere. Moreover, private consumers are generally found to slowly pick up innovative products unless all elements of the requisite infrastructure are available.</w:t>
      </w:r>
      <w:r>
        <w:rPr>
          <w:rStyle w:val="FootnoteReference"/>
          <w:rFonts w:ascii="Times New Roman" w:hAnsi="Times New Roman" w:cs="Times New Roman"/>
          <w:noProof/>
        </w:rPr>
        <w:footnoteReference w:id="45"/>
      </w:r>
      <w:r>
        <w:rPr>
          <w:rFonts w:ascii="Times New Roman" w:hAnsi="Times New Roman" w:cs="Times New Roman"/>
          <w:noProof/>
        </w:rPr>
        <w:t xml:space="preserve"> If public recharging and refuelling infrastructure (e.g. for buses, trolleybuses or trams) is available for private users (pedelecs, cars, taxis, vans, delivery trucks) it can incentivise the purchase of those vehicles.</w:t>
      </w:r>
      <w:r>
        <w:rPr>
          <w:rStyle w:val="FootnoteReference"/>
          <w:rFonts w:ascii="Times New Roman" w:hAnsi="Times New Roman" w:cs="Times New Roman"/>
          <w:noProof/>
        </w:rPr>
        <w:footnoteReference w:id="46"/>
      </w:r>
      <w:r>
        <w:rPr>
          <w:rFonts w:ascii="Times New Roman" w:hAnsi="Times New Roman" w:cs="Times New Roman"/>
          <w:noProof/>
        </w:rPr>
        <w:t xml:space="preserve"> This is relevant particularly for people who do not have a private garage. </w:t>
      </w:r>
    </w:p>
    <w:p w:rsidR="002E508F" w:rsidRDefault="005D0A03">
      <w:pPr>
        <w:spacing w:line="240" w:lineRule="auto"/>
        <w:jc w:val="both"/>
        <w:rPr>
          <w:rFonts w:ascii="Times New Roman" w:hAnsi="Times New Roman" w:cs="Times New Roman"/>
          <w:noProof/>
          <w:u w:val="single"/>
        </w:rPr>
      </w:pPr>
      <w:r>
        <w:rPr>
          <w:rFonts w:ascii="Times New Roman" w:hAnsi="Times New Roman" w:cs="Times New Roman"/>
          <w:noProof/>
        </w:rPr>
        <w:t>A substantial share of passenger cars (~50%) is not privately owned but belongs to a corporate fleet or to a public fleet.</w:t>
      </w:r>
      <w:r>
        <w:rPr>
          <w:rStyle w:val="FootnoteReference"/>
          <w:rFonts w:ascii="Times New Roman" w:hAnsi="Times New Roman" w:cs="Times New Roman"/>
          <w:noProof/>
        </w:rPr>
        <w:footnoteReference w:id="47"/>
      </w:r>
      <w:r>
        <w:rPr>
          <w:rFonts w:ascii="Times New Roman" w:hAnsi="Times New Roman" w:cs="Times New Roman"/>
          <w:noProof/>
        </w:rPr>
        <w:t xml:space="preserve"> Large-scale public fleet operators can find it easier to adopt low- and zero-emission and other alternative fuels vehicles due to different conditions of scale. Employees can benefit from the possibility to familiarise themselves with the new technology in an environment that is free of individual purchase risks. This can also facilitate information and education of further potential users. Documented are cases, where fleet solutions have knocked on private vehicle purchases. It is, however, difficult to directly quantitatively account how public procurement will impact on private purchases, as the individual decision to purchase a vehicle is influenced by different factors.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This policy initiative is part of a package of policy initiatives to support the transition to a low-emission mobility in the EU. The need to accelerate efforts is a widely noted European policy ambition. The 2017 State of the Union address notes that the EU needs to become a world leader on decarbonisation. The 2017 Mobility Package Chapeau Communication underlines that Europe must lead the transition to a low-emission mobility. Global competition dynamics require sufficient action now if the European transport sector is to maintain and expand its competitiveness in these future growth markets</w:t>
      </w:r>
      <w:r>
        <w:rPr>
          <w:rStyle w:val="FootnoteReference"/>
          <w:rFonts w:ascii="Times New Roman" w:hAnsi="Times New Roman" w:cs="Times New Roman"/>
          <w:noProof/>
        </w:rPr>
        <w:footnoteReference w:id="48"/>
      </w:r>
      <w:r>
        <w:rPr>
          <w:rFonts w:ascii="Times New Roman" w:hAnsi="Times New Roman" w:cs="Times New Roman"/>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As part of the package, new CO</w:t>
      </w:r>
      <w:r>
        <w:rPr>
          <w:rFonts w:ascii="Times New Roman" w:hAnsi="Times New Roman" w:cs="Times New Roman"/>
          <w:noProof/>
          <w:vertAlign w:val="subscript"/>
        </w:rPr>
        <w:t>2</w:t>
      </w:r>
      <w:r>
        <w:rPr>
          <w:rFonts w:ascii="Times New Roman" w:hAnsi="Times New Roman" w:cs="Times New Roman"/>
          <w:noProof/>
        </w:rPr>
        <w:t xml:space="preserve"> emission performance standards for passenger cars and vans post 2020 are being proposed. Further actions on heavy-duty vehicles' CO</w:t>
      </w:r>
      <w:r>
        <w:rPr>
          <w:rFonts w:ascii="Times New Roman" w:hAnsi="Times New Roman" w:cs="Times New Roman"/>
          <w:noProof/>
          <w:vertAlign w:val="subscript"/>
        </w:rPr>
        <w:t>2</w:t>
      </w:r>
      <w:r>
        <w:rPr>
          <w:rFonts w:ascii="Times New Roman" w:hAnsi="Times New Roman" w:cs="Times New Roman"/>
          <w:noProof/>
        </w:rPr>
        <w:t xml:space="preserve"> emissions have been announced.</w:t>
      </w:r>
      <w:r>
        <w:rPr>
          <w:rStyle w:val="FootnoteReference"/>
          <w:rFonts w:ascii="Times New Roman" w:hAnsi="Times New Roman" w:cs="Times New Roman"/>
          <w:noProof/>
        </w:rPr>
        <w:footnoteReference w:id="49"/>
      </w:r>
      <w:r>
        <w:rPr>
          <w:rFonts w:ascii="Times New Roman" w:hAnsi="Times New Roman" w:cs="Times New Roman"/>
          <w:noProof/>
        </w:rPr>
        <w:t xml:space="preserve"> In a policy package approach that includes contributions from public and private market actors the revision of the Clean Vehicles Directive ensures that all available policy levers – on the supply and the demand side - are utilised. In tandem with the CO</w:t>
      </w:r>
      <w:r>
        <w:rPr>
          <w:rFonts w:ascii="Times New Roman" w:hAnsi="Times New Roman" w:cs="Times New Roman"/>
          <w:noProof/>
          <w:vertAlign w:val="subscript"/>
        </w:rPr>
        <w:t>2</w:t>
      </w:r>
      <w:r>
        <w:rPr>
          <w:rFonts w:ascii="Times New Roman" w:hAnsi="Times New Roman" w:cs="Times New Roman"/>
          <w:noProof/>
        </w:rPr>
        <w:t xml:space="preserve"> emission performance standards for cars and vans the revision of this Directive ensures that incentives are set up for the same type of vehicles through both a market push-and-pull logic, whereby the public procurements provides a particular stimulus for domestic markets with very low market shares and for the heavy-duty vehicle market, mainly on urban buses. Moreover, the EU is also publishing an EU actin plan for alternative fuels infrastructure to support the further implementation of Directive 2014/94/EU on alternative fuels infrastructure, where a EU backbone infrastructure for recharging should be completed on the TEN-T core network corridors by 2025, including full equipment of urban nodes. Investment into infrastructure is increasingly sought be taken in form of captive fleet models, where vehicles and infrastructures are realised together. Public procurement is of importance in this context.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Securing additional demand is important, also in view of global market dynamics and potential shifts in global competitiveness (see figure 2.3). Chinese OEMs have announced sales targets of 4.5 million battery-electric vehicles by 2020.</w:t>
      </w:r>
      <w:r>
        <w:rPr>
          <w:rStyle w:val="FootnoteReference"/>
          <w:rFonts w:ascii="Times New Roman" w:hAnsi="Times New Roman" w:cs="Times New Roman"/>
          <w:noProof/>
        </w:rPr>
        <w:footnoteReference w:id="50"/>
      </w:r>
      <w:r>
        <w:rPr>
          <w:rFonts w:ascii="Times New Roman" w:hAnsi="Times New Roman" w:cs="Times New Roman"/>
          <w:noProof/>
        </w:rPr>
        <w:t xml:space="preserve"> The Chinese government has announced a forthcoming requirement for every car manufacturer that sells more than 30.000 vehicles in China to comply with a sales quota of 10 percent of battery-electric vehicles. </w:t>
      </w:r>
      <w:r>
        <w:rPr>
          <w:rStyle w:val="FootnoteReference"/>
          <w:rFonts w:ascii="Times New Roman" w:hAnsi="Times New Roman" w:cs="Times New Roman"/>
          <w:noProof/>
        </w:rPr>
        <w:footnoteReference w:id="51"/>
      </w:r>
      <w:r>
        <w:rPr>
          <w:rFonts w:ascii="Times New Roman" w:hAnsi="Times New Roman" w:cs="Times New Roman"/>
          <w:noProof/>
        </w:rPr>
        <w:t xml:space="preserve"> This policy is expected to have a strong impact on the market for zero-emission vehicles.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Moreover, the current approach of the Directive that sought to put the emphasis on the internalisation of external energy and environmental impacts has not yielded any significant market impact. Provided that there is flexibility in implementation, changing the governance approach of the Directive towards a greater directional market uptake of low- and zero-emission and other alternative fuels vehicles is coherent with both policy principles of low-emission mobility and technological neutrality.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Action does not prescribe choice of a specific technological but remains neutral in view of the broader choice of low- and zero-emission and other alternative fuels technologies. A minimum share target would leave technology choice of all clean conventionally and alternatively fuelled vehicles for the major part of the procurement, while a flexible approach to implementation within the Member State ensures that capacities can be best used and tailored to specific regional and local circumstances.  </w:t>
      </w:r>
    </w:p>
    <w:p w:rsidR="002E508F" w:rsidRDefault="005D0A03">
      <w:pPr>
        <w:spacing w:after="0" w:line="240" w:lineRule="auto"/>
        <w:rPr>
          <w:rFonts w:ascii="Times New Roman" w:hAnsi="Times New Roman" w:cs="Times New Roman"/>
          <w:b/>
          <w:smallCaps/>
          <w:noProof/>
        </w:rPr>
      </w:pPr>
      <w:r>
        <w:rPr>
          <w:noProof/>
        </w:rPr>
        <w:br w:type="page"/>
      </w:r>
    </w:p>
    <w:p w:rsidR="002E508F" w:rsidRDefault="005D0A03">
      <w:pPr>
        <w:pStyle w:val="Heading1"/>
        <w:rPr>
          <w:noProof/>
        </w:rPr>
      </w:pPr>
      <w:bookmarkStart w:id="24" w:name="_Toc497141481"/>
      <w:r>
        <w:rPr>
          <w:noProof/>
        </w:rPr>
        <w:t>What should be achieved?</w:t>
      </w:r>
      <w:bookmarkEnd w:id="24"/>
    </w:p>
    <w:p w:rsidR="002E508F" w:rsidRDefault="005D0A03">
      <w:pPr>
        <w:pStyle w:val="Heading2"/>
        <w:rPr>
          <w:noProof/>
        </w:rPr>
      </w:pPr>
      <w:bookmarkStart w:id="25" w:name="_Toc497141482"/>
      <w:r>
        <w:rPr>
          <w:noProof/>
        </w:rPr>
        <w:t>General and specific objectives</w:t>
      </w:r>
      <w:bookmarkEnd w:id="25"/>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general objective of this initiative is to accelerate the public procurement of clean, i.e. low- and zero-emission or other alternatively fuelled vehicles in the Union.</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This should help stimulate the needed market uptake of these vehicles. It should further improve the contribution from the transport sector to the reduction of C0</w:t>
      </w:r>
      <w:r>
        <w:rPr>
          <w:rFonts w:ascii="Times New Roman" w:hAnsi="Times New Roman" w:cs="Times New Roman"/>
          <w:noProof/>
          <w:vertAlign w:val="subscript"/>
        </w:rPr>
        <w:t>2</w:t>
      </w:r>
      <w:r>
        <w:rPr>
          <w:rFonts w:ascii="Times New Roman" w:hAnsi="Times New Roman" w:cs="Times New Roman"/>
          <w:noProof/>
        </w:rPr>
        <w:t xml:space="preserve"> and air pollutant emissions and contribute to competitiveness and growth, particularly in the heavy-duty transport sector. In addition, this initiative supports more effective public procurement policies at domestic level, which are better aligned in terms of strategic direction and market impact. It should reduce information cost for public and private actors and simplify the implementation process.</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 The specific objectives (SO) for the revision of Directive 2009/33/EC are as follows: </w:t>
      </w:r>
    </w:p>
    <w:p w:rsidR="002E508F" w:rsidRDefault="005D0A03">
      <w:pPr>
        <w:spacing w:after="0" w:line="240" w:lineRule="auto"/>
        <w:ind w:left="357"/>
        <w:jc w:val="both"/>
        <w:rPr>
          <w:rFonts w:ascii="Times New Roman" w:hAnsi="Times New Roman" w:cs="Times New Roman"/>
          <w:noProof/>
        </w:rPr>
      </w:pPr>
      <w:r>
        <w:rPr>
          <w:rFonts w:ascii="Times New Roman" w:hAnsi="Times New Roman" w:cs="Times New Roman"/>
          <w:noProof/>
        </w:rPr>
        <w:t>SO1:</w:t>
      </w:r>
      <w:r>
        <w:rPr>
          <w:rFonts w:ascii="Times New Roman" w:hAnsi="Times New Roman" w:cs="Times New Roman"/>
          <w:noProof/>
        </w:rPr>
        <w:tab/>
        <w:t>Ensure that the Directive covers all relevant procurement practices</w:t>
      </w:r>
    </w:p>
    <w:p w:rsidR="002E508F" w:rsidRDefault="005D0A03">
      <w:pPr>
        <w:spacing w:after="0" w:line="240" w:lineRule="auto"/>
        <w:ind w:left="1434" w:hanging="1077"/>
        <w:rPr>
          <w:rFonts w:ascii="Times New Roman" w:hAnsi="Times New Roman" w:cs="Times New Roman"/>
          <w:noProof/>
        </w:rPr>
      </w:pPr>
      <w:r>
        <w:rPr>
          <w:rFonts w:ascii="Times New Roman" w:hAnsi="Times New Roman" w:cs="Times New Roman"/>
          <w:noProof/>
        </w:rPr>
        <w:t>SO2:</w:t>
      </w:r>
      <w:r>
        <w:rPr>
          <w:rFonts w:ascii="Times New Roman" w:hAnsi="Times New Roman" w:cs="Times New Roman"/>
          <w:noProof/>
        </w:rPr>
        <w:tab/>
        <w:t xml:space="preserve">Ensure that the Directive supports clear, long-term market signals </w:t>
      </w:r>
    </w:p>
    <w:p w:rsidR="002E508F" w:rsidRDefault="005D0A03">
      <w:pPr>
        <w:spacing w:line="240" w:lineRule="auto"/>
        <w:ind w:left="1440" w:hanging="1080"/>
        <w:rPr>
          <w:rFonts w:ascii="Times New Roman" w:hAnsi="Times New Roman" w:cs="Times New Roman"/>
          <w:noProof/>
        </w:rPr>
      </w:pPr>
      <w:r>
        <w:rPr>
          <w:rFonts w:ascii="Times New Roman" w:hAnsi="Times New Roman" w:cs="Times New Roman"/>
          <w:noProof/>
        </w:rPr>
        <w:t>SO3:</w:t>
      </w:r>
      <w:r>
        <w:rPr>
          <w:rFonts w:ascii="Times New Roman" w:hAnsi="Times New Roman" w:cs="Times New Roman"/>
          <w:noProof/>
        </w:rPr>
        <w:tab/>
        <w:t>Ensure that the Directive provisions are simplified and effective to use</w:t>
      </w:r>
    </w:p>
    <w:p w:rsidR="002E508F" w:rsidRDefault="005D0A03">
      <w:pPr>
        <w:pStyle w:val="Heading2"/>
        <w:rPr>
          <w:noProof/>
        </w:rPr>
      </w:pPr>
      <w:bookmarkStart w:id="26" w:name="_Toc497141483"/>
      <w:r>
        <w:rPr>
          <w:noProof/>
        </w:rPr>
        <w:t>Links to the problem, synergies and trade-offs</w:t>
      </w:r>
      <w:bookmarkEnd w:id="26"/>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objectives are directly linked to the problems identified in section 2 (figure 2.1). There are synergies among the objectives. Addressing the limited scope of the Directive will help with improving clear market signals, while providing clear provisions for vehicle purchase will address the current lack of long-term market signals and address fragmentation of policies.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There are trade-offs for CO2 and air pollutants emissions when using the monetisation methodology: the methodology requires the purchase of the vehicle that is the most cost-effective in view of all its internal and external cost. This could lead to situations where public bodies either continue to purchase conventionally fuelled vehicles, because their overall cost are still lower due to the initial purchase cost. In this case, impacts on emission reductions are limited. Or, in view of updated external cost figures, it can lead to situations where public bodies should only buy low- and zero-emission vehicles, because they are most cost-effective. In this case, public bodies are confronted with high upfront costs.</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Simplification of EU law could be achieved, if a clear definition and related minimum procurement targets were to be established. These can provide clear, long-term policy orientation, while avoiding calculation methodologies that are complex to use. There could be a trade-off between a continued choice of implementation mechanism (clean vehicle definition and target versus monetisation methodology) and the objective of creating stronger market signals and more effective procurement procedures within and in between Member States. The necessity for continuing this approach of dual implementation mechanisms under the current Clean Vehicles Directive needs to be analysed.</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Trade-offs exist between costs and benefits for public bodies, industries and citizens. The latter two benefit from the action taken by public bodies to procure clean, low- and zero-emission and other alternative fuels vehicles in form of positive impacts on quality of life and market demand for new vehicles. Public bodies have to weigh increased cost with increased benefits over time and impacts on public service obligations. If there is a too strong requirement for upfront investment into innovative clean technologies, it could impact on the ability of providing relevant public transport services (including reduction of serviced bus lines, for example), which would conversely undermine key policy priorities for supporting multi-modality in European cities and regions.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On the other hand, clean vehicle procurement provides numerous opportunities to make public transport more attractive, by enabling smoother, quiet travel and by providing new opportunities for route design (including for new services such as in-door bus stops, enabling new possibilities for better customer service (e.g. in shopping malls).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From a European industry point of view, a key question concerns competitiveness vis-à-vis foreign competitors and their ability to service mobility needs of public bodies.</w:t>
      </w:r>
    </w:p>
    <w:p w:rsidR="002E508F" w:rsidRDefault="005D0A03">
      <w:pPr>
        <w:pStyle w:val="Heading2"/>
        <w:rPr>
          <w:noProof/>
        </w:rPr>
      </w:pPr>
      <w:bookmarkStart w:id="27" w:name="_Toc497141484"/>
      <w:r>
        <w:rPr>
          <w:noProof/>
        </w:rPr>
        <w:t>Consistency with other EU policies and Charter of Fundamental Rights</w:t>
      </w:r>
      <w:bookmarkEnd w:id="27"/>
      <w:r>
        <w:rPr>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main objective of this initiative is fully in line with the main objectives of other legislative and non-legislative initiatives to support the deployment of clean, low- and zero-emission vehicles at European level. It is consistent with long-term EU policy objectives on climate, energy and environment policies.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It supports the proposal for the post-2020 CO</w:t>
      </w:r>
      <w:r>
        <w:rPr>
          <w:rFonts w:ascii="Times New Roman" w:hAnsi="Times New Roman" w:cs="Times New Roman"/>
          <w:noProof/>
          <w:vertAlign w:val="subscript"/>
        </w:rPr>
        <w:t>2</w:t>
      </w:r>
      <w:r>
        <w:rPr>
          <w:rFonts w:ascii="Times New Roman" w:hAnsi="Times New Roman" w:cs="Times New Roman"/>
          <w:noProof/>
        </w:rPr>
        <w:t xml:space="preserve"> emission performance standards for light duty vehicles, where it reinforces the policy orientation, builds on the same thresholds for low- and zero-emission vehicles and adds further demand for low- and zero-emission vehicles. Automakers in their contribution to the public consultation for the revision of this Directive have noted the consistency and relevance of a strong public procurement mandate under an amended Directive.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This initiative also supports the action plan on alternative fuels infrastructure that reinforces the implementation of Directive 2014/94/EU on alternative fuels infrastructure, which has been published as part of the Mobility Package II. The action plan seeks to stimulate better exchange of Member States on alternative fuels infrastructure deployment and investment by both public and private actors, to further orient market actors to greater aligned action and to test innovative financing models for interoperable infrastructure. In all occasions, public procurement is a key supporting lever.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objectives of this initiative are mutually supportive to the objectives of revising the voluntary Green Public Procurement Criteria of the European Commission in the field of transport. The objectives for this initiative are furthermore coherent with the Charter of Fundamental Rights, in particularly by applying a non-discriminatory approach to single contracting authorities, entities and relevant operators.  </w:t>
      </w:r>
    </w:p>
    <w:p w:rsidR="002E508F" w:rsidRDefault="005D0A03">
      <w:pPr>
        <w:spacing w:after="0" w:line="240" w:lineRule="auto"/>
        <w:rPr>
          <w:rFonts w:ascii="Times New Roman" w:hAnsi="Times New Roman" w:cs="Times New Roman"/>
          <w:b/>
          <w:smallCaps/>
          <w:noProof/>
        </w:rPr>
      </w:pPr>
      <w:r>
        <w:rPr>
          <w:noProof/>
        </w:rPr>
        <w:br w:type="page"/>
      </w:r>
    </w:p>
    <w:p w:rsidR="002E508F" w:rsidRDefault="005D0A03">
      <w:pPr>
        <w:pStyle w:val="Heading1"/>
        <w:rPr>
          <w:noProof/>
        </w:rPr>
      </w:pPr>
      <w:bookmarkStart w:id="28" w:name="_Toc497141485"/>
      <w:r>
        <w:rPr>
          <w:noProof/>
        </w:rPr>
        <w:t>What are the various options to achieve the objective?</w:t>
      </w:r>
      <w:bookmarkEnd w:id="28"/>
      <w:r>
        <w:rPr>
          <w:noProof/>
        </w:rPr>
        <w:t xml:space="preserve"> </w:t>
      </w:r>
    </w:p>
    <w:p w:rsidR="002E508F" w:rsidRDefault="005D0A03">
      <w:pPr>
        <w:pStyle w:val="Heading2"/>
        <w:rPr>
          <w:noProof/>
        </w:rPr>
      </w:pPr>
      <w:bookmarkStart w:id="29" w:name="_Toc497141486"/>
      <w:r>
        <w:rPr>
          <w:noProof/>
        </w:rPr>
        <w:t>Preliminary screening of potential measures to achieve the stated objectives</w:t>
      </w:r>
      <w:bookmarkEnd w:id="29"/>
    </w:p>
    <w:p w:rsidR="002E508F" w:rsidRDefault="005D0A03">
      <w:pPr>
        <w:spacing w:line="240" w:lineRule="auto"/>
        <w:jc w:val="both"/>
        <w:rPr>
          <w:rFonts w:ascii="Times New Roman" w:hAnsi="Times New Roman" w:cs="Times New Roman"/>
          <w:noProof/>
          <w:lang w:val="en"/>
        </w:rPr>
      </w:pPr>
      <w:r>
        <w:rPr>
          <w:rFonts w:ascii="Times New Roman" w:hAnsi="Times New Roman" w:cs="Times New Roman"/>
          <w:noProof/>
          <w:lang w:val="en"/>
        </w:rPr>
        <w:t xml:space="preserve">A pre-screening of main policy measures was done to identify the most acceptable and feasible measures to address the identified problems. An initial long list was created on the basis of the outcomes of the ex-post evaluation. In the Open Public Consultation and through targeted consultation activities during this Impact Assessment, the Commission asked key stakeholders for their opinion on the relevance and feasibility of policy measures on this long list of policy measures relative to achieving the policy objectives presented in section 4. </w:t>
      </w:r>
    </w:p>
    <w:p w:rsidR="002E508F" w:rsidRDefault="005D0A03">
      <w:pPr>
        <w:spacing w:line="240" w:lineRule="auto"/>
        <w:jc w:val="both"/>
        <w:rPr>
          <w:rFonts w:ascii="Times New Roman" w:hAnsi="Times New Roman" w:cs="Times New Roman"/>
          <w:noProof/>
          <w:lang w:val="en"/>
        </w:rPr>
      </w:pPr>
      <w:r>
        <w:rPr>
          <w:rFonts w:ascii="Times New Roman" w:hAnsi="Times New Roman" w:cs="Times New Roman"/>
          <w:noProof/>
          <w:lang w:val="en"/>
        </w:rPr>
        <w:t xml:space="preserve">The most important of those measures are screened in terms of their relevance, feasibility or proportionality as well as key outcomes from the public consultation. Based on this screening, some of the measures have been recommended for a more detailed analysis and subsequent use in the policy packages as presented in section 6. The other remaining measures were then discarded. </w:t>
      </w:r>
    </w:p>
    <w:p w:rsidR="002E508F" w:rsidRDefault="005D0A03">
      <w:pPr>
        <w:pStyle w:val="Heading3"/>
        <w:rPr>
          <w:noProof/>
        </w:rPr>
      </w:pPr>
      <w:bookmarkStart w:id="30" w:name="_Toc497141487"/>
      <w:r>
        <w:rPr>
          <w:noProof/>
        </w:rPr>
        <w:t>Potential measures to ensure that the Directive covers all relevant procurement practices</w:t>
      </w:r>
      <w:bookmarkEnd w:id="30"/>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Four different measures were proposed and discussed.</w:t>
      </w:r>
    </w:p>
    <w:p w:rsidR="002E508F" w:rsidRDefault="005D0A03">
      <w:pPr>
        <w:autoSpaceDE w:val="0"/>
        <w:autoSpaceDN w:val="0"/>
        <w:adjustRightInd w:val="0"/>
        <w:spacing w:line="240" w:lineRule="auto"/>
        <w:jc w:val="both"/>
        <w:rPr>
          <w:rFonts w:ascii="Times New Roman" w:hAnsi="Times New Roman" w:cs="Times New Roman"/>
          <w:iCs/>
          <w:noProof/>
          <w:u w:val="single"/>
          <w:lang w:val="en"/>
        </w:rPr>
      </w:pPr>
      <w:r>
        <w:rPr>
          <w:rFonts w:ascii="Times New Roman" w:hAnsi="Times New Roman" w:cs="Times New Roman"/>
          <w:iCs/>
          <w:noProof/>
          <w:u w:val="single"/>
          <w:lang w:val="en"/>
        </w:rPr>
        <w:t>1. Extend the scope by removal of the procurement thresholds</w:t>
      </w:r>
    </w:p>
    <w:p w:rsidR="002E508F" w:rsidRDefault="005D0A03">
      <w:pPr>
        <w:autoSpaceDE w:val="0"/>
        <w:autoSpaceDN w:val="0"/>
        <w:adjustRightInd w:val="0"/>
        <w:spacing w:line="240" w:lineRule="auto"/>
        <w:jc w:val="both"/>
        <w:rPr>
          <w:rFonts w:ascii="Times New Roman" w:hAnsi="Times New Roman" w:cs="Times New Roman"/>
          <w:noProof/>
          <w:lang w:val="en"/>
        </w:rPr>
      </w:pPr>
      <w:r>
        <w:rPr>
          <w:rFonts w:ascii="Times New Roman" w:hAnsi="Times New Roman" w:cs="Times New Roman"/>
          <w:noProof/>
          <w:lang w:val="en"/>
        </w:rPr>
        <w:t>Under this measure, the thresholds for contract volumes (see section 2.2) as required by the horizontal public procurement law of the EU would be removed. Two alternative variants of this measure were discussed: A complete removal, according to which the Directive would apply to all contracts, and an alternative variant of replacing the current threshold with a new threshold.</w:t>
      </w:r>
    </w:p>
    <w:p w:rsidR="002E508F" w:rsidRDefault="005D0A03">
      <w:pPr>
        <w:autoSpaceDE w:val="0"/>
        <w:autoSpaceDN w:val="0"/>
        <w:adjustRightInd w:val="0"/>
        <w:spacing w:line="240" w:lineRule="auto"/>
        <w:jc w:val="both"/>
        <w:rPr>
          <w:rFonts w:ascii="Times New Roman" w:hAnsi="Times New Roman" w:cs="Times New Roman"/>
          <w:noProof/>
        </w:rPr>
      </w:pPr>
      <w:r>
        <w:rPr>
          <w:rFonts w:ascii="Times New Roman" w:hAnsi="Times New Roman" w:cs="Times New Roman"/>
          <w:i/>
          <w:noProof/>
          <w:lang w:val="en"/>
        </w:rPr>
        <w:t xml:space="preserve">Comment: </w:t>
      </w:r>
      <w:r>
        <w:rPr>
          <w:rFonts w:ascii="Times New Roman" w:hAnsi="Times New Roman" w:cs="Times New Roman"/>
          <w:noProof/>
          <w:lang w:val="en"/>
        </w:rPr>
        <w:t xml:space="preserve">Views in the Open Public Consultation (130 responses in total) were mixed. </w:t>
      </w:r>
      <w:r>
        <w:rPr>
          <w:rFonts w:ascii="Times New Roman" w:hAnsi="Times New Roman" w:cs="Times New Roman"/>
          <w:noProof/>
        </w:rPr>
        <w:t xml:space="preserve">A large majority of respondents from companies (76% (28 out of 37) and particularly from NGOs (84% (24 out of 29) supported this measures as a very relevant, relevant or somewhat relevant measure. No majority of public authorities (48%, (11 out of 23) noted it to be relevant, but 60% of contracting authorities (6 out of 10) considered this measure very relevant, relevant or somewhat relevant. In total, 72% of respondents (or 94 out of 130) agreed it was relevant or somewhat relevant. However, in targeted consultations, representatives of public and contracting authorities noted that the measure, while being highly relevant, would have a strong impact on administrative burden of public and contracting authorities. It would particularly affect smaller public authorities. All experts from public authorities advised against this measure. </w:t>
      </w:r>
    </w:p>
    <w:p w:rsidR="002E508F" w:rsidRDefault="005D0A03">
      <w:pPr>
        <w:autoSpaceDE w:val="0"/>
        <w:autoSpaceDN w:val="0"/>
        <w:adjustRightInd w:val="0"/>
        <w:spacing w:line="240" w:lineRule="auto"/>
        <w:jc w:val="both"/>
        <w:rPr>
          <w:rFonts w:ascii="Times New Roman" w:hAnsi="Times New Roman" w:cs="Times New Roman"/>
          <w:noProof/>
          <w:lang w:val="en"/>
        </w:rPr>
      </w:pPr>
      <w:r>
        <w:rPr>
          <w:rFonts w:ascii="Times New Roman" w:hAnsi="Times New Roman" w:cs="Times New Roman"/>
          <w:noProof/>
          <w:lang w:val="en"/>
        </w:rPr>
        <w:t>Indeed, removal of the procurement threshold could extend the range of application of the Directive considerably (as noted in Table 2.1). Considerations of proportionality and acceptability speak against this measure, however. The current procurement thresholds of horizontal public procurement law (Directives 2014/24/EU and 2014/25/EU) are aligned with the thresholds set out in the WTO’s Agreement on Government Procurement (GPA). They are set to avoid the unnecessary development of a multitude of different thresholds that would apply otherwise. A policy approach based on no thresholds or also lowered thresholds would disproportionately increase the administrative burden of the Directive and would go against coherence with horizontal public procurement rules.</w:t>
      </w:r>
    </w:p>
    <w:p w:rsidR="002E508F" w:rsidRDefault="005D0A03">
      <w:pPr>
        <w:autoSpaceDE w:val="0"/>
        <w:autoSpaceDN w:val="0"/>
        <w:adjustRightInd w:val="0"/>
        <w:spacing w:line="240" w:lineRule="auto"/>
        <w:jc w:val="both"/>
        <w:rPr>
          <w:rFonts w:ascii="Times New Roman" w:hAnsi="Times New Roman" w:cs="Times New Roman"/>
          <w:noProof/>
          <w:lang w:val="en"/>
        </w:rPr>
      </w:pPr>
      <w:r>
        <w:rPr>
          <w:rFonts w:ascii="Times New Roman" w:hAnsi="Times New Roman" w:cs="Times New Roman"/>
          <w:i/>
          <w:noProof/>
          <w:lang w:val="en"/>
        </w:rPr>
        <w:t>Preliminary conclusion</w:t>
      </w:r>
      <w:r>
        <w:rPr>
          <w:rFonts w:ascii="Times New Roman" w:hAnsi="Times New Roman" w:cs="Times New Roman"/>
          <w:noProof/>
          <w:lang w:val="en"/>
        </w:rPr>
        <w:t xml:space="preserve">: Discard, because the measure affects policy coherence, is not in line with subsidiarity, strongly increases administrative burden, and despite of its relevance, is not likely to get the necessary political support.  </w:t>
      </w:r>
    </w:p>
    <w:p w:rsidR="002E508F" w:rsidRDefault="005D0A03">
      <w:pPr>
        <w:autoSpaceDE w:val="0"/>
        <w:autoSpaceDN w:val="0"/>
        <w:adjustRightInd w:val="0"/>
        <w:spacing w:line="240" w:lineRule="auto"/>
        <w:jc w:val="both"/>
        <w:rPr>
          <w:rFonts w:ascii="Times New Roman" w:hAnsi="Times New Roman" w:cs="Times New Roman"/>
          <w:iCs/>
          <w:noProof/>
          <w:u w:val="single"/>
          <w:lang w:val="en"/>
        </w:rPr>
      </w:pPr>
      <w:r>
        <w:rPr>
          <w:rFonts w:ascii="Times New Roman" w:hAnsi="Times New Roman" w:cs="Times New Roman"/>
          <w:iCs/>
          <w:noProof/>
          <w:u w:val="single"/>
          <w:lang w:val="en"/>
        </w:rPr>
        <w:t>2. Extend the scope by including vehicles rented, leased or hire-purchased</w:t>
      </w:r>
    </w:p>
    <w:p w:rsidR="002E508F" w:rsidRDefault="005D0A03">
      <w:pPr>
        <w:autoSpaceDE w:val="0"/>
        <w:autoSpaceDN w:val="0"/>
        <w:adjustRightInd w:val="0"/>
        <w:spacing w:line="240" w:lineRule="auto"/>
        <w:jc w:val="both"/>
        <w:rPr>
          <w:rFonts w:ascii="Times New Roman" w:hAnsi="Times New Roman" w:cs="Times New Roman"/>
          <w:noProof/>
          <w:lang w:val="en"/>
        </w:rPr>
      </w:pPr>
      <w:r>
        <w:rPr>
          <w:rFonts w:ascii="Times New Roman" w:hAnsi="Times New Roman" w:cs="Times New Roman"/>
          <w:noProof/>
          <w:lang w:val="en"/>
        </w:rPr>
        <w:t xml:space="preserve">Public authorities can rent, lease or hire-purchase vehicles instead of purchasing them. The relevance of the practice of renting, leasing and hire-purchasing differs per Member State. On average it is found to affect 23% of all contracts currently noted in the EU's Tender Electronic Database. It represents a relevant contract volume (Table 2.2). </w:t>
      </w:r>
    </w:p>
    <w:p w:rsidR="002E508F" w:rsidRDefault="005D0A03">
      <w:pPr>
        <w:autoSpaceDE w:val="0"/>
        <w:autoSpaceDN w:val="0"/>
        <w:adjustRightInd w:val="0"/>
        <w:spacing w:line="240" w:lineRule="auto"/>
        <w:jc w:val="both"/>
        <w:rPr>
          <w:rFonts w:ascii="Times New Roman" w:hAnsi="Times New Roman" w:cs="Times New Roman"/>
          <w:noProof/>
          <w:lang w:val="en"/>
        </w:rPr>
      </w:pPr>
      <w:r>
        <w:rPr>
          <w:rFonts w:ascii="Times New Roman" w:hAnsi="Times New Roman" w:cs="Times New Roman"/>
          <w:noProof/>
          <w:lang w:val="en"/>
        </w:rPr>
        <w:t xml:space="preserve">Under this measure, the scope of the Directive would be extended to cover vehicles that are leased and hire-purchased. The public procurement thresholds under the Directive would apply as would the minimum procurement requirements for purchase of vehicles, if these were to be adopted. The Directive would also be extended to cover vehicles that are rented by public authorities. In this case, rental fleets would need to be compatible with public authorities' requirements for the environmental performance of the vehicles they rent.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lang w:val="en"/>
        </w:rPr>
        <w:t>Comment:</w:t>
      </w:r>
      <w:r>
        <w:rPr>
          <w:rFonts w:ascii="Times New Roman" w:hAnsi="Times New Roman" w:cs="Times New Roman"/>
          <w:noProof/>
          <w:lang w:val="en"/>
        </w:rPr>
        <w:t xml:space="preserve"> </w:t>
      </w:r>
      <w:r>
        <w:rPr>
          <w:rFonts w:ascii="Times New Roman" w:hAnsi="Times New Roman" w:cs="Times New Roman"/>
          <w:noProof/>
        </w:rPr>
        <w:t>This measure received consistent strong support from all target groups in the Open Public Consultation. Also 75% of public authorities (16 out of 21) and 90% of contracting authorities (9 out of 10) regarded this measure as either very relevant, relevant or somewhat relevant. During targeted consultations, experts from public authorities noted the relevance of this measure. Yet they noted the need for a flexible approach: to make sure it does not substantially increase administrative burden and takes into account the wider diversity of contractual arrangements in this area. One representative noted challenges for rental companies as these currently have low shares of clean vehicles. However, it should be possible to adapt with appropriate lead time for introduction of such a requirement.</w:t>
      </w:r>
    </w:p>
    <w:p w:rsidR="002E508F" w:rsidRDefault="005D0A03">
      <w:pPr>
        <w:autoSpaceDE w:val="0"/>
        <w:autoSpaceDN w:val="0"/>
        <w:adjustRightInd w:val="0"/>
        <w:spacing w:line="240" w:lineRule="auto"/>
        <w:jc w:val="both"/>
        <w:rPr>
          <w:rFonts w:ascii="Times New Roman" w:hAnsi="Times New Roman" w:cs="Times New Roman"/>
          <w:noProof/>
          <w:lang w:val="en"/>
        </w:rPr>
      </w:pPr>
      <w:r>
        <w:rPr>
          <w:rFonts w:ascii="Times New Roman" w:hAnsi="Times New Roman" w:cs="Times New Roman"/>
          <w:i/>
          <w:noProof/>
          <w:lang w:val="en"/>
        </w:rPr>
        <w:t>Preliminary conclusion</w:t>
      </w:r>
      <w:r>
        <w:rPr>
          <w:rFonts w:ascii="Times New Roman" w:hAnsi="Times New Roman" w:cs="Times New Roman"/>
          <w:noProof/>
          <w:lang w:val="en"/>
        </w:rPr>
        <w:t xml:space="preserve">: retain for further analysis, because of its relevance and as a large part of the key stakeholders support this measure.  </w:t>
      </w:r>
    </w:p>
    <w:p w:rsidR="002E508F" w:rsidRDefault="005D0A03">
      <w:pPr>
        <w:autoSpaceDE w:val="0"/>
        <w:autoSpaceDN w:val="0"/>
        <w:adjustRightInd w:val="0"/>
        <w:spacing w:line="240" w:lineRule="auto"/>
        <w:ind w:left="284" w:hanging="284"/>
        <w:jc w:val="both"/>
        <w:rPr>
          <w:rFonts w:ascii="Times New Roman" w:hAnsi="Times New Roman" w:cs="Times New Roman"/>
          <w:iCs/>
          <w:noProof/>
          <w:u w:val="single"/>
          <w:lang w:val="en"/>
        </w:rPr>
      </w:pPr>
      <w:r>
        <w:rPr>
          <w:rFonts w:ascii="Times New Roman" w:hAnsi="Times New Roman" w:cs="Times New Roman"/>
          <w:iCs/>
          <w:noProof/>
          <w:u w:val="single"/>
          <w:lang w:val="en"/>
        </w:rPr>
        <w:t xml:space="preserve">3. Extend the scope by including additional transport services procured by public authorities </w:t>
      </w:r>
    </w:p>
    <w:p w:rsidR="002E508F" w:rsidRDefault="005D0A03">
      <w:pPr>
        <w:autoSpaceDE w:val="0"/>
        <w:autoSpaceDN w:val="0"/>
        <w:adjustRightInd w:val="0"/>
        <w:spacing w:line="240" w:lineRule="auto"/>
        <w:jc w:val="both"/>
        <w:rPr>
          <w:rFonts w:ascii="Times New Roman" w:hAnsi="Times New Roman" w:cs="Times New Roman"/>
          <w:noProof/>
          <w:lang w:val="en"/>
        </w:rPr>
      </w:pPr>
      <w:r>
        <w:rPr>
          <w:rFonts w:ascii="Times New Roman" w:hAnsi="Times New Roman" w:cs="Times New Roman"/>
          <w:noProof/>
          <w:lang w:val="en"/>
        </w:rPr>
        <w:t>Public authorities regularly contract operators to provide services. These operators use their own vehicles. Under this measure, contracts for transport services other than public passenger transport would be added to the scope of the Directive</w:t>
      </w:r>
      <w:r>
        <w:rPr>
          <w:rFonts w:ascii="Times New Roman" w:hAnsi="Times New Roman" w:cs="Times New Roman"/>
          <w:noProof/>
        </w:rPr>
        <w:t xml:space="preserve">, following the thresholds of the horizontal public procurement law. Operators in charge of these contracts </w:t>
      </w:r>
      <w:r>
        <w:rPr>
          <w:rFonts w:ascii="Times New Roman" w:hAnsi="Times New Roman" w:cs="Times New Roman"/>
          <w:noProof/>
          <w:lang w:val="en"/>
        </w:rPr>
        <w:t xml:space="preserve">would need to be compatible with public authorities' requirements for the environmental performance of the vehicles they rent.  </w:t>
      </w:r>
    </w:p>
    <w:p w:rsidR="002E508F" w:rsidRDefault="005D0A03">
      <w:pPr>
        <w:spacing w:line="240" w:lineRule="auto"/>
        <w:jc w:val="both"/>
        <w:rPr>
          <w:rFonts w:ascii="Times New Roman" w:hAnsi="Times New Roman" w:cs="Times New Roman"/>
          <w:noProof/>
          <w:sz w:val="24"/>
          <w:szCs w:val="24"/>
        </w:rPr>
      </w:pPr>
      <w:r>
        <w:rPr>
          <w:rFonts w:ascii="Times New Roman" w:hAnsi="Times New Roman" w:cs="Times New Roman"/>
          <w:i/>
          <w:noProof/>
          <w:lang w:val="en"/>
        </w:rPr>
        <w:t xml:space="preserve">Comment: </w:t>
      </w:r>
      <w:r>
        <w:rPr>
          <w:rFonts w:ascii="Times New Roman" w:hAnsi="Times New Roman" w:cs="Times New Roman"/>
          <w:noProof/>
        </w:rPr>
        <w:t>Different services, including bus services, postal and courier services or waste collection services, could be included under this measure. The principle approach of such a scope extension received general support from a majority of respondents to the Open Public Consultation. The level of support differed among key target groups though. 55% of public authorities (12 out of 21) noted it to be very relevant, relevant or somewhat relevant as well as 90% of contracting authorities (9 out of 10). Contributions of companies (90%) and NGOs (79% (23 out of 29) also regarded this measure to be very relevant, relevant or somewhat relevant. In the targeted consultation, a few representatives of public authorities highlighted that contractual arrangements between public authorities and private operators are quite diverse and could be difficult to set up and monitor. They required a flexible approach that would be simple to implement.</w:t>
      </w:r>
      <w:r>
        <w:rPr>
          <w:rFonts w:ascii="Times New Roman" w:hAnsi="Times New Roman" w:cs="Times New Roman"/>
          <w:noProof/>
          <w:sz w:val="24"/>
          <w:szCs w:val="24"/>
        </w:rPr>
        <w:t xml:space="preserve"> </w:t>
      </w:r>
    </w:p>
    <w:p w:rsidR="002E508F" w:rsidRDefault="005D0A03">
      <w:pPr>
        <w:spacing w:line="240" w:lineRule="auto"/>
        <w:jc w:val="both"/>
        <w:rPr>
          <w:rFonts w:ascii="Times New Roman" w:hAnsi="Times New Roman" w:cs="Times New Roman"/>
          <w:noProof/>
          <w:lang w:val="en"/>
        </w:rPr>
      </w:pPr>
      <w:r>
        <w:rPr>
          <w:rFonts w:ascii="Times New Roman" w:hAnsi="Times New Roman" w:cs="Times New Roman"/>
          <w:noProof/>
          <w:lang w:val="en"/>
        </w:rPr>
        <w:t>Indeed, a challenge that could arise is that in many cases the suppliers of services provide the same services using the same vehicles to multiple purchasers, including businesses. Some services are often provided by SMEs, e.g. school transport services. Based on feedback during the consultation, it was concluded to keep the potential inclusion of bus, waste collection and postal/courier services for further analysis.</w:t>
      </w:r>
      <w:r>
        <w:rPr>
          <w:rStyle w:val="FootnoteReference"/>
          <w:rFonts w:ascii="Times New Roman" w:hAnsi="Times New Roman" w:cs="Times New Roman"/>
          <w:noProof/>
          <w:lang w:val="en"/>
        </w:rPr>
        <w:footnoteReference w:id="52"/>
      </w:r>
      <w:r>
        <w:rPr>
          <w:rFonts w:ascii="Times New Roman" w:hAnsi="Times New Roman" w:cs="Times New Roman"/>
          <w:noProof/>
          <w:lang w:val="en"/>
        </w:rPr>
        <w:t xml:space="preserve"> </w:t>
      </w:r>
      <w:r>
        <w:rPr>
          <w:rFonts w:ascii="Times New Roman" w:hAnsi="Times New Roman" w:cs="Times New Roman"/>
          <w:noProof/>
        </w:rPr>
        <w:t xml:space="preserve">Rather than setting an additional, separate, minimum requirement for transport services, the fleets of the relevant operators running services for public authorities should be included as part of overall minimum procurement requirement, if it was to be set up. </w:t>
      </w:r>
    </w:p>
    <w:p w:rsidR="002E508F" w:rsidRDefault="005D0A03">
      <w:pPr>
        <w:autoSpaceDE w:val="0"/>
        <w:autoSpaceDN w:val="0"/>
        <w:adjustRightInd w:val="0"/>
        <w:spacing w:line="240" w:lineRule="auto"/>
        <w:jc w:val="both"/>
        <w:rPr>
          <w:rFonts w:ascii="Times New Roman" w:hAnsi="Times New Roman" w:cs="Times New Roman"/>
          <w:noProof/>
          <w:lang w:val="en"/>
        </w:rPr>
      </w:pPr>
      <w:r>
        <w:rPr>
          <w:rFonts w:ascii="Times New Roman" w:hAnsi="Times New Roman" w:cs="Times New Roman"/>
          <w:i/>
          <w:noProof/>
          <w:lang w:val="en"/>
        </w:rPr>
        <w:t>Preliminary conclusion:</w:t>
      </w:r>
      <w:r>
        <w:rPr>
          <w:rFonts w:ascii="Times New Roman" w:hAnsi="Times New Roman" w:cs="Times New Roman"/>
          <w:noProof/>
          <w:lang w:val="en"/>
        </w:rPr>
        <w:t xml:space="preserve"> </w:t>
      </w:r>
      <w:r>
        <w:rPr>
          <w:rFonts w:ascii="Times New Roman" w:hAnsi="Times New Roman" w:cs="Times New Roman"/>
          <w:noProof/>
        </w:rPr>
        <w:t xml:space="preserve">Retain for analysis, because of its impact and broader support from key target groups. However, the measure should be confined to bus services, waste collection services and postal and courier services, as defined by their respective Common Procurement Vocabulary codes. These reflect the more significant services that involve transport that are procured by public authorities.  </w:t>
      </w:r>
    </w:p>
    <w:p w:rsidR="002E508F" w:rsidRDefault="005D0A03">
      <w:pPr>
        <w:autoSpaceDE w:val="0"/>
        <w:autoSpaceDN w:val="0"/>
        <w:adjustRightInd w:val="0"/>
        <w:spacing w:line="240" w:lineRule="auto"/>
        <w:jc w:val="both"/>
        <w:rPr>
          <w:rFonts w:ascii="Times New Roman" w:hAnsi="Times New Roman" w:cs="Times New Roman"/>
          <w:iCs/>
          <w:noProof/>
          <w:u w:val="single"/>
          <w:lang w:val="en"/>
        </w:rPr>
      </w:pPr>
      <w:r>
        <w:rPr>
          <w:rFonts w:ascii="Times New Roman" w:hAnsi="Times New Roman" w:cs="Times New Roman"/>
          <w:iCs/>
          <w:noProof/>
          <w:u w:val="single"/>
          <w:lang w:val="en"/>
        </w:rPr>
        <w:t>4. Extend the scope to all contracts that have a major transport element</w:t>
      </w:r>
    </w:p>
    <w:p w:rsidR="002E508F" w:rsidRDefault="005D0A03">
      <w:pPr>
        <w:autoSpaceDE w:val="0"/>
        <w:autoSpaceDN w:val="0"/>
        <w:adjustRightInd w:val="0"/>
        <w:spacing w:line="240" w:lineRule="auto"/>
        <w:jc w:val="both"/>
        <w:rPr>
          <w:rFonts w:ascii="Times New Roman" w:hAnsi="Times New Roman" w:cs="Times New Roman"/>
          <w:noProof/>
          <w:lang w:val="en"/>
        </w:rPr>
      </w:pPr>
      <w:r>
        <w:rPr>
          <w:rFonts w:ascii="Times New Roman" w:hAnsi="Times New Roman" w:cs="Times New Roman"/>
          <w:noProof/>
          <w:lang w:val="en"/>
        </w:rPr>
        <w:t xml:space="preserve">This policy measure would cover contracts with a ‘major transport element’, for example vehicles used as part of infrastructure contracts. Contractor fleets then would need to demonstrate that they are compatible with the overall minimum requirements as set up by the Clean Vehicles Directive. </w:t>
      </w:r>
    </w:p>
    <w:p w:rsidR="002E508F" w:rsidRDefault="005D0A03">
      <w:pPr>
        <w:spacing w:line="240" w:lineRule="auto"/>
        <w:jc w:val="both"/>
        <w:rPr>
          <w:rFonts w:ascii="Times New Roman" w:hAnsi="Times New Roman" w:cs="Times New Roman"/>
          <w:noProof/>
          <w:sz w:val="24"/>
          <w:szCs w:val="24"/>
        </w:rPr>
      </w:pPr>
      <w:r>
        <w:rPr>
          <w:rFonts w:ascii="Times New Roman" w:hAnsi="Times New Roman" w:cs="Times New Roman"/>
          <w:i/>
          <w:noProof/>
          <w:lang w:val="en"/>
        </w:rPr>
        <w:t xml:space="preserve">Comment: </w:t>
      </w:r>
      <w:r>
        <w:rPr>
          <w:rFonts w:ascii="Times New Roman" w:hAnsi="Times New Roman" w:cs="Times New Roman"/>
          <w:noProof/>
        </w:rPr>
        <w:t>This measure did not get a majority support from public authorities (47% (10 out of 21) in the Open Public Consultation. In the targeted consultations, experts from public authorities referred to the needs of clearly defining the elements of the contracts that will fall under the responsibility of this measure. There was stronger support from contracting authorities and NGOs where 70% (7 out of 10) and 72% (21 out of 29) noted this measure to be very relevant, relevant, somewhat relevant respectively. Respondents from companies also strongly supported this measure (67% or 25 out of 37 noted it as very relevant, relevant, somewhat relevant). However, close to every fifth respondent to the OPC noted "I do not know", underlining uncertainties about this measure.</w:t>
      </w:r>
      <w:r>
        <w:rPr>
          <w:rFonts w:ascii="Times New Roman" w:hAnsi="Times New Roman" w:cs="Times New Roman"/>
          <w:noProof/>
          <w:sz w:val="24"/>
          <w:szCs w:val="24"/>
        </w:rPr>
        <w:t xml:space="preserve">  </w:t>
      </w:r>
    </w:p>
    <w:p w:rsidR="002E508F" w:rsidRDefault="005D0A03">
      <w:pPr>
        <w:autoSpaceDE w:val="0"/>
        <w:autoSpaceDN w:val="0"/>
        <w:adjustRightInd w:val="0"/>
        <w:spacing w:line="240" w:lineRule="auto"/>
        <w:jc w:val="both"/>
        <w:rPr>
          <w:rFonts w:ascii="Times New Roman" w:hAnsi="Times New Roman" w:cs="Times New Roman"/>
          <w:noProof/>
          <w:lang w:val="en"/>
        </w:rPr>
      </w:pPr>
      <w:r>
        <w:rPr>
          <w:rFonts w:ascii="Times New Roman" w:hAnsi="Times New Roman" w:cs="Times New Roman"/>
          <w:noProof/>
          <w:lang w:val="en"/>
        </w:rPr>
        <w:t xml:space="preserve">This measure presents a number of challenges, not least in identifying how it might be applied in practice. One possibility is to set a definition of a major transport element, e.g. in proportion of contract value. It will need to differ by type of contract and conditions for transport components of a wide range of specific contracts will need to be set. The other possibility is to define the types of contracts with thresholds (such as for example construction, transport infrastructure, maintenance contracts, catering services). This would again require considering separate types of contracts. However, the main purpose of these contracts is not the purchase of road transport vehicles. </w:t>
      </w:r>
    </w:p>
    <w:p w:rsidR="002E508F" w:rsidRDefault="005D0A03">
      <w:pPr>
        <w:autoSpaceDE w:val="0"/>
        <w:autoSpaceDN w:val="0"/>
        <w:adjustRightInd w:val="0"/>
        <w:spacing w:line="240" w:lineRule="auto"/>
        <w:jc w:val="both"/>
        <w:rPr>
          <w:rFonts w:ascii="Times New Roman" w:hAnsi="Times New Roman" w:cs="Times New Roman"/>
          <w:b/>
          <w:noProof/>
          <w:lang w:val="en"/>
        </w:rPr>
      </w:pPr>
      <w:r>
        <w:rPr>
          <w:rFonts w:ascii="Times New Roman" w:hAnsi="Times New Roman" w:cs="Times New Roman"/>
          <w:i/>
          <w:noProof/>
          <w:lang w:val="en"/>
        </w:rPr>
        <w:t>Preliminary conclusion:</w:t>
      </w:r>
      <w:r>
        <w:rPr>
          <w:rFonts w:ascii="Times New Roman" w:hAnsi="Times New Roman" w:cs="Times New Roman"/>
          <w:noProof/>
          <w:lang w:val="en"/>
        </w:rPr>
        <w:t xml:space="preserve"> Discard, because the measure is increasing administrative burden and despite of its relevance, is not likely to get the necessary political support.    </w:t>
      </w:r>
    </w:p>
    <w:p w:rsidR="002E508F" w:rsidRDefault="005D0A03">
      <w:pPr>
        <w:pStyle w:val="Heading3"/>
        <w:rPr>
          <w:noProof/>
        </w:rPr>
      </w:pPr>
      <w:bookmarkStart w:id="31" w:name="_Toc497141488"/>
      <w:r>
        <w:rPr>
          <w:noProof/>
        </w:rPr>
        <w:t>Potential measures to ensure clear, impactful vehicle purchase provisions</w:t>
      </w:r>
      <w:bookmarkEnd w:id="31"/>
      <w:r>
        <w:rPr>
          <w:noProof/>
        </w:rPr>
        <w:t xml:space="preserve"> </w:t>
      </w:r>
    </w:p>
    <w:p w:rsidR="002E508F" w:rsidRDefault="005D0A03">
      <w:pPr>
        <w:autoSpaceDE w:val="0"/>
        <w:autoSpaceDN w:val="0"/>
        <w:adjustRightInd w:val="0"/>
        <w:spacing w:line="240" w:lineRule="auto"/>
        <w:jc w:val="both"/>
        <w:rPr>
          <w:rFonts w:ascii="Times New Roman" w:hAnsi="Times New Roman" w:cs="Times New Roman"/>
          <w:iCs/>
          <w:noProof/>
        </w:rPr>
      </w:pPr>
      <w:r>
        <w:rPr>
          <w:rFonts w:ascii="Times New Roman" w:hAnsi="Times New Roman" w:cs="Times New Roman"/>
          <w:iCs/>
          <w:noProof/>
        </w:rPr>
        <w:t>With regard to the vehicle purchase provisions of Art. 5 of the Clean Directive, two main measures were proposed, with sub-options for their alternative design:</w:t>
      </w:r>
    </w:p>
    <w:p w:rsidR="002E508F" w:rsidRDefault="005D0A03">
      <w:pPr>
        <w:autoSpaceDE w:val="0"/>
        <w:autoSpaceDN w:val="0"/>
        <w:adjustRightInd w:val="0"/>
        <w:spacing w:line="240" w:lineRule="auto"/>
        <w:jc w:val="both"/>
        <w:rPr>
          <w:rFonts w:ascii="Times New Roman" w:hAnsi="Times New Roman" w:cs="Times New Roman"/>
          <w:iCs/>
          <w:noProof/>
        </w:rPr>
      </w:pPr>
      <w:r>
        <w:rPr>
          <w:rFonts w:ascii="Times New Roman" w:hAnsi="Times New Roman" w:cs="Times New Roman"/>
          <w:iCs/>
          <w:noProof/>
        </w:rPr>
        <w:t xml:space="preserve">a) setting up a definition of a clean vehicle </w:t>
      </w:r>
    </w:p>
    <w:p w:rsidR="002E508F" w:rsidRDefault="005D0A03">
      <w:pPr>
        <w:autoSpaceDE w:val="0"/>
        <w:autoSpaceDN w:val="0"/>
        <w:adjustRightInd w:val="0"/>
        <w:spacing w:line="240" w:lineRule="auto"/>
        <w:jc w:val="both"/>
        <w:rPr>
          <w:rFonts w:ascii="Times New Roman" w:hAnsi="Times New Roman" w:cs="Times New Roman"/>
          <w:iCs/>
          <w:noProof/>
        </w:rPr>
      </w:pPr>
      <w:r>
        <w:rPr>
          <w:rFonts w:ascii="Times New Roman" w:hAnsi="Times New Roman" w:cs="Times New Roman"/>
          <w:iCs/>
          <w:noProof/>
        </w:rPr>
        <w:t xml:space="preserve">b) establishing related minimum action requirements. </w:t>
      </w:r>
    </w:p>
    <w:p w:rsidR="002E508F" w:rsidRDefault="005D0A03">
      <w:pPr>
        <w:autoSpaceDE w:val="0"/>
        <w:autoSpaceDN w:val="0"/>
        <w:adjustRightInd w:val="0"/>
        <w:spacing w:line="240" w:lineRule="auto"/>
        <w:jc w:val="both"/>
        <w:rPr>
          <w:rFonts w:ascii="Times New Roman" w:hAnsi="Times New Roman" w:cs="Times New Roman"/>
          <w:iCs/>
          <w:noProof/>
        </w:rPr>
      </w:pPr>
      <w:r>
        <w:rPr>
          <w:rFonts w:ascii="Times New Roman" w:hAnsi="Times New Roman" w:cs="Times New Roman"/>
          <w:iCs/>
          <w:noProof/>
        </w:rPr>
        <w:t xml:space="preserve">Those measures would require discarding the current vehicle purchase provisions of the Directive (Art 5 (3) (a) of Directive 2009/33/EC). The current provisions of Art. 5 (3) (b) would either be removed or kept, if a decision was taken to maintain the approach of using the monetisation methodology as a parallel choice option. </w:t>
      </w:r>
    </w:p>
    <w:p w:rsidR="002E508F" w:rsidRDefault="005D0A03">
      <w:pPr>
        <w:autoSpaceDE w:val="0"/>
        <w:autoSpaceDN w:val="0"/>
        <w:adjustRightInd w:val="0"/>
        <w:spacing w:line="240" w:lineRule="auto"/>
        <w:jc w:val="both"/>
        <w:rPr>
          <w:rFonts w:ascii="Times New Roman" w:hAnsi="Times New Roman" w:cs="Times New Roman"/>
          <w:iCs/>
          <w:noProof/>
        </w:rPr>
      </w:pPr>
      <w:r>
        <w:rPr>
          <w:rFonts w:ascii="Times New Roman" w:hAnsi="Times New Roman" w:cs="Times New Roman"/>
          <w:iCs/>
          <w:noProof/>
        </w:rPr>
        <w:t xml:space="preserve">In addition, measures were proposed to make the monetisation methodology more effective to use. </w:t>
      </w:r>
    </w:p>
    <w:p w:rsidR="002E508F" w:rsidRDefault="005D0A03">
      <w:pPr>
        <w:autoSpaceDE w:val="0"/>
        <w:autoSpaceDN w:val="0"/>
        <w:adjustRightInd w:val="0"/>
        <w:spacing w:line="240" w:lineRule="auto"/>
        <w:jc w:val="both"/>
        <w:rPr>
          <w:rFonts w:ascii="Times New Roman" w:hAnsi="Times New Roman" w:cs="Times New Roman"/>
          <w:iCs/>
          <w:noProof/>
        </w:rPr>
      </w:pPr>
      <w:r>
        <w:rPr>
          <w:rFonts w:ascii="Times New Roman" w:hAnsi="Times New Roman" w:cs="Times New Roman"/>
          <w:iCs/>
          <w:noProof/>
        </w:rPr>
        <w:t xml:space="preserve">Finally, a measure was proposed to focus the amended Directive only on heavy-duty vehicles and leave the market segment of light-duty vehicles to voluntary policy action. </w:t>
      </w:r>
    </w:p>
    <w:p w:rsidR="002E508F" w:rsidRDefault="005D0A03">
      <w:pPr>
        <w:pStyle w:val="Heading4"/>
        <w:rPr>
          <w:noProof/>
        </w:rPr>
      </w:pPr>
      <w:r>
        <w:rPr>
          <w:noProof/>
        </w:rPr>
        <w:t>Definition of a clean vehicle</w:t>
      </w:r>
    </w:p>
    <w:p w:rsidR="002E508F" w:rsidRDefault="005D0A03">
      <w:pPr>
        <w:autoSpaceDE w:val="0"/>
        <w:autoSpaceDN w:val="0"/>
        <w:adjustRightInd w:val="0"/>
        <w:spacing w:line="240" w:lineRule="auto"/>
        <w:jc w:val="both"/>
        <w:rPr>
          <w:rFonts w:ascii="Times New Roman" w:hAnsi="Times New Roman" w:cs="Times New Roman"/>
          <w:iCs/>
          <w:noProof/>
        </w:rPr>
      </w:pPr>
      <w:r>
        <w:rPr>
          <w:rFonts w:ascii="Times New Roman" w:hAnsi="Times New Roman" w:cs="Times New Roman"/>
          <w:iCs/>
          <w:noProof/>
        </w:rPr>
        <w:t>Defining a clean vehicle consists of two elements: the criteria to be used and the threshold to be applied. Six different approaches were discussed.</w:t>
      </w:r>
    </w:p>
    <w:p w:rsidR="002E508F" w:rsidRDefault="005D0A03">
      <w:pPr>
        <w:autoSpaceDE w:val="0"/>
        <w:autoSpaceDN w:val="0"/>
        <w:adjustRightInd w:val="0"/>
        <w:spacing w:line="240" w:lineRule="auto"/>
        <w:jc w:val="both"/>
        <w:rPr>
          <w:rFonts w:ascii="Times New Roman" w:hAnsi="Times New Roman" w:cs="Times New Roman"/>
          <w:iCs/>
          <w:noProof/>
          <w:u w:val="single"/>
        </w:rPr>
      </w:pPr>
      <w:r>
        <w:rPr>
          <w:rFonts w:ascii="Times New Roman" w:hAnsi="Times New Roman" w:cs="Times New Roman"/>
          <w:iCs/>
          <w:noProof/>
          <w:u w:val="single"/>
        </w:rPr>
        <w:t>1. Defining a clean vehicle on the basis of its CO</w:t>
      </w:r>
      <w:r>
        <w:rPr>
          <w:rFonts w:ascii="Times New Roman" w:hAnsi="Times New Roman" w:cs="Times New Roman"/>
          <w:iCs/>
          <w:noProof/>
          <w:u w:val="single"/>
          <w:vertAlign w:val="subscript"/>
        </w:rPr>
        <w:t>2</w:t>
      </w:r>
      <w:r>
        <w:rPr>
          <w:rFonts w:ascii="Times New Roman" w:hAnsi="Times New Roman" w:cs="Times New Roman"/>
          <w:iCs/>
          <w:noProof/>
          <w:u w:val="single"/>
        </w:rPr>
        <w:t xml:space="preserve"> tailpipe emissions</w:t>
      </w:r>
    </w:p>
    <w:p w:rsidR="002E508F" w:rsidRDefault="005D0A03">
      <w:pPr>
        <w:autoSpaceDE w:val="0"/>
        <w:autoSpaceDN w:val="0"/>
        <w:adjustRightInd w:val="0"/>
        <w:spacing w:line="240" w:lineRule="auto"/>
        <w:jc w:val="both"/>
        <w:rPr>
          <w:rFonts w:ascii="Times New Roman" w:hAnsi="Times New Roman" w:cs="Times New Roman"/>
          <w:iCs/>
          <w:noProof/>
        </w:rPr>
      </w:pPr>
      <w:r>
        <w:rPr>
          <w:rFonts w:ascii="Times New Roman" w:hAnsi="Times New Roman" w:cs="Times New Roman"/>
          <w:iCs/>
          <w:noProof/>
        </w:rPr>
        <w:t>Under this approach, vehicles below a threshold of CO</w:t>
      </w:r>
      <w:r>
        <w:rPr>
          <w:rFonts w:ascii="Times New Roman" w:hAnsi="Times New Roman" w:cs="Times New Roman"/>
          <w:iCs/>
          <w:noProof/>
          <w:vertAlign w:val="subscript"/>
        </w:rPr>
        <w:t xml:space="preserve">2 </w:t>
      </w:r>
      <w:r>
        <w:rPr>
          <w:rFonts w:ascii="Times New Roman" w:hAnsi="Times New Roman" w:cs="Times New Roman"/>
          <w:iCs/>
          <w:noProof/>
        </w:rPr>
        <w:t xml:space="preserve">tailpipe ("tank-to-wheel") emissions would be classified as clean. Varying the threshold from high to lower or zero emission can define the level of ambition. </w:t>
      </w:r>
    </w:p>
    <w:p w:rsidR="002E508F" w:rsidRDefault="005D0A03">
      <w:pPr>
        <w:autoSpaceDE w:val="0"/>
        <w:autoSpaceDN w:val="0"/>
        <w:adjustRightInd w:val="0"/>
        <w:spacing w:line="240" w:lineRule="auto"/>
        <w:jc w:val="both"/>
        <w:rPr>
          <w:rFonts w:ascii="Times New Roman" w:hAnsi="Times New Roman" w:cs="Times New Roman"/>
          <w:noProof/>
        </w:rPr>
      </w:pPr>
      <w:r>
        <w:rPr>
          <w:rFonts w:ascii="Times New Roman" w:hAnsi="Times New Roman" w:cs="Times New Roman"/>
          <w:i/>
          <w:iCs/>
          <w:noProof/>
        </w:rPr>
        <w:t xml:space="preserve">Comment: </w:t>
      </w:r>
      <w:r>
        <w:rPr>
          <w:rFonts w:ascii="Times New Roman" w:hAnsi="Times New Roman" w:cs="Times New Roman"/>
          <w:iCs/>
          <w:noProof/>
        </w:rPr>
        <w:t>this approach can be used without any problem for light duty vehicles.</w:t>
      </w:r>
      <w:r>
        <w:rPr>
          <w:rFonts w:ascii="Times New Roman" w:hAnsi="Times New Roman" w:cs="Times New Roman"/>
          <w:noProof/>
        </w:rPr>
        <w:t xml:space="preserve"> The level of ambition for publicly procured clean vehicles could be defined on the basis of the CO</w:t>
      </w:r>
      <w:r>
        <w:rPr>
          <w:rFonts w:ascii="Times New Roman" w:hAnsi="Times New Roman" w:cs="Times New Roman"/>
          <w:noProof/>
          <w:vertAlign w:val="subscript"/>
        </w:rPr>
        <w:t>2</w:t>
      </w:r>
      <w:r>
        <w:rPr>
          <w:rFonts w:ascii="Times New Roman" w:hAnsi="Times New Roman" w:cs="Times New Roman"/>
          <w:noProof/>
        </w:rPr>
        <w:t xml:space="preserve"> emission performance standards post-2020 for cars and vans. However, a mechanism to measure such emissions and related CO2 emission performance standards are still under development for heavy duty vehicles (HDVs) and buses</w:t>
      </w:r>
      <w:r>
        <w:rPr>
          <w:rStyle w:val="FootnoteReference"/>
          <w:rFonts w:ascii="Times New Roman" w:hAnsi="Times New Roman" w:cs="Times New Roman"/>
          <w:noProof/>
        </w:rPr>
        <w:footnoteReference w:id="53"/>
      </w:r>
      <w:r>
        <w:rPr>
          <w:rFonts w:ascii="Times New Roman" w:hAnsi="Times New Roman" w:cs="Times New Roman"/>
          <w:noProof/>
        </w:rPr>
        <w:t>. Standards for buses and for certain categories of trucks could be applicable from the early 2020s. In view of preparing a legislative proposal for the revision of the Directive, a specific CO</w:t>
      </w:r>
      <w:r>
        <w:rPr>
          <w:rFonts w:ascii="Times New Roman" w:hAnsi="Times New Roman" w:cs="Times New Roman"/>
          <w:noProof/>
          <w:vertAlign w:val="subscript"/>
        </w:rPr>
        <w:t>2</w:t>
      </w:r>
      <w:r>
        <w:rPr>
          <w:rFonts w:ascii="Times New Roman" w:hAnsi="Times New Roman" w:cs="Times New Roman"/>
          <w:noProof/>
        </w:rPr>
        <w:t xml:space="preserve"> emission threshold for HDVs could not be set, but would need to be delayed to a later stage, when the respective emission profiles and related overall emission performance standards have been set. It could then be adopted through a delegated procedure.  </w:t>
      </w:r>
    </w:p>
    <w:p w:rsidR="002E508F" w:rsidRDefault="005D0A03">
      <w:pPr>
        <w:autoSpaceDE w:val="0"/>
        <w:autoSpaceDN w:val="0"/>
        <w:adjustRightInd w:val="0"/>
        <w:spacing w:line="240" w:lineRule="auto"/>
        <w:jc w:val="both"/>
        <w:rPr>
          <w:rFonts w:ascii="Times New Roman" w:hAnsi="Times New Roman" w:cs="Times New Roman"/>
          <w:noProof/>
        </w:rPr>
      </w:pPr>
      <w:r>
        <w:rPr>
          <w:rFonts w:ascii="Times New Roman" w:hAnsi="Times New Roman" w:cs="Times New Roman"/>
          <w:noProof/>
        </w:rPr>
        <w:t xml:space="preserve">There were concerns in the Open Public Consultation that this approach will not adequately cover the totality of emissions that occur during the production of the energy or fuel that is used to power the vehicle. Around 50% of respondents (n=129) noted this approach to be not or somewhat adequate. However, the Clean Vehicles Directive concerns the purchase of road vehicles. Requiring public authorities to take into account both the vehicle and the fuel or electricity/source concerned could add to administrative burden, while adding problems of monitoring actual implementation. </w:t>
      </w:r>
    </w:p>
    <w:p w:rsidR="002E508F" w:rsidRDefault="005D0A03">
      <w:pPr>
        <w:autoSpaceDE w:val="0"/>
        <w:autoSpaceDN w:val="0"/>
        <w:adjustRightInd w:val="0"/>
        <w:spacing w:line="240" w:lineRule="auto"/>
        <w:jc w:val="both"/>
        <w:rPr>
          <w:rFonts w:ascii="Times New Roman" w:hAnsi="Times New Roman" w:cs="Times New Roman"/>
          <w:noProof/>
        </w:rPr>
      </w:pPr>
      <w:r>
        <w:rPr>
          <w:rFonts w:ascii="Times New Roman" w:hAnsi="Times New Roman" w:cs="Times New Roman"/>
          <w:i/>
          <w:noProof/>
        </w:rPr>
        <w:t>Preliminary conclusion:</w:t>
      </w:r>
      <w:r>
        <w:rPr>
          <w:rFonts w:ascii="Times New Roman" w:hAnsi="Times New Roman" w:cs="Times New Roman"/>
          <w:i/>
          <w:noProof/>
          <w:u w:val="single"/>
        </w:rPr>
        <w:t xml:space="preserve"> </w:t>
      </w:r>
      <w:r>
        <w:rPr>
          <w:rFonts w:ascii="Times New Roman" w:hAnsi="Times New Roman" w:cs="Times New Roman"/>
          <w:noProof/>
        </w:rPr>
        <w:t>retained for further analysis, because of feasibility for cars and vans and coherence with other policy initiatives. The combination of CO</w:t>
      </w:r>
      <w:r>
        <w:rPr>
          <w:rFonts w:ascii="Times New Roman" w:hAnsi="Times New Roman" w:cs="Times New Roman"/>
          <w:noProof/>
          <w:vertAlign w:val="subscript"/>
        </w:rPr>
        <w:t>2</w:t>
      </w:r>
      <w:r>
        <w:rPr>
          <w:rFonts w:ascii="Times New Roman" w:hAnsi="Times New Roman" w:cs="Times New Roman"/>
          <w:noProof/>
        </w:rPr>
        <w:t xml:space="preserve"> emissions with air pollutant emissions should be analysed.   </w:t>
      </w:r>
    </w:p>
    <w:p w:rsidR="002E508F" w:rsidRDefault="005D0A03">
      <w:pPr>
        <w:autoSpaceDE w:val="0"/>
        <w:autoSpaceDN w:val="0"/>
        <w:adjustRightInd w:val="0"/>
        <w:spacing w:line="240" w:lineRule="auto"/>
        <w:jc w:val="both"/>
        <w:rPr>
          <w:rFonts w:ascii="Times New Roman" w:hAnsi="Times New Roman" w:cs="Times New Roman"/>
          <w:iCs/>
          <w:noProof/>
          <w:u w:val="single"/>
        </w:rPr>
      </w:pPr>
      <w:r>
        <w:rPr>
          <w:rFonts w:ascii="Times New Roman" w:hAnsi="Times New Roman" w:cs="Times New Roman"/>
          <w:iCs/>
          <w:noProof/>
          <w:u w:val="single"/>
        </w:rPr>
        <w:t>2. Defining a clean vehicle on the basis of its CO</w:t>
      </w:r>
      <w:r>
        <w:rPr>
          <w:rFonts w:ascii="Times New Roman" w:hAnsi="Times New Roman" w:cs="Times New Roman"/>
          <w:iCs/>
          <w:noProof/>
          <w:u w:val="single"/>
          <w:vertAlign w:val="subscript"/>
        </w:rPr>
        <w:t>2</w:t>
      </w:r>
      <w:r>
        <w:rPr>
          <w:rFonts w:ascii="Times New Roman" w:hAnsi="Times New Roman" w:cs="Times New Roman"/>
          <w:iCs/>
          <w:noProof/>
          <w:u w:val="single"/>
        </w:rPr>
        <w:t xml:space="preserve"> life-cycle emissions</w:t>
      </w:r>
    </w:p>
    <w:p w:rsidR="002E508F" w:rsidRDefault="005D0A03">
      <w:pPr>
        <w:jc w:val="both"/>
        <w:rPr>
          <w:rFonts w:ascii="Times New Roman" w:hAnsi="Times New Roman" w:cs="Times New Roman"/>
          <w:noProof/>
        </w:rPr>
      </w:pPr>
      <w:r>
        <w:rPr>
          <w:rFonts w:ascii="Times New Roman" w:hAnsi="Times New Roman" w:cs="Times New Roman"/>
          <w:noProof/>
        </w:rPr>
        <w:t xml:space="preserve">Under this approach, </w:t>
      </w:r>
      <w:r>
        <w:rPr>
          <w:rFonts w:ascii="Times New Roman" w:hAnsi="Times New Roman" w:cs="Times New Roman"/>
          <w:iCs/>
          <w:noProof/>
        </w:rPr>
        <w:t>vehicles below a threshold of life-cycle ("well-to-wheel", in the following: WTT) CO</w:t>
      </w:r>
      <w:r>
        <w:rPr>
          <w:rFonts w:ascii="Times New Roman" w:hAnsi="Times New Roman" w:cs="Times New Roman"/>
          <w:iCs/>
          <w:noProof/>
          <w:vertAlign w:val="subscript"/>
        </w:rPr>
        <w:t>2</w:t>
      </w:r>
      <w:r>
        <w:rPr>
          <w:rFonts w:ascii="Times New Roman" w:hAnsi="Times New Roman" w:cs="Times New Roman"/>
          <w:iCs/>
          <w:noProof/>
        </w:rPr>
        <w:t xml:space="preserve"> emissions would be classified as clean. Varying the threshold from high to low or zero emission can define the level of ambition.</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Comment:</w:t>
      </w:r>
      <w:r>
        <w:rPr>
          <w:rFonts w:ascii="Times New Roman" w:hAnsi="Times New Roman" w:cs="Times New Roman"/>
          <w:noProof/>
        </w:rPr>
        <w:t xml:space="preserve"> The feasibility of setting emission thresholds for LDVs and HDVs is the same as it is for the tailpipe emissions approach. However, there are several additional complications to the setting of WTT-based thresholds in the context of the Directive. Factors for each vehicle and fuel type would need to be set. Potential factors already exist in the amendments to the Fuel Quality Directive (2009/30/EC) and the Renewable Energy Directive (2009/28/EC) for biofuels and biogases and their fossil fuel alternatives. But factors to be used for electricity or hydrogen would require considerable discussion in the absence of a methodology fully consolidated with all stakeholders.  Problems could arise whether upstream emissions have to be counted as emissions of the energy or of the transport sector and how they would be counted under the different policy requirements for the sectors. A WTT-approach is also not the basis for the approach to setting CO</w:t>
      </w:r>
      <w:r>
        <w:rPr>
          <w:rFonts w:ascii="Times New Roman" w:hAnsi="Times New Roman" w:cs="Times New Roman"/>
          <w:noProof/>
          <w:vertAlign w:val="subscript"/>
        </w:rPr>
        <w:t>2</w:t>
      </w:r>
      <w:r>
        <w:rPr>
          <w:rFonts w:ascii="Times New Roman" w:hAnsi="Times New Roman" w:cs="Times New Roman"/>
          <w:noProof/>
        </w:rPr>
        <w:t xml:space="preserve"> emission performance standards for cars and vehicles. Its adoption as part of the Directive would increase policy fragmentation; and its legislative adoption could risk presenting values that are already challenged by the time of transposition.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Considerations about the complexity of the approach and its applicability in the legislative context speak against its use. The prospects of broad-scale political support appear non-certain. A majority of respondents to the Public Consultation for this Impact Assessment regarded this measure as adequate (61% (n=122), but only a slight majority of respondents from the public authorities (52% (11 out of 21). Of the contracting authorities, a majority rejected the adequacy of the approach (6 out of 10).  </w:t>
      </w:r>
    </w:p>
    <w:p w:rsidR="002E508F" w:rsidRDefault="005D0A03">
      <w:pPr>
        <w:jc w:val="both"/>
        <w:rPr>
          <w:rFonts w:ascii="Times New Roman" w:hAnsi="Times New Roman" w:cs="Times New Roman"/>
          <w:noProof/>
        </w:rPr>
      </w:pPr>
      <w:r>
        <w:rPr>
          <w:rFonts w:ascii="Times New Roman" w:hAnsi="Times New Roman" w:cs="Times New Roman"/>
          <w:i/>
          <w:noProof/>
        </w:rPr>
        <w:t xml:space="preserve">Preliminary conclusions: </w:t>
      </w:r>
      <w:r>
        <w:rPr>
          <w:rFonts w:ascii="Times New Roman" w:hAnsi="Times New Roman" w:cs="Times New Roman"/>
          <w:noProof/>
        </w:rPr>
        <w:t xml:space="preserve">Discarded for further analysis, because of consideration of feasibility and anticipated difficulties with political support.  </w:t>
      </w:r>
    </w:p>
    <w:p w:rsidR="002E508F" w:rsidRDefault="005D0A03">
      <w:pPr>
        <w:rPr>
          <w:rFonts w:ascii="Times New Roman" w:hAnsi="Times New Roman" w:cs="Times New Roman"/>
          <w:iCs/>
          <w:noProof/>
          <w:u w:val="single"/>
        </w:rPr>
      </w:pPr>
      <w:r>
        <w:rPr>
          <w:rFonts w:ascii="Times New Roman" w:hAnsi="Times New Roman" w:cs="Times New Roman"/>
          <w:iCs/>
          <w:noProof/>
          <w:u w:val="single"/>
        </w:rPr>
        <w:t>3. Defining a clean vehicle on the basis of its air pollutant emissions</w:t>
      </w:r>
    </w:p>
    <w:p w:rsidR="002E508F" w:rsidRDefault="005D0A03">
      <w:pPr>
        <w:autoSpaceDE w:val="0"/>
        <w:autoSpaceDN w:val="0"/>
        <w:adjustRightInd w:val="0"/>
        <w:spacing w:line="240" w:lineRule="auto"/>
        <w:jc w:val="both"/>
        <w:rPr>
          <w:rFonts w:ascii="Times New Roman" w:hAnsi="Times New Roman" w:cs="Times New Roman"/>
          <w:iCs/>
          <w:noProof/>
        </w:rPr>
      </w:pPr>
      <w:r>
        <w:rPr>
          <w:rFonts w:ascii="Times New Roman" w:hAnsi="Times New Roman" w:cs="Times New Roman"/>
          <w:iCs/>
          <w:noProof/>
        </w:rPr>
        <w:t>Under this approach, clean vehicles could be defined as vehicles below a specific threshold of air pollutants, in relation to RDE values included in the certificates of conformity of vehicles.</w:t>
      </w:r>
    </w:p>
    <w:p w:rsidR="002E508F" w:rsidRDefault="005D0A03">
      <w:pPr>
        <w:autoSpaceDE w:val="0"/>
        <w:autoSpaceDN w:val="0"/>
        <w:adjustRightInd w:val="0"/>
        <w:spacing w:line="240" w:lineRule="auto"/>
        <w:jc w:val="both"/>
        <w:rPr>
          <w:rFonts w:ascii="Times New Roman" w:hAnsi="Times New Roman" w:cs="Times New Roman"/>
          <w:noProof/>
        </w:rPr>
      </w:pPr>
      <w:r>
        <w:rPr>
          <w:rFonts w:ascii="Times New Roman" w:hAnsi="Times New Roman" w:cs="Times New Roman"/>
          <w:i/>
          <w:iCs/>
          <w:noProof/>
        </w:rPr>
        <w:t>Comment:</w:t>
      </w:r>
      <w:r>
        <w:rPr>
          <w:rFonts w:ascii="Times New Roman" w:hAnsi="Times New Roman" w:cs="Times New Roman"/>
          <w:i/>
          <w:iCs/>
          <w:noProof/>
          <w:u w:val="single"/>
        </w:rPr>
        <w:t xml:space="preserve"> </w:t>
      </w:r>
      <w:r>
        <w:rPr>
          <w:rFonts w:ascii="Times New Roman" w:hAnsi="Times New Roman" w:cs="Times New Roman"/>
          <w:iCs/>
          <w:noProof/>
        </w:rPr>
        <w:t xml:space="preserve">this approach can be used without any problem for cars and vans. </w:t>
      </w:r>
      <w:r>
        <w:rPr>
          <w:rFonts w:ascii="Times New Roman" w:hAnsi="Times New Roman" w:cs="Times New Roman"/>
          <w:noProof/>
        </w:rPr>
        <w:t xml:space="preserve">By 2021, all new cars and LCVs will have to meet the RDE Euro standards (all new cars to be no more than 50% above Euro 6 standards). The actual values of certain air pollutants will be included on the certificates of conformity of vehicles. These could be used to further define a clean vehicle – but only for cars and LCVs – in the context of the revised Directive. Any threshold would need to go beyond RDE to generate additional impact and could require real-world compliance with Euro 6, or beyond. Going beyond the legislative requirements could yield questions as to the proportionality of the measure. For buses and trucks, the Euro VI emission standards already deliver emissions reductions in the real world. Such requirement would not yield improvements; any threshold would need to exceed Euro VI, where the future development is not clear. This measure got broad support during the Open Public Consultation (75% agreed (n=122), with broad support among from all target groups.  </w:t>
      </w:r>
    </w:p>
    <w:p w:rsidR="002E508F" w:rsidRDefault="005D0A03">
      <w:pPr>
        <w:autoSpaceDE w:val="0"/>
        <w:autoSpaceDN w:val="0"/>
        <w:adjustRightInd w:val="0"/>
        <w:spacing w:line="240" w:lineRule="auto"/>
        <w:jc w:val="both"/>
        <w:rPr>
          <w:rFonts w:ascii="Times New Roman" w:hAnsi="Times New Roman" w:cs="Times New Roman"/>
          <w:i/>
          <w:iCs/>
          <w:noProof/>
          <w:u w:val="single"/>
        </w:rPr>
      </w:pPr>
      <w:r>
        <w:rPr>
          <w:rFonts w:ascii="Times New Roman" w:hAnsi="Times New Roman" w:cs="Times New Roman"/>
          <w:i/>
          <w:noProof/>
        </w:rPr>
        <w:t>Preliminary conclusion</w:t>
      </w:r>
      <w:r>
        <w:rPr>
          <w:rFonts w:ascii="Times New Roman" w:hAnsi="Times New Roman" w:cs="Times New Roman"/>
          <w:noProof/>
        </w:rPr>
        <w:t>: retain for analysis, in spite of the shortcoming for heavy-duty vehicles. The combination of air pollutants with CO2 emissions for cars and vans should be analysed.</w:t>
      </w:r>
    </w:p>
    <w:p w:rsidR="002E508F" w:rsidRDefault="005D0A03">
      <w:pPr>
        <w:autoSpaceDE w:val="0"/>
        <w:autoSpaceDN w:val="0"/>
        <w:adjustRightInd w:val="0"/>
        <w:spacing w:line="240" w:lineRule="auto"/>
        <w:jc w:val="both"/>
        <w:rPr>
          <w:rFonts w:ascii="Times New Roman" w:hAnsi="Times New Roman" w:cs="Times New Roman"/>
          <w:iCs/>
          <w:noProof/>
          <w:u w:val="single"/>
        </w:rPr>
      </w:pPr>
      <w:r>
        <w:rPr>
          <w:rFonts w:ascii="Times New Roman" w:hAnsi="Times New Roman" w:cs="Times New Roman"/>
          <w:iCs/>
          <w:noProof/>
          <w:u w:val="single"/>
        </w:rPr>
        <w:t>4. Defining a clean vehicle on the basis of a wider set of environmental criteria</w:t>
      </w:r>
    </w:p>
    <w:p w:rsidR="002E508F" w:rsidRDefault="005D0A03">
      <w:pPr>
        <w:autoSpaceDE w:val="0"/>
        <w:autoSpaceDN w:val="0"/>
        <w:adjustRightInd w:val="0"/>
        <w:spacing w:line="240" w:lineRule="auto"/>
        <w:jc w:val="both"/>
        <w:rPr>
          <w:rFonts w:ascii="Times New Roman" w:hAnsi="Times New Roman" w:cs="Times New Roman"/>
          <w:iCs/>
          <w:noProof/>
        </w:rPr>
      </w:pPr>
      <w:r>
        <w:rPr>
          <w:rFonts w:ascii="Times New Roman" w:hAnsi="Times New Roman" w:cs="Times New Roman"/>
          <w:iCs/>
          <w:noProof/>
        </w:rPr>
        <w:t>Under this approach, clean vehicles would be defined with regard to a broader set of environmental criteria following the Green Public Procurement core criteria for transport of the European Commission.</w:t>
      </w:r>
      <w:r>
        <w:rPr>
          <w:rStyle w:val="FootnoteReference"/>
          <w:rFonts w:ascii="Times New Roman" w:hAnsi="Times New Roman" w:cs="Times New Roman"/>
          <w:iCs/>
          <w:noProof/>
        </w:rPr>
        <w:footnoteReference w:id="54"/>
      </w:r>
      <w:r>
        <w:rPr>
          <w:rFonts w:ascii="Times New Roman" w:hAnsi="Times New Roman" w:cs="Times New Roman"/>
          <w:iCs/>
          <w:noProof/>
        </w:rPr>
        <w:t xml:space="preserve"> These would add vehicle noise and potentially other pollutant emissions. </w:t>
      </w:r>
    </w:p>
    <w:p w:rsidR="002E508F" w:rsidRDefault="005D0A03">
      <w:pPr>
        <w:autoSpaceDE w:val="0"/>
        <w:autoSpaceDN w:val="0"/>
        <w:adjustRightInd w:val="0"/>
        <w:spacing w:line="240" w:lineRule="auto"/>
        <w:jc w:val="both"/>
        <w:rPr>
          <w:rFonts w:ascii="Times New Roman" w:hAnsi="Times New Roman" w:cs="Times New Roman"/>
          <w:iCs/>
          <w:noProof/>
        </w:rPr>
      </w:pPr>
      <w:r>
        <w:rPr>
          <w:rFonts w:ascii="Times New Roman" w:hAnsi="Times New Roman" w:cs="Times New Roman"/>
          <w:i/>
          <w:iCs/>
          <w:noProof/>
        </w:rPr>
        <w:t>Comment:</w:t>
      </w:r>
      <w:r>
        <w:rPr>
          <w:rFonts w:ascii="Times New Roman" w:hAnsi="Times New Roman" w:cs="Times New Roman"/>
          <w:iCs/>
          <w:noProof/>
        </w:rPr>
        <w:t xml:space="preserve"> In principle, this approach would broaden the scope of current environmental and energy impacts under the Directive, as the core set of Green Public Procurement (GPP) transport criteria focus also on all exhaust emissions, eco-driving and award additional points to the use of alternative fuels and noise reduction. Particularly adding the element of noise puts up a challenge:  the </w:t>
      </w:r>
      <w:r>
        <w:rPr>
          <w:rFonts w:ascii="Times New Roman" w:hAnsi="Times New Roman" w:cs="Times New Roman"/>
          <w:noProof/>
          <w:szCs w:val="20"/>
        </w:rPr>
        <w:t xml:space="preserve">reduction potential in marginal noise damage costs is difficult to assess as it is context-dependent on the number and level of noise emissions of the other surrounding vehicles. </w:t>
      </w:r>
      <w:r>
        <w:rPr>
          <w:rFonts w:ascii="Times New Roman" w:hAnsi="Times New Roman" w:cs="Times New Roman"/>
          <w:noProof/>
        </w:rPr>
        <w:t>There is currently no widely agreed set of vehicle-noise related damage cost data available, making a legislative approach on a European level difficult</w:t>
      </w:r>
      <w:r>
        <w:rPr>
          <w:rFonts w:ascii="Times New Roman" w:hAnsi="Times New Roman" w:cs="Times New Roman"/>
          <w:iCs/>
          <w:noProof/>
        </w:rPr>
        <w:t xml:space="preserve">. The voluntary GPP criteria are also designed to provide a more ambitious approach, supporting those authorities that want to go beyond the mandatory minimum requirements of the Directive. The interplay of a mandatory minimum level for all public bodies and of a voluntary policy framework to orient further-going ambition should be kept in place. </w:t>
      </w:r>
    </w:p>
    <w:p w:rsidR="002E508F" w:rsidRDefault="005D0A03">
      <w:pPr>
        <w:autoSpaceDE w:val="0"/>
        <w:autoSpaceDN w:val="0"/>
        <w:adjustRightInd w:val="0"/>
        <w:spacing w:line="240" w:lineRule="auto"/>
        <w:jc w:val="both"/>
        <w:rPr>
          <w:rFonts w:ascii="Times New Roman" w:hAnsi="Times New Roman" w:cs="Times New Roman"/>
          <w:i/>
          <w:iCs/>
          <w:noProof/>
          <w:u w:val="single"/>
        </w:rPr>
      </w:pPr>
      <w:r>
        <w:rPr>
          <w:rFonts w:ascii="Times New Roman" w:hAnsi="Times New Roman" w:cs="Times New Roman"/>
          <w:i/>
          <w:noProof/>
        </w:rPr>
        <w:t>Preliminary conclusion</w:t>
      </w:r>
      <w:r>
        <w:rPr>
          <w:rFonts w:ascii="Times New Roman" w:hAnsi="Times New Roman" w:cs="Times New Roman"/>
          <w:noProof/>
        </w:rPr>
        <w:t xml:space="preserve">: discarded, because of problems with availability of information and particularly the challenge of noise. </w:t>
      </w:r>
    </w:p>
    <w:p w:rsidR="002E508F" w:rsidRDefault="005D0A03">
      <w:pPr>
        <w:autoSpaceDE w:val="0"/>
        <w:autoSpaceDN w:val="0"/>
        <w:adjustRightInd w:val="0"/>
        <w:spacing w:line="240" w:lineRule="auto"/>
        <w:jc w:val="both"/>
        <w:rPr>
          <w:rFonts w:ascii="Times New Roman" w:hAnsi="Times New Roman" w:cs="Times New Roman"/>
          <w:iCs/>
          <w:noProof/>
          <w:u w:val="single"/>
        </w:rPr>
      </w:pPr>
      <w:r>
        <w:rPr>
          <w:rFonts w:ascii="Times New Roman" w:hAnsi="Times New Roman" w:cs="Times New Roman"/>
          <w:iCs/>
          <w:noProof/>
          <w:u w:val="single"/>
        </w:rPr>
        <w:t>5. Defining a clean vehicle on the basis of its use of an alternative fuel</w:t>
      </w:r>
      <w:r>
        <w:rPr>
          <w:rStyle w:val="FootnoteReference"/>
          <w:rFonts w:ascii="Times New Roman" w:hAnsi="Times New Roman" w:cs="Times New Roman"/>
          <w:iCs/>
          <w:noProof/>
          <w:u w:val="single"/>
        </w:rPr>
        <w:footnoteReference w:id="55"/>
      </w:r>
    </w:p>
    <w:p w:rsidR="002E508F" w:rsidRDefault="005D0A03">
      <w:pPr>
        <w:autoSpaceDE w:val="0"/>
        <w:autoSpaceDN w:val="0"/>
        <w:adjustRightInd w:val="0"/>
        <w:spacing w:line="240" w:lineRule="auto"/>
        <w:jc w:val="both"/>
        <w:rPr>
          <w:rFonts w:ascii="Times New Roman" w:hAnsi="Times New Roman" w:cs="Times New Roman"/>
          <w:iCs/>
          <w:noProof/>
        </w:rPr>
      </w:pPr>
      <w:r>
        <w:rPr>
          <w:rFonts w:ascii="Times New Roman" w:hAnsi="Times New Roman" w:cs="Times New Roman"/>
          <w:iCs/>
          <w:noProof/>
        </w:rPr>
        <w:t xml:space="preserve">Under this approach, a clean vehicle would be defined as a vehicle using an alternative fuel. </w:t>
      </w:r>
    </w:p>
    <w:p w:rsidR="002E508F" w:rsidRDefault="005D0A03">
      <w:pPr>
        <w:autoSpaceDE w:val="0"/>
        <w:autoSpaceDN w:val="0"/>
        <w:adjustRightInd w:val="0"/>
        <w:spacing w:line="240" w:lineRule="auto"/>
        <w:jc w:val="both"/>
        <w:rPr>
          <w:rFonts w:ascii="Times New Roman" w:hAnsi="Times New Roman" w:cs="Times New Roman"/>
          <w:iCs/>
          <w:noProof/>
        </w:rPr>
      </w:pPr>
      <w:r>
        <w:rPr>
          <w:rFonts w:ascii="Times New Roman" w:hAnsi="Times New Roman" w:cs="Times New Roman"/>
          <w:i/>
          <w:iCs/>
          <w:noProof/>
        </w:rPr>
        <w:t xml:space="preserve">Comment: </w:t>
      </w:r>
      <w:r>
        <w:rPr>
          <w:rFonts w:ascii="Times New Roman" w:hAnsi="Times New Roman" w:cs="Times New Roman"/>
          <w:iCs/>
          <w:noProof/>
        </w:rPr>
        <w:t xml:space="preserve">this approach is applicable to all market segments of passenger cars, vans, trucks and buses. An applicable legal definition exists with Art. 2 of Directive 2014/94/EU on alternative fuels infrastructure. Member States are implementing the Directive, and hence there is clarity about the type of vehicles that fall under the remit of the Directive. There is no need for defining an entry threshold. As part of the Open Public Consultation, a slight majority (52%, (n=122) considered this measure adequate, including also a slight majority of public authorities (52% (11 out of 21). </w:t>
      </w:r>
    </w:p>
    <w:p w:rsidR="002E508F" w:rsidRDefault="005D0A03">
      <w:pPr>
        <w:autoSpaceDE w:val="0"/>
        <w:autoSpaceDN w:val="0"/>
        <w:adjustRightInd w:val="0"/>
        <w:spacing w:line="240" w:lineRule="auto"/>
        <w:jc w:val="both"/>
        <w:rPr>
          <w:rFonts w:ascii="Times New Roman" w:hAnsi="Times New Roman" w:cs="Times New Roman"/>
          <w:i/>
          <w:iCs/>
          <w:noProof/>
          <w:u w:val="single"/>
        </w:rPr>
      </w:pPr>
      <w:r>
        <w:rPr>
          <w:rFonts w:ascii="Times New Roman" w:hAnsi="Times New Roman" w:cs="Times New Roman"/>
          <w:i/>
          <w:noProof/>
        </w:rPr>
        <w:t>Preliminary conclusion</w:t>
      </w:r>
      <w:r>
        <w:rPr>
          <w:rFonts w:ascii="Times New Roman" w:hAnsi="Times New Roman" w:cs="Times New Roman"/>
          <w:noProof/>
        </w:rPr>
        <w:t xml:space="preserve">: Retain for analysis, in view of its practical relevance for all market impacts, and principal support from the public consultation. </w:t>
      </w:r>
    </w:p>
    <w:p w:rsidR="002E508F" w:rsidRDefault="005D0A03">
      <w:pPr>
        <w:autoSpaceDE w:val="0"/>
        <w:autoSpaceDN w:val="0"/>
        <w:adjustRightInd w:val="0"/>
        <w:spacing w:line="240" w:lineRule="auto"/>
        <w:jc w:val="both"/>
        <w:rPr>
          <w:rFonts w:ascii="Times New Roman" w:hAnsi="Times New Roman" w:cs="Times New Roman"/>
          <w:iCs/>
          <w:noProof/>
          <w:u w:val="single"/>
        </w:rPr>
      </w:pPr>
      <w:r>
        <w:rPr>
          <w:rFonts w:ascii="Times New Roman" w:hAnsi="Times New Roman" w:cs="Times New Roman"/>
          <w:iCs/>
          <w:noProof/>
          <w:u w:val="single"/>
        </w:rPr>
        <w:t xml:space="preserve">6.  Defining a clean vehicle as a vehicle with zero-tailpipe emissions. </w:t>
      </w:r>
    </w:p>
    <w:p w:rsidR="002E508F" w:rsidRDefault="005D0A03">
      <w:pPr>
        <w:autoSpaceDE w:val="0"/>
        <w:autoSpaceDN w:val="0"/>
        <w:adjustRightInd w:val="0"/>
        <w:spacing w:line="240" w:lineRule="auto"/>
        <w:jc w:val="both"/>
        <w:rPr>
          <w:rFonts w:ascii="Times New Roman" w:hAnsi="Times New Roman" w:cs="Times New Roman"/>
          <w:iCs/>
          <w:noProof/>
        </w:rPr>
      </w:pPr>
      <w:r>
        <w:rPr>
          <w:rFonts w:ascii="Times New Roman" w:hAnsi="Times New Roman" w:cs="Times New Roman"/>
          <w:iCs/>
          <w:noProof/>
        </w:rPr>
        <w:t xml:space="preserve">Under this approach, clean vehicles would be defined as vehicles that have no tailpipe emissions. </w:t>
      </w:r>
    </w:p>
    <w:p w:rsidR="002E508F" w:rsidRDefault="005D0A03">
      <w:pPr>
        <w:autoSpaceDE w:val="0"/>
        <w:autoSpaceDN w:val="0"/>
        <w:adjustRightInd w:val="0"/>
        <w:spacing w:line="240" w:lineRule="auto"/>
        <w:jc w:val="both"/>
        <w:rPr>
          <w:noProof/>
        </w:rPr>
      </w:pPr>
      <w:r>
        <w:rPr>
          <w:rFonts w:ascii="Times New Roman" w:hAnsi="Times New Roman" w:cs="Times New Roman"/>
          <w:i/>
          <w:iCs/>
          <w:noProof/>
          <w:lang w:val="en"/>
        </w:rPr>
        <w:t>Comment:</w:t>
      </w:r>
      <w:r>
        <w:rPr>
          <w:rFonts w:ascii="Times New Roman" w:hAnsi="Times New Roman" w:cs="Times New Roman"/>
          <w:iCs/>
          <w:noProof/>
          <w:lang w:val="en"/>
        </w:rPr>
        <w:t xml:space="preserve"> this approach can be used without any problems for cars, vans, trucks and buses; the technologies that fit this approach are mainly battery-electric and fuel-cell electric vehicles. Concerns raised in the public consultation and in expert interviews about a definition based solely on tailpipe zero-emissions concerns limits to the choice of technologies and higher cost to authorities,</w:t>
      </w:r>
      <w:r>
        <w:rPr>
          <w:rFonts w:ascii="Times New Roman" w:hAnsi="Times New Roman" w:cs="Times New Roman"/>
          <w:noProof/>
        </w:rPr>
        <w:t xml:space="preserve"> though more in the short-term. Only 33% (7 out of 21) of public authorities considered it adequate. 66% of contracting authorities (4 out of 6) considered it not adequate. At least in the short-term and potentially longer, HDV applications will need a wider range of alternative fuels. Zero-emission technologies particularly for trucks are not mass-market ready.  </w:t>
      </w:r>
    </w:p>
    <w:p w:rsidR="002E508F" w:rsidRDefault="005D0A03">
      <w:pPr>
        <w:autoSpaceDE w:val="0"/>
        <w:autoSpaceDN w:val="0"/>
        <w:adjustRightInd w:val="0"/>
        <w:spacing w:line="240" w:lineRule="auto"/>
        <w:jc w:val="both"/>
        <w:rPr>
          <w:rFonts w:ascii="Times New Roman" w:hAnsi="Times New Roman" w:cs="Times New Roman"/>
          <w:iCs/>
          <w:noProof/>
          <w:lang w:val="en"/>
        </w:rPr>
      </w:pPr>
      <w:r>
        <w:rPr>
          <w:rFonts w:ascii="Times New Roman" w:hAnsi="Times New Roman" w:cs="Times New Roman"/>
          <w:i/>
          <w:iCs/>
          <w:noProof/>
          <w:lang w:val="en"/>
        </w:rPr>
        <w:t>Preliminary conclusion</w:t>
      </w:r>
      <w:r>
        <w:rPr>
          <w:rFonts w:ascii="Times New Roman" w:hAnsi="Times New Roman" w:cs="Times New Roman"/>
          <w:iCs/>
          <w:noProof/>
          <w:lang w:val="en"/>
        </w:rPr>
        <w:t>: retain for analysis, because of the political priority to accelerate zero-emission vehicles. It is necessary to analyse options for integrating a specific target for zero emission vehicles in the broader overall target and related requirements to count them preferentially towards the fulfillment of a possible target.</w:t>
      </w:r>
    </w:p>
    <w:p w:rsidR="002E508F" w:rsidRDefault="005D0A03">
      <w:pPr>
        <w:autoSpaceDE w:val="0"/>
        <w:autoSpaceDN w:val="0"/>
        <w:adjustRightInd w:val="0"/>
        <w:spacing w:line="240" w:lineRule="auto"/>
        <w:jc w:val="both"/>
        <w:rPr>
          <w:rFonts w:ascii="Times New Roman" w:hAnsi="Times New Roman" w:cs="Times New Roman"/>
          <w:iCs/>
          <w:noProof/>
          <w:lang w:val="en"/>
        </w:rPr>
      </w:pPr>
      <w:r>
        <w:rPr>
          <w:rFonts w:ascii="Times New Roman" w:hAnsi="Times New Roman" w:cs="Times New Roman"/>
          <w:iCs/>
          <w:noProof/>
          <w:lang w:val="en"/>
        </w:rPr>
        <w:t>There was a strong support for combining a specific emission threshold for CO</w:t>
      </w:r>
      <w:r>
        <w:rPr>
          <w:rFonts w:ascii="Times New Roman" w:hAnsi="Times New Roman" w:cs="Times New Roman"/>
          <w:iCs/>
          <w:noProof/>
          <w:vertAlign w:val="subscript"/>
          <w:lang w:val="en"/>
        </w:rPr>
        <w:t>2</w:t>
      </w:r>
      <w:r>
        <w:rPr>
          <w:rFonts w:ascii="Times New Roman" w:hAnsi="Times New Roman" w:cs="Times New Roman"/>
          <w:iCs/>
          <w:noProof/>
          <w:lang w:val="en"/>
        </w:rPr>
        <w:t xml:space="preserve"> emissions and an emission threshold for air pollutant emissions, in the case an emission threshold-based approach would be used to define a clean vehicle. All key target groups to the consultation supported majorly the combination of thresholds under such an approach.</w:t>
      </w:r>
      <w:r>
        <w:rPr>
          <w:rStyle w:val="FootnoteReference"/>
          <w:rFonts w:ascii="Times New Roman" w:hAnsi="Times New Roman" w:cs="Times New Roman"/>
          <w:iCs/>
          <w:noProof/>
          <w:lang w:val="en"/>
        </w:rPr>
        <w:footnoteReference w:id="56"/>
      </w:r>
      <w:r>
        <w:rPr>
          <w:rFonts w:ascii="Times New Roman" w:hAnsi="Times New Roman" w:cs="Times New Roman"/>
          <w:iCs/>
          <w:noProof/>
          <w:lang w:val="en"/>
        </w:rPr>
        <w:t xml:space="preserve">    </w:t>
      </w:r>
    </w:p>
    <w:p w:rsidR="002E508F" w:rsidRDefault="005D0A03">
      <w:pPr>
        <w:pStyle w:val="Heading4"/>
        <w:rPr>
          <w:noProof/>
          <w:lang w:val="en"/>
        </w:rPr>
      </w:pPr>
      <w:r>
        <w:rPr>
          <w:noProof/>
          <w:lang w:val="en"/>
        </w:rPr>
        <w:t>Setting a minimum requirement for action</w:t>
      </w:r>
    </w:p>
    <w:p w:rsidR="002E508F" w:rsidRDefault="005D0A03">
      <w:pPr>
        <w:spacing w:line="240" w:lineRule="auto"/>
        <w:jc w:val="both"/>
        <w:rPr>
          <w:rFonts w:ascii="Times New Roman" w:hAnsi="Times New Roman" w:cs="Times New Roman"/>
          <w:noProof/>
          <w:lang w:val="en"/>
        </w:rPr>
      </w:pPr>
      <w:r>
        <w:rPr>
          <w:rFonts w:ascii="Times New Roman" w:hAnsi="Times New Roman" w:cs="Times New Roman"/>
          <w:noProof/>
          <w:lang w:val="en"/>
        </w:rPr>
        <w:t>A clean vehicle definition needs to be applied in practice to establish a clear, long-term policy orientation. It links to a discussion about how to set a minimum action requirement.</w:t>
      </w:r>
      <w:r>
        <w:rPr>
          <w:rStyle w:val="FootnoteReference"/>
          <w:rFonts w:ascii="Times New Roman" w:hAnsi="Times New Roman" w:cs="Times New Roman"/>
          <w:noProof/>
          <w:lang w:val="en"/>
        </w:rPr>
        <w:footnoteReference w:id="57"/>
      </w:r>
      <w:r>
        <w:rPr>
          <w:rFonts w:ascii="Times New Roman" w:hAnsi="Times New Roman" w:cs="Times New Roman"/>
          <w:noProof/>
          <w:lang w:val="en"/>
        </w:rPr>
        <w:t xml:space="preserve"> Under a definition of a clean vehicle based on its emissions, the threshold for the emissions and the target for the share of the procurement would interact. Under the definition of a clean vehicle based on its fuel, only the target for the share of the procurement would be taken into account. </w:t>
      </w:r>
    </w:p>
    <w:p w:rsidR="002E508F" w:rsidRDefault="005D0A03">
      <w:pPr>
        <w:spacing w:line="240" w:lineRule="auto"/>
        <w:jc w:val="both"/>
        <w:rPr>
          <w:rFonts w:ascii="Times New Roman" w:hAnsi="Times New Roman" w:cs="Times New Roman"/>
          <w:noProof/>
          <w:lang w:val="en"/>
        </w:rPr>
      </w:pPr>
      <w:r>
        <w:rPr>
          <w:rFonts w:ascii="Times New Roman" w:hAnsi="Times New Roman" w:cs="Times New Roman"/>
          <w:noProof/>
          <w:lang w:val="en"/>
        </w:rPr>
        <w:t xml:space="preserve">Six different measures have been proposed and discussed. These measures do not all represent different approaches. Measures 3 to 6 present gradual refinements of the main measure of fixing a minimum share requirement over time compared to full or proportional share requirement per contract, particularly in view of feedback from targeted interviews during the stakeholder consultation. </w:t>
      </w:r>
    </w:p>
    <w:p w:rsidR="002E508F" w:rsidRDefault="005D0A03">
      <w:pPr>
        <w:spacing w:line="240" w:lineRule="auto"/>
        <w:jc w:val="both"/>
        <w:rPr>
          <w:rFonts w:ascii="Times New Roman" w:hAnsi="Times New Roman" w:cs="Times New Roman"/>
          <w:noProof/>
          <w:u w:val="single"/>
        </w:rPr>
      </w:pPr>
      <w:r>
        <w:rPr>
          <w:rFonts w:ascii="Times New Roman" w:hAnsi="Times New Roman" w:cs="Times New Roman"/>
          <w:noProof/>
          <w:u w:val="single"/>
          <w:lang w:val="en"/>
        </w:rPr>
        <w:t xml:space="preserve">1. </w:t>
      </w:r>
      <w:r>
        <w:rPr>
          <w:rFonts w:ascii="Times New Roman" w:hAnsi="Times New Roman" w:cs="Times New Roman"/>
          <w:noProof/>
          <w:u w:val="single"/>
        </w:rPr>
        <w:t xml:space="preserve">Define an emission threshold and require its application in all procurement contracts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Under this approach, a clean vehicle definition would be based on a common threshold (e.g. CO</w:t>
      </w:r>
      <w:r>
        <w:rPr>
          <w:rFonts w:ascii="Times New Roman" w:hAnsi="Times New Roman" w:cs="Times New Roman"/>
          <w:noProof/>
          <w:vertAlign w:val="subscript"/>
        </w:rPr>
        <w:t>2</w:t>
      </w:r>
      <w:r>
        <w:rPr>
          <w:rFonts w:ascii="Times New Roman" w:hAnsi="Times New Roman" w:cs="Times New Roman"/>
          <w:noProof/>
        </w:rPr>
        <w:t xml:space="preserve"> emissions of vehicles). The definition would then apply to the purchase of all vehicles above the procurement threshold of EU procurement law, including the lease, rental and hire-purchase of all vehicles and to a certain percentage of the fleets of operators providing specified transport services.</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Comment</w:t>
      </w:r>
      <w:r>
        <w:rPr>
          <w:rFonts w:ascii="Times New Roman" w:hAnsi="Times New Roman" w:cs="Times New Roman"/>
          <w:noProof/>
        </w:rPr>
        <w:t>: no minimum requirement would need to be set. The definition will affect the totality of all authorities' procurements. This approach is not feasible for any definition based on alternative fuels. It would impose comparatively high costs for public bodies. In terms of tailpipe emissions, a threshold could be set at the level of the next CO</w:t>
      </w:r>
      <w:r>
        <w:rPr>
          <w:rFonts w:ascii="Times New Roman" w:hAnsi="Times New Roman" w:cs="Times New Roman"/>
          <w:noProof/>
          <w:vertAlign w:val="subscript"/>
        </w:rPr>
        <w:t>2</w:t>
      </w:r>
      <w:r>
        <w:rPr>
          <w:rFonts w:ascii="Times New Roman" w:hAnsi="Times New Roman" w:cs="Times New Roman"/>
          <w:noProof/>
        </w:rPr>
        <w:t xml:space="preserve"> emission performance standard for cars and vans. However, this approach would lack a clear impulse for a larger market uptake of zero-emission vehicles, which is a political priority. Gradually tightening the threshold over time can address this challenge.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A slight majority of respondents to the Open Public Consultation agreed to this approach (53%, (n=122). However, it is largely driven by agreement by NGOs</w:t>
      </w:r>
      <w:r>
        <w:rPr>
          <w:rStyle w:val="FootnoteReference"/>
          <w:rFonts w:ascii="Times New Roman" w:hAnsi="Times New Roman" w:cs="Times New Roman"/>
          <w:noProof/>
        </w:rPr>
        <w:footnoteReference w:id="58"/>
      </w:r>
      <w:r>
        <w:rPr>
          <w:rFonts w:ascii="Times New Roman" w:hAnsi="Times New Roman" w:cs="Times New Roman"/>
          <w:noProof/>
        </w:rPr>
        <w:t xml:space="preserve">, whereas public authorities (47% (10 out of 21) disagreed, but only 29% (6 out of 21) agreed), contracting authorities (40% (4 out of 10) agreed) and companies (46% (17 out of 37 agreed) were more reserved about the measure.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Preliminary conclusion:</w:t>
      </w:r>
      <w:r>
        <w:rPr>
          <w:rFonts w:ascii="Times New Roman" w:hAnsi="Times New Roman" w:cs="Times New Roman"/>
          <w:i/>
          <w:noProof/>
          <w:u w:val="single"/>
        </w:rPr>
        <w:t xml:space="preserve"> </w:t>
      </w:r>
      <w:r>
        <w:rPr>
          <w:rFonts w:ascii="Times New Roman" w:hAnsi="Times New Roman" w:cs="Times New Roman"/>
          <w:noProof/>
        </w:rPr>
        <w:t xml:space="preserve">Discard for future analysis, because the approach could either financially and technologically constrain public authorities, if the ambition level is too high, or lack market impact, if the ambition level is set too low. </w:t>
      </w:r>
    </w:p>
    <w:p w:rsidR="002E508F" w:rsidRDefault="005D0A03">
      <w:pPr>
        <w:spacing w:line="240" w:lineRule="auto"/>
        <w:ind w:left="284" w:hanging="284"/>
        <w:jc w:val="both"/>
        <w:rPr>
          <w:rFonts w:ascii="Times New Roman" w:hAnsi="Times New Roman" w:cs="Times New Roman"/>
          <w:noProof/>
          <w:u w:val="single"/>
        </w:rPr>
      </w:pPr>
      <w:r>
        <w:rPr>
          <w:rFonts w:ascii="Times New Roman" w:hAnsi="Times New Roman" w:cs="Times New Roman"/>
          <w:noProof/>
          <w:u w:val="single"/>
        </w:rPr>
        <w:t xml:space="preserve">2. </w:t>
      </w:r>
      <w:r>
        <w:rPr>
          <w:rFonts w:ascii="Times New Roman" w:hAnsi="Times New Roman" w:cs="Times New Roman"/>
          <w:noProof/>
          <w:u w:val="single"/>
        </w:rPr>
        <w:tab/>
        <w:t>Define a more ambitions emissions threshold and require a proportion of the vehicles to be procured under each contract</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Under this approach, every purchase contract should have to comply with a requirement of a minimum share of vehicles following a definition of clean vehicles with a more ambitious emission threshold. This would also apply to vehicles procured in each lease, rental or hire-purchase contract and in each operator’s fleet that are providing specified transport services under contract to public bodies.</w:t>
      </w:r>
      <w:r>
        <w:rPr>
          <w:rStyle w:val="FootnoteReference"/>
          <w:rFonts w:ascii="Times New Roman" w:hAnsi="Times New Roman" w:cs="Times New Roman"/>
          <w:noProof/>
        </w:rPr>
        <w:footnoteReference w:id="59"/>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 xml:space="preserve">Comment: </w:t>
      </w:r>
      <w:r>
        <w:rPr>
          <w:rFonts w:ascii="Times New Roman" w:hAnsi="Times New Roman" w:cs="Times New Roman"/>
          <w:noProof/>
        </w:rPr>
        <w:t xml:space="preserve">The Open Public Consultation did not produce a clear picture. A slight majority of respondents agreed to this measure (54% (n=108), but only 38% (8 out of 21) of public authority respondents and 50% (5 out of 10) of contracting authorities respondents agreed to it. In the targeted interviews, representatives of public transport operators, and also of contractors, raised concerns about the practicability of imposing a minimum requirement on every contract: Oftentimes, clean and other vehicles were not procured through the same contract. The need to combine different types of vehicles may not allow the public authority to procure the best vehicle of either type. Moreover, variety of types of contract would increase the administrative burden of monitoring the implementation of the minimum requirement.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 xml:space="preserve">Preliminary conclusion: </w:t>
      </w:r>
      <w:r>
        <w:rPr>
          <w:rFonts w:ascii="Times New Roman" w:hAnsi="Times New Roman" w:cs="Times New Roman"/>
          <w:noProof/>
        </w:rPr>
        <w:t xml:space="preserve">discard for further analysis, because it would considerably increase the administrative burden of the Directive. </w:t>
      </w:r>
    </w:p>
    <w:p w:rsidR="002E508F" w:rsidRDefault="005D0A03">
      <w:pPr>
        <w:spacing w:line="240" w:lineRule="auto"/>
        <w:ind w:left="284" w:hanging="284"/>
        <w:jc w:val="both"/>
        <w:rPr>
          <w:rFonts w:ascii="Times New Roman" w:hAnsi="Times New Roman" w:cs="Times New Roman"/>
          <w:noProof/>
        </w:rPr>
      </w:pPr>
      <w:r>
        <w:rPr>
          <w:rFonts w:ascii="Times New Roman" w:hAnsi="Times New Roman" w:cs="Times New Roman"/>
          <w:noProof/>
        </w:rPr>
        <w:t xml:space="preserve">3. </w:t>
      </w:r>
      <w:r>
        <w:rPr>
          <w:rFonts w:ascii="Times New Roman" w:hAnsi="Times New Roman" w:cs="Times New Roman"/>
          <w:noProof/>
          <w:u w:val="single"/>
        </w:rPr>
        <w:t>Define a higher threshold and require a proportion of the vehicles to be procured over a fixed period of time</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Under this approach, public bodies and operators would have to purchase a certain proportion of their procurement over a fixed period of time as clean vehicles, following the definition of a clean vehicle. This would also apply to vehicles procured in each lease, rental or hire-purchase contract and in each operator’s fleet that are providing specified transport services under contract to public bodies. </w:t>
      </w:r>
      <w:r>
        <w:rPr>
          <w:rStyle w:val="FootnoteReference"/>
          <w:rFonts w:ascii="Times New Roman" w:hAnsi="Times New Roman" w:cs="Times New Roman"/>
          <w:noProof/>
        </w:rPr>
        <w:footnoteReference w:id="60"/>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Comment:</w:t>
      </w:r>
      <w:r>
        <w:rPr>
          <w:rFonts w:ascii="Times New Roman" w:hAnsi="Times New Roman" w:cs="Times New Roman"/>
          <w:noProof/>
          <w:sz w:val="24"/>
          <w:szCs w:val="24"/>
        </w:rPr>
        <w:t xml:space="preserve"> </w:t>
      </w:r>
      <w:r>
        <w:rPr>
          <w:rFonts w:ascii="Times New Roman" w:hAnsi="Times New Roman" w:cs="Times New Roman"/>
          <w:noProof/>
        </w:rPr>
        <w:t>This approach is better suited than the approach based on each contract. It also met the broadest average support in the Open Public Consultation (58% agreed (n=128), but public authorities remained more reserved (43% (9 out of 21) strongly or somewhat agreed). However, the approach is also meeting challenges. One challenge is to define an adequate period of time and a relevant monitoring (each type of vehicle would need to be monitored) that does not add substantially to administrative burden. Smaller public authorities do not procure vehicles as frequently as larger authorities.</w:t>
      </w:r>
      <w:r>
        <w:rPr>
          <w:rStyle w:val="FootnoteReference"/>
          <w:rFonts w:ascii="Times New Roman" w:hAnsi="Times New Roman" w:cs="Times New Roman"/>
          <w:noProof/>
        </w:rPr>
        <w:footnoteReference w:id="61"/>
      </w:r>
      <w:r>
        <w:rPr>
          <w:rFonts w:ascii="Times New Roman" w:hAnsi="Times New Roman" w:cs="Times New Roman"/>
          <w:noProof/>
        </w:rPr>
        <w:t xml:space="preserve"> Self-reporting through a central procurement portal could be used to address this challenge; and a specific code in the Common Procurement Vocabulary of the EU will help. Being imposed to each public body and operator, it is likely to non-proportionally increase the administrative burden.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Preliminary conclusion</w:t>
      </w:r>
      <w:r>
        <w:rPr>
          <w:rFonts w:ascii="Times New Roman" w:hAnsi="Times New Roman" w:cs="Times New Roman"/>
          <w:i/>
          <w:noProof/>
          <w:u w:val="single"/>
        </w:rPr>
        <w:t xml:space="preserve">: </w:t>
      </w:r>
      <w:r>
        <w:rPr>
          <w:rFonts w:ascii="Times New Roman" w:hAnsi="Times New Roman" w:cs="Times New Roman"/>
          <w:noProof/>
        </w:rPr>
        <w:t>Discard for future analysis, because of impacts on administrative burden.</w:t>
      </w:r>
    </w:p>
    <w:p w:rsidR="002E508F" w:rsidRDefault="005D0A03">
      <w:pPr>
        <w:spacing w:after="60" w:line="240" w:lineRule="auto"/>
        <w:jc w:val="both"/>
        <w:rPr>
          <w:rFonts w:ascii="Times New Roman" w:hAnsi="Times New Roman" w:cs="Times New Roman"/>
          <w:noProof/>
          <w:u w:val="single"/>
        </w:rPr>
      </w:pPr>
      <w:r>
        <w:rPr>
          <w:rFonts w:ascii="Times New Roman" w:hAnsi="Times New Roman" w:cs="Times New Roman"/>
          <w:noProof/>
          <w:u w:val="single"/>
        </w:rPr>
        <w:t xml:space="preserve">4. Define a higher threshold and set a target for a future year on vehicle procurement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This approach modifies the previous approach: all public bodies and operators would need to comply with a minimum requirement of clean vehicles as noted for the previous approach. However, the requirement would only apply to a specific future year in order to minimise impact on reporting.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Comment:</w:t>
      </w:r>
      <w:r>
        <w:rPr>
          <w:rFonts w:ascii="Times New Roman" w:hAnsi="Times New Roman" w:cs="Times New Roman"/>
          <w:noProof/>
          <w:u w:val="single"/>
        </w:rPr>
        <w:t xml:space="preserve"> </w:t>
      </w:r>
      <w:r>
        <w:rPr>
          <w:rFonts w:ascii="Times New Roman" w:hAnsi="Times New Roman" w:cs="Times New Roman"/>
          <w:noProof/>
        </w:rPr>
        <w:t>For procurement, leasing, rental and hire-purchase, this approach has similar challenges to those already discussed for a time-based approach. However, it has a lower impact on administrative burden, as the requirements only apply to the final year. A fleet-based approach could set a target that, for example, all public authority bus fleets should contain a certain proportion of clean buses by 2030. Even if it would be potentially challenging to monitor, it would at least set a direction for the market, which would be clear both for manufacturers and for public authorities. If such a target was applied to the public authority procurement of transport services, e.g. bus services, the same target could be applied to these fleets, i.e. those of contractors providing services to public authorities.</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Preliminary conclusion:</w:t>
      </w:r>
      <w:r>
        <w:rPr>
          <w:rFonts w:ascii="Times New Roman" w:hAnsi="Times New Roman" w:cs="Times New Roman"/>
          <w:i/>
          <w:noProof/>
          <w:u w:val="single"/>
        </w:rPr>
        <w:t xml:space="preserve"> </w:t>
      </w:r>
      <w:r>
        <w:rPr>
          <w:rFonts w:ascii="Times New Roman" w:hAnsi="Times New Roman" w:cs="Times New Roman"/>
          <w:noProof/>
        </w:rPr>
        <w:t xml:space="preserve">Discard, because of impacts on administrative burden. </w:t>
      </w:r>
    </w:p>
    <w:p w:rsidR="002E508F" w:rsidRDefault="005D0A03">
      <w:pPr>
        <w:spacing w:line="240" w:lineRule="auto"/>
        <w:ind w:left="284" w:hanging="284"/>
        <w:jc w:val="both"/>
        <w:rPr>
          <w:rFonts w:ascii="Times New Roman" w:hAnsi="Times New Roman" w:cs="Times New Roman"/>
          <w:noProof/>
          <w:u w:val="single"/>
        </w:rPr>
      </w:pPr>
      <w:r>
        <w:rPr>
          <w:rFonts w:ascii="Times New Roman" w:hAnsi="Times New Roman" w:cs="Times New Roman"/>
          <w:noProof/>
          <w:u w:val="single"/>
        </w:rPr>
        <w:t xml:space="preserve">5. Define a higher threshold and set a target for vehicle procurement for a future year, but leave it to each Member State on how to achieve it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This approach further modifies the previous approach. The same requirements apply, but compliance with the minimum requirement would need to be demonstrated at the level of the Member State, not at the level of individual authorities or operators.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Comment:</w:t>
      </w:r>
      <w:r>
        <w:rPr>
          <w:rFonts w:ascii="Times New Roman" w:hAnsi="Times New Roman" w:cs="Times New Roman"/>
          <w:noProof/>
        </w:rPr>
        <w:t xml:space="preserve"> This approach would add considerable flexibility. Member States would have the possibility to adjust the implementation to their domestic circumstances. They could, for example, differentiate between more and less advanced cities. In this way, national financial support could focus on the cities that are most in need or most capable of developing the infrastructure for and utilising clean vehicles. With such an approach, there would still be a clear direction in terms of the development of the market, but action could become domestically better targeted. In the targeted consultations, representatives of public authorities and particularly of public transport operators supported such a measure, as it would leave greater flexibility to the implementation process.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 xml:space="preserve">Preliminary conclusion: </w:t>
      </w:r>
      <w:r>
        <w:rPr>
          <w:rFonts w:ascii="Times New Roman" w:hAnsi="Times New Roman" w:cs="Times New Roman"/>
          <w:noProof/>
        </w:rPr>
        <w:t xml:space="preserve">retain for future analysis, because it enables a more flexible implementation of a possible definition and related target.  </w:t>
      </w:r>
    </w:p>
    <w:p w:rsidR="002E508F" w:rsidRDefault="005D0A03">
      <w:pPr>
        <w:spacing w:line="240" w:lineRule="auto"/>
        <w:jc w:val="both"/>
        <w:rPr>
          <w:rFonts w:ascii="Times New Roman" w:hAnsi="Times New Roman" w:cs="Times New Roman"/>
          <w:noProof/>
          <w:u w:val="single"/>
        </w:rPr>
      </w:pPr>
      <w:r>
        <w:rPr>
          <w:rFonts w:ascii="Times New Roman" w:hAnsi="Times New Roman" w:cs="Times New Roman"/>
          <w:noProof/>
          <w:u w:val="single"/>
        </w:rPr>
        <w:t>6. Define a higher threshold and leave it to Member States how to act on it</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Under this approach, the Directive would require Member States to transpose the definition of clean vehicles, but it would not specify any further condition for the use of the direction but the request for a national policy framework according to the competencies in the Member State.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 xml:space="preserve">Comment: </w:t>
      </w:r>
      <w:r>
        <w:rPr>
          <w:rFonts w:ascii="Times New Roman" w:hAnsi="Times New Roman" w:cs="Times New Roman"/>
          <w:noProof/>
        </w:rPr>
        <w:t xml:space="preserve">This approach would provide the greatest flexibility to Member States. It would give a common reference framework in the form of a clean vehicles definition that can help policy development in Member States. Compared to the other approaches, it contains a higher risk of non-appropriate action and hence lack of market impact, particularly in less advanced Member States. This approach would not establish a common and stable European market signal. Financial support could be used to incentivise higher ambition. However, financial support cannot be scheduled through the Directive itself, but would be dependent on other policy instruments.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 xml:space="preserve">Preliminary conclusion: </w:t>
      </w:r>
      <w:r>
        <w:rPr>
          <w:rFonts w:ascii="Times New Roman" w:hAnsi="Times New Roman" w:cs="Times New Roman"/>
          <w:noProof/>
        </w:rPr>
        <w:t>retain for future analysis, because it allows the further analysis of a fully flexible, non-directional approach.</w:t>
      </w:r>
    </w:p>
    <w:p w:rsidR="002E508F" w:rsidRDefault="005D0A03">
      <w:pPr>
        <w:pStyle w:val="Heading4"/>
        <w:rPr>
          <w:noProof/>
        </w:rPr>
      </w:pPr>
      <w:r>
        <w:rPr>
          <w:noProof/>
        </w:rPr>
        <w:t>Differentiation of a minimum procurement requirement</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In addition, there is further need for a differentiation of a possible minimum procurement target by Member State. All expert interviews pointed to the need for a differentiation: setting the same requirement for all Member States would risk setting a minimum requirement that could be meaningless for some Member States, but too challenging for others.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Five different measures were proposed and discussed for the differentiation of a target. Table 5.1 lists the different measures and the assessment of their suitability. </w:t>
      </w:r>
    </w:p>
    <w:p w:rsidR="002E508F" w:rsidRDefault="005D0A03">
      <w:pPr>
        <w:spacing w:after="0" w:line="240" w:lineRule="auto"/>
        <w:jc w:val="both"/>
        <w:rPr>
          <w:rFonts w:ascii="Times New Roman" w:hAnsi="Times New Roman" w:cs="Times New Roman"/>
          <w:b/>
          <w:i/>
          <w:noProof/>
        </w:rPr>
      </w:pPr>
      <w:r>
        <w:rPr>
          <w:rFonts w:ascii="Times New Roman" w:hAnsi="Times New Roman" w:cs="Times New Roman"/>
          <w:b/>
          <w:i/>
          <w:noProof/>
        </w:rPr>
        <w:t>Table 5.1</w:t>
      </w:r>
      <w:r>
        <w:rPr>
          <w:rFonts w:ascii="Times New Roman" w:hAnsi="Times New Roman" w:cs="Times New Roman"/>
          <w:b/>
          <w:i/>
          <w:noProof/>
        </w:rPr>
        <w:tab/>
        <w:t>Approach to differentiating a minimum procurement requirement by Member State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51"/>
        <w:gridCol w:w="3119"/>
        <w:gridCol w:w="3946"/>
      </w:tblGrid>
      <w:tr w:rsidR="002E508F">
        <w:trPr>
          <w:tblHeader/>
        </w:trPr>
        <w:tc>
          <w:tcPr>
            <w:tcW w:w="1951" w:type="dxa"/>
            <w:shd w:val="clear" w:color="auto" w:fill="auto"/>
          </w:tcPr>
          <w:p w:rsidR="002E508F" w:rsidRDefault="005D0A03">
            <w:pPr>
              <w:rPr>
                <w:rFonts w:ascii="Times New Roman" w:hAnsi="Times New Roman" w:cs="Times New Roman"/>
                <w:b/>
                <w:noProof/>
                <w:sz w:val="20"/>
                <w:szCs w:val="20"/>
              </w:rPr>
            </w:pPr>
            <w:r>
              <w:rPr>
                <w:rFonts w:ascii="Times New Roman" w:hAnsi="Times New Roman" w:cs="Times New Roman"/>
                <w:b/>
                <w:noProof/>
                <w:sz w:val="20"/>
                <w:szCs w:val="20"/>
              </w:rPr>
              <w:t>Measure</w:t>
            </w:r>
          </w:p>
        </w:tc>
        <w:tc>
          <w:tcPr>
            <w:tcW w:w="3119" w:type="dxa"/>
            <w:shd w:val="clear" w:color="auto" w:fill="auto"/>
          </w:tcPr>
          <w:p w:rsidR="002E508F" w:rsidRDefault="005D0A03">
            <w:pPr>
              <w:jc w:val="center"/>
              <w:rPr>
                <w:rFonts w:ascii="Times New Roman" w:hAnsi="Times New Roman" w:cs="Times New Roman"/>
                <w:b/>
                <w:noProof/>
                <w:sz w:val="20"/>
                <w:szCs w:val="20"/>
              </w:rPr>
            </w:pPr>
            <w:r>
              <w:rPr>
                <w:rFonts w:ascii="Times New Roman" w:hAnsi="Times New Roman" w:cs="Times New Roman"/>
                <w:b/>
                <w:noProof/>
                <w:sz w:val="20"/>
                <w:szCs w:val="20"/>
              </w:rPr>
              <w:t>Strengths</w:t>
            </w:r>
          </w:p>
        </w:tc>
        <w:tc>
          <w:tcPr>
            <w:tcW w:w="3946" w:type="dxa"/>
            <w:shd w:val="clear" w:color="auto" w:fill="auto"/>
          </w:tcPr>
          <w:p w:rsidR="002E508F" w:rsidRDefault="005D0A03">
            <w:pPr>
              <w:jc w:val="center"/>
              <w:rPr>
                <w:rFonts w:ascii="Times New Roman" w:hAnsi="Times New Roman" w:cs="Times New Roman"/>
                <w:b/>
                <w:noProof/>
                <w:sz w:val="20"/>
                <w:szCs w:val="20"/>
              </w:rPr>
            </w:pPr>
            <w:r>
              <w:rPr>
                <w:rFonts w:ascii="Times New Roman" w:hAnsi="Times New Roman" w:cs="Times New Roman"/>
                <w:b/>
                <w:noProof/>
                <w:sz w:val="20"/>
                <w:szCs w:val="20"/>
              </w:rPr>
              <w:t>Weaknesses</w:t>
            </w:r>
          </w:p>
        </w:tc>
      </w:tr>
      <w:tr w:rsidR="002E508F">
        <w:tc>
          <w:tcPr>
            <w:tcW w:w="1951" w:type="dxa"/>
            <w:shd w:val="clear" w:color="auto" w:fill="auto"/>
          </w:tcPr>
          <w:p w:rsidR="002E508F" w:rsidRDefault="005D0A03">
            <w:pPr>
              <w:rPr>
                <w:rFonts w:ascii="Times New Roman" w:hAnsi="Times New Roman" w:cs="Times New Roman"/>
                <w:noProof/>
                <w:sz w:val="20"/>
                <w:szCs w:val="20"/>
              </w:rPr>
            </w:pPr>
            <w:r>
              <w:rPr>
                <w:rFonts w:ascii="Times New Roman" w:hAnsi="Times New Roman" w:cs="Times New Roman"/>
                <w:noProof/>
                <w:sz w:val="20"/>
                <w:szCs w:val="20"/>
              </w:rPr>
              <w:t>1. Reflecting a Member State’s GDP</w:t>
            </w:r>
          </w:p>
        </w:tc>
        <w:tc>
          <w:tcPr>
            <w:tcW w:w="3119" w:type="dxa"/>
            <w:shd w:val="clear" w:color="auto" w:fill="auto"/>
          </w:tcPr>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Reflects differences in wealth between Member States, and so potentially the ability to finance the procurement of clean vehicles  </w:t>
            </w:r>
          </w:p>
        </w:tc>
        <w:tc>
          <w:tcPr>
            <w:tcW w:w="3946" w:type="dxa"/>
            <w:shd w:val="clear" w:color="auto" w:fill="auto"/>
          </w:tcPr>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GDP can vary a lot between cities</w:t>
            </w:r>
          </w:p>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Does not (necessarily) link to environmental needs</w:t>
            </w:r>
          </w:p>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No direct link with a procurement target</w:t>
            </w:r>
          </w:p>
        </w:tc>
      </w:tr>
      <w:tr w:rsidR="002E508F">
        <w:tc>
          <w:tcPr>
            <w:tcW w:w="1951" w:type="dxa"/>
            <w:shd w:val="clear" w:color="auto" w:fill="auto"/>
          </w:tcPr>
          <w:p w:rsidR="002E508F" w:rsidRDefault="005D0A03">
            <w:pPr>
              <w:rPr>
                <w:rFonts w:ascii="Times New Roman" w:hAnsi="Times New Roman" w:cs="Times New Roman"/>
                <w:noProof/>
                <w:sz w:val="20"/>
                <w:szCs w:val="20"/>
              </w:rPr>
            </w:pPr>
            <w:r>
              <w:rPr>
                <w:rFonts w:ascii="Times New Roman" w:hAnsi="Times New Roman" w:cs="Times New Roman"/>
                <w:noProof/>
                <w:sz w:val="20"/>
                <w:szCs w:val="20"/>
              </w:rPr>
              <w:t>2. Based on a city’s GDP</w:t>
            </w:r>
          </w:p>
        </w:tc>
        <w:tc>
          <w:tcPr>
            <w:tcW w:w="3119" w:type="dxa"/>
            <w:shd w:val="clear" w:color="auto" w:fill="auto"/>
          </w:tcPr>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Reflects differences in wealth between cities, and so potentially the ability to finance the procurement of clean vehicles  </w:t>
            </w:r>
          </w:p>
        </w:tc>
        <w:tc>
          <w:tcPr>
            <w:tcW w:w="3946" w:type="dxa"/>
            <w:shd w:val="clear" w:color="auto" w:fill="auto"/>
          </w:tcPr>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Does not (necessarily) link to environmental needs</w:t>
            </w:r>
          </w:p>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No direct link with a procurement target </w:t>
            </w:r>
          </w:p>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Complex to calculate, as there are hundreds of cities</w:t>
            </w:r>
          </w:p>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Problems with application to public authorities that are not city authorities</w:t>
            </w:r>
          </w:p>
        </w:tc>
      </w:tr>
      <w:tr w:rsidR="002E508F">
        <w:tc>
          <w:tcPr>
            <w:tcW w:w="1951" w:type="dxa"/>
            <w:shd w:val="clear" w:color="auto" w:fill="auto"/>
          </w:tcPr>
          <w:p w:rsidR="002E508F" w:rsidRDefault="005D0A03">
            <w:pPr>
              <w:rPr>
                <w:rFonts w:ascii="Times New Roman" w:hAnsi="Times New Roman" w:cs="Times New Roman"/>
                <w:noProof/>
                <w:sz w:val="20"/>
                <w:szCs w:val="20"/>
              </w:rPr>
            </w:pPr>
            <w:r>
              <w:rPr>
                <w:rFonts w:ascii="Times New Roman" w:hAnsi="Times New Roman" w:cs="Times New Roman"/>
                <w:noProof/>
                <w:sz w:val="20"/>
                <w:szCs w:val="20"/>
              </w:rPr>
              <w:t>3. share of population living in urban areas</w:t>
            </w:r>
          </w:p>
        </w:tc>
        <w:tc>
          <w:tcPr>
            <w:tcW w:w="3119" w:type="dxa"/>
            <w:shd w:val="clear" w:color="auto" w:fill="auto"/>
          </w:tcPr>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Reflects differences in size of population </w:t>
            </w:r>
          </w:p>
        </w:tc>
        <w:tc>
          <w:tcPr>
            <w:tcW w:w="3946" w:type="dxa"/>
            <w:shd w:val="clear" w:color="auto" w:fill="auto"/>
          </w:tcPr>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Does not (necessarily) link to environmental needs</w:t>
            </w:r>
          </w:p>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No direct link with a procurement target </w:t>
            </w:r>
          </w:p>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Is complex, as there are hundreds of cities</w:t>
            </w:r>
          </w:p>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Problems with application to public authorities that are not city authorities</w:t>
            </w:r>
          </w:p>
        </w:tc>
      </w:tr>
      <w:tr w:rsidR="002E508F">
        <w:tc>
          <w:tcPr>
            <w:tcW w:w="1951" w:type="dxa"/>
            <w:shd w:val="clear" w:color="auto" w:fill="auto"/>
          </w:tcPr>
          <w:p w:rsidR="002E508F" w:rsidRDefault="005D0A03">
            <w:pPr>
              <w:rPr>
                <w:rFonts w:ascii="Times New Roman" w:hAnsi="Times New Roman" w:cs="Times New Roman"/>
                <w:noProof/>
                <w:sz w:val="20"/>
                <w:szCs w:val="20"/>
              </w:rPr>
            </w:pPr>
            <w:r>
              <w:rPr>
                <w:rFonts w:ascii="Times New Roman" w:hAnsi="Times New Roman" w:cs="Times New Roman"/>
                <w:noProof/>
                <w:sz w:val="20"/>
                <w:szCs w:val="20"/>
              </w:rPr>
              <w:t xml:space="preserve">4. Based on differentiation of Member States under the proposed ESR </w:t>
            </w:r>
            <w:r>
              <w:rPr>
                <w:rStyle w:val="FootnoteReference"/>
                <w:rFonts w:ascii="Times New Roman" w:hAnsi="Times New Roman" w:cs="Times New Roman"/>
                <w:noProof/>
                <w:sz w:val="20"/>
                <w:szCs w:val="20"/>
              </w:rPr>
              <w:footnoteReference w:id="62"/>
            </w:r>
          </w:p>
        </w:tc>
        <w:tc>
          <w:tcPr>
            <w:tcW w:w="3119" w:type="dxa"/>
            <w:shd w:val="clear" w:color="auto" w:fill="auto"/>
          </w:tcPr>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Directly related to environmental need </w:t>
            </w:r>
          </w:p>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Differentiation reflects economic capacity (related to GDP) </w:t>
            </w:r>
          </w:p>
        </w:tc>
        <w:tc>
          <w:tcPr>
            <w:tcW w:w="3946" w:type="dxa"/>
            <w:shd w:val="clear" w:color="auto" w:fill="auto"/>
          </w:tcPr>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Does not take into account the GDP of different cities  </w:t>
            </w:r>
          </w:p>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ESR does not relate to specific sectors  </w:t>
            </w:r>
          </w:p>
        </w:tc>
      </w:tr>
      <w:tr w:rsidR="002E508F">
        <w:tc>
          <w:tcPr>
            <w:tcW w:w="1951" w:type="dxa"/>
            <w:shd w:val="clear" w:color="auto" w:fill="auto"/>
          </w:tcPr>
          <w:p w:rsidR="002E508F" w:rsidRDefault="005D0A03">
            <w:pPr>
              <w:rPr>
                <w:rFonts w:ascii="Times New Roman" w:hAnsi="Times New Roman" w:cs="Times New Roman"/>
                <w:noProof/>
                <w:sz w:val="20"/>
                <w:szCs w:val="20"/>
              </w:rPr>
            </w:pPr>
            <w:r>
              <w:rPr>
                <w:rFonts w:ascii="Times New Roman" w:hAnsi="Times New Roman" w:cs="Times New Roman"/>
                <w:noProof/>
                <w:sz w:val="20"/>
                <w:szCs w:val="20"/>
              </w:rPr>
              <w:t xml:space="preserve">5. Based on the extent of a city’s lack of compliance with EU air quality limits </w:t>
            </w:r>
          </w:p>
        </w:tc>
        <w:tc>
          <w:tcPr>
            <w:tcW w:w="3119" w:type="dxa"/>
            <w:shd w:val="clear" w:color="auto" w:fill="auto"/>
          </w:tcPr>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Directly related to a relevant environmental need in a city</w:t>
            </w:r>
          </w:p>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Can help target needs</w:t>
            </w:r>
          </w:p>
          <w:p w:rsidR="002E508F" w:rsidRDefault="002E508F">
            <w:pPr>
              <w:pStyle w:val="ListParagraph"/>
              <w:ind w:left="360"/>
              <w:rPr>
                <w:rFonts w:ascii="Times New Roman" w:hAnsi="Times New Roman" w:cs="Times New Roman"/>
                <w:noProof/>
                <w:sz w:val="20"/>
                <w:szCs w:val="20"/>
              </w:rPr>
            </w:pPr>
          </w:p>
        </w:tc>
        <w:tc>
          <w:tcPr>
            <w:tcW w:w="3946" w:type="dxa"/>
            <w:shd w:val="clear" w:color="auto" w:fill="auto"/>
          </w:tcPr>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Does not take account of a city’s (financial) ability to procure CVs</w:t>
            </w:r>
          </w:p>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Enforcement and monitoring becomes administratively complex</w:t>
            </w:r>
          </w:p>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Not clear how this would apply to public authorities that are not cities</w:t>
            </w:r>
          </w:p>
          <w:p w:rsidR="002E508F" w:rsidRDefault="005D0A03">
            <w:pPr>
              <w:pStyle w:val="ListParagraph"/>
              <w:numPr>
                <w:ilvl w:val="0"/>
                <w:numId w:val="23"/>
              </w:num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Not clear how to translate into a long-term stable market orientation</w:t>
            </w:r>
          </w:p>
        </w:tc>
      </w:tr>
    </w:tbl>
    <w:p w:rsidR="002E508F" w:rsidRDefault="005D0A03">
      <w:pPr>
        <w:spacing w:line="240" w:lineRule="auto"/>
        <w:jc w:val="both"/>
        <w:rPr>
          <w:rFonts w:ascii="Times New Roman" w:hAnsi="Times New Roman" w:cs="Times New Roman"/>
          <w:i/>
          <w:noProof/>
          <w:sz w:val="20"/>
          <w:szCs w:val="20"/>
        </w:rPr>
      </w:pPr>
      <w:r>
        <w:rPr>
          <w:rFonts w:ascii="Times New Roman" w:hAnsi="Times New Roman" w:cs="Times New Roman"/>
          <w:i/>
          <w:noProof/>
          <w:sz w:val="20"/>
          <w:szCs w:val="20"/>
        </w:rPr>
        <w:t>Source: own analysis</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u w:val="single"/>
        </w:rPr>
        <w:t>Further comment</w:t>
      </w:r>
      <w:r>
        <w:rPr>
          <w:rFonts w:ascii="Times New Roman" w:hAnsi="Times New Roman" w:cs="Times New Roman"/>
          <w:noProof/>
        </w:rPr>
        <w:t xml:space="preserve">: It was decided to discard measure 2 and 4 in the first step because of conditions of proportionality and non-compatibility with other policy initiatives. It was decided to further analyse measures 1, 3 and 5, also in view of their potential combinations. Measure 5, again, appears relevant as it introduces a direct relevant environmental need into the differentiation of the Member States target. However, the further analysis did not showcase how such a differentiation requirement could reasonably well be implemented in practice. A lack of compliance cannot be estimated ex-ante over the long-term time frame up to 2030. Moreover, it would be complex to set such a requirement into a procurement Directive. It could also undermine the aim of having a simplification of the implementation process of the Clean Vehicles Directive. It would also increase the administrative burden of monitoring and enforcing this requirement.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In terms of measures 1 and 3, their sole use and a combination of the measures were further investigated. Measure 1 is an adequate proxy for the economic capacity of Member States to roll-out of clean (low- and zero-emission) vehicles and their infrastructures. Measure 3 allows for considering the impact of different levels of urban density and hence problem exposure. Eurostat data for population in cities and sub-urban areas provide a robust data base for the assessment. A combination of both measures using a weighted average was regarded, however, most promising, as it best reflects both the important dimension of economic capacity and problem pressure. Further information on this approach is provided in annex 6 and in the Impact Assessment support study.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u w:val="single"/>
        </w:rPr>
        <w:t>Preliminary conclusion:</w:t>
      </w:r>
      <w:r>
        <w:rPr>
          <w:rFonts w:ascii="Times New Roman" w:hAnsi="Times New Roman" w:cs="Times New Roman"/>
          <w:i/>
          <w:noProof/>
        </w:rPr>
        <w:t xml:space="preserve"> </w:t>
      </w:r>
      <w:r>
        <w:rPr>
          <w:rFonts w:ascii="Times New Roman" w:hAnsi="Times New Roman" w:cs="Times New Roman"/>
          <w:noProof/>
        </w:rPr>
        <w:t xml:space="preserve">retain measures 1 and 3 and analyse the possibility of a weighted combined approach to differentiating targets for Member States. Discard measures 2, 4 and 5, but keep the option to reference measure 5 in a recital of the Directive.  </w:t>
      </w:r>
    </w:p>
    <w:p w:rsidR="002E508F" w:rsidRDefault="005D0A03">
      <w:pPr>
        <w:pStyle w:val="Heading4"/>
        <w:rPr>
          <w:noProof/>
        </w:rPr>
      </w:pPr>
      <w:r>
        <w:rPr>
          <w:noProof/>
        </w:rPr>
        <w:t>Focusing on heavy-duty transport vehicles</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This approach would reduce the overall scope and direction of the legal requirements of the Directive to the market segment of heavy-duty vehicles only. Light-duty vehicle procurement would be removed from the Directive and left to voluntary action by Member States.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Comment:</w:t>
      </w:r>
      <w:r>
        <w:rPr>
          <w:rFonts w:ascii="Times New Roman" w:hAnsi="Times New Roman" w:cs="Times New Roman"/>
          <w:noProof/>
        </w:rPr>
        <w:t xml:space="preserve"> the reasoning behind this measure is that public procurement is most relevant as a market driver in the area of heavy-duty transport, particularly urban buses (see table 2.4). At the same time, this is a segment of the market, where low- and zero-emission technologies are still challenged by their price. Scale of market can only come through public demand. To be most effective, the requirements of the Directive could be concentrated on this market segment, as there is sufficient market dynamic in the light-duty vehicle markets. </w:t>
      </w:r>
    </w:p>
    <w:p w:rsidR="002E508F" w:rsidRDefault="005D0A03">
      <w:pPr>
        <w:spacing w:line="240" w:lineRule="auto"/>
        <w:jc w:val="both"/>
        <w:rPr>
          <w:rFonts w:ascii="Times New Roman" w:hAnsi="Times New Roman" w:cs="Times New Roman"/>
          <w:noProof/>
          <w:vertAlign w:val="subscript"/>
        </w:rPr>
      </w:pPr>
      <w:r>
        <w:rPr>
          <w:rFonts w:ascii="Times New Roman" w:hAnsi="Times New Roman" w:cs="Times New Roman"/>
          <w:noProof/>
        </w:rPr>
        <w:t>While this reasoning is principally sound, a number of concerns have been raised: First of all, market uptake of low- and zero-emission light-duty vehicles is very low quite a few Member States (see fig. 2.3). Public procurement can still send an important stimulus in these nascent markets. Given the overall low registration numbers for low-and zero-emission vehicles (see table 2.2) the most effective and efficient combination of all policy levers is still needed to accelerate the needed low-emission mobility transition. Second, the Directive interacts with other policy levers, such as the CO</w:t>
      </w:r>
      <w:r>
        <w:rPr>
          <w:rFonts w:ascii="Times New Roman" w:hAnsi="Times New Roman" w:cs="Times New Roman"/>
          <w:noProof/>
          <w:vertAlign w:val="subscript"/>
        </w:rPr>
        <w:t>2</w:t>
      </w:r>
      <w:r>
        <w:rPr>
          <w:rFonts w:ascii="Times New Roman" w:hAnsi="Times New Roman" w:cs="Times New Roman"/>
          <w:noProof/>
        </w:rPr>
        <w:t xml:space="preserve"> emission performance standards for cars and vans. Stricter requirements for manufacturers can be combined with a better certainty of demand for vehicles. This interplay would be lost. Third, against this background, a reduction of scope would send a wrong policy signal to public authorities. Following the trend of the last years (see table 2.2) it could incentivise a stronger switch to petrol cars, with further impacts of emissions of CO</w:t>
      </w:r>
      <w:r>
        <w:rPr>
          <w:rFonts w:ascii="Times New Roman" w:hAnsi="Times New Roman" w:cs="Times New Roman"/>
          <w:noProof/>
          <w:vertAlign w:val="subscript"/>
        </w:rPr>
        <w:t>2.</w:t>
      </w:r>
    </w:p>
    <w:p w:rsidR="002E508F" w:rsidRDefault="005D0A03">
      <w:pPr>
        <w:spacing w:line="240" w:lineRule="auto"/>
        <w:jc w:val="both"/>
        <w:rPr>
          <w:rFonts w:ascii="Times New Roman" w:hAnsi="Times New Roman" w:cs="Times New Roman"/>
          <w:iCs/>
          <w:noProof/>
          <w:lang w:val="en"/>
        </w:rPr>
      </w:pPr>
      <w:r>
        <w:rPr>
          <w:rFonts w:ascii="Times New Roman" w:hAnsi="Times New Roman" w:cs="Times New Roman"/>
          <w:i/>
          <w:iCs/>
          <w:noProof/>
          <w:lang w:val="en"/>
        </w:rPr>
        <w:t xml:space="preserve">Preliminary conclusion: </w:t>
      </w:r>
      <w:r>
        <w:rPr>
          <w:rFonts w:ascii="Times New Roman" w:hAnsi="Times New Roman" w:cs="Times New Roman"/>
          <w:iCs/>
          <w:noProof/>
          <w:lang w:val="en"/>
        </w:rPr>
        <w:t xml:space="preserve">discard, because of the perceived need to use all policy levers to support the low-emission mobility transition in all market segments in all Member States, in spite of the principal relevance to focus efforts on priority areas. </w:t>
      </w:r>
    </w:p>
    <w:p w:rsidR="002E508F" w:rsidRDefault="005D0A03">
      <w:pPr>
        <w:pStyle w:val="Heading3"/>
        <w:rPr>
          <w:noProof/>
        </w:rPr>
      </w:pPr>
      <w:bookmarkStart w:id="32" w:name="_Toc497141489"/>
      <w:r>
        <w:rPr>
          <w:noProof/>
        </w:rPr>
        <w:t>Potential measures to ensure simplified, more effective to use provisions</w:t>
      </w:r>
      <w:bookmarkEnd w:id="32"/>
      <w:r>
        <w:rPr>
          <w:noProof/>
        </w:rPr>
        <w:t xml:space="preserve"> </w:t>
      </w:r>
    </w:p>
    <w:p w:rsidR="002E508F" w:rsidRDefault="005D0A03">
      <w:pPr>
        <w:spacing w:line="240" w:lineRule="auto"/>
        <w:jc w:val="both"/>
        <w:rPr>
          <w:rFonts w:ascii="Times New Roman" w:hAnsi="Times New Roman" w:cs="Times New Roman"/>
          <w:noProof/>
          <w:szCs w:val="20"/>
        </w:rPr>
      </w:pPr>
      <w:r>
        <w:rPr>
          <w:rFonts w:ascii="Times New Roman" w:hAnsi="Times New Roman" w:cs="Times New Roman"/>
          <w:noProof/>
          <w:szCs w:val="20"/>
        </w:rPr>
        <w:t xml:space="preserve">The focus was on pre-screening measures to revise the monetisation methodology.   </w:t>
      </w:r>
    </w:p>
    <w:p w:rsidR="002E508F" w:rsidRDefault="005D0A03">
      <w:pPr>
        <w:spacing w:line="240" w:lineRule="auto"/>
        <w:jc w:val="both"/>
        <w:rPr>
          <w:rFonts w:ascii="Times New Roman" w:hAnsi="Times New Roman" w:cs="Times New Roman"/>
          <w:noProof/>
          <w:szCs w:val="20"/>
        </w:rPr>
      </w:pPr>
      <w:r>
        <w:rPr>
          <w:rFonts w:ascii="Times New Roman" w:hAnsi="Times New Roman" w:cs="Times New Roman"/>
          <w:noProof/>
          <w:szCs w:val="20"/>
        </w:rPr>
        <w:t xml:space="preserve">Six main measures were presented and discussed: </w:t>
      </w:r>
    </w:p>
    <w:p w:rsidR="002E508F" w:rsidRDefault="005D0A03">
      <w:pPr>
        <w:spacing w:line="240" w:lineRule="auto"/>
        <w:jc w:val="both"/>
        <w:rPr>
          <w:rFonts w:ascii="Times New Roman" w:hAnsi="Times New Roman" w:cs="Times New Roman"/>
          <w:noProof/>
          <w:szCs w:val="20"/>
          <w:u w:val="single"/>
        </w:rPr>
      </w:pPr>
      <w:r>
        <w:rPr>
          <w:rFonts w:ascii="Times New Roman" w:hAnsi="Times New Roman" w:cs="Times New Roman"/>
          <w:noProof/>
          <w:szCs w:val="20"/>
          <w:u w:val="single"/>
        </w:rPr>
        <w:t>1. Discard the current monetisation methodology</w:t>
      </w:r>
    </w:p>
    <w:p w:rsidR="002E508F" w:rsidRDefault="005D0A03">
      <w:pPr>
        <w:spacing w:line="240" w:lineRule="auto"/>
        <w:jc w:val="both"/>
        <w:rPr>
          <w:rFonts w:ascii="Times New Roman" w:hAnsi="Times New Roman" w:cs="Times New Roman"/>
          <w:noProof/>
          <w:szCs w:val="20"/>
        </w:rPr>
      </w:pPr>
      <w:r>
        <w:rPr>
          <w:rFonts w:ascii="Times New Roman" w:hAnsi="Times New Roman" w:cs="Times New Roman"/>
          <w:noProof/>
          <w:szCs w:val="20"/>
        </w:rPr>
        <w:t>This measure would discard the current monetisation methodology.</w:t>
      </w:r>
    </w:p>
    <w:p w:rsidR="002E508F" w:rsidRDefault="005D0A03">
      <w:pPr>
        <w:spacing w:line="240" w:lineRule="auto"/>
        <w:jc w:val="both"/>
        <w:rPr>
          <w:rFonts w:ascii="Times New Roman" w:hAnsi="Times New Roman" w:cs="Times New Roman"/>
          <w:noProof/>
          <w:szCs w:val="20"/>
        </w:rPr>
      </w:pPr>
      <w:r>
        <w:rPr>
          <w:rFonts w:ascii="Times New Roman" w:hAnsi="Times New Roman" w:cs="Times New Roman"/>
          <w:i/>
          <w:noProof/>
          <w:szCs w:val="20"/>
        </w:rPr>
        <w:t xml:space="preserve">Comment: </w:t>
      </w:r>
      <w:r>
        <w:rPr>
          <w:rFonts w:ascii="Times New Roman" w:hAnsi="Times New Roman" w:cs="Times New Roman"/>
          <w:noProof/>
          <w:szCs w:val="20"/>
        </w:rPr>
        <w:t xml:space="preserve">the survey with public and contracting authorities during the 2015 ex-post evaluation showed a limited use of the monetisation methodology. Accordingly, a repeal of the common methodology would lead to a simplification of the implementation of the Directive. The use of monetisation of external cost could still be promoted through adequate guidance documents, reflecting different approaches. It would provide those public bodies that already use different methodologies the opportunity to continue using their tailored approaches. Other public bodies that are principally interested could determine which method would suit their needs. </w:t>
      </w:r>
    </w:p>
    <w:p w:rsidR="002E508F" w:rsidRDefault="005D0A03">
      <w:pPr>
        <w:spacing w:line="240" w:lineRule="auto"/>
        <w:jc w:val="both"/>
        <w:rPr>
          <w:rFonts w:ascii="Times New Roman" w:hAnsi="Times New Roman" w:cs="Times New Roman"/>
          <w:noProof/>
          <w:szCs w:val="20"/>
        </w:rPr>
      </w:pPr>
      <w:r>
        <w:rPr>
          <w:rFonts w:ascii="Times New Roman" w:hAnsi="Times New Roman" w:cs="Times New Roman"/>
          <w:noProof/>
          <w:szCs w:val="20"/>
        </w:rPr>
        <w:t xml:space="preserve">Preliminary conclusion: retain for further analysis, in line with the Inception Impact Assessment. </w:t>
      </w:r>
    </w:p>
    <w:p w:rsidR="002E508F" w:rsidRDefault="005D0A03">
      <w:pPr>
        <w:spacing w:line="240" w:lineRule="auto"/>
        <w:jc w:val="both"/>
        <w:rPr>
          <w:rFonts w:ascii="Times New Roman" w:hAnsi="Times New Roman" w:cs="Times New Roman"/>
          <w:noProof/>
          <w:szCs w:val="20"/>
          <w:u w:val="single"/>
        </w:rPr>
      </w:pPr>
      <w:r>
        <w:rPr>
          <w:rFonts w:ascii="Times New Roman" w:hAnsi="Times New Roman" w:cs="Times New Roman"/>
          <w:noProof/>
          <w:szCs w:val="20"/>
          <w:u w:val="single"/>
        </w:rPr>
        <w:t>2. Change the monetisation methodology into simple financial analysis of lifetime fuel costs</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This measure would replace the current approach to using life-time operational cost with an approach using life-time fuel cost. It could be easier to use, which could support greater use. </w:t>
      </w:r>
    </w:p>
    <w:p w:rsidR="002E508F" w:rsidRDefault="005D0A03">
      <w:pPr>
        <w:spacing w:line="240" w:lineRule="auto"/>
        <w:jc w:val="both"/>
        <w:rPr>
          <w:rFonts w:ascii="Times New Roman" w:hAnsi="Times New Roman" w:cs="Times New Roman"/>
          <w:noProof/>
          <w:szCs w:val="20"/>
        </w:rPr>
      </w:pPr>
      <w:r>
        <w:rPr>
          <w:rFonts w:ascii="Times New Roman" w:hAnsi="Times New Roman" w:cs="Times New Roman"/>
          <w:i/>
          <w:noProof/>
        </w:rPr>
        <w:t>Comment:</w:t>
      </w:r>
      <w:r>
        <w:rPr>
          <w:rFonts w:ascii="Times New Roman" w:hAnsi="Times New Roman" w:cs="Times New Roman"/>
          <w:noProof/>
        </w:rPr>
        <w:t xml:space="preserve"> The approach using life-time fuel cost would tend to confer</w:t>
      </w:r>
      <w:r>
        <w:rPr>
          <w:rFonts w:ascii="Times New Roman" w:hAnsi="Times New Roman" w:cs="Times New Roman"/>
          <w:noProof/>
          <w:szCs w:val="20"/>
        </w:rPr>
        <w:t xml:space="preserve"> an even stronger advantage to diesel vehicles compared to petrol vehicles. It would even more strongly discourage investment into clean vehicles. Fuel duties would also not encourage air pollution reduction. External cost for air pollution would need to be added. </w:t>
      </w:r>
    </w:p>
    <w:p w:rsidR="002E508F" w:rsidRDefault="005D0A03">
      <w:pPr>
        <w:spacing w:line="240" w:lineRule="auto"/>
        <w:jc w:val="both"/>
        <w:rPr>
          <w:rFonts w:ascii="Times New Roman" w:hAnsi="Times New Roman" w:cs="Times New Roman"/>
          <w:noProof/>
          <w:szCs w:val="20"/>
        </w:rPr>
      </w:pPr>
      <w:r>
        <w:rPr>
          <w:rFonts w:ascii="Times New Roman" w:hAnsi="Times New Roman" w:cs="Times New Roman"/>
          <w:i/>
          <w:noProof/>
          <w:szCs w:val="20"/>
        </w:rPr>
        <w:t xml:space="preserve">Preliminary conclusion: </w:t>
      </w:r>
      <w:r>
        <w:rPr>
          <w:rFonts w:ascii="Times New Roman" w:hAnsi="Times New Roman" w:cs="Times New Roman"/>
          <w:noProof/>
          <w:szCs w:val="20"/>
        </w:rPr>
        <w:t xml:space="preserve">discard for further analysis, because it would aggravate the current problem. </w:t>
      </w:r>
    </w:p>
    <w:p w:rsidR="002E508F" w:rsidRDefault="005D0A03">
      <w:pPr>
        <w:spacing w:line="240" w:lineRule="auto"/>
        <w:jc w:val="both"/>
        <w:rPr>
          <w:rFonts w:ascii="Times New Roman" w:hAnsi="Times New Roman" w:cs="Times New Roman"/>
          <w:noProof/>
          <w:szCs w:val="20"/>
          <w:u w:val="single"/>
          <w:vertAlign w:val="subscript"/>
        </w:rPr>
      </w:pPr>
      <w:r>
        <w:rPr>
          <w:rFonts w:ascii="Times New Roman" w:hAnsi="Times New Roman" w:cs="Times New Roman"/>
          <w:noProof/>
          <w:szCs w:val="20"/>
          <w:u w:val="single"/>
        </w:rPr>
        <w:t>3. Update external cost values for air pollutants and CO</w:t>
      </w:r>
      <w:r>
        <w:rPr>
          <w:rFonts w:ascii="Times New Roman" w:hAnsi="Times New Roman" w:cs="Times New Roman"/>
          <w:noProof/>
          <w:szCs w:val="20"/>
          <w:u w:val="single"/>
          <w:vertAlign w:val="subscript"/>
        </w:rPr>
        <w:t>2</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szCs w:val="20"/>
        </w:rPr>
        <w:t>This measure would include updating the emissions cost factors in light of scientific progress and index emissions costs to inflation to avoid erroneously undermining true emission costs, on the basis of the EU handbook on external cost valuation.</w:t>
      </w:r>
      <w:r>
        <w:rPr>
          <w:rFonts w:ascii="Times New Roman" w:hAnsi="Times New Roman" w:cs="Times New Roman"/>
          <w:noProof/>
        </w:rPr>
        <w:t xml:space="preserve"> Updating the values would make the use of the methodology more attractive to authorities as values would better reflect the external costs of vehicles.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Comment:</w:t>
      </w:r>
      <w:r>
        <w:rPr>
          <w:rFonts w:ascii="Times New Roman" w:hAnsi="Times New Roman" w:cs="Times New Roman"/>
          <w:noProof/>
        </w:rPr>
        <w:t xml:space="preserve"> revision of external cost figures is needed. Price values as included in the EU handbook on external cost valuations are considerable higher than those included in the Directive.</w:t>
      </w:r>
      <w:r>
        <w:rPr>
          <w:rStyle w:val="FootnoteReference"/>
          <w:rFonts w:ascii="Times New Roman" w:hAnsi="Times New Roman" w:cs="Times New Roman"/>
          <w:noProof/>
        </w:rPr>
        <w:footnoteReference w:id="63"/>
      </w:r>
      <w:r>
        <w:rPr>
          <w:rFonts w:ascii="Times New Roman" w:hAnsi="Times New Roman" w:cs="Times New Roman"/>
          <w:noProof/>
        </w:rPr>
        <w:t xml:space="preserve"> One also needs to note that CO</w:t>
      </w:r>
      <w:r>
        <w:rPr>
          <w:rFonts w:ascii="Times New Roman" w:hAnsi="Times New Roman" w:cs="Times New Roman"/>
          <w:noProof/>
          <w:vertAlign w:val="subscript"/>
        </w:rPr>
        <w:t>2</w:t>
      </w:r>
      <w:r>
        <w:rPr>
          <w:rFonts w:ascii="Times New Roman" w:hAnsi="Times New Roman" w:cs="Times New Roman"/>
          <w:noProof/>
        </w:rPr>
        <w:t xml:space="preserve"> cost under conventionally fuels would still remain lower. A revision of the current handbook is underway, which could provide a challenge in terms of timing. Revision of values for CO</w:t>
      </w:r>
      <w:r>
        <w:rPr>
          <w:rFonts w:ascii="Times New Roman" w:hAnsi="Times New Roman" w:cs="Times New Roman"/>
          <w:noProof/>
          <w:vertAlign w:val="subscript"/>
        </w:rPr>
        <w:t>2</w:t>
      </w:r>
      <w:r>
        <w:rPr>
          <w:rFonts w:ascii="Times New Roman" w:hAnsi="Times New Roman" w:cs="Times New Roman"/>
          <w:noProof/>
        </w:rPr>
        <w:t xml:space="preserve"> and air pollutants was supported by all key target groups in the consultation phase, including a more regular update of the methodology (83% (n=129) support CO</w:t>
      </w:r>
      <w:r>
        <w:rPr>
          <w:rFonts w:ascii="Times New Roman" w:hAnsi="Times New Roman" w:cs="Times New Roman"/>
          <w:noProof/>
          <w:vertAlign w:val="subscript"/>
        </w:rPr>
        <w:t>2</w:t>
      </w:r>
      <w:r>
        <w:rPr>
          <w:rFonts w:ascii="Times New Roman" w:hAnsi="Times New Roman" w:cs="Times New Roman"/>
          <w:noProof/>
        </w:rPr>
        <w:t xml:space="preserve">, and 90% (n=129) support air pollutants) should the overall approach to monetisation of impacts be kept.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Preliminary conclusion</w:t>
      </w:r>
      <w:r>
        <w:rPr>
          <w:rFonts w:ascii="Times New Roman" w:hAnsi="Times New Roman" w:cs="Times New Roman"/>
          <w:noProof/>
        </w:rPr>
        <w:t>: retain for future analysis, because of the relevance to improve emphasis on air pollutant and CO</w:t>
      </w:r>
      <w:r>
        <w:rPr>
          <w:rFonts w:ascii="Times New Roman" w:hAnsi="Times New Roman" w:cs="Times New Roman"/>
          <w:noProof/>
          <w:vertAlign w:val="subscript"/>
        </w:rPr>
        <w:t>2</w:t>
      </w:r>
      <w:r>
        <w:rPr>
          <w:rFonts w:ascii="Times New Roman" w:hAnsi="Times New Roman" w:cs="Times New Roman"/>
          <w:noProof/>
        </w:rPr>
        <w:t xml:space="preserve"> emissions. </w:t>
      </w:r>
    </w:p>
    <w:p w:rsidR="002E508F" w:rsidRDefault="005D0A03">
      <w:pPr>
        <w:spacing w:line="240" w:lineRule="auto"/>
        <w:jc w:val="both"/>
        <w:rPr>
          <w:rFonts w:ascii="Times New Roman" w:hAnsi="Times New Roman" w:cs="Times New Roman"/>
          <w:noProof/>
          <w:u w:val="single"/>
        </w:rPr>
      </w:pPr>
      <w:r>
        <w:rPr>
          <w:rFonts w:ascii="Times New Roman" w:hAnsi="Times New Roman" w:cs="Times New Roman"/>
          <w:noProof/>
          <w:u w:val="single"/>
        </w:rPr>
        <w:t>4. Using real world vehicle emissions and adjust damage cost to the geography of vehicle use</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This measure would require taking population density into account in the methodology, as well as using real world emission data.</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Comment</w:t>
      </w:r>
      <w:r>
        <w:rPr>
          <w:rFonts w:ascii="Times New Roman" w:hAnsi="Times New Roman" w:cs="Times New Roman"/>
          <w:noProof/>
        </w:rPr>
        <w:t xml:space="preserve">: These measures could help better reflect differences in real world exposure compared to the average, and hence make the use of the methodology more attractive for authorities from the point of view that local context conditions are better represented. However, these measures would considerably increase the complexity of the use of the methodology. They were not consulted.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Preliminary conclusion</w:t>
      </w:r>
      <w:r>
        <w:rPr>
          <w:rFonts w:ascii="Times New Roman" w:hAnsi="Times New Roman" w:cs="Times New Roman"/>
          <w:noProof/>
        </w:rPr>
        <w:t>: discard for future analysis, because of complexity increases.</w:t>
      </w:r>
    </w:p>
    <w:p w:rsidR="002E508F" w:rsidRDefault="005D0A03">
      <w:pPr>
        <w:spacing w:line="240" w:lineRule="auto"/>
        <w:jc w:val="both"/>
        <w:rPr>
          <w:rFonts w:ascii="Times New Roman" w:hAnsi="Times New Roman" w:cs="Times New Roman"/>
          <w:noProof/>
          <w:u w:val="single"/>
        </w:rPr>
      </w:pPr>
      <w:r>
        <w:rPr>
          <w:rFonts w:ascii="Times New Roman" w:hAnsi="Times New Roman" w:cs="Times New Roman"/>
          <w:noProof/>
          <w:u w:val="single"/>
        </w:rPr>
        <w:t xml:space="preserve">5. Include noise emissions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Under this measure, damage cost from noise emissions from vehicles would be added as a relevant impact to the monetisation methodology.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Comment:</w:t>
      </w:r>
      <w:r>
        <w:rPr>
          <w:rFonts w:ascii="Times New Roman" w:hAnsi="Times New Roman" w:cs="Times New Roman"/>
          <w:noProof/>
        </w:rPr>
        <w:t xml:space="preserve"> A slight majority of respondents to the public consultation regarded this option as important (22.6% as very important, 29.6% as important (n=130). However, further discussion with experts and further analysis as part of the Impact Assessment Support Study underlined the complexity of the exercise. </w:t>
      </w:r>
      <w:r>
        <w:rPr>
          <w:rFonts w:ascii="Times New Roman" w:hAnsi="Times New Roman" w:cs="Times New Roman"/>
          <w:noProof/>
          <w:szCs w:val="20"/>
        </w:rPr>
        <w:t xml:space="preserve">The reduction potential in marginal noise damage costs is difficult to assess as it is context-dependent on the number and level of noise emissions of the other surrounding vehicles. </w:t>
      </w:r>
      <w:r>
        <w:rPr>
          <w:rFonts w:ascii="Times New Roman" w:hAnsi="Times New Roman" w:cs="Times New Roman"/>
          <w:noProof/>
        </w:rPr>
        <w:t xml:space="preserve">There is currently no widely agreed set of vehicle-noise related damage cost data available.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 xml:space="preserve">Preliminary conclusion: </w:t>
      </w:r>
      <w:r>
        <w:rPr>
          <w:rFonts w:ascii="Times New Roman" w:hAnsi="Times New Roman" w:cs="Times New Roman"/>
          <w:noProof/>
        </w:rPr>
        <w:t xml:space="preserve">Discard for future analysis, because of concerns about applicability. </w:t>
      </w:r>
    </w:p>
    <w:p w:rsidR="002E508F" w:rsidRDefault="005D0A03">
      <w:pPr>
        <w:spacing w:line="240" w:lineRule="auto"/>
        <w:jc w:val="both"/>
        <w:rPr>
          <w:rFonts w:ascii="Times New Roman" w:hAnsi="Times New Roman" w:cs="Times New Roman"/>
          <w:noProof/>
          <w:u w:val="single"/>
        </w:rPr>
      </w:pPr>
      <w:r>
        <w:rPr>
          <w:rFonts w:ascii="Times New Roman" w:hAnsi="Times New Roman" w:cs="Times New Roman"/>
          <w:noProof/>
          <w:u w:val="single"/>
        </w:rPr>
        <w:t>6. Require a mandatory use of the monetisation methodology</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This measure would require a mandatory use of the monetisation methodology for monetisation of impacts of road vehicles. Alternatively, if the current approach to set up technical specifications was abolished and no definition of a clean vehicles were to be introduced, the approach to monetise environmental and energy impacts would become the sole approach to be used by authorities.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 xml:space="preserve">Comment: </w:t>
      </w:r>
      <w:r>
        <w:rPr>
          <w:rFonts w:ascii="Times New Roman" w:hAnsi="Times New Roman" w:cs="Times New Roman"/>
          <w:noProof/>
        </w:rPr>
        <w:t xml:space="preserve">this approach would substantially change the current policy framework for clean vehicle procurement at European level. The lack of a requirement to use this approach to internalising operational life time cost has led to its limited use. It could potentially lead to a strong impact in terms of market uptake of clean vehicles, provided that the updated figures adequately improve the relevance of environmental impacts in the methodology. However, it will also substantially increase the administrative burden for public and private actors, at least initially. </w:t>
      </w:r>
    </w:p>
    <w:p w:rsidR="002E508F" w:rsidRDefault="005D0A03">
      <w:pPr>
        <w:spacing w:line="240" w:lineRule="auto"/>
        <w:jc w:val="both"/>
        <w:rPr>
          <w:rFonts w:ascii="Times New Roman" w:hAnsi="Times New Roman" w:cs="Times New Roman"/>
          <w:noProof/>
        </w:rPr>
      </w:pPr>
      <w:r>
        <w:rPr>
          <w:rFonts w:ascii="Times New Roman" w:hAnsi="Times New Roman" w:cs="Times New Roman"/>
          <w:i/>
          <w:noProof/>
        </w:rPr>
        <w:t>Preliminary conclusion:</w:t>
      </w:r>
      <w:r>
        <w:rPr>
          <w:rFonts w:ascii="Times New Roman" w:hAnsi="Times New Roman" w:cs="Times New Roman"/>
          <w:noProof/>
        </w:rPr>
        <w:t xml:space="preserve"> retain for analysis, because of the potential impact on vehicle procurement. </w:t>
      </w:r>
    </w:p>
    <w:p w:rsidR="002E508F" w:rsidRDefault="005D0A03">
      <w:pPr>
        <w:pStyle w:val="Heading2"/>
        <w:rPr>
          <w:noProof/>
        </w:rPr>
      </w:pPr>
      <w:bookmarkStart w:id="33" w:name="_Toc497141490"/>
      <w:r>
        <w:rPr>
          <w:noProof/>
        </w:rPr>
        <w:t>Principle approaches to the design of policy options</w:t>
      </w:r>
      <w:bookmarkEnd w:id="33"/>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approaches to the design of policy options follow the specific policy objectives of this initiative (section 4.1). Policy options should address all the objectives, at least to some extent. The measures retained after the pre-screening offer three principal approaches (section 5.1) to address the three specific policy objectives: </w:t>
      </w:r>
    </w:p>
    <w:p w:rsidR="002E508F" w:rsidRDefault="005D0A03">
      <w:pPr>
        <w:pStyle w:val="ListParagraph"/>
        <w:numPr>
          <w:ilvl w:val="0"/>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varying the </w:t>
      </w:r>
      <w:r>
        <w:rPr>
          <w:rFonts w:ascii="Times New Roman" w:hAnsi="Times New Roman" w:cs="Times New Roman"/>
          <w:noProof/>
          <w:u w:val="single"/>
        </w:rPr>
        <w:t>overall scope</w:t>
      </w:r>
      <w:r>
        <w:rPr>
          <w:rFonts w:ascii="Times New Roman" w:hAnsi="Times New Roman" w:cs="Times New Roman"/>
          <w:noProof/>
        </w:rPr>
        <w:t xml:space="preserve"> of the Clean Vehicles Directive: it will lead to an increase in the volume of contracts that are affected by the Directive (SPO1). Measures retained after the pre-screening include extending the scope to vehicles rented, leased or hire-purchased as well as to extend to specific transport service contracts other than public passenger transport. </w:t>
      </w:r>
    </w:p>
    <w:p w:rsidR="002E508F" w:rsidRDefault="005D0A03">
      <w:pPr>
        <w:pStyle w:val="ListParagraph"/>
        <w:numPr>
          <w:ilvl w:val="0"/>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varying the level of ambition and scale of requirements for vehicle purchase in the Clean Vehicle Directive will lead to a greater number of clean vehicles procured (SPO2). Measures retained after the pre-screening included approaches to setting up a definition of clean vehicles and to setting up a target for minimum procurement requirements, including different possibilities for differentiating between Member States and between light- and heavy-duty transport vehicles as well as different approaches to review the monetisation methodology. </w:t>
      </w:r>
    </w:p>
    <w:p w:rsidR="002E508F" w:rsidRDefault="005D0A03">
      <w:pPr>
        <w:pStyle w:val="ListParagraph"/>
        <w:numPr>
          <w:ilvl w:val="0"/>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varying the level of obligation for public bodies will affect the effectiveness of use of the Directive (SPO3). It considers the degree to which a revision of the Clean Vehicles Directive intervenes into the content and process of procurement by public bodies. The measures retained after the pre-screening include using the legal instrument of a Directive (which can be varied in the detail of its provisions) or a Regulation. Furthermore, a repeal of the Directive provides the opposite possibility for fully reducing the level of obligation.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These three principal approaches should be combined in the design of policy options, to the extent possible. Wherever possible, the scale of policy ambition should be raised linearly. Annex 5 provides further detail information. </w:t>
      </w:r>
    </w:p>
    <w:p w:rsidR="002E508F" w:rsidRDefault="005D0A03">
      <w:pPr>
        <w:pStyle w:val="Heading2"/>
        <w:rPr>
          <w:noProof/>
        </w:rPr>
      </w:pPr>
      <w:bookmarkStart w:id="34" w:name="_Toc497141491"/>
      <w:r>
        <w:rPr>
          <w:noProof/>
        </w:rPr>
        <w:t>Policy options</w:t>
      </w:r>
      <w:bookmarkEnd w:id="34"/>
    </w:p>
    <w:p w:rsidR="002E508F" w:rsidRDefault="005D0A03">
      <w:pPr>
        <w:pStyle w:val="Heading3"/>
        <w:rPr>
          <w:noProof/>
        </w:rPr>
      </w:pPr>
      <w:bookmarkStart w:id="35" w:name="_Toc497141492"/>
      <w:r>
        <w:rPr>
          <w:noProof/>
        </w:rPr>
        <w:t>Overview of policy options</w:t>
      </w:r>
      <w:bookmarkEnd w:id="35"/>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From the analysis in section 5.1 it appears that the specific objectives for this initiative could be addressed by using different combinations of the screened policy measures in form of different policy options. In addition, the Inception Impact Assessment has noted that at least one policy option should include the monetisation methodology as the only option and that at least one policy option should include a clean vehicle definition and related minimum action requirements as the only option. The pre-screening also illustrated that there are several appropriate criteria for defining a clean vehicle.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Policy options have been designed in a way that they reflect an increasing level of ambition, but also an increasing level of intervention (see table 5.1)</w:t>
      </w:r>
    </w:p>
    <w:p w:rsidR="002E508F" w:rsidRDefault="005D0A03">
      <w:pPr>
        <w:autoSpaceDE w:val="0"/>
        <w:autoSpaceDN w:val="0"/>
        <w:adjustRightInd w:val="0"/>
        <w:spacing w:line="240" w:lineRule="auto"/>
        <w:jc w:val="both"/>
        <w:rPr>
          <w:rFonts w:ascii="Times New Roman" w:hAnsi="Times New Roman" w:cs="Times New Roman"/>
          <w:b/>
          <w:noProof/>
        </w:rPr>
      </w:pPr>
      <w:r>
        <w:rPr>
          <w:rFonts w:ascii="Times New Roman" w:hAnsi="Times New Roman" w:cs="Times New Roman"/>
          <w:b/>
          <w:noProof/>
        </w:rPr>
        <w:t>Table 5.1 Overview of policy options</w:t>
      </w:r>
    </w:p>
    <w:tbl>
      <w:tblPr>
        <w:tblStyle w:val="TableGrid"/>
        <w:tblW w:w="9322" w:type="dxa"/>
        <w:tblLayout w:type="fixed"/>
        <w:tblLook w:val="04A0" w:firstRow="1" w:lastRow="0" w:firstColumn="1" w:lastColumn="0" w:noHBand="0" w:noVBand="1"/>
      </w:tblPr>
      <w:tblGrid>
        <w:gridCol w:w="675"/>
        <w:gridCol w:w="6237"/>
        <w:gridCol w:w="1134"/>
        <w:gridCol w:w="1276"/>
      </w:tblGrid>
      <w:tr w:rsidR="002E508F">
        <w:tc>
          <w:tcPr>
            <w:tcW w:w="675" w:type="dxa"/>
          </w:tcPr>
          <w:p w:rsidR="002E508F" w:rsidRDefault="005D0A03">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Nr.</w:t>
            </w:r>
          </w:p>
        </w:tc>
        <w:tc>
          <w:tcPr>
            <w:tcW w:w="6237" w:type="dxa"/>
          </w:tcPr>
          <w:p w:rsidR="002E508F" w:rsidRDefault="005D0A03">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Policy option description</w:t>
            </w:r>
          </w:p>
        </w:tc>
        <w:tc>
          <w:tcPr>
            <w:tcW w:w="1134" w:type="dxa"/>
          </w:tcPr>
          <w:p w:rsidR="002E508F" w:rsidRDefault="005D0A03">
            <w:pPr>
              <w:spacing w:line="240" w:lineRule="auto"/>
              <w:rPr>
                <w:rFonts w:ascii="Times New Roman" w:hAnsi="Times New Roman" w:cs="Times New Roman"/>
                <w:b/>
                <w:noProof/>
                <w:sz w:val="20"/>
                <w:szCs w:val="20"/>
              </w:rPr>
            </w:pPr>
            <w:r>
              <w:rPr>
                <w:rFonts w:ascii="Times New Roman" w:hAnsi="Times New Roman" w:cs="Times New Roman"/>
                <w:b/>
                <w:noProof/>
                <w:sz w:val="20"/>
                <w:szCs w:val="20"/>
              </w:rPr>
              <w:t>Degree of ambition</w:t>
            </w:r>
          </w:p>
        </w:tc>
        <w:tc>
          <w:tcPr>
            <w:tcW w:w="1276" w:type="dxa"/>
          </w:tcPr>
          <w:p w:rsidR="002E508F" w:rsidRDefault="005D0A03">
            <w:pPr>
              <w:spacing w:line="240" w:lineRule="auto"/>
              <w:rPr>
                <w:rFonts w:ascii="Times New Roman" w:hAnsi="Times New Roman" w:cs="Times New Roman"/>
                <w:b/>
                <w:noProof/>
                <w:sz w:val="20"/>
                <w:szCs w:val="20"/>
              </w:rPr>
            </w:pPr>
            <w:r>
              <w:rPr>
                <w:rFonts w:ascii="Times New Roman" w:hAnsi="Times New Roman" w:cs="Times New Roman"/>
                <w:b/>
                <w:noProof/>
                <w:sz w:val="20"/>
                <w:szCs w:val="20"/>
              </w:rPr>
              <w:t>Level of intervention</w:t>
            </w:r>
          </w:p>
        </w:tc>
      </w:tr>
      <w:tr w:rsidR="002E508F">
        <w:tc>
          <w:tcPr>
            <w:tcW w:w="675" w:type="dxa"/>
          </w:tcPr>
          <w:p w:rsidR="002E508F" w:rsidRDefault="005D0A03">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PO1</w:t>
            </w:r>
          </w:p>
        </w:tc>
        <w:tc>
          <w:tcPr>
            <w:tcW w:w="6237"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This policy option repeals the Clean Vehicles Directive. Support to public authorities and the market is provided through soft policy measures such as guidance, recommendations and voluntary policy initiatives.</w:t>
            </w:r>
          </w:p>
        </w:tc>
        <w:tc>
          <w:tcPr>
            <w:tcW w:w="1134"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c>
          <w:tcPr>
            <w:tcW w:w="1276"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r>
      <w:tr w:rsidR="002E508F">
        <w:tc>
          <w:tcPr>
            <w:tcW w:w="675" w:type="dxa"/>
          </w:tcPr>
          <w:p w:rsidR="002E508F" w:rsidRDefault="005D0A03">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PO2</w:t>
            </w:r>
          </w:p>
        </w:tc>
        <w:tc>
          <w:tcPr>
            <w:tcW w:w="6237"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This policy option lightly revises the Clean Vehicles Directive. It introduces a definition of clean vehicles and sets up a requirement for Member States to adopt a national policy framework that should set an ambition level for 2030. However, setting the level of ambition and the scope is the entire responsibility of Member States. The policy option also includes a possibility to use a revised monetisation methodology. Member States have to make a binding choice between the approach of using the clean vehicle definition and national policy frameworks and the approach of using the revised monetisation methodology. The scope of the Directive is not changed, but it does not preclude the inclusion of other contracts (such as rent, lease, hire-purchase, or transport services) into the national policy frameworks by Member States, which should be recommended.</w:t>
            </w:r>
          </w:p>
        </w:tc>
        <w:tc>
          <w:tcPr>
            <w:tcW w:w="1134"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c>
          <w:tcPr>
            <w:tcW w:w="1276"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softHyphen/>
            </w:r>
            <w:r>
              <w:rPr>
                <w:rFonts w:ascii="Times New Roman" w:hAnsi="Times New Roman" w:cs="Times New Roman"/>
                <w:noProof/>
                <w:sz w:val="20"/>
                <w:szCs w:val="20"/>
              </w:rPr>
              <w:softHyphen/>
              <w:t>+</w:t>
            </w:r>
          </w:p>
        </w:tc>
      </w:tr>
      <w:tr w:rsidR="002E508F">
        <w:tc>
          <w:tcPr>
            <w:tcW w:w="675" w:type="dxa"/>
          </w:tcPr>
          <w:p w:rsidR="002E508F" w:rsidRDefault="005D0A03">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PO3*</w:t>
            </w:r>
          </w:p>
        </w:tc>
        <w:tc>
          <w:tcPr>
            <w:tcW w:w="6237"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This option thoroughly revises the Clean Vehicles Directive. It extends the scope of the Directive to vehicles rented, leased or hire-purchased as well as specific transport service contracts. It sets up a clean vehicles definition and sets up related minimum procurement target, based on an emission-based threshold combing CO</w:t>
            </w:r>
            <w:r>
              <w:rPr>
                <w:rFonts w:ascii="Times New Roman" w:hAnsi="Times New Roman" w:cs="Times New Roman"/>
                <w:noProof/>
                <w:sz w:val="20"/>
                <w:szCs w:val="20"/>
                <w:vertAlign w:val="subscript"/>
              </w:rPr>
              <w:t>2</w:t>
            </w:r>
            <w:r>
              <w:rPr>
                <w:rFonts w:ascii="Times New Roman" w:hAnsi="Times New Roman" w:cs="Times New Roman"/>
                <w:noProof/>
                <w:sz w:val="20"/>
                <w:szCs w:val="20"/>
              </w:rPr>
              <w:t xml:space="preserve"> and air pollutant thresholds for light-duty vehicles. It does not set up such a definition for heavy-duty vehicles, as emissions from these vehicles are not regulated. Two different sub-options test impacts of a moderate (PO3a) and a high (PO3b) policy ambition.</w:t>
            </w:r>
          </w:p>
        </w:tc>
        <w:tc>
          <w:tcPr>
            <w:tcW w:w="1134"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c>
          <w:tcPr>
            <w:tcW w:w="1276"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r>
      <w:tr w:rsidR="002E508F">
        <w:tc>
          <w:tcPr>
            <w:tcW w:w="675" w:type="dxa"/>
          </w:tcPr>
          <w:p w:rsidR="002E508F" w:rsidRDefault="005D0A03">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PO4*</w:t>
            </w:r>
          </w:p>
        </w:tc>
        <w:tc>
          <w:tcPr>
            <w:tcW w:w="6237"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This option thoroughly revises the Clean Vehicles Directive. It extends the scope to vehicles rented, leased or hire-purchased as well as specific transport service contracts. It sets up a clean vehicles definition and sets up related minimum procurement target, based on an alternative fuels basis for light- and heavy-duty vehicles. Two different sub-options test impacts of a moderate- (PO4a) and a high (PO4b) policy ambition. </w:t>
            </w:r>
          </w:p>
        </w:tc>
        <w:tc>
          <w:tcPr>
            <w:tcW w:w="1134"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c>
          <w:tcPr>
            <w:tcW w:w="1276"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r>
      <w:tr w:rsidR="002E508F">
        <w:tc>
          <w:tcPr>
            <w:tcW w:w="675" w:type="dxa"/>
          </w:tcPr>
          <w:p w:rsidR="002E508F" w:rsidRDefault="005D0A03">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PO5</w:t>
            </w:r>
          </w:p>
        </w:tc>
        <w:tc>
          <w:tcPr>
            <w:tcW w:w="6237"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This option replaces the Clean Vehicles Directive with a Regulation that prescribes to public bodies the use of a revised monetisation methodology to set monetised impacts as the award criteria for vehicle procurement. It is also based on an extended scope like in PO3 and PO4.</w:t>
            </w:r>
          </w:p>
        </w:tc>
        <w:tc>
          <w:tcPr>
            <w:tcW w:w="1134"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c>
          <w:tcPr>
            <w:tcW w:w="1276"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r>
      <w:tr w:rsidR="002E508F">
        <w:tc>
          <w:tcPr>
            <w:tcW w:w="675" w:type="dxa"/>
          </w:tcPr>
          <w:p w:rsidR="002E508F" w:rsidRDefault="005D0A03">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PO6**</w:t>
            </w:r>
          </w:p>
        </w:tc>
        <w:tc>
          <w:tcPr>
            <w:tcW w:w="6237"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This option combines the approach to addressing light-duty vehicles in PO3 with the approach to addressing heavy-duty vehicles in PO4, while enabling the Commission to use a delegated to set-up CO</w:t>
            </w:r>
            <w:r>
              <w:rPr>
                <w:rFonts w:ascii="Times New Roman" w:hAnsi="Times New Roman" w:cs="Times New Roman"/>
                <w:noProof/>
                <w:sz w:val="20"/>
                <w:szCs w:val="20"/>
                <w:vertAlign w:val="subscript"/>
              </w:rPr>
              <w:t>2</w:t>
            </w:r>
            <w:r>
              <w:rPr>
                <w:rFonts w:ascii="Times New Roman" w:hAnsi="Times New Roman" w:cs="Times New Roman"/>
                <w:noProof/>
                <w:sz w:val="20"/>
                <w:szCs w:val="20"/>
              </w:rPr>
              <w:t xml:space="preserve"> and air pollutant thresholds for heavy-duty vehicles once the regulatory requirements have been set at European level. In terms of scope it follows the same approach as PO3 and PO4 </w:t>
            </w:r>
          </w:p>
        </w:tc>
        <w:tc>
          <w:tcPr>
            <w:tcW w:w="1134"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c>
          <w:tcPr>
            <w:tcW w:w="1276" w:type="dxa"/>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r>
    </w:tbl>
    <w:p w:rsidR="002E508F" w:rsidRDefault="005D0A03">
      <w:pPr>
        <w:spacing w:after="0" w:line="240" w:lineRule="auto"/>
        <w:jc w:val="both"/>
        <w:rPr>
          <w:rFonts w:ascii="Times New Roman" w:hAnsi="Times New Roman" w:cs="Times New Roman"/>
          <w:i/>
          <w:noProof/>
          <w:sz w:val="20"/>
          <w:szCs w:val="20"/>
        </w:rPr>
      </w:pPr>
      <w:r>
        <w:rPr>
          <w:rFonts w:ascii="Times New Roman" w:hAnsi="Times New Roman" w:cs="Times New Roman"/>
          <w:i/>
          <w:noProof/>
          <w:sz w:val="20"/>
          <w:szCs w:val="20"/>
        </w:rPr>
        <w:t xml:space="preserve">-     </w:t>
      </w:r>
      <w:r>
        <w:rPr>
          <w:rFonts w:ascii="Times New Roman" w:hAnsi="Times New Roman" w:cs="Times New Roman"/>
          <w:i/>
          <w:noProof/>
          <w:sz w:val="20"/>
          <w:szCs w:val="20"/>
        </w:rPr>
        <w:tab/>
        <w:t>less compared to the status quo</w:t>
      </w:r>
    </w:p>
    <w:p w:rsidR="002E508F" w:rsidRDefault="005D0A03">
      <w:pPr>
        <w:spacing w:after="0" w:line="240" w:lineRule="auto"/>
        <w:jc w:val="both"/>
        <w:rPr>
          <w:rFonts w:ascii="Times New Roman" w:hAnsi="Times New Roman" w:cs="Times New Roman"/>
          <w:i/>
          <w:noProof/>
          <w:sz w:val="20"/>
          <w:szCs w:val="20"/>
        </w:rPr>
      </w:pPr>
      <w:r>
        <w:rPr>
          <w:rFonts w:ascii="Times New Roman" w:hAnsi="Times New Roman" w:cs="Times New Roman"/>
          <w:i/>
          <w:noProof/>
          <w:sz w:val="20"/>
          <w:szCs w:val="20"/>
        </w:rPr>
        <w:t xml:space="preserve">+   </w:t>
      </w:r>
      <w:r>
        <w:rPr>
          <w:rFonts w:ascii="Times New Roman" w:hAnsi="Times New Roman" w:cs="Times New Roman"/>
          <w:i/>
          <w:noProof/>
          <w:sz w:val="20"/>
          <w:szCs w:val="20"/>
        </w:rPr>
        <w:tab/>
        <w:t>moderate increase compared to the status quo</w:t>
      </w:r>
    </w:p>
    <w:p w:rsidR="002E508F" w:rsidRDefault="005D0A03">
      <w:pPr>
        <w:spacing w:after="0" w:line="240" w:lineRule="auto"/>
        <w:jc w:val="both"/>
        <w:rPr>
          <w:rFonts w:ascii="Times New Roman" w:hAnsi="Times New Roman" w:cs="Times New Roman"/>
          <w:i/>
          <w:noProof/>
          <w:sz w:val="20"/>
          <w:szCs w:val="20"/>
        </w:rPr>
      </w:pPr>
      <w:r>
        <w:rPr>
          <w:rFonts w:ascii="Times New Roman" w:hAnsi="Times New Roman" w:cs="Times New Roman"/>
          <w:i/>
          <w:noProof/>
          <w:sz w:val="20"/>
          <w:szCs w:val="20"/>
        </w:rPr>
        <w:t xml:space="preserve">++ </w:t>
      </w:r>
      <w:r>
        <w:rPr>
          <w:rFonts w:ascii="Times New Roman" w:hAnsi="Times New Roman" w:cs="Times New Roman"/>
          <w:i/>
          <w:noProof/>
          <w:sz w:val="20"/>
          <w:szCs w:val="20"/>
        </w:rPr>
        <w:tab/>
        <w:t>stronger increase compared to the status quo</w:t>
      </w:r>
    </w:p>
    <w:p w:rsidR="002E508F" w:rsidRDefault="005D0A03">
      <w:pPr>
        <w:spacing w:after="0" w:line="240" w:lineRule="auto"/>
        <w:jc w:val="both"/>
        <w:rPr>
          <w:rFonts w:ascii="Times New Roman" w:hAnsi="Times New Roman" w:cs="Times New Roman"/>
          <w:i/>
          <w:noProof/>
          <w:sz w:val="20"/>
          <w:szCs w:val="20"/>
        </w:rPr>
      </w:pPr>
      <w:r>
        <w:rPr>
          <w:rFonts w:ascii="Times New Roman" w:hAnsi="Times New Roman" w:cs="Times New Roman"/>
          <w:i/>
          <w:noProof/>
          <w:sz w:val="20"/>
          <w:szCs w:val="20"/>
        </w:rPr>
        <w:t>+++</w:t>
      </w:r>
      <w:r>
        <w:rPr>
          <w:rFonts w:ascii="Times New Roman" w:hAnsi="Times New Roman" w:cs="Times New Roman"/>
          <w:i/>
          <w:noProof/>
          <w:sz w:val="20"/>
          <w:szCs w:val="20"/>
        </w:rPr>
        <w:tab/>
        <w:t>stronger increase compared to the status quo</w:t>
      </w:r>
      <w:r>
        <w:rPr>
          <w:rFonts w:ascii="Times New Roman" w:hAnsi="Times New Roman" w:cs="Times New Roman"/>
          <w:i/>
          <w:noProof/>
          <w:sz w:val="20"/>
          <w:szCs w:val="20"/>
        </w:rPr>
        <w:tab/>
      </w:r>
    </w:p>
    <w:p w:rsidR="002E508F" w:rsidRDefault="005D0A03">
      <w:pPr>
        <w:spacing w:after="0" w:line="240" w:lineRule="auto"/>
        <w:jc w:val="both"/>
        <w:rPr>
          <w:rFonts w:ascii="Times New Roman" w:hAnsi="Times New Roman" w:cs="Times New Roman"/>
          <w:i/>
          <w:noProof/>
          <w:sz w:val="20"/>
          <w:szCs w:val="20"/>
        </w:rPr>
      </w:pPr>
      <w:r>
        <w:rPr>
          <w:rFonts w:ascii="Times New Roman" w:hAnsi="Times New Roman" w:cs="Times New Roman"/>
          <w:i/>
          <w:noProof/>
          <w:sz w:val="20"/>
          <w:szCs w:val="20"/>
        </w:rPr>
        <w:t>++++</w:t>
      </w:r>
      <w:r>
        <w:rPr>
          <w:rFonts w:ascii="Times New Roman" w:hAnsi="Times New Roman" w:cs="Times New Roman"/>
          <w:i/>
          <w:noProof/>
          <w:sz w:val="20"/>
          <w:szCs w:val="20"/>
        </w:rPr>
        <w:tab/>
        <w:t>strong increase compared to the status quo</w:t>
      </w:r>
    </w:p>
    <w:p w:rsidR="002E508F" w:rsidRDefault="005D0A03">
      <w:pPr>
        <w:spacing w:after="0" w:line="240" w:lineRule="auto"/>
        <w:jc w:val="both"/>
        <w:rPr>
          <w:rFonts w:ascii="Times New Roman" w:hAnsi="Times New Roman" w:cs="Times New Roman"/>
          <w:i/>
          <w:noProof/>
        </w:rPr>
      </w:pPr>
      <w:r>
        <w:rPr>
          <w:rFonts w:ascii="Times New Roman" w:hAnsi="Times New Roman" w:cs="Times New Roman"/>
          <w:i/>
          <w:noProof/>
        </w:rPr>
        <w:t>* the differentiation in the level of policy ambition and level of intervention among PO3 and PO4 is due to the fact that PO4 considers both light- and heavy-duty vehicles, whereas PO3 only considers light-duty vehicles.</w:t>
      </w:r>
    </w:p>
    <w:p w:rsidR="002E508F" w:rsidRDefault="005D0A03">
      <w:pPr>
        <w:spacing w:line="240" w:lineRule="auto"/>
        <w:jc w:val="both"/>
        <w:rPr>
          <w:rFonts w:ascii="Times New Roman" w:hAnsi="Times New Roman" w:cs="Times New Roman"/>
          <w:i/>
          <w:noProof/>
        </w:rPr>
      </w:pPr>
      <w:r>
        <w:rPr>
          <w:rFonts w:ascii="Times New Roman" w:hAnsi="Times New Roman" w:cs="Times New Roman"/>
          <w:i/>
          <w:noProof/>
        </w:rPr>
        <w:t xml:space="preserve">** PO6 has a decrease in ambition compared to PO5, as it was added to the list of options a bit later. </w:t>
      </w:r>
      <w:r>
        <w:rPr>
          <w:rFonts w:ascii="Times New Roman" w:hAnsi="Times New Roman" w:cs="Times New Roman"/>
          <w:i/>
          <w:noProof/>
        </w:rPr>
        <w:br/>
        <w:t xml:space="preserve">Source: Own analysis  </w:t>
      </w:r>
    </w:p>
    <w:p w:rsidR="002E508F" w:rsidRDefault="005D0A03">
      <w:pPr>
        <w:spacing w:line="240" w:lineRule="auto"/>
        <w:jc w:val="both"/>
        <w:rPr>
          <w:rFonts w:ascii="Times New Roman" w:hAnsi="Times New Roman" w:cs="Times New Roman"/>
          <w:i/>
          <w:noProof/>
        </w:rPr>
      </w:pPr>
      <w:r>
        <w:rPr>
          <w:rFonts w:ascii="Times New Roman" w:hAnsi="Times New Roman" w:cs="Times New Roman"/>
          <w:noProof/>
        </w:rPr>
        <w:t xml:space="preserve">Table 5.2 presents an overview of the specific policy objectives, retained policy measures and links to the different policy options. </w:t>
      </w:r>
    </w:p>
    <w:p w:rsidR="002E508F" w:rsidRDefault="005D0A03">
      <w:pPr>
        <w:spacing w:after="0" w:line="240" w:lineRule="auto"/>
        <w:jc w:val="both"/>
        <w:rPr>
          <w:rFonts w:ascii="Times New Roman" w:hAnsi="Times New Roman" w:cs="Times New Roman"/>
          <w:b/>
          <w:noProof/>
        </w:rPr>
      </w:pPr>
      <w:r>
        <w:rPr>
          <w:rFonts w:ascii="Times New Roman" w:hAnsi="Times New Roman" w:cs="Times New Roman"/>
          <w:b/>
          <w:noProof/>
        </w:rPr>
        <w:t>Table 5.2 Overview of specific policy objectives, measures and links to policy options</w:t>
      </w:r>
    </w:p>
    <w:tbl>
      <w:tblPr>
        <w:tblStyle w:val="TableGrid"/>
        <w:tblW w:w="4945" w:type="pct"/>
        <w:tblLook w:val="04A0" w:firstRow="1" w:lastRow="0" w:firstColumn="1" w:lastColumn="0" w:noHBand="0" w:noVBand="1"/>
      </w:tblPr>
      <w:tblGrid>
        <w:gridCol w:w="4903"/>
        <w:gridCol w:w="704"/>
        <w:gridCol w:w="696"/>
        <w:gridCol w:w="753"/>
        <w:gridCol w:w="670"/>
        <w:gridCol w:w="604"/>
        <w:gridCol w:w="145"/>
        <w:gridCol w:w="709"/>
      </w:tblGrid>
      <w:tr w:rsidR="002E508F">
        <w:tc>
          <w:tcPr>
            <w:tcW w:w="2669" w:type="pct"/>
            <w:vMerge w:val="restart"/>
          </w:tcPr>
          <w:p w:rsidR="002E508F" w:rsidRDefault="002E508F">
            <w:pPr>
              <w:spacing w:line="240" w:lineRule="auto"/>
              <w:jc w:val="both"/>
              <w:rPr>
                <w:rFonts w:ascii="Times New Roman" w:hAnsi="Times New Roman" w:cs="Times New Roman"/>
                <w:b/>
                <w:noProof/>
                <w:sz w:val="20"/>
                <w:szCs w:val="20"/>
              </w:rPr>
            </w:pPr>
          </w:p>
          <w:p w:rsidR="002E508F" w:rsidRDefault="005D0A03">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Specific policy objectives &amp; policy measures</w:t>
            </w:r>
          </w:p>
        </w:tc>
        <w:tc>
          <w:tcPr>
            <w:tcW w:w="2331" w:type="pct"/>
            <w:gridSpan w:val="7"/>
          </w:tcPr>
          <w:p w:rsidR="002E508F" w:rsidRDefault="005D0A03">
            <w:pPr>
              <w:spacing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Policy Options</w:t>
            </w:r>
          </w:p>
        </w:tc>
      </w:tr>
      <w:tr w:rsidR="002E508F">
        <w:tc>
          <w:tcPr>
            <w:tcW w:w="2669" w:type="pct"/>
            <w:vMerge/>
          </w:tcPr>
          <w:p w:rsidR="002E508F" w:rsidRDefault="002E508F">
            <w:pPr>
              <w:spacing w:line="240" w:lineRule="auto"/>
              <w:jc w:val="both"/>
              <w:rPr>
                <w:rFonts w:ascii="Times New Roman" w:hAnsi="Times New Roman" w:cs="Times New Roman"/>
                <w:b/>
                <w:noProof/>
                <w:sz w:val="20"/>
                <w:szCs w:val="20"/>
              </w:rPr>
            </w:pPr>
          </w:p>
        </w:tc>
        <w:tc>
          <w:tcPr>
            <w:tcW w:w="383" w:type="pct"/>
          </w:tcPr>
          <w:p w:rsidR="002E508F" w:rsidRDefault="005D0A03">
            <w:pPr>
              <w:spacing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PO1</w:t>
            </w:r>
          </w:p>
        </w:tc>
        <w:tc>
          <w:tcPr>
            <w:tcW w:w="379" w:type="pct"/>
          </w:tcPr>
          <w:p w:rsidR="002E508F" w:rsidRDefault="005D0A03">
            <w:pPr>
              <w:spacing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PO2</w:t>
            </w:r>
          </w:p>
        </w:tc>
        <w:tc>
          <w:tcPr>
            <w:tcW w:w="410" w:type="pct"/>
          </w:tcPr>
          <w:p w:rsidR="002E508F" w:rsidRDefault="005D0A03">
            <w:pPr>
              <w:spacing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PO3</w:t>
            </w:r>
          </w:p>
        </w:tc>
        <w:tc>
          <w:tcPr>
            <w:tcW w:w="365" w:type="pct"/>
          </w:tcPr>
          <w:p w:rsidR="002E508F" w:rsidRDefault="005D0A03">
            <w:pPr>
              <w:spacing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PO4</w:t>
            </w:r>
          </w:p>
        </w:tc>
        <w:tc>
          <w:tcPr>
            <w:tcW w:w="329" w:type="pct"/>
          </w:tcPr>
          <w:p w:rsidR="002E508F" w:rsidRDefault="005D0A03">
            <w:pPr>
              <w:spacing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PO5</w:t>
            </w:r>
          </w:p>
        </w:tc>
        <w:tc>
          <w:tcPr>
            <w:tcW w:w="465" w:type="pct"/>
            <w:gridSpan w:val="2"/>
          </w:tcPr>
          <w:p w:rsidR="002E508F" w:rsidRDefault="005D0A03">
            <w:pPr>
              <w:spacing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PO6</w:t>
            </w:r>
          </w:p>
        </w:tc>
      </w:tr>
      <w:tr w:rsidR="002E508F">
        <w:tc>
          <w:tcPr>
            <w:tcW w:w="3841" w:type="pct"/>
            <w:gridSpan w:val="4"/>
            <w:shd w:val="clear" w:color="auto" w:fill="DDD9C3" w:themeFill="background2" w:themeFillShade="E6"/>
          </w:tcPr>
          <w:p w:rsidR="002E508F" w:rsidRDefault="005D0A03">
            <w:pPr>
              <w:spacing w:line="240" w:lineRule="auto"/>
              <w:rPr>
                <w:rFonts w:ascii="Times New Roman" w:hAnsi="Times New Roman" w:cs="Times New Roman"/>
                <w:i/>
                <w:noProof/>
                <w:sz w:val="20"/>
                <w:szCs w:val="20"/>
              </w:rPr>
            </w:pPr>
            <w:r>
              <w:rPr>
                <w:rFonts w:ascii="Times New Roman" w:hAnsi="Times New Roman" w:cs="Times New Roman"/>
                <w:i/>
                <w:noProof/>
                <w:sz w:val="20"/>
                <w:szCs w:val="20"/>
              </w:rPr>
              <w:t>SPO1 Ensure that the Directive addresses all relevant procurement processes</w:t>
            </w:r>
          </w:p>
        </w:tc>
        <w:tc>
          <w:tcPr>
            <w:tcW w:w="1159" w:type="pct"/>
            <w:gridSpan w:val="4"/>
            <w:shd w:val="clear" w:color="auto" w:fill="DDD9C3" w:themeFill="background2" w:themeFillShade="E6"/>
          </w:tcPr>
          <w:p w:rsidR="002E508F" w:rsidRDefault="002E508F">
            <w:pPr>
              <w:spacing w:line="240" w:lineRule="auto"/>
              <w:rPr>
                <w:rFonts w:ascii="Times New Roman" w:hAnsi="Times New Roman" w:cs="Times New Roman"/>
                <w:i/>
                <w:noProof/>
                <w:sz w:val="20"/>
                <w:szCs w:val="20"/>
              </w:rPr>
            </w:pPr>
          </w:p>
        </w:tc>
      </w:tr>
      <w:tr w:rsidR="002E508F">
        <w:tc>
          <w:tcPr>
            <w:tcW w:w="2669" w:type="pct"/>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Recommendation to Member States to make use of extending the scope of national policy frameworks</w:t>
            </w:r>
          </w:p>
        </w:tc>
        <w:tc>
          <w:tcPr>
            <w:tcW w:w="383"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379"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410" w:type="pct"/>
          </w:tcPr>
          <w:p w:rsidR="002E508F" w:rsidRDefault="002E508F">
            <w:pPr>
              <w:spacing w:line="240" w:lineRule="auto"/>
              <w:jc w:val="center"/>
              <w:rPr>
                <w:rFonts w:ascii="Times New Roman" w:hAnsi="Times New Roman" w:cs="Times New Roman"/>
                <w:noProof/>
                <w:sz w:val="20"/>
                <w:szCs w:val="20"/>
              </w:rPr>
            </w:pPr>
          </w:p>
        </w:tc>
        <w:tc>
          <w:tcPr>
            <w:tcW w:w="365" w:type="pct"/>
          </w:tcPr>
          <w:p w:rsidR="002E508F" w:rsidRDefault="002E508F">
            <w:pPr>
              <w:spacing w:line="240" w:lineRule="auto"/>
              <w:jc w:val="center"/>
              <w:rPr>
                <w:rFonts w:ascii="Times New Roman" w:hAnsi="Times New Roman" w:cs="Times New Roman"/>
                <w:noProof/>
                <w:sz w:val="20"/>
                <w:szCs w:val="20"/>
              </w:rPr>
            </w:pPr>
          </w:p>
        </w:tc>
        <w:tc>
          <w:tcPr>
            <w:tcW w:w="408" w:type="pct"/>
            <w:gridSpan w:val="2"/>
          </w:tcPr>
          <w:p w:rsidR="002E508F" w:rsidRDefault="002E508F">
            <w:pPr>
              <w:spacing w:line="240" w:lineRule="auto"/>
              <w:jc w:val="center"/>
              <w:rPr>
                <w:rFonts w:ascii="Times New Roman" w:hAnsi="Times New Roman" w:cs="Times New Roman"/>
                <w:noProof/>
                <w:sz w:val="20"/>
                <w:szCs w:val="20"/>
              </w:rPr>
            </w:pPr>
          </w:p>
        </w:tc>
        <w:tc>
          <w:tcPr>
            <w:tcW w:w="386" w:type="pct"/>
          </w:tcPr>
          <w:p w:rsidR="002E508F" w:rsidRDefault="002E508F">
            <w:pPr>
              <w:spacing w:line="240" w:lineRule="auto"/>
              <w:jc w:val="center"/>
              <w:rPr>
                <w:rFonts w:ascii="Times New Roman" w:hAnsi="Times New Roman" w:cs="Times New Roman"/>
                <w:noProof/>
                <w:sz w:val="20"/>
                <w:szCs w:val="20"/>
              </w:rPr>
            </w:pPr>
          </w:p>
        </w:tc>
      </w:tr>
      <w:tr w:rsidR="002E508F">
        <w:trPr>
          <w:trHeight w:val="583"/>
        </w:trPr>
        <w:tc>
          <w:tcPr>
            <w:tcW w:w="2669" w:type="pct"/>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Expanding the scope of the Directive to vehicles rented, leased or hire-purchased</w:t>
            </w:r>
          </w:p>
        </w:tc>
        <w:tc>
          <w:tcPr>
            <w:tcW w:w="383"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379" w:type="pct"/>
          </w:tcPr>
          <w:p w:rsidR="002E508F" w:rsidRDefault="002E508F">
            <w:pPr>
              <w:spacing w:line="240" w:lineRule="auto"/>
              <w:rPr>
                <w:rFonts w:ascii="Times New Roman" w:hAnsi="Times New Roman" w:cs="Times New Roman"/>
                <w:noProof/>
                <w:sz w:val="20"/>
                <w:szCs w:val="20"/>
              </w:rPr>
            </w:pPr>
          </w:p>
        </w:tc>
        <w:tc>
          <w:tcPr>
            <w:tcW w:w="410"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365"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408" w:type="pct"/>
            <w:gridSpan w:val="2"/>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386"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r>
      <w:tr w:rsidR="002E508F">
        <w:tc>
          <w:tcPr>
            <w:tcW w:w="2669" w:type="pct"/>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Expanding the scope to vehicles used in specific service contracts other than public passenger transport </w:t>
            </w:r>
          </w:p>
        </w:tc>
        <w:tc>
          <w:tcPr>
            <w:tcW w:w="383"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379" w:type="pct"/>
          </w:tcPr>
          <w:p w:rsidR="002E508F" w:rsidRDefault="002E508F">
            <w:pPr>
              <w:spacing w:line="240" w:lineRule="auto"/>
              <w:jc w:val="center"/>
              <w:rPr>
                <w:rFonts w:ascii="Times New Roman" w:hAnsi="Times New Roman" w:cs="Times New Roman"/>
                <w:noProof/>
                <w:sz w:val="20"/>
                <w:szCs w:val="20"/>
              </w:rPr>
            </w:pPr>
          </w:p>
        </w:tc>
        <w:tc>
          <w:tcPr>
            <w:tcW w:w="410"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365"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408" w:type="pct"/>
            <w:gridSpan w:val="2"/>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386"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r>
      <w:tr w:rsidR="002E508F">
        <w:tc>
          <w:tcPr>
            <w:tcW w:w="5000" w:type="pct"/>
            <w:gridSpan w:val="8"/>
            <w:shd w:val="clear" w:color="auto" w:fill="DDD9C3" w:themeFill="background2" w:themeFillShade="E6"/>
          </w:tcPr>
          <w:p w:rsidR="002E508F" w:rsidRDefault="005D0A03">
            <w:pPr>
              <w:spacing w:line="240" w:lineRule="auto"/>
              <w:rPr>
                <w:rFonts w:ascii="Times New Roman" w:hAnsi="Times New Roman" w:cs="Times New Roman"/>
                <w:i/>
                <w:noProof/>
                <w:sz w:val="20"/>
                <w:szCs w:val="20"/>
              </w:rPr>
            </w:pPr>
            <w:r>
              <w:rPr>
                <w:rFonts w:ascii="Times New Roman" w:hAnsi="Times New Roman" w:cs="Times New Roman"/>
                <w:i/>
                <w:noProof/>
                <w:sz w:val="20"/>
                <w:szCs w:val="20"/>
              </w:rPr>
              <w:t>SPO2 Ensure that the Directive sends clear market signals</w:t>
            </w:r>
          </w:p>
        </w:tc>
      </w:tr>
      <w:tr w:rsidR="002E508F">
        <w:tc>
          <w:tcPr>
            <w:tcW w:w="2669" w:type="pct"/>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Setting up a definition of clean vehicles to procure</w:t>
            </w:r>
          </w:p>
        </w:tc>
        <w:tc>
          <w:tcPr>
            <w:tcW w:w="383"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379"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410"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365"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408" w:type="pct"/>
            <w:gridSpan w:val="2"/>
          </w:tcPr>
          <w:p w:rsidR="002E508F" w:rsidRDefault="002E508F">
            <w:pPr>
              <w:spacing w:line="240" w:lineRule="auto"/>
              <w:jc w:val="center"/>
              <w:rPr>
                <w:rFonts w:ascii="Times New Roman" w:hAnsi="Times New Roman" w:cs="Times New Roman"/>
                <w:noProof/>
                <w:sz w:val="20"/>
                <w:szCs w:val="20"/>
              </w:rPr>
            </w:pPr>
          </w:p>
        </w:tc>
        <w:tc>
          <w:tcPr>
            <w:tcW w:w="386"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r>
      <w:tr w:rsidR="002E508F">
        <w:tc>
          <w:tcPr>
            <w:tcW w:w="2669" w:type="pct"/>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Setting a minimum procurement target at national level</w:t>
            </w:r>
          </w:p>
        </w:tc>
        <w:tc>
          <w:tcPr>
            <w:tcW w:w="383"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379" w:type="pct"/>
          </w:tcPr>
          <w:p w:rsidR="002E508F" w:rsidRDefault="002E508F">
            <w:pPr>
              <w:spacing w:line="240" w:lineRule="auto"/>
              <w:jc w:val="center"/>
              <w:rPr>
                <w:rFonts w:ascii="Times New Roman" w:hAnsi="Times New Roman" w:cs="Times New Roman"/>
                <w:noProof/>
                <w:sz w:val="20"/>
                <w:szCs w:val="20"/>
              </w:rPr>
            </w:pPr>
          </w:p>
        </w:tc>
        <w:tc>
          <w:tcPr>
            <w:tcW w:w="410"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365"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408" w:type="pct"/>
            <w:gridSpan w:val="2"/>
          </w:tcPr>
          <w:p w:rsidR="002E508F" w:rsidRDefault="002E508F">
            <w:pPr>
              <w:spacing w:line="240" w:lineRule="auto"/>
              <w:jc w:val="center"/>
              <w:rPr>
                <w:rFonts w:ascii="Times New Roman" w:hAnsi="Times New Roman" w:cs="Times New Roman"/>
                <w:noProof/>
                <w:sz w:val="20"/>
                <w:szCs w:val="20"/>
              </w:rPr>
            </w:pPr>
          </w:p>
        </w:tc>
        <w:tc>
          <w:tcPr>
            <w:tcW w:w="386"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r>
      <w:tr w:rsidR="002E508F">
        <w:tc>
          <w:tcPr>
            <w:tcW w:w="2669" w:type="pct"/>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Different requirements for light-duty and heavy-duty vehicles</w:t>
            </w:r>
          </w:p>
        </w:tc>
        <w:tc>
          <w:tcPr>
            <w:tcW w:w="383"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379" w:type="pct"/>
          </w:tcPr>
          <w:p w:rsidR="002E508F" w:rsidRDefault="002E508F">
            <w:pPr>
              <w:spacing w:line="240" w:lineRule="auto"/>
              <w:jc w:val="center"/>
              <w:rPr>
                <w:rFonts w:ascii="Times New Roman" w:hAnsi="Times New Roman" w:cs="Times New Roman"/>
                <w:noProof/>
                <w:sz w:val="20"/>
                <w:szCs w:val="20"/>
              </w:rPr>
            </w:pPr>
          </w:p>
        </w:tc>
        <w:tc>
          <w:tcPr>
            <w:tcW w:w="410" w:type="pct"/>
          </w:tcPr>
          <w:p w:rsidR="002E508F" w:rsidRDefault="002E508F">
            <w:pPr>
              <w:spacing w:line="240" w:lineRule="auto"/>
              <w:jc w:val="center"/>
              <w:rPr>
                <w:rFonts w:ascii="Times New Roman" w:hAnsi="Times New Roman" w:cs="Times New Roman"/>
                <w:noProof/>
                <w:sz w:val="20"/>
                <w:szCs w:val="20"/>
              </w:rPr>
            </w:pPr>
          </w:p>
        </w:tc>
        <w:tc>
          <w:tcPr>
            <w:tcW w:w="365"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408" w:type="pct"/>
            <w:gridSpan w:val="2"/>
          </w:tcPr>
          <w:p w:rsidR="002E508F" w:rsidRDefault="002E508F">
            <w:pPr>
              <w:spacing w:line="240" w:lineRule="auto"/>
              <w:jc w:val="center"/>
              <w:rPr>
                <w:rFonts w:ascii="Times New Roman" w:hAnsi="Times New Roman" w:cs="Times New Roman"/>
                <w:noProof/>
                <w:sz w:val="20"/>
                <w:szCs w:val="20"/>
              </w:rPr>
            </w:pPr>
          </w:p>
        </w:tc>
        <w:tc>
          <w:tcPr>
            <w:tcW w:w="386"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r>
      <w:tr w:rsidR="002E508F">
        <w:tc>
          <w:tcPr>
            <w:tcW w:w="2669" w:type="pct"/>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Requiring mandatory use of monetisation of external effects</w:t>
            </w:r>
          </w:p>
        </w:tc>
        <w:tc>
          <w:tcPr>
            <w:tcW w:w="383"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379" w:type="pct"/>
          </w:tcPr>
          <w:p w:rsidR="002E508F" w:rsidRDefault="002E508F">
            <w:pPr>
              <w:spacing w:line="240" w:lineRule="auto"/>
              <w:jc w:val="center"/>
              <w:rPr>
                <w:rFonts w:ascii="Times New Roman" w:hAnsi="Times New Roman" w:cs="Times New Roman"/>
                <w:noProof/>
                <w:sz w:val="20"/>
                <w:szCs w:val="20"/>
              </w:rPr>
            </w:pPr>
          </w:p>
        </w:tc>
        <w:tc>
          <w:tcPr>
            <w:tcW w:w="410" w:type="pct"/>
          </w:tcPr>
          <w:p w:rsidR="002E508F" w:rsidRDefault="002E508F">
            <w:pPr>
              <w:spacing w:line="240" w:lineRule="auto"/>
              <w:jc w:val="center"/>
              <w:rPr>
                <w:rFonts w:ascii="Times New Roman" w:hAnsi="Times New Roman" w:cs="Times New Roman"/>
                <w:noProof/>
                <w:sz w:val="20"/>
                <w:szCs w:val="20"/>
              </w:rPr>
            </w:pPr>
          </w:p>
        </w:tc>
        <w:tc>
          <w:tcPr>
            <w:tcW w:w="365" w:type="pct"/>
          </w:tcPr>
          <w:p w:rsidR="002E508F" w:rsidRDefault="002E508F">
            <w:pPr>
              <w:spacing w:line="240" w:lineRule="auto"/>
              <w:jc w:val="center"/>
              <w:rPr>
                <w:rFonts w:ascii="Times New Roman" w:hAnsi="Times New Roman" w:cs="Times New Roman"/>
                <w:noProof/>
                <w:sz w:val="20"/>
                <w:szCs w:val="20"/>
              </w:rPr>
            </w:pPr>
          </w:p>
        </w:tc>
        <w:tc>
          <w:tcPr>
            <w:tcW w:w="408" w:type="pct"/>
            <w:gridSpan w:val="2"/>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386" w:type="pct"/>
          </w:tcPr>
          <w:p w:rsidR="002E508F" w:rsidRDefault="002E508F">
            <w:pPr>
              <w:spacing w:line="240" w:lineRule="auto"/>
              <w:jc w:val="center"/>
              <w:rPr>
                <w:rFonts w:ascii="Times New Roman" w:hAnsi="Times New Roman" w:cs="Times New Roman"/>
                <w:noProof/>
                <w:sz w:val="20"/>
                <w:szCs w:val="20"/>
              </w:rPr>
            </w:pPr>
          </w:p>
        </w:tc>
      </w:tr>
      <w:tr w:rsidR="002E508F">
        <w:tc>
          <w:tcPr>
            <w:tcW w:w="2669" w:type="pct"/>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Requiring national policy frameworks</w:t>
            </w:r>
          </w:p>
        </w:tc>
        <w:tc>
          <w:tcPr>
            <w:tcW w:w="383"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379"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410" w:type="pct"/>
          </w:tcPr>
          <w:p w:rsidR="002E508F" w:rsidRDefault="002E508F">
            <w:pPr>
              <w:spacing w:line="240" w:lineRule="auto"/>
              <w:jc w:val="center"/>
              <w:rPr>
                <w:rFonts w:ascii="Times New Roman" w:hAnsi="Times New Roman" w:cs="Times New Roman"/>
                <w:noProof/>
                <w:sz w:val="20"/>
                <w:szCs w:val="20"/>
              </w:rPr>
            </w:pPr>
          </w:p>
        </w:tc>
        <w:tc>
          <w:tcPr>
            <w:tcW w:w="365" w:type="pct"/>
          </w:tcPr>
          <w:p w:rsidR="002E508F" w:rsidRDefault="002E508F">
            <w:pPr>
              <w:spacing w:line="240" w:lineRule="auto"/>
              <w:jc w:val="center"/>
              <w:rPr>
                <w:rFonts w:ascii="Times New Roman" w:hAnsi="Times New Roman" w:cs="Times New Roman"/>
                <w:noProof/>
                <w:sz w:val="20"/>
                <w:szCs w:val="20"/>
              </w:rPr>
            </w:pPr>
          </w:p>
        </w:tc>
        <w:tc>
          <w:tcPr>
            <w:tcW w:w="408" w:type="pct"/>
            <w:gridSpan w:val="2"/>
          </w:tcPr>
          <w:p w:rsidR="002E508F" w:rsidRDefault="002E508F">
            <w:pPr>
              <w:spacing w:line="240" w:lineRule="auto"/>
              <w:jc w:val="center"/>
              <w:rPr>
                <w:rFonts w:ascii="Times New Roman" w:hAnsi="Times New Roman" w:cs="Times New Roman"/>
                <w:noProof/>
                <w:sz w:val="20"/>
                <w:szCs w:val="20"/>
              </w:rPr>
            </w:pPr>
          </w:p>
        </w:tc>
        <w:tc>
          <w:tcPr>
            <w:tcW w:w="386" w:type="pct"/>
          </w:tcPr>
          <w:p w:rsidR="002E508F" w:rsidRDefault="002E508F">
            <w:pPr>
              <w:spacing w:line="240" w:lineRule="auto"/>
              <w:jc w:val="center"/>
              <w:rPr>
                <w:rFonts w:ascii="Times New Roman" w:hAnsi="Times New Roman" w:cs="Times New Roman"/>
                <w:noProof/>
                <w:sz w:val="20"/>
                <w:szCs w:val="20"/>
              </w:rPr>
            </w:pPr>
          </w:p>
        </w:tc>
      </w:tr>
      <w:tr w:rsidR="002E508F">
        <w:tc>
          <w:tcPr>
            <w:tcW w:w="2669" w:type="pct"/>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Requiring regular reporting</w:t>
            </w:r>
          </w:p>
        </w:tc>
        <w:tc>
          <w:tcPr>
            <w:tcW w:w="383"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379"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410"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365"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408" w:type="pct"/>
            <w:gridSpan w:val="2"/>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386"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r>
      <w:tr w:rsidR="002E508F">
        <w:tc>
          <w:tcPr>
            <w:tcW w:w="5000" w:type="pct"/>
            <w:gridSpan w:val="8"/>
            <w:shd w:val="clear" w:color="auto" w:fill="DDD9C3" w:themeFill="background2" w:themeFillShade="E6"/>
          </w:tcPr>
          <w:p w:rsidR="002E508F" w:rsidRDefault="005D0A03">
            <w:pPr>
              <w:spacing w:line="240" w:lineRule="auto"/>
              <w:rPr>
                <w:rFonts w:ascii="Times New Roman" w:hAnsi="Times New Roman" w:cs="Times New Roman"/>
                <w:i/>
                <w:noProof/>
                <w:sz w:val="20"/>
                <w:szCs w:val="20"/>
              </w:rPr>
            </w:pPr>
            <w:r>
              <w:rPr>
                <w:rFonts w:ascii="Times New Roman" w:hAnsi="Times New Roman" w:cs="Times New Roman"/>
                <w:i/>
                <w:noProof/>
                <w:sz w:val="20"/>
                <w:szCs w:val="20"/>
              </w:rPr>
              <w:t>SPO3 ensure that the Directive's provisions are simplified and more effective to use</w:t>
            </w:r>
          </w:p>
        </w:tc>
      </w:tr>
      <w:tr w:rsidR="002E508F">
        <w:tc>
          <w:tcPr>
            <w:tcW w:w="2669" w:type="pct"/>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Discard the monetisation methodology</w:t>
            </w:r>
          </w:p>
        </w:tc>
        <w:tc>
          <w:tcPr>
            <w:tcW w:w="383"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379" w:type="pct"/>
          </w:tcPr>
          <w:p w:rsidR="002E508F" w:rsidRDefault="002E508F">
            <w:pPr>
              <w:spacing w:line="240" w:lineRule="auto"/>
              <w:jc w:val="center"/>
              <w:rPr>
                <w:rFonts w:ascii="Times New Roman" w:hAnsi="Times New Roman" w:cs="Times New Roman"/>
                <w:noProof/>
                <w:sz w:val="20"/>
                <w:szCs w:val="20"/>
              </w:rPr>
            </w:pPr>
          </w:p>
        </w:tc>
        <w:tc>
          <w:tcPr>
            <w:tcW w:w="410"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365"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408" w:type="pct"/>
            <w:gridSpan w:val="2"/>
          </w:tcPr>
          <w:p w:rsidR="002E508F" w:rsidRDefault="002E508F">
            <w:pPr>
              <w:spacing w:line="240" w:lineRule="auto"/>
              <w:jc w:val="center"/>
              <w:rPr>
                <w:rFonts w:ascii="Times New Roman" w:hAnsi="Times New Roman" w:cs="Times New Roman"/>
                <w:noProof/>
                <w:sz w:val="20"/>
                <w:szCs w:val="20"/>
              </w:rPr>
            </w:pPr>
          </w:p>
        </w:tc>
        <w:tc>
          <w:tcPr>
            <w:tcW w:w="386" w:type="pct"/>
          </w:tcPr>
          <w:p w:rsidR="002E508F" w:rsidRDefault="002E508F">
            <w:pPr>
              <w:spacing w:line="240" w:lineRule="auto"/>
              <w:jc w:val="center"/>
              <w:rPr>
                <w:rFonts w:ascii="Times New Roman" w:hAnsi="Times New Roman" w:cs="Times New Roman"/>
                <w:noProof/>
                <w:sz w:val="20"/>
                <w:szCs w:val="20"/>
              </w:rPr>
            </w:pPr>
          </w:p>
        </w:tc>
      </w:tr>
      <w:tr w:rsidR="002E508F">
        <w:tc>
          <w:tcPr>
            <w:tcW w:w="2669" w:type="pct"/>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Discard technical specifications approach</w:t>
            </w:r>
          </w:p>
        </w:tc>
        <w:tc>
          <w:tcPr>
            <w:tcW w:w="383"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379" w:type="pct"/>
          </w:tcPr>
          <w:p w:rsidR="002E508F" w:rsidRDefault="002E508F">
            <w:pPr>
              <w:spacing w:line="240" w:lineRule="auto"/>
              <w:jc w:val="center"/>
              <w:rPr>
                <w:rFonts w:ascii="Times New Roman" w:hAnsi="Times New Roman" w:cs="Times New Roman"/>
                <w:noProof/>
                <w:sz w:val="20"/>
                <w:szCs w:val="20"/>
              </w:rPr>
            </w:pPr>
          </w:p>
        </w:tc>
        <w:tc>
          <w:tcPr>
            <w:tcW w:w="410" w:type="pct"/>
          </w:tcPr>
          <w:p w:rsidR="002E508F" w:rsidRDefault="002E508F">
            <w:pPr>
              <w:spacing w:line="240" w:lineRule="auto"/>
              <w:jc w:val="center"/>
              <w:rPr>
                <w:rFonts w:ascii="Times New Roman" w:hAnsi="Times New Roman" w:cs="Times New Roman"/>
                <w:noProof/>
                <w:sz w:val="20"/>
                <w:szCs w:val="20"/>
              </w:rPr>
            </w:pPr>
          </w:p>
        </w:tc>
        <w:tc>
          <w:tcPr>
            <w:tcW w:w="365" w:type="pct"/>
          </w:tcPr>
          <w:p w:rsidR="002E508F" w:rsidRDefault="002E508F">
            <w:pPr>
              <w:spacing w:line="240" w:lineRule="auto"/>
              <w:jc w:val="center"/>
              <w:rPr>
                <w:rFonts w:ascii="Times New Roman" w:hAnsi="Times New Roman" w:cs="Times New Roman"/>
                <w:noProof/>
                <w:sz w:val="20"/>
                <w:szCs w:val="20"/>
              </w:rPr>
            </w:pPr>
          </w:p>
        </w:tc>
        <w:tc>
          <w:tcPr>
            <w:tcW w:w="408" w:type="pct"/>
            <w:gridSpan w:val="2"/>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386" w:type="pct"/>
          </w:tcPr>
          <w:p w:rsidR="002E508F" w:rsidRDefault="002E508F">
            <w:pPr>
              <w:spacing w:line="240" w:lineRule="auto"/>
              <w:jc w:val="center"/>
              <w:rPr>
                <w:rFonts w:ascii="Times New Roman" w:hAnsi="Times New Roman" w:cs="Times New Roman"/>
                <w:noProof/>
                <w:sz w:val="20"/>
                <w:szCs w:val="20"/>
              </w:rPr>
            </w:pPr>
          </w:p>
        </w:tc>
      </w:tr>
      <w:tr w:rsidR="002E508F">
        <w:tc>
          <w:tcPr>
            <w:tcW w:w="2669" w:type="pct"/>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Update the monetisation methodology</w:t>
            </w:r>
          </w:p>
        </w:tc>
        <w:tc>
          <w:tcPr>
            <w:tcW w:w="383"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379"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410" w:type="pct"/>
          </w:tcPr>
          <w:p w:rsidR="002E508F" w:rsidRDefault="002E508F">
            <w:pPr>
              <w:spacing w:line="240" w:lineRule="auto"/>
              <w:jc w:val="center"/>
              <w:rPr>
                <w:rFonts w:ascii="Times New Roman" w:hAnsi="Times New Roman" w:cs="Times New Roman"/>
                <w:noProof/>
                <w:sz w:val="20"/>
                <w:szCs w:val="20"/>
              </w:rPr>
            </w:pPr>
          </w:p>
        </w:tc>
        <w:tc>
          <w:tcPr>
            <w:tcW w:w="365" w:type="pct"/>
          </w:tcPr>
          <w:p w:rsidR="002E508F" w:rsidRDefault="002E508F">
            <w:pPr>
              <w:spacing w:line="240" w:lineRule="auto"/>
              <w:jc w:val="center"/>
              <w:rPr>
                <w:rFonts w:ascii="Times New Roman" w:hAnsi="Times New Roman" w:cs="Times New Roman"/>
                <w:noProof/>
                <w:sz w:val="20"/>
                <w:szCs w:val="20"/>
              </w:rPr>
            </w:pPr>
          </w:p>
        </w:tc>
        <w:tc>
          <w:tcPr>
            <w:tcW w:w="408" w:type="pct"/>
            <w:gridSpan w:val="2"/>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386" w:type="pct"/>
          </w:tcPr>
          <w:p w:rsidR="002E508F" w:rsidRDefault="002E508F">
            <w:pPr>
              <w:spacing w:line="240" w:lineRule="auto"/>
              <w:jc w:val="center"/>
              <w:rPr>
                <w:rFonts w:ascii="Times New Roman" w:hAnsi="Times New Roman" w:cs="Times New Roman"/>
                <w:noProof/>
                <w:sz w:val="20"/>
                <w:szCs w:val="20"/>
              </w:rPr>
            </w:pPr>
          </w:p>
        </w:tc>
      </w:tr>
      <w:tr w:rsidR="002E508F">
        <w:tc>
          <w:tcPr>
            <w:tcW w:w="2669" w:type="pct"/>
          </w:tcPr>
          <w:p w:rsidR="002E508F" w:rsidRDefault="005D0A0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Discard the current choice of implementation mechanisms</w:t>
            </w:r>
          </w:p>
        </w:tc>
        <w:tc>
          <w:tcPr>
            <w:tcW w:w="383"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379" w:type="pct"/>
          </w:tcPr>
          <w:p w:rsidR="002E508F" w:rsidRDefault="002E508F">
            <w:pPr>
              <w:spacing w:line="240" w:lineRule="auto"/>
              <w:jc w:val="center"/>
              <w:rPr>
                <w:rFonts w:ascii="Times New Roman" w:hAnsi="Times New Roman" w:cs="Times New Roman"/>
                <w:noProof/>
                <w:sz w:val="20"/>
                <w:szCs w:val="20"/>
              </w:rPr>
            </w:pPr>
          </w:p>
        </w:tc>
        <w:tc>
          <w:tcPr>
            <w:tcW w:w="410"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365" w:type="pct"/>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408" w:type="pct"/>
            <w:gridSpan w:val="2"/>
          </w:tcPr>
          <w:p w:rsidR="002E508F" w:rsidRDefault="005D0A03">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p>
        </w:tc>
        <w:tc>
          <w:tcPr>
            <w:tcW w:w="386" w:type="pct"/>
          </w:tcPr>
          <w:p w:rsidR="002E508F" w:rsidRDefault="002E508F">
            <w:pPr>
              <w:spacing w:line="240" w:lineRule="auto"/>
              <w:jc w:val="center"/>
              <w:rPr>
                <w:rFonts w:ascii="Times New Roman" w:hAnsi="Times New Roman" w:cs="Times New Roman"/>
                <w:noProof/>
                <w:sz w:val="20"/>
                <w:szCs w:val="20"/>
              </w:rPr>
            </w:pPr>
          </w:p>
        </w:tc>
      </w:tr>
    </w:tbl>
    <w:p w:rsidR="002E508F" w:rsidRDefault="005D0A03">
      <w:pPr>
        <w:autoSpaceDE w:val="0"/>
        <w:autoSpaceDN w:val="0"/>
        <w:adjustRightInd w:val="0"/>
        <w:spacing w:line="240" w:lineRule="auto"/>
        <w:jc w:val="both"/>
        <w:rPr>
          <w:rFonts w:ascii="Times New Roman" w:hAnsi="Times New Roman" w:cs="Times New Roman"/>
          <w:i/>
          <w:noProof/>
        </w:rPr>
      </w:pPr>
      <w:r>
        <w:rPr>
          <w:rFonts w:ascii="Times New Roman" w:hAnsi="Times New Roman" w:cs="Times New Roman"/>
          <w:i/>
          <w:noProof/>
        </w:rPr>
        <w:t>Source: Own analysis</w:t>
      </w:r>
    </w:p>
    <w:p w:rsidR="002E508F" w:rsidRDefault="005D0A03">
      <w:pPr>
        <w:pStyle w:val="Heading3"/>
        <w:rPr>
          <w:noProof/>
        </w:rPr>
      </w:pPr>
      <w:bookmarkStart w:id="36" w:name="_Toc497141493"/>
      <w:r>
        <w:rPr>
          <w:noProof/>
        </w:rPr>
        <w:t>Policy option 1 (PO1): repeal of the Directive</w:t>
      </w:r>
      <w:bookmarkEnd w:id="36"/>
      <w:r>
        <w:rPr>
          <w:noProof/>
        </w:rPr>
        <w:t xml:space="preserve"> </w:t>
      </w:r>
    </w:p>
    <w:p w:rsidR="002E508F" w:rsidRDefault="005D0A03">
      <w:pPr>
        <w:autoSpaceDE w:val="0"/>
        <w:autoSpaceDN w:val="0"/>
        <w:adjustRightInd w:val="0"/>
        <w:spacing w:line="240" w:lineRule="auto"/>
        <w:jc w:val="both"/>
        <w:rPr>
          <w:rFonts w:ascii="Times New Roman" w:hAnsi="Times New Roman" w:cs="Times New Roman"/>
          <w:bCs/>
          <w:noProof/>
        </w:rPr>
      </w:pPr>
      <w:r>
        <w:rPr>
          <w:rFonts w:ascii="Times New Roman" w:hAnsi="Times New Roman" w:cs="Times New Roman"/>
          <w:bCs/>
          <w:noProof/>
        </w:rPr>
        <w:t xml:space="preserve">This policy option repeals the Directive. The specific objectives would be addressed through different non-legislative instruments, including awareness raising and promotion of the use of the voluntary green public procurement criteria established by the European Commission. Under this option, existing </w:t>
      </w:r>
      <w:r>
        <w:rPr>
          <w:rFonts w:ascii="Times New Roman" w:hAnsi="Times New Roman" w:cs="Times New Roman"/>
          <w:noProof/>
        </w:rPr>
        <w:t>EU financial guidelines for moving towards low- and zero-emission vehicles</w:t>
      </w:r>
      <w:r>
        <w:rPr>
          <w:rStyle w:val="FootnoteReference"/>
          <w:rFonts w:ascii="Times New Roman" w:hAnsi="Times New Roman" w:cs="Times New Roman"/>
          <w:noProof/>
        </w:rPr>
        <w:footnoteReference w:id="64"/>
      </w:r>
      <w:r>
        <w:rPr>
          <w:rFonts w:ascii="Times New Roman" w:hAnsi="Times New Roman" w:cs="Times New Roman"/>
          <w:bCs/>
          <w:noProof/>
        </w:rPr>
        <w:t xml:space="preserve"> will be revised based on guidance or recommendations by the Commission. Voluntary action of market actors will be encouraged, such as for example the European Clean Bus Deployment Initiative.</w:t>
      </w:r>
      <w:r>
        <w:rPr>
          <w:rStyle w:val="FootnoteReference"/>
          <w:rFonts w:ascii="Times New Roman" w:hAnsi="Times New Roman" w:cs="Times New Roman"/>
          <w:bCs/>
          <w:noProof/>
        </w:rPr>
        <w:footnoteReference w:id="65"/>
      </w:r>
      <w:r>
        <w:rPr>
          <w:rFonts w:ascii="Times New Roman" w:hAnsi="Times New Roman" w:cs="Times New Roman"/>
          <w:bCs/>
          <w:noProof/>
        </w:rPr>
        <w:t xml:space="preserve"> The focus is entirely on voluntary actions at European level and on action to be taken at domestic level.</w:t>
      </w:r>
    </w:p>
    <w:p w:rsidR="002E508F" w:rsidRDefault="005D0A03">
      <w:pPr>
        <w:pStyle w:val="Heading3"/>
        <w:rPr>
          <w:noProof/>
        </w:rPr>
      </w:pPr>
      <w:bookmarkStart w:id="37" w:name="_Toc497141494"/>
      <w:r>
        <w:rPr>
          <w:noProof/>
        </w:rPr>
        <w:t>Policy option 2 (PO2): providing a definition of clean vehicles and requiring Member States to set up national policy plans or use the monetisation methodology</w:t>
      </w:r>
      <w:bookmarkEnd w:id="37"/>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This policy option proposes a number of moderate changes to the current Directive to make it better fit for purpose and address the three specific policy objectives at least to some extent. </w:t>
      </w:r>
    </w:p>
    <w:p w:rsidR="002E508F" w:rsidRDefault="005D0A03">
      <w:pPr>
        <w:spacing w:line="240" w:lineRule="auto"/>
        <w:jc w:val="both"/>
        <w:rPr>
          <w:rFonts w:ascii="Times New Roman" w:hAnsi="Times New Roman" w:cs="Times New Roman"/>
          <w:i/>
          <w:noProof/>
          <w:u w:val="single"/>
        </w:rPr>
      </w:pPr>
      <w:r>
        <w:rPr>
          <w:rFonts w:ascii="Times New Roman" w:hAnsi="Times New Roman" w:cs="Times New Roman"/>
          <w:i/>
          <w:noProof/>
          <w:u w:val="single"/>
        </w:rPr>
        <w:t>Description of the option</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This option does not make changes to the scope of the Directive. The option requires Member States to make a binding choice between two principal approaches:</w:t>
      </w:r>
    </w:p>
    <w:p w:rsidR="002E508F" w:rsidRDefault="005D0A03">
      <w:pPr>
        <w:pStyle w:val="ListParagraph"/>
        <w:numPr>
          <w:ilvl w:val="0"/>
          <w:numId w:val="31"/>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Either implement a common definition of clean vehicles on the basis of tailpipe emissions as defined in the Directive with related requirements for follow-up action</w:t>
      </w:r>
    </w:p>
    <w:p w:rsidR="002E508F" w:rsidRDefault="005D0A03">
      <w:pPr>
        <w:pStyle w:val="ListParagraph"/>
        <w:numPr>
          <w:ilvl w:val="0"/>
          <w:numId w:val="31"/>
        </w:numPr>
        <w:spacing w:line="240" w:lineRule="auto"/>
        <w:jc w:val="both"/>
        <w:rPr>
          <w:rFonts w:ascii="Times New Roman" w:hAnsi="Times New Roman" w:cs="Times New Roman"/>
          <w:noProof/>
        </w:rPr>
      </w:pPr>
      <w:r>
        <w:rPr>
          <w:rFonts w:ascii="Times New Roman" w:hAnsi="Times New Roman" w:cs="Times New Roman"/>
          <w:noProof/>
        </w:rPr>
        <w:t xml:space="preserve">Or require all public bodies to procure vehicles on the basis of their monetised internal and external cost, for which the use of the updated monetisation methodology is binding.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For the definition of a clean vehicle, this option would set a low-ambition common definition of a clean vehicle on the basis of a CO</w:t>
      </w:r>
      <w:r>
        <w:rPr>
          <w:rFonts w:ascii="Times New Roman" w:hAnsi="Times New Roman" w:cs="Times New Roman"/>
          <w:noProof/>
          <w:vertAlign w:val="subscript"/>
        </w:rPr>
        <w:t>2</w:t>
      </w:r>
      <w:r>
        <w:rPr>
          <w:rFonts w:ascii="Times New Roman" w:hAnsi="Times New Roman" w:cs="Times New Roman"/>
          <w:noProof/>
        </w:rPr>
        <w:t>-tailpipe emission threshold of 50 gCO</w:t>
      </w:r>
      <w:r>
        <w:rPr>
          <w:rFonts w:ascii="Times New Roman" w:hAnsi="Times New Roman" w:cs="Times New Roman"/>
          <w:noProof/>
          <w:vertAlign w:val="subscript"/>
        </w:rPr>
        <w:t>2</w:t>
      </w:r>
      <w:r>
        <w:rPr>
          <w:rFonts w:ascii="Times New Roman" w:hAnsi="Times New Roman" w:cs="Times New Roman"/>
          <w:noProof/>
        </w:rPr>
        <w:t>/km for passenger cars and for vans as well as a threshold with respect to RDE air pollutant emissions having a conformity factor of 1. The threshold follows the current threshold for low-emission vehicles under the CO</w:t>
      </w:r>
      <w:r>
        <w:rPr>
          <w:rFonts w:ascii="Times New Roman" w:hAnsi="Times New Roman" w:cs="Times New Roman"/>
          <w:noProof/>
          <w:vertAlign w:val="subscript"/>
        </w:rPr>
        <w:t xml:space="preserve">2 </w:t>
      </w:r>
      <w:r>
        <w:rPr>
          <w:rFonts w:ascii="Times New Roman" w:hAnsi="Times New Roman" w:cs="Times New Roman"/>
          <w:noProof/>
        </w:rPr>
        <w:t>emission performance regulation. It enables a broader palette of vehicles to be purchased, in line with the expectation to exert a moderate improvement compared to the current situation, including all battery- and fuel-cell electric vehicles, plug-in hybrid and natural gas vehicles with stronger biogas blend.</w:t>
      </w:r>
      <w:r>
        <w:rPr>
          <w:rStyle w:val="FootnoteReference"/>
          <w:rFonts w:ascii="Times New Roman" w:hAnsi="Times New Roman" w:cs="Times New Roman"/>
          <w:noProof/>
        </w:rPr>
        <w:footnoteReference w:id="66"/>
      </w:r>
      <w:r>
        <w:rPr>
          <w:rFonts w:ascii="Times New Roman" w:hAnsi="Times New Roman" w:cs="Times New Roman"/>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As noted in the screening of options, the definition will not include an emission-based threshold for heavy duty transport vehicles (buses, trucks).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If Member States decide to adopt a common clean vehicles definition, the Clean Vehicles Directive would require Member States to adopt related national policy frameworks. These frameworks: </w:t>
      </w:r>
    </w:p>
    <w:p w:rsidR="002E508F" w:rsidRDefault="005D0A03">
      <w:pPr>
        <w:pStyle w:val="ListParagraph"/>
        <w:numPr>
          <w:ilvl w:val="0"/>
          <w:numId w:val="31"/>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should set a target for the uptake of clean vehicles by public procurement by 2030. However, the Directive would not define further conditions for the targets or the measures. This would remain the discretion of Member States;</w:t>
      </w:r>
    </w:p>
    <w:p w:rsidR="002E508F" w:rsidRDefault="005D0A03">
      <w:pPr>
        <w:pStyle w:val="ListParagraph"/>
        <w:numPr>
          <w:ilvl w:val="0"/>
          <w:numId w:val="31"/>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 xml:space="preserve">include reporting on their implementation every three years; </w:t>
      </w:r>
    </w:p>
    <w:p w:rsidR="002E508F" w:rsidRDefault="005D0A03">
      <w:pPr>
        <w:pStyle w:val="ListParagraph"/>
        <w:numPr>
          <w:ilvl w:val="0"/>
          <w:numId w:val="31"/>
        </w:numPr>
        <w:spacing w:line="240" w:lineRule="auto"/>
        <w:jc w:val="both"/>
        <w:rPr>
          <w:rFonts w:ascii="Times New Roman" w:hAnsi="Times New Roman" w:cs="Times New Roman"/>
          <w:noProof/>
        </w:rPr>
      </w:pPr>
      <w:r>
        <w:rPr>
          <w:rFonts w:ascii="Times New Roman" w:hAnsi="Times New Roman" w:cs="Times New Roman"/>
          <w:noProof/>
        </w:rPr>
        <w:t xml:space="preserve">would follow the scope of the Directive. This policy option would recommend to Member States to include other types of contracts and services into national policy frameworks.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If Member States decide to transpose the monetisation methodology, they would have to transpose a revised methodology with updated CO</w:t>
      </w:r>
      <w:r>
        <w:rPr>
          <w:rFonts w:ascii="Times New Roman" w:hAnsi="Times New Roman" w:cs="Times New Roman"/>
          <w:noProof/>
          <w:vertAlign w:val="subscript"/>
        </w:rPr>
        <w:t>2</w:t>
      </w:r>
      <w:r>
        <w:rPr>
          <w:rFonts w:ascii="Times New Roman" w:hAnsi="Times New Roman" w:cs="Times New Roman"/>
          <w:noProof/>
        </w:rPr>
        <w:t xml:space="preserve"> and air pollutant values on the basis of the EU handbook on external cost monetisation (see section 3 and annex 3 of the Impact Assessment Support Study). </w:t>
      </w:r>
    </w:p>
    <w:p w:rsidR="002E508F" w:rsidRDefault="005D0A03">
      <w:pPr>
        <w:spacing w:line="240" w:lineRule="auto"/>
        <w:jc w:val="both"/>
        <w:rPr>
          <w:rFonts w:ascii="Times New Roman" w:hAnsi="Times New Roman" w:cs="Times New Roman"/>
          <w:b/>
          <w:i/>
          <w:noProof/>
        </w:rPr>
      </w:pPr>
      <w:r>
        <w:rPr>
          <w:rFonts w:ascii="Times New Roman" w:hAnsi="Times New Roman" w:cs="Times New Roman"/>
          <w:noProof/>
        </w:rPr>
        <w:t xml:space="preserve">To support the overall implementation of the Clean Vehicles Directive, Member States would be obliged to report every three years on the implementation of the Directive, starting in the year 2026. To support this reporting, a common code for low- and zero-emission vehicles could be introduced into the Common Procurement Vocabulary of the EU.  </w:t>
      </w:r>
    </w:p>
    <w:p w:rsidR="002E508F" w:rsidRDefault="005D0A03">
      <w:pPr>
        <w:pBdr>
          <w:top w:val="single" w:sz="4" w:space="1" w:color="auto"/>
          <w:left w:val="single" w:sz="4" w:space="4" w:color="auto"/>
          <w:right w:val="single" w:sz="4" w:space="4" w:color="auto"/>
        </w:pBdr>
        <w:spacing w:line="240" w:lineRule="auto"/>
        <w:jc w:val="both"/>
        <w:rPr>
          <w:rFonts w:ascii="Times New Roman" w:hAnsi="Times New Roman" w:cs="Times New Roman"/>
          <w:b/>
          <w:noProof/>
        </w:rPr>
      </w:pPr>
      <w:r>
        <w:rPr>
          <w:rFonts w:ascii="Times New Roman" w:hAnsi="Times New Roman" w:cs="Times New Roman"/>
          <w:b/>
          <w:noProof/>
        </w:rPr>
        <w:t xml:space="preserve">How does this policy option address the specific policy objectives? </w:t>
      </w:r>
    </w:p>
    <w:p w:rsidR="002E508F" w:rsidRDefault="005D0A03">
      <w:pPr>
        <w:pBdr>
          <w:top w:val="single" w:sz="4" w:space="1" w:color="auto"/>
          <w:left w:val="single" w:sz="4" w:space="4" w:color="auto"/>
          <w:right w:val="single" w:sz="4" w:space="4" w:color="auto"/>
        </w:pBdr>
        <w:spacing w:line="240" w:lineRule="auto"/>
        <w:jc w:val="both"/>
        <w:rPr>
          <w:rFonts w:ascii="Times New Roman" w:hAnsi="Times New Roman" w:cs="Times New Roman"/>
          <w:i/>
          <w:noProof/>
          <w:u w:val="single"/>
        </w:rPr>
      </w:pPr>
      <w:r>
        <w:rPr>
          <w:rFonts w:ascii="Times New Roman" w:hAnsi="Times New Roman" w:cs="Times New Roman"/>
          <w:i/>
          <w:noProof/>
          <w:u w:val="single"/>
        </w:rPr>
        <w:t>SO1: ensure that the Directive addresses all relevant procurement practices</w:t>
      </w:r>
    </w:p>
    <w:p w:rsidR="002E508F" w:rsidRDefault="005D0A03">
      <w:pPr>
        <w:pBdr>
          <w:top w:val="single" w:sz="4" w:space="1" w:color="auto"/>
          <w:left w:val="single" w:sz="4" w:space="4" w:color="auto"/>
          <w:right w:val="single" w:sz="4" w:space="4" w:color="auto"/>
        </w:pBdr>
        <w:spacing w:line="240" w:lineRule="auto"/>
        <w:ind w:left="284" w:hanging="284"/>
        <w:jc w:val="both"/>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noProof/>
        </w:rPr>
        <w:tab/>
        <w:t xml:space="preserve">This option addresses this specific objective to a light extent. Member States are entitled to include other contracts (rent, lease, hire-purchase) or transport-related service into national policy frameworks. There is no obligation - the main focus is on establishing the common definition of clean vehicles or on ensuring the use of the revised monetisation methodology. </w:t>
      </w:r>
    </w:p>
    <w:p w:rsidR="002E508F" w:rsidRDefault="005D0A03">
      <w:pPr>
        <w:pBdr>
          <w:top w:val="single" w:sz="4" w:space="1" w:color="auto"/>
          <w:left w:val="single" w:sz="4" w:space="4" w:color="auto"/>
          <w:right w:val="single" w:sz="4" w:space="4" w:color="auto"/>
        </w:pBdr>
        <w:spacing w:line="240" w:lineRule="auto"/>
        <w:rPr>
          <w:rFonts w:ascii="Times New Roman" w:hAnsi="Times New Roman" w:cs="Times New Roman"/>
          <w:i/>
          <w:noProof/>
          <w:u w:val="single"/>
        </w:rPr>
      </w:pPr>
      <w:r>
        <w:rPr>
          <w:rFonts w:ascii="Times New Roman" w:hAnsi="Times New Roman" w:cs="Times New Roman"/>
          <w:i/>
          <w:noProof/>
          <w:u w:val="single"/>
        </w:rPr>
        <w:t>SO2: ensure that the Directive provides clear market signals</w:t>
      </w:r>
    </w:p>
    <w:p w:rsidR="002E508F" w:rsidRDefault="005D0A03">
      <w:pPr>
        <w:pBdr>
          <w:left w:val="single" w:sz="4" w:space="4" w:color="auto"/>
          <w:right w:val="single" w:sz="4" w:space="4" w:color="auto"/>
        </w:pBdr>
        <w:spacing w:line="240" w:lineRule="auto"/>
        <w:ind w:left="284" w:hanging="284"/>
        <w:jc w:val="both"/>
        <w:rPr>
          <w:rFonts w:ascii="Times New Roman" w:hAnsi="Times New Roman" w:cs="Times New Roman"/>
          <w:noProof/>
          <w:u w:val="single"/>
        </w:rPr>
      </w:pPr>
      <w:r>
        <w:rPr>
          <w:rFonts w:ascii="Times New Roman" w:hAnsi="Times New Roman" w:cs="Times New Roman"/>
          <w:noProof/>
        </w:rPr>
        <w:t>-</w:t>
      </w:r>
      <w:r>
        <w:rPr>
          <w:rFonts w:ascii="Times New Roman" w:hAnsi="Times New Roman" w:cs="Times New Roman"/>
          <w:noProof/>
        </w:rPr>
        <w:tab/>
        <w:t xml:space="preserve">This option provides a common definition. In case Member States decide to transpose this option, it creates a common point of orientation for public procurement policies at national level and on the basis of a national policy framework a clear market signal. The level of ambition can, however, not be impacted, but it would rely on the willingness of Member States to take action. </w:t>
      </w:r>
    </w:p>
    <w:p w:rsidR="002E508F" w:rsidRDefault="005D0A03">
      <w:pPr>
        <w:pBdr>
          <w:left w:val="single" w:sz="4" w:space="4" w:color="auto"/>
          <w:right w:val="single" w:sz="4" w:space="4" w:color="auto"/>
        </w:pBdr>
        <w:spacing w:line="240" w:lineRule="auto"/>
        <w:jc w:val="both"/>
        <w:rPr>
          <w:rFonts w:ascii="Times New Roman" w:hAnsi="Times New Roman" w:cs="Times New Roman"/>
          <w:i/>
          <w:noProof/>
          <w:u w:val="single"/>
        </w:rPr>
      </w:pPr>
      <w:r>
        <w:rPr>
          <w:rFonts w:ascii="Times New Roman" w:hAnsi="Times New Roman" w:cs="Times New Roman"/>
          <w:i/>
          <w:noProof/>
          <w:u w:val="single"/>
        </w:rPr>
        <w:t xml:space="preserve">SO3: ensure that provisions are simplified and effective to use </w:t>
      </w:r>
    </w:p>
    <w:p w:rsidR="002E508F" w:rsidRDefault="005D0A03">
      <w:pPr>
        <w:pBdr>
          <w:left w:val="single" w:sz="4" w:space="4" w:color="auto"/>
          <w:right w:val="single" w:sz="4" w:space="4" w:color="auto"/>
        </w:pBdr>
        <w:spacing w:line="240" w:lineRule="auto"/>
        <w:ind w:left="284" w:hanging="284"/>
        <w:jc w:val="both"/>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 xml:space="preserve">Updating the CO2 and air pollutant related values of the monetisation methodology would make the methodology more effective. </w:t>
      </w:r>
    </w:p>
    <w:p w:rsidR="002E508F" w:rsidRDefault="005D0A03">
      <w:pPr>
        <w:pBdr>
          <w:left w:val="single" w:sz="4" w:space="4" w:color="auto"/>
          <w:bottom w:val="single" w:sz="4" w:space="1" w:color="auto"/>
          <w:right w:val="single" w:sz="4" w:space="4" w:color="auto"/>
        </w:pBdr>
        <w:spacing w:after="360" w:line="240" w:lineRule="auto"/>
        <w:ind w:left="284" w:hanging="284"/>
        <w:jc w:val="both"/>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 xml:space="preserve">Retaining a choice for Member States to either transpose the clean vehicles definition and related requirement to set up a national policy framework or to transpose the requirement to use environmental impacts as award criteria and the revised monetisation methodology approach in case monetisation should make the implementation simpler. Member States would have to make a choice to select one of the two approaches.  </w:t>
      </w:r>
    </w:p>
    <w:p w:rsidR="002E508F" w:rsidRDefault="005D0A03">
      <w:pPr>
        <w:pStyle w:val="Heading3"/>
        <w:rPr>
          <w:noProof/>
        </w:rPr>
      </w:pPr>
      <w:bookmarkStart w:id="38" w:name="_Toc497141495"/>
      <w:r>
        <w:rPr>
          <w:noProof/>
        </w:rPr>
        <w:t>Policy Option 3 (PO3): providing a definition based on emission thresholds and setting up minimum procurement requirements for light-duty vehicles</w:t>
      </w:r>
      <w:bookmarkEnd w:id="38"/>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This policy option thoroughly revises the Directive. It increases the level of ambition, but also the level of intervention. It addresses all three specific policy objectives. Particularly it:</w:t>
      </w:r>
    </w:p>
    <w:p w:rsidR="002E508F" w:rsidRDefault="005D0A03">
      <w:pPr>
        <w:pStyle w:val="ListParagraph"/>
        <w:numPr>
          <w:ilvl w:val="0"/>
          <w:numId w:val="32"/>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 xml:space="preserve">introduces a common definition of clean vehicles on the basis of an emissions-threshold (tank-to-wheel) for light-duty vehicles, </w:t>
      </w:r>
    </w:p>
    <w:p w:rsidR="002E508F" w:rsidRDefault="005D0A03">
      <w:pPr>
        <w:pStyle w:val="ListParagraph"/>
        <w:numPr>
          <w:ilvl w:val="0"/>
          <w:numId w:val="32"/>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adds a target for Member States for a minimum share in the total procurement of light-duty vehicles following the clean vehicles definition,</w:t>
      </w:r>
    </w:p>
    <w:p w:rsidR="002E508F" w:rsidRDefault="005D0A03">
      <w:pPr>
        <w:pStyle w:val="ListParagraph"/>
        <w:numPr>
          <w:ilvl w:val="0"/>
          <w:numId w:val="32"/>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 xml:space="preserve">introduces measures to extend the scope of the Directive and </w:t>
      </w:r>
    </w:p>
    <w:p w:rsidR="002E508F" w:rsidRDefault="005D0A03">
      <w:pPr>
        <w:pStyle w:val="ListParagraph"/>
        <w:numPr>
          <w:ilvl w:val="0"/>
          <w:numId w:val="32"/>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 xml:space="preserve">removes the monetisation methodology.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Yet PO3 still keeps a considerable degree of flexibility: it is left to Member States to decide how the minimum targets related to the clean vehicles definition will be delivered. </w:t>
      </w:r>
    </w:p>
    <w:p w:rsidR="002E508F" w:rsidRDefault="005D0A03">
      <w:pPr>
        <w:spacing w:line="240" w:lineRule="auto"/>
        <w:jc w:val="both"/>
        <w:rPr>
          <w:rFonts w:ascii="Times New Roman" w:hAnsi="Times New Roman" w:cs="Times New Roman"/>
          <w:i/>
          <w:noProof/>
          <w:u w:val="single"/>
        </w:rPr>
      </w:pPr>
      <w:r>
        <w:rPr>
          <w:rFonts w:ascii="Times New Roman" w:hAnsi="Times New Roman" w:cs="Times New Roman"/>
          <w:i/>
          <w:noProof/>
          <w:u w:val="single"/>
        </w:rPr>
        <w:t>Description of the policy option</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policy option extends the scope of the Directive. It would</w:t>
      </w:r>
    </w:p>
    <w:p w:rsidR="002E508F" w:rsidRDefault="005D0A03">
      <w:pPr>
        <w:pStyle w:val="ListParagraph"/>
        <w:numPr>
          <w:ilvl w:val="0"/>
          <w:numId w:val="40"/>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include vehicles leased, rented or hire-purchased by public authorities. The definition of clean vehicles and the minimum target set at the level of the Member State should be applied to vehicles leased and hire-purchased in line with the conditions set for the implementation of the target. Application of the minimum target should also be applied to vehicles rented by public authorities accordingly. If applicable, the fleet providers would have to comply with the minimum requirements set for the years 2025 and 2030. As with the purchase of vehicles, the procurement thresholds of Directives 2014/24/EU and 2014/25/EU apply. </w:t>
      </w:r>
    </w:p>
    <w:p w:rsidR="002E508F" w:rsidRDefault="005D0A03">
      <w:pPr>
        <w:pStyle w:val="ListParagraph"/>
        <w:numPr>
          <w:ilvl w:val="0"/>
          <w:numId w:val="40"/>
        </w:numPr>
        <w:spacing w:line="240" w:lineRule="auto"/>
        <w:contextualSpacing w:val="0"/>
        <w:jc w:val="both"/>
        <w:rPr>
          <w:rFonts w:ascii="Times New Roman" w:hAnsi="Times New Roman" w:cs="Times New Roman"/>
          <w:noProof/>
        </w:rPr>
      </w:pPr>
      <w:r>
        <w:rPr>
          <w:rFonts w:ascii="Times New Roman" w:hAnsi="Times New Roman" w:cs="Times New Roman"/>
          <w:noProof/>
        </w:rPr>
        <w:t>include in the list of "selected transport services" bus services, waste collection services and postal and courier services, as defined by their respective Common Procurement Vocabulary codes. This covers some of the more significant services that public authorities procure in addition to public passenger transport. Rather than setting an additional minimum requirement for these services, the operator fleets providing the services should be entitled for inclusion in the counting of the overall minimum target of the Member State, if deemed applicable.</w:t>
      </w:r>
    </w:p>
    <w:p w:rsidR="002E508F" w:rsidRDefault="005D0A03">
      <w:pPr>
        <w:spacing w:after="120" w:line="240" w:lineRule="auto"/>
        <w:jc w:val="both"/>
        <w:rPr>
          <w:rFonts w:ascii="Times New Roman" w:hAnsi="Times New Roman" w:cs="Times New Roman"/>
          <w:noProof/>
        </w:rPr>
      </w:pPr>
      <w:r>
        <w:rPr>
          <w:rFonts w:ascii="Times New Roman" w:hAnsi="Times New Roman" w:cs="Times New Roman"/>
          <w:noProof/>
        </w:rPr>
        <w:t>The policy option introduces a common definition of a clean vehicle for light-duty vehicles, based on a vehicle’s tailpipe CO</w:t>
      </w:r>
      <w:r>
        <w:rPr>
          <w:rFonts w:ascii="Times New Roman" w:hAnsi="Times New Roman" w:cs="Times New Roman"/>
          <w:noProof/>
          <w:vertAlign w:val="subscript"/>
        </w:rPr>
        <w:t>2</w:t>
      </w:r>
      <w:r>
        <w:rPr>
          <w:rFonts w:ascii="Times New Roman" w:hAnsi="Times New Roman" w:cs="Times New Roman"/>
          <w:noProof/>
        </w:rPr>
        <w:t xml:space="preserve"> emissions and in addition, its RDE air pollutant emissions, and defines related minimum procurement targets for Member States for the years 2025 and 2030. Setting two target years is necessary to avoid that action towards meeting the target is delayed, but also to support a gradual increase of ambition over time. The year 2025 is in close enough proximity to the entry of the force of a revised Directive in order to ensure timely impact. Yet it also leaves enough time for public authorities to adapt their planning cycles.</w:t>
      </w:r>
    </w:p>
    <w:p w:rsidR="002E508F" w:rsidRDefault="005D0A03">
      <w:pPr>
        <w:spacing w:after="120" w:line="240" w:lineRule="auto"/>
        <w:jc w:val="both"/>
        <w:rPr>
          <w:rFonts w:ascii="Times New Roman" w:hAnsi="Times New Roman" w:cs="Times New Roman"/>
          <w:noProof/>
        </w:rPr>
      </w:pPr>
      <w:r>
        <w:rPr>
          <w:rFonts w:ascii="Times New Roman" w:hAnsi="Times New Roman" w:cs="Times New Roman"/>
          <w:noProof/>
        </w:rPr>
        <w:t>This policy option takes a two-tiered approach to test the impacts of different levels of ambition in the two target years of 2025 and 2030 for light-duty vehicles. As noted in the pre-screening of measures, no definition and related minimum target is provided for heavy duty vehicles.</w:t>
      </w:r>
    </w:p>
    <w:p w:rsidR="002E508F" w:rsidRDefault="005D0A03">
      <w:pPr>
        <w:pStyle w:val="ListParagraph"/>
        <w:numPr>
          <w:ilvl w:val="0"/>
          <w:numId w:val="25"/>
        </w:numPr>
        <w:spacing w:after="120" w:line="240" w:lineRule="auto"/>
        <w:ind w:left="714" w:hanging="357"/>
        <w:contextualSpacing w:val="0"/>
        <w:jc w:val="both"/>
        <w:rPr>
          <w:rFonts w:ascii="Times New Roman" w:hAnsi="Times New Roman" w:cs="Times New Roman"/>
          <w:noProof/>
        </w:rPr>
      </w:pPr>
      <w:r>
        <w:rPr>
          <w:rFonts w:ascii="Times New Roman" w:hAnsi="Times New Roman" w:cs="Times New Roman"/>
          <w:noProof/>
        </w:rPr>
        <w:t>In the two sub-options the definition of a clean vehicles is set as follows:</w:t>
      </w:r>
    </w:p>
    <w:p w:rsidR="002E508F" w:rsidRDefault="005D0A03">
      <w:pPr>
        <w:pStyle w:val="ListParagraph"/>
        <w:numPr>
          <w:ilvl w:val="1"/>
          <w:numId w:val="25"/>
        </w:numPr>
        <w:spacing w:after="0" w:line="240" w:lineRule="auto"/>
        <w:ind w:left="1434" w:hanging="357"/>
        <w:contextualSpacing w:val="0"/>
        <w:jc w:val="both"/>
        <w:rPr>
          <w:rFonts w:ascii="Times New Roman" w:hAnsi="Times New Roman" w:cs="Times New Roman"/>
          <w:noProof/>
        </w:rPr>
      </w:pPr>
      <w:r>
        <w:rPr>
          <w:rFonts w:ascii="Times New Roman" w:hAnsi="Times New Roman" w:cs="Times New Roman"/>
          <w:noProof/>
          <w:u w:val="single"/>
        </w:rPr>
        <w:t>PO3a (moderate ambition):</w:t>
      </w:r>
      <w:r>
        <w:rPr>
          <w:rFonts w:ascii="Times New Roman" w:hAnsi="Times New Roman" w:cs="Times New Roman"/>
          <w:noProof/>
        </w:rPr>
        <w:t xml:space="preserve"> </w:t>
      </w:r>
    </w:p>
    <w:p w:rsidR="002E508F" w:rsidRDefault="005D0A03">
      <w:pPr>
        <w:pStyle w:val="ListParagraph"/>
        <w:spacing w:line="240" w:lineRule="auto"/>
        <w:ind w:left="1434"/>
        <w:contextualSpacing w:val="0"/>
        <w:jc w:val="both"/>
        <w:rPr>
          <w:rFonts w:ascii="Times New Roman" w:hAnsi="Times New Roman" w:cs="Times New Roman"/>
          <w:noProof/>
        </w:rPr>
      </w:pPr>
      <w:r>
        <w:rPr>
          <w:rFonts w:ascii="Times New Roman" w:hAnsi="Times New Roman" w:cs="Times New Roman"/>
          <w:noProof/>
        </w:rPr>
        <w:t>This sub-option introduces for 2025 a threshold of 50 gCO</w:t>
      </w:r>
      <w:r>
        <w:rPr>
          <w:rFonts w:ascii="Times New Roman" w:hAnsi="Times New Roman" w:cs="Times New Roman"/>
          <w:noProof/>
          <w:vertAlign w:val="subscript"/>
        </w:rPr>
        <w:t>2</w:t>
      </w:r>
      <w:r>
        <w:rPr>
          <w:rFonts w:ascii="Times New Roman" w:hAnsi="Times New Roman" w:cs="Times New Roman"/>
          <w:noProof/>
        </w:rPr>
        <w:t>/km for cars and vans, following the same reasoning as in PO2, but making this approach mandatory to use for all Member States and connecting it to a minimum procurement target.</w:t>
      </w:r>
      <w:r>
        <w:rPr>
          <w:rStyle w:val="FootnoteReference"/>
          <w:rFonts w:ascii="Times New Roman" w:hAnsi="Times New Roman" w:cs="Times New Roman"/>
          <w:noProof/>
        </w:rPr>
        <w:footnoteReference w:id="67"/>
      </w:r>
      <w:r>
        <w:rPr>
          <w:rFonts w:ascii="Times New Roman" w:hAnsi="Times New Roman" w:cs="Times New Roman"/>
          <w:noProof/>
        </w:rPr>
        <w:t xml:space="preserve"> In addition, it introduces a threshold with respect to RDE air pollutant emissions: vehicles should have a conformity factor of 1 (i.e. 0% meaning that they meet Euro 6 standards as originally defined). As the CO</w:t>
      </w:r>
      <w:r>
        <w:rPr>
          <w:rFonts w:ascii="Times New Roman" w:hAnsi="Times New Roman" w:cs="Times New Roman"/>
          <w:noProof/>
          <w:vertAlign w:val="subscript"/>
        </w:rPr>
        <w:t>2</w:t>
      </w:r>
      <w:r>
        <w:rPr>
          <w:rFonts w:ascii="Times New Roman" w:hAnsi="Times New Roman" w:cs="Times New Roman"/>
          <w:noProof/>
        </w:rPr>
        <w:t xml:space="preserve"> threshold would not go much beyond the average CO2 emission fleet standard in 2030, the CO</w:t>
      </w:r>
      <w:r>
        <w:rPr>
          <w:rFonts w:ascii="Times New Roman" w:hAnsi="Times New Roman" w:cs="Times New Roman"/>
          <w:noProof/>
          <w:vertAlign w:val="subscript"/>
        </w:rPr>
        <w:t>2</w:t>
      </w:r>
      <w:r>
        <w:rPr>
          <w:rFonts w:ascii="Times New Roman" w:hAnsi="Times New Roman" w:cs="Times New Roman"/>
          <w:noProof/>
        </w:rPr>
        <w:t xml:space="preserve"> threshold is lowered in 2030 to 25 gCO</w:t>
      </w:r>
      <w:r>
        <w:rPr>
          <w:rFonts w:ascii="Times New Roman" w:hAnsi="Times New Roman" w:cs="Times New Roman"/>
          <w:noProof/>
          <w:vertAlign w:val="subscript"/>
        </w:rPr>
        <w:t>2</w:t>
      </w:r>
      <w:r>
        <w:rPr>
          <w:rFonts w:ascii="Times New Roman" w:hAnsi="Times New Roman" w:cs="Times New Roman"/>
          <w:noProof/>
        </w:rPr>
        <w:t>/km for passenger cars and 40 gCO</w:t>
      </w:r>
      <w:r>
        <w:rPr>
          <w:rFonts w:ascii="Times New Roman" w:hAnsi="Times New Roman" w:cs="Times New Roman"/>
          <w:noProof/>
          <w:vertAlign w:val="subscript"/>
        </w:rPr>
        <w:t>2</w:t>
      </w:r>
      <w:r>
        <w:rPr>
          <w:rFonts w:ascii="Times New Roman" w:hAnsi="Times New Roman" w:cs="Times New Roman"/>
          <w:noProof/>
        </w:rPr>
        <w:t>/km for vans.</w:t>
      </w:r>
      <w:r>
        <w:rPr>
          <w:rStyle w:val="FootnoteReference"/>
          <w:rFonts w:ascii="Times New Roman" w:hAnsi="Times New Roman" w:cs="Times New Roman"/>
          <w:noProof/>
        </w:rPr>
        <w:footnoteReference w:id="68"/>
      </w:r>
      <w:r>
        <w:rPr>
          <w:rFonts w:ascii="Times New Roman" w:hAnsi="Times New Roman" w:cs="Times New Roman"/>
          <w:noProof/>
        </w:rPr>
        <w:t xml:space="preserve"> The threshold with respect to RDE air pollutant emissions is lowered to a conformity factor of 0.8 (i.e. 20% below Euro 6 standards). </w:t>
      </w:r>
    </w:p>
    <w:p w:rsidR="002E508F" w:rsidRDefault="005D0A03">
      <w:pPr>
        <w:pStyle w:val="ListParagraph"/>
        <w:numPr>
          <w:ilvl w:val="1"/>
          <w:numId w:val="25"/>
        </w:numPr>
        <w:spacing w:line="240" w:lineRule="auto"/>
        <w:jc w:val="both"/>
        <w:rPr>
          <w:rFonts w:ascii="Times New Roman" w:hAnsi="Times New Roman" w:cs="Times New Roman"/>
          <w:noProof/>
        </w:rPr>
      </w:pPr>
      <w:r>
        <w:rPr>
          <w:rFonts w:ascii="Times New Roman" w:hAnsi="Times New Roman" w:cs="Times New Roman"/>
          <w:noProof/>
          <w:u w:val="single"/>
        </w:rPr>
        <w:t>PO3b (high ambition)</w:t>
      </w:r>
      <w:r>
        <w:rPr>
          <w:rFonts w:ascii="Times New Roman" w:hAnsi="Times New Roman" w:cs="Times New Roman"/>
          <w:noProof/>
        </w:rPr>
        <w:t xml:space="preserve">: </w:t>
      </w:r>
    </w:p>
    <w:p w:rsidR="002E508F" w:rsidRDefault="005D0A03">
      <w:pPr>
        <w:pStyle w:val="ListParagraph"/>
        <w:spacing w:line="240" w:lineRule="auto"/>
        <w:ind w:left="1440"/>
        <w:jc w:val="both"/>
        <w:rPr>
          <w:rFonts w:ascii="Times New Roman" w:hAnsi="Times New Roman" w:cs="Times New Roman"/>
          <w:noProof/>
        </w:rPr>
      </w:pPr>
      <w:r>
        <w:rPr>
          <w:rFonts w:ascii="Times New Roman" w:hAnsi="Times New Roman" w:cs="Times New Roman"/>
          <w:noProof/>
        </w:rPr>
        <w:t>This sub-option sets a threshold of 25 gCO</w:t>
      </w:r>
      <w:r>
        <w:rPr>
          <w:rFonts w:ascii="Times New Roman" w:hAnsi="Times New Roman" w:cs="Times New Roman"/>
          <w:noProof/>
          <w:vertAlign w:val="subscript"/>
        </w:rPr>
        <w:t>2</w:t>
      </w:r>
      <w:r>
        <w:rPr>
          <w:rFonts w:ascii="Times New Roman" w:hAnsi="Times New Roman" w:cs="Times New Roman"/>
          <w:noProof/>
        </w:rPr>
        <w:t>/km for cars and 40 gCO</w:t>
      </w:r>
      <w:r>
        <w:rPr>
          <w:rFonts w:ascii="Times New Roman" w:hAnsi="Times New Roman" w:cs="Times New Roman"/>
          <w:noProof/>
          <w:vertAlign w:val="subscript"/>
        </w:rPr>
        <w:t>2</w:t>
      </w:r>
      <w:r>
        <w:rPr>
          <w:rFonts w:ascii="Times New Roman" w:hAnsi="Times New Roman" w:cs="Times New Roman"/>
          <w:noProof/>
        </w:rPr>
        <w:t>/km for vans by 2025, coupled with a threshold with respect to RDE air pollutant emissions of having a conformity factor of 0.8 (i.e. 20% below Euro 6 standards). In 2030, the Co</w:t>
      </w:r>
      <w:r>
        <w:rPr>
          <w:rFonts w:ascii="Times New Roman" w:hAnsi="Times New Roman" w:cs="Times New Roman"/>
          <w:noProof/>
          <w:vertAlign w:val="subscript"/>
        </w:rPr>
        <w:t>2</w:t>
      </w:r>
      <w:r>
        <w:rPr>
          <w:rFonts w:ascii="Times New Roman" w:hAnsi="Times New Roman" w:cs="Times New Roman"/>
          <w:noProof/>
        </w:rPr>
        <w:t xml:space="preserve"> threshold is lowered to zero gCO</w:t>
      </w:r>
      <w:r>
        <w:rPr>
          <w:rFonts w:ascii="Times New Roman" w:hAnsi="Times New Roman" w:cs="Times New Roman"/>
          <w:noProof/>
          <w:vertAlign w:val="subscript"/>
        </w:rPr>
        <w:t>2</w:t>
      </w:r>
      <w:r>
        <w:rPr>
          <w:rFonts w:ascii="Times New Roman" w:hAnsi="Times New Roman" w:cs="Times New Roman"/>
          <w:noProof/>
        </w:rPr>
        <w:t xml:space="preserve">/km for cars and vans, as it is expected that zero-emission technologies are established in the market by the time and as it is intended to keep a strong innovation impulse and market support of public procurement intact.  . </w:t>
      </w:r>
    </w:p>
    <w:p w:rsidR="002E508F" w:rsidRDefault="005D0A03">
      <w:pPr>
        <w:numPr>
          <w:ilvl w:val="0"/>
          <w:numId w:val="20"/>
        </w:numPr>
        <w:spacing w:line="240" w:lineRule="auto"/>
        <w:jc w:val="both"/>
        <w:rPr>
          <w:rFonts w:ascii="Times New Roman" w:hAnsi="Times New Roman" w:cs="Times New Roman"/>
          <w:noProof/>
        </w:rPr>
      </w:pPr>
      <w:r>
        <w:rPr>
          <w:rFonts w:ascii="Times New Roman" w:hAnsi="Times New Roman" w:cs="Times New Roman"/>
          <w:noProof/>
        </w:rPr>
        <w:t xml:space="preserve">On the basis of the definition a target for Member States for a minimum share in the total procurement of light-duty clean vehicles is set up. Member States can decide how to deliver their minimum requirement, e.g. apply it to all or to selection of contracting authorities, entities and operators, providing considerable flexibility to adapt to regional and local conditions.  </w:t>
      </w:r>
    </w:p>
    <w:p w:rsidR="002E508F" w:rsidRDefault="005D0A03">
      <w:pPr>
        <w:numPr>
          <w:ilvl w:val="1"/>
          <w:numId w:val="20"/>
        </w:numPr>
        <w:spacing w:line="240" w:lineRule="auto"/>
        <w:jc w:val="both"/>
        <w:rPr>
          <w:rFonts w:ascii="Times New Roman" w:hAnsi="Times New Roman" w:cs="Times New Roman"/>
          <w:noProof/>
        </w:rPr>
      </w:pPr>
      <w:r>
        <w:rPr>
          <w:rFonts w:ascii="Times New Roman" w:hAnsi="Times New Roman" w:cs="Times New Roman"/>
          <w:noProof/>
        </w:rPr>
        <w:t xml:space="preserve">The minimum share remains the same for 2025 and 2030: the increase in ambition is realised through changes to the entry threshold of the clean vehicles definition. Annex 6 of this Impact Assessment provides further detail on this approach. </w:t>
      </w:r>
    </w:p>
    <w:p w:rsidR="002E508F" w:rsidRDefault="005D0A03">
      <w:pPr>
        <w:numPr>
          <w:ilvl w:val="1"/>
          <w:numId w:val="20"/>
        </w:numPr>
        <w:spacing w:line="240" w:lineRule="auto"/>
        <w:jc w:val="both"/>
        <w:rPr>
          <w:rFonts w:ascii="Times New Roman" w:hAnsi="Times New Roman" w:cs="Times New Roman"/>
          <w:noProof/>
        </w:rPr>
      </w:pPr>
      <w:r>
        <w:rPr>
          <w:rFonts w:ascii="Times New Roman" w:hAnsi="Times New Roman" w:cs="Times New Roman"/>
          <w:noProof/>
        </w:rPr>
        <w:t>Following an analysis of initial ambition levels for the target setting, a medium average European ambition level of setting a target for 35% of all public procurement of vehicles to include vehicles following the definition of clean vehicles has been chosen as the basis for further differentiation at Member State requirements based on expert judgement and further analysis in the context of the Impact Assessment Support Study (annex 6 of this Impact Assessment). It provides a reasonable sense of ambition compared to the baseline, but is also feasible to achieve.</w:t>
      </w:r>
      <w:r>
        <w:rPr>
          <w:rStyle w:val="FootnoteReference"/>
          <w:rFonts w:ascii="Times New Roman" w:hAnsi="Times New Roman" w:cs="Times New Roman"/>
          <w:noProof/>
        </w:rPr>
        <w:footnoteReference w:id="69"/>
      </w:r>
      <w:r>
        <w:rPr>
          <w:rFonts w:ascii="Times New Roman" w:hAnsi="Times New Roman" w:cs="Times New Roman"/>
          <w:noProof/>
        </w:rPr>
        <w:t xml:space="preserve"> Moreover, it leaves public bodies within the flexibility of agreeing to the implementation of the minimum target at national level considerate choice for technologies, not constraining their principal ability to choose the technology preferred, as the target contains to a minimum share counted at Member State level. </w:t>
      </w:r>
    </w:p>
    <w:p w:rsidR="002E508F" w:rsidRDefault="005D0A03">
      <w:pPr>
        <w:numPr>
          <w:ilvl w:val="1"/>
          <w:numId w:val="20"/>
        </w:numPr>
        <w:spacing w:line="240" w:lineRule="auto"/>
        <w:jc w:val="both"/>
        <w:rPr>
          <w:rFonts w:ascii="Times New Roman" w:hAnsi="Times New Roman" w:cs="Times New Roman"/>
          <w:noProof/>
        </w:rPr>
      </w:pPr>
      <w:r>
        <w:rPr>
          <w:rFonts w:ascii="Times New Roman" w:hAnsi="Times New Roman" w:cs="Times New Roman"/>
          <w:noProof/>
        </w:rPr>
        <w:t xml:space="preserve">Member State requirements have been differentiated through combining the criterion of GDP per capita and the criterion of shares of population living in urban and intermediate regions. Further detail on the corresponding minimum requirements for Member States is provided in the Annex 6 of this Impact Assessment Report.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A specific focus is on supporting zero-emission vehicles in form of a specific counting:</w:t>
      </w:r>
    </w:p>
    <w:p w:rsidR="002E508F" w:rsidRDefault="005D0A03">
      <w:pPr>
        <w:pStyle w:val="ListParagraph"/>
        <w:numPr>
          <w:ilvl w:val="0"/>
          <w:numId w:val="20"/>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Vehicles that meet the threshold in this option would count as 0.5 clean vehicles for complying with the minimum target. The exception concerns vehicles with zero-tailpipe CO</w:t>
      </w:r>
      <w:r>
        <w:rPr>
          <w:rFonts w:ascii="Times New Roman" w:hAnsi="Times New Roman" w:cs="Times New Roman"/>
          <w:noProof/>
          <w:vertAlign w:val="subscript"/>
        </w:rPr>
        <w:t>2</w:t>
      </w:r>
      <w:r>
        <w:rPr>
          <w:rFonts w:ascii="Times New Roman" w:hAnsi="Times New Roman" w:cs="Times New Roman"/>
          <w:noProof/>
        </w:rPr>
        <w:t xml:space="preserve"> emissions. These vehicles count as one clean vehicle for the purpose of complying with the minimum target. This measure aims to give a higher weighting to zero-emission vehicles without weakening the overall minimum target. The double-counting is abandoned in case of those Member States where the minimum target exceeds 50% of the overall volume of public procurement, with a cut-off at the 50% mark.</w:t>
      </w:r>
      <w:r>
        <w:rPr>
          <w:rStyle w:val="FootnoteReference"/>
          <w:rFonts w:ascii="Times New Roman" w:hAnsi="Times New Roman" w:cs="Times New Roman"/>
          <w:noProof/>
        </w:rPr>
        <w:footnoteReference w:id="70"/>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policy option removes the current dual choice of implementation mechanisms and with it the monetisation methodology.</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To support the implementation of the Directive and monitoring of the progress towards common minimum procurement targets, Member States would be obliged to report every three years on the implementation of the Directive, starting in the year 2023 with an intermediate report and in 2026 with a full report on the minimum procurement target. To support this reporting, common codes for low- and zero-emission vehicles in the Common Procurement Vocabulary of the EU should be complemented to enable easy reporting under the Tender Electronic Daily Database.</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  </w:t>
      </w:r>
    </w:p>
    <w:p w:rsidR="002E508F" w:rsidRDefault="005D0A03">
      <w:pPr>
        <w:pBdr>
          <w:top w:val="single" w:sz="4" w:space="1" w:color="auto"/>
          <w:left w:val="single" w:sz="4" w:space="4" w:color="auto"/>
          <w:right w:val="single" w:sz="4" w:space="4" w:color="auto"/>
        </w:pBdr>
        <w:jc w:val="both"/>
        <w:rPr>
          <w:rFonts w:ascii="Times New Roman" w:hAnsi="Times New Roman" w:cs="Times New Roman"/>
          <w:b/>
          <w:noProof/>
        </w:rPr>
      </w:pPr>
      <w:r>
        <w:rPr>
          <w:rFonts w:ascii="Times New Roman" w:hAnsi="Times New Roman" w:cs="Times New Roman"/>
          <w:b/>
          <w:noProof/>
        </w:rPr>
        <w:t>How does this policy option address specific policy objectives?</w:t>
      </w:r>
    </w:p>
    <w:p w:rsidR="002E508F" w:rsidRDefault="005D0A03">
      <w:pPr>
        <w:pBdr>
          <w:top w:val="single" w:sz="4" w:space="1" w:color="auto"/>
          <w:left w:val="single" w:sz="4" w:space="4" w:color="auto"/>
          <w:right w:val="single" w:sz="4" w:space="4" w:color="auto"/>
        </w:pBdr>
        <w:spacing w:line="240" w:lineRule="auto"/>
        <w:jc w:val="both"/>
        <w:rPr>
          <w:rFonts w:ascii="Times New Roman" w:hAnsi="Times New Roman" w:cs="Times New Roman"/>
          <w:i/>
          <w:noProof/>
          <w:u w:val="single"/>
        </w:rPr>
      </w:pPr>
      <w:r>
        <w:rPr>
          <w:rFonts w:ascii="Times New Roman" w:hAnsi="Times New Roman" w:cs="Times New Roman"/>
          <w:i/>
          <w:noProof/>
          <w:u w:val="single"/>
        </w:rPr>
        <w:t>SO1: ensure that the Directive addresses all relevant procurement practices</w:t>
      </w:r>
    </w:p>
    <w:p w:rsidR="002E508F" w:rsidRDefault="005D0A03">
      <w:pPr>
        <w:pBdr>
          <w:top w:val="single" w:sz="4" w:space="1" w:color="auto"/>
          <w:left w:val="single" w:sz="4" w:space="4" w:color="auto"/>
          <w:right w:val="single" w:sz="4" w:space="4" w:color="auto"/>
        </w:pBdr>
        <w:spacing w:line="240" w:lineRule="auto"/>
        <w:ind w:left="284" w:hanging="284"/>
        <w:jc w:val="both"/>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 xml:space="preserve">The expansion of the scope of the Directive brings a considerable number of vehicle contracts under the responsibility of the Directive (see table 2.5). </w:t>
      </w:r>
    </w:p>
    <w:p w:rsidR="002E508F" w:rsidRDefault="005D0A03">
      <w:pPr>
        <w:pBdr>
          <w:left w:val="single" w:sz="4" w:space="4" w:color="auto"/>
          <w:right w:val="single" w:sz="4" w:space="4" w:color="auto"/>
        </w:pBdr>
        <w:spacing w:line="240" w:lineRule="auto"/>
        <w:ind w:left="284" w:hanging="284"/>
        <w:jc w:val="both"/>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It keeps a proportionality of impact on administrative burden by respecting the common procurement thresholds of Directives 2014/24/EU and 2014/25/EU. Similarly, it allows including operator fleets providing the services in the counting of the overall minimum requirement of the Member State.</w:t>
      </w:r>
    </w:p>
    <w:p w:rsidR="002E508F" w:rsidRDefault="005D0A03">
      <w:pPr>
        <w:pBdr>
          <w:left w:val="single" w:sz="4" w:space="4" w:color="auto"/>
          <w:right w:val="single" w:sz="4" w:space="4" w:color="auto"/>
        </w:pBdr>
        <w:spacing w:line="240" w:lineRule="auto"/>
        <w:jc w:val="both"/>
        <w:rPr>
          <w:rFonts w:ascii="Times New Roman" w:hAnsi="Times New Roman" w:cs="Times New Roman"/>
          <w:i/>
          <w:noProof/>
        </w:rPr>
      </w:pPr>
      <w:r>
        <w:rPr>
          <w:rFonts w:ascii="Times New Roman" w:hAnsi="Times New Roman" w:cs="Times New Roman"/>
          <w:i/>
          <w:noProof/>
          <w:u w:val="single"/>
        </w:rPr>
        <w:t>SO2: ensure that the Directive provides clear market signals</w:t>
      </w:r>
    </w:p>
    <w:p w:rsidR="002E508F" w:rsidRDefault="005D0A03">
      <w:pPr>
        <w:pBdr>
          <w:left w:val="single" w:sz="4" w:space="4" w:color="auto"/>
          <w:right w:val="single" w:sz="4" w:space="4" w:color="auto"/>
        </w:pBdr>
        <w:spacing w:line="240" w:lineRule="auto"/>
        <w:ind w:left="284" w:hanging="284"/>
        <w:jc w:val="both"/>
        <w:rPr>
          <w:rFonts w:ascii="Times New Roman" w:hAnsi="Times New Roman" w:cs="Times New Roman"/>
          <w:i/>
          <w:noProof/>
        </w:rPr>
      </w:pPr>
      <w:r>
        <w:rPr>
          <w:rFonts w:ascii="Times New Roman" w:hAnsi="Times New Roman" w:cs="Times New Roman"/>
          <w:noProof/>
        </w:rPr>
        <w:t xml:space="preserve">- </w:t>
      </w:r>
      <w:r>
        <w:rPr>
          <w:rFonts w:ascii="Times New Roman" w:hAnsi="Times New Roman" w:cs="Times New Roman"/>
          <w:noProof/>
        </w:rPr>
        <w:tab/>
        <w:t>This option provides a clear long-term market signal for the light-duty transport sector. It ensures that a specific minimum share of clean vehicles is purchased, rented, leased or hire-purchased by public bodies with a transparent orientation for two target years (2025 and 2030) as defined by Member States. In this context, it puts particular emphasis on the promotion of low- and zero-emission vehicles, in line with the priority of the European Low-Emission Mobility Strategy. However, it does not address heavy-duty vehicles, as there is currently no legal requirement for CO</w:t>
      </w:r>
      <w:r>
        <w:rPr>
          <w:rFonts w:ascii="Times New Roman" w:hAnsi="Times New Roman" w:cs="Times New Roman"/>
          <w:noProof/>
          <w:vertAlign w:val="subscript"/>
        </w:rPr>
        <w:t>2</w:t>
      </w:r>
      <w:r>
        <w:rPr>
          <w:rFonts w:ascii="Times New Roman" w:hAnsi="Times New Roman" w:cs="Times New Roman"/>
          <w:noProof/>
        </w:rPr>
        <w:t xml:space="preserve">-emissions from heavy-duty vehicles. </w:t>
      </w:r>
    </w:p>
    <w:p w:rsidR="002E508F" w:rsidRDefault="005D0A03">
      <w:pPr>
        <w:pBdr>
          <w:left w:val="single" w:sz="4" w:space="4" w:color="auto"/>
          <w:right w:val="single" w:sz="4" w:space="4" w:color="auto"/>
        </w:pBdr>
        <w:spacing w:line="240" w:lineRule="auto"/>
        <w:ind w:left="284" w:hanging="284"/>
        <w:jc w:val="both"/>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 xml:space="preserve">At the same time, it provides flexibility for implementation in Member States: it is up to Member States authorities to define how to implement the overall target, i.e. to allocate requirements to all or to a subset of contracting authorities, entities and operators. In this context, this policy option would set up a recommendation through recitals of the Directive on the relevance to focus action on urban agglomerations that are concerned by exceedance of air quality limit values as defined in the Acquis. A significant gap between the geographical concentration of public procurement action and the concentration of exceedance of air quality limit values should give rise to recommendations   for reprioritising the actions under the minimum target. </w:t>
      </w:r>
    </w:p>
    <w:p w:rsidR="002E508F" w:rsidRDefault="005D0A03">
      <w:pPr>
        <w:pBdr>
          <w:left w:val="single" w:sz="4" w:space="4" w:color="auto"/>
          <w:bottom w:val="single" w:sz="4" w:space="1" w:color="auto"/>
          <w:right w:val="single" w:sz="4" w:space="4" w:color="auto"/>
        </w:pBdr>
        <w:spacing w:line="240" w:lineRule="auto"/>
        <w:jc w:val="both"/>
        <w:rPr>
          <w:rFonts w:ascii="Times New Roman" w:hAnsi="Times New Roman" w:cs="Times New Roman"/>
          <w:i/>
          <w:noProof/>
        </w:rPr>
      </w:pPr>
      <w:r>
        <w:rPr>
          <w:rFonts w:ascii="Times New Roman" w:hAnsi="Times New Roman" w:cs="Times New Roman"/>
          <w:i/>
          <w:noProof/>
          <w:u w:val="single"/>
        </w:rPr>
        <w:t>SO3 – ensure that the Directive's provisions are simplified and effective to use</w:t>
      </w:r>
    </w:p>
    <w:p w:rsidR="002E508F" w:rsidRDefault="005D0A03">
      <w:pPr>
        <w:pBdr>
          <w:left w:val="single" w:sz="4" w:space="4" w:color="auto"/>
          <w:bottom w:val="single" w:sz="4" w:space="1" w:color="auto"/>
          <w:right w:val="single" w:sz="4" w:space="4" w:color="auto"/>
        </w:pBdr>
        <w:spacing w:after="360" w:line="240" w:lineRule="auto"/>
        <w:ind w:left="284" w:hanging="284"/>
        <w:jc w:val="both"/>
        <w:rPr>
          <w:rFonts w:ascii="Times New Roman" w:hAnsi="Times New Roman" w:cs="Times New Roman"/>
          <w:i/>
          <w:noProof/>
        </w:rPr>
      </w:pPr>
      <w:r>
        <w:rPr>
          <w:rFonts w:ascii="Times New Roman" w:hAnsi="Times New Roman" w:cs="Times New Roman"/>
          <w:noProof/>
        </w:rPr>
        <w:t>-</w:t>
      </w:r>
      <w:r>
        <w:rPr>
          <w:rFonts w:ascii="Times New Roman" w:hAnsi="Times New Roman" w:cs="Times New Roman"/>
          <w:noProof/>
        </w:rPr>
        <w:tab/>
        <w:t>Removing the current choice of transposition options helps to simplify the implementation of the Directive; no major practical implications are expected due to the limited use of the methodology in practice. Setting a clear definition and minimum procurement requirements will support the more effective implementation of the Directive.  This position has also been shared by a majority of stakeholders in the consultation process.</w:t>
      </w:r>
      <w:r>
        <w:rPr>
          <w:rStyle w:val="FootnoteReference"/>
          <w:rFonts w:ascii="Times New Roman" w:hAnsi="Times New Roman" w:cs="Times New Roman"/>
          <w:noProof/>
        </w:rPr>
        <w:footnoteReference w:id="71"/>
      </w:r>
      <w:r>
        <w:rPr>
          <w:rFonts w:ascii="Times New Roman" w:hAnsi="Times New Roman" w:cs="Times New Roman"/>
          <w:noProof/>
        </w:rPr>
        <w:t xml:space="preserve"> Setting up the approach to deliver on the minimum target will require upfront coordination in Member States, but it will be guided by clear provisions. Reporting will be facilitated through complete codes on low- and zero-emission vehicles in the Common Procurement Vocabulary of the EU. </w:t>
      </w:r>
      <w:r>
        <w:rPr>
          <w:rFonts w:ascii="Times New Roman" w:hAnsi="Times New Roman" w:cs="Times New Roman"/>
          <w:noProof/>
          <w:sz w:val="20"/>
          <w:szCs w:val="20"/>
        </w:rPr>
        <w:t xml:space="preserve"> </w:t>
      </w:r>
    </w:p>
    <w:p w:rsidR="002E508F" w:rsidRDefault="005D0A03">
      <w:pPr>
        <w:pStyle w:val="Heading3"/>
        <w:rPr>
          <w:noProof/>
        </w:rPr>
      </w:pPr>
      <w:bookmarkStart w:id="39" w:name="_Toc497141496"/>
      <w:r>
        <w:rPr>
          <w:noProof/>
        </w:rPr>
        <w:t>Policy Option 4 (PO4): providing a definition based on alternative fuels and setting up related minimum procurement requirements for all vehicles</w:t>
      </w:r>
      <w:bookmarkEnd w:id="39"/>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This policy option adopts the same principal approach to the revision of the Clean Vehicles Directive as PO3, but with important differences. It: </w:t>
      </w:r>
    </w:p>
    <w:p w:rsidR="002E508F" w:rsidRDefault="005D0A03">
      <w:pPr>
        <w:pStyle w:val="ListParagraph"/>
        <w:numPr>
          <w:ilvl w:val="0"/>
          <w:numId w:val="32"/>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introduces a common definition of clean vehicles on the basis of alternative fuels,</w:t>
      </w:r>
    </w:p>
    <w:p w:rsidR="002E508F" w:rsidRDefault="005D0A03">
      <w:pPr>
        <w:pStyle w:val="ListParagraph"/>
        <w:numPr>
          <w:ilvl w:val="0"/>
          <w:numId w:val="32"/>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adds a target for Member States for a minimum share in the total procurement of light- and heavy-duty vehicles following the clean vehicles definition,</w:t>
      </w:r>
    </w:p>
    <w:p w:rsidR="002E508F" w:rsidRDefault="005D0A03">
      <w:pPr>
        <w:pStyle w:val="ListParagraph"/>
        <w:numPr>
          <w:ilvl w:val="0"/>
          <w:numId w:val="32"/>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 xml:space="preserve">introduces measures to extend the scope of the Clean Vehicles Directive and </w:t>
      </w:r>
    </w:p>
    <w:p w:rsidR="002E508F" w:rsidRDefault="005D0A03">
      <w:pPr>
        <w:pStyle w:val="ListParagraph"/>
        <w:numPr>
          <w:ilvl w:val="0"/>
          <w:numId w:val="32"/>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 xml:space="preserve">removes the monetisation methodology.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Compared to PO3, this policy options addresses both light- and heavy-duty vehicles, which is a considerably larger scope of ambition. Compared to PO3, there is also no interplay between an entry threshold of tail-pipe emissions and a minimum target for procurement of vehicles. In PO4, the level of ambitions is only realised through the level of the minimum target. The definition based on the alternative fuels remains the same. </w:t>
      </w:r>
    </w:p>
    <w:p w:rsidR="002E508F" w:rsidRDefault="005D0A03">
      <w:pPr>
        <w:spacing w:line="240" w:lineRule="auto"/>
        <w:jc w:val="both"/>
        <w:rPr>
          <w:rFonts w:ascii="Times New Roman" w:hAnsi="Times New Roman" w:cs="Times New Roman"/>
          <w:noProof/>
          <w:u w:val="single"/>
        </w:rPr>
      </w:pPr>
      <w:r>
        <w:rPr>
          <w:rFonts w:ascii="Times New Roman" w:hAnsi="Times New Roman" w:cs="Times New Roman"/>
          <w:noProof/>
          <w:u w:val="single"/>
        </w:rPr>
        <w:t>Description of the policy option</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PO4 extends the scope of the Directive like in PO3. It would</w:t>
      </w:r>
    </w:p>
    <w:p w:rsidR="002E508F" w:rsidRDefault="005D0A03">
      <w:pPr>
        <w:pStyle w:val="ListParagraph"/>
        <w:numPr>
          <w:ilvl w:val="0"/>
          <w:numId w:val="24"/>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include vehicles leased, rented or hire-purchased by public authorities. The definition of clean vehicles and the minimum target set at the level of the Member State should be applied to vehicles leased and hire-purchased in line with the conditions set for the implementation of the target. Application of the minimum requirement should also be applied to vehicles rented by public authorities accordingly. If applicable, the fleet providers would have to comply with the minimum requirements set for the years 2025 and 2030. As with the purchase of vehicles, the procurement thresholds of Directives 2014/24/EU and 2014/25/EU apply. </w:t>
      </w:r>
    </w:p>
    <w:p w:rsidR="002E508F" w:rsidRDefault="005D0A03">
      <w:pPr>
        <w:pStyle w:val="ListParagraph"/>
        <w:numPr>
          <w:ilvl w:val="0"/>
          <w:numId w:val="24"/>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include in the list of "selected transport services" bus services, waste collection services and postal and courier services, as defined by their respective Common Procurement Vocabulary codes. This covers some of the more significant services that public authorities procure in addition to public passenger transport. Rather than setting an additional minimum targets for these services, the operator fleets providing the services should be entitled for inclusion in the counting of the overall minimum requirement of the Member State, if deemed applicable.</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PO4 also introduces a common definition of a clean vehicle for light and heavy-duty vehicles. As PO3, it defines related minimum procurement target that are differentiated for the years 2025 and 2030, following the same rationale for choosing these two years as under PO3. Other than PO3, PO4 also differentiates the procurement targets for light- and heavy-duty vehicles for these two target years, as the definition basis of alternative fuels allows for such differentiation. As in PO3, PO4 includes two sub-options to test both a low- (PO4a) and high policy ambition (PO4b). In particular:  </w:t>
      </w:r>
    </w:p>
    <w:p w:rsidR="002E508F" w:rsidRDefault="005D0A03">
      <w:pPr>
        <w:pStyle w:val="ListParagraph"/>
        <w:numPr>
          <w:ilvl w:val="0"/>
          <w:numId w:val="34"/>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PPO4 follows a qualified definition on the basis of Article 2(1) of Directive 2014/94</w:t>
      </w:r>
      <w:r>
        <w:rPr>
          <w:rStyle w:val="FootnoteReference"/>
          <w:rFonts w:ascii="Times New Roman" w:hAnsi="Times New Roman" w:cs="Times New Roman"/>
          <w:noProof/>
        </w:rPr>
        <w:footnoteReference w:id="72"/>
      </w:r>
      <w:r>
        <w:rPr>
          <w:rFonts w:ascii="Times New Roman" w:hAnsi="Times New Roman" w:cs="Times New Roman"/>
          <w:noProof/>
        </w:rPr>
        <w:t>, with the same specific counting approach for zero-emission vehicles as in PO3. In addition to battery- and fuel-cell electric vehicles, vehicles capable of using natural gas will be counted only as fully contributing to the minimum target if it can be demonstrated that there is a contract to procure bio-methane, or other means of accessing bio-methane, e.g. from a municipally-owned facility, in sufficient capacity to ensure full operation of the vehicle.</w:t>
      </w:r>
      <w:r>
        <w:rPr>
          <w:rStyle w:val="FootnoteReference"/>
          <w:rFonts w:ascii="Times New Roman" w:hAnsi="Times New Roman" w:cs="Times New Roman"/>
          <w:noProof/>
        </w:rPr>
        <w:footnoteReference w:id="73"/>
      </w:r>
      <w:r>
        <w:rPr>
          <w:rFonts w:ascii="Times New Roman" w:hAnsi="Times New Roman" w:cs="Times New Roman"/>
          <w:noProof/>
        </w:rPr>
        <w:t xml:space="preserve"> It hence allows, within the context of the overall low-emission mobility approach, a full choice of technologies. </w:t>
      </w:r>
    </w:p>
    <w:p w:rsidR="002E508F" w:rsidRDefault="005D0A03">
      <w:pPr>
        <w:pStyle w:val="ListParagraph"/>
        <w:numPr>
          <w:ilvl w:val="0"/>
          <w:numId w:val="34"/>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Other alternative fuels vehicles are counted with 0.5 towards meeting the requirements of the target. Biofuels and synthetic and paraffinic fuels are not counted as part of the minimum procurement target, but are, of course, not prevented otherwise.</w:t>
      </w:r>
      <w:r>
        <w:rPr>
          <w:rStyle w:val="FootnoteReference"/>
          <w:rFonts w:ascii="Times New Roman" w:hAnsi="Times New Roman" w:cs="Times New Roman"/>
          <w:noProof/>
        </w:rPr>
        <w:footnoteReference w:id="74"/>
      </w:r>
    </w:p>
    <w:p w:rsidR="002E508F" w:rsidRDefault="005D0A03">
      <w:pPr>
        <w:pStyle w:val="ListParagraph"/>
        <w:numPr>
          <w:ilvl w:val="0"/>
          <w:numId w:val="24"/>
        </w:numPr>
        <w:spacing w:line="240" w:lineRule="auto"/>
        <w:contextualSpacing w:val="0"/>
        <w:jc w:val="both"/>
        <w:rPr>
          <w:rFonts w:ascii="Times New Roman" w:hAnsi="Times New Roman" w:cs="Times New Roman"/>
          <w:noProof/>
        </w:rPr>
      </w:pPr>
      <w:r>
        <w:rPr>
          <w:rFonts w:ascii="Times New Roman" w:hAnsi="Times New Roman" w:cs="Times New Roman"/>
          <w:noProof/>
        </w:rPr>
        <w:t>PO4 establishes a related minimum target at the level of the Member States. The minimum target is differentiated by Member States and further by light- and heavy-duty vehicles (annex 6 of this Impact Assessment)</w:t>
      </w:r>
      <w:r>
        <w:rPr>
          <w:rStyle w:val="FootnoteReference"/>
          <w:rFonts w:ascii="Times New Roman" w:hAnsi="Times New Roman" w:cs="Times New Roman"/>
          <w:noProof/>
        </w:rPr>
        <w:footnoteReference w:id="75"/>
      </w:r>
      <w:r>
        <w:rPr>
          <w:rFonts w:ascii="Times New Roman" w:hAnsi="Times New Roman" w:cs="Times New Roman"/>
          <w:noProof/>
        </w:rPr>
        <w:t>. The two sub-options include:</w:t>
      </w:r>
    </w:p>
    <w:p w:rsidR="002E508F" w:rsidRDefault="005D0A03">
      <w:pPr>
        <w:pStyle w:val="ListParagraph"/>
        <w:numPr>
          <w:ilvl w:val="1"/>
          <w:numId w:val="24"/>
        </w:numPr>
        <w:spacing w:after="0" w:line="240" w:lineRule="auto"/>
        <w:ind w:left="1434" w:hanging="357"/>
        <w:contextualSpacing w:val="0"/>
        <w:jc w:val="both"/>
        <w:rPr>
          <w:rFonts w:ascii="Times New Roman" w:hAnsi="Times New Roman" w:cs="Times New Roman"/>
          <w:noProof/>
        </w:rPr>
      </w:pPr>
      <w:r>
        <w:rPr>
          <w:rFonts w:ascii="Times New Roman" w:hAnsi="Times New Roman" w:cs="Times New Roman"/>
          <w:noProof/>
        </w:rPr>
        <w:t xml:space="preserve">PO4a (moderate ambition): </w:t>
      </w:r>
    </w:p>
    <w:p w:rsidR="002E508F" w:rsidRDefault="005D0A03">
      <w:pPr>
        <w:pStyle w:val="ListParagraph"/>
        <w:spacing w:line="240" w:lineRule="auto"/>
        <w:ind w:left="1440"/>
        <w:contextualSpacing w:val="0"/>
        <w:jc w:val="both"/>
        <w:rPr>
          <w:rFonts w:ascii="Times New Roman" w:hAnsi="Times New Roman" w:cs="Times New Roman"/>
          <w:noProof/>
        </w:rPr>
      </w:pPr>
      <w:r>
        <w:rPr>
          <w:rFonts w:ascii="Times New Roman" w:hAnsi="Times New Roman" w:cs="Times New Roman"/>
          <w:noProof/>
        </w:rPr>
        <w:t xml:space="preserve">A moderate ambition approach of 20% in 2025 and 35% in 2030 for passenger cars and vans; of 5% in 2025 and 10% in 2030 for trucks and of 30% in 2025 and 50% in 2030 for urban buses. The setting of the mandate levels follows expert judgement and further analysis in the context of the Impact Assessment Support Study, taking into account recent market forecasts for vehicles and their differentiation by market segments and the impact of the level of ambition relative to the projected baseline. </w:t>
      </w:r>
      <w:r>
        <w:rPr>
          <w:rStyle w:val="FootnoteReference"/>
          <w:rFonts w:ascii="Times New Roman" w:hAnsi="Times New Roman" w:cs="Times New Roman"/>
          <w:noProof/>
        </w:rPr>
        <w:footnoteReference w:id="76"/>
      </w:r>
    </w:p>
    <w:p w:rsidR="002E508F" w:rsidRDefault="005D0A03">
      <w:pPr>
        <w:pStyle w:val="ListParagraph"/>
        <w:numPr>
          <w:ilvl w:val="1"/>
          <w:numId w:val="24"/>
        </w:numPr>
        <w:spacing w:after="0" w:line="240" w:lineRule="auto"/>
        <w:ind w:left="1434" w:hanging="357"/>
        <w:contextualSpacing w:val="0"/>
        <w:jc w:val="both"/>
        <w:rPr>
          <w:rFonts w:ascii="Times New Roman" w:hAnsi="Times New Roman" w:cs="Times New Roman"/>
          <w:noProof/>
        </w:rPr>
      </w:pPr>
      <w:r>
        <w:rPr>
          <w:rFonts w:ascii="Times New Roman" w:hAnsi="Times New Roman" w:cs="Times New Roman"/>
          <w:noProof/>
        </w:rPr>
        <w:t>PO4b (high ambition</w:t>
      </w:r>
      <w:r>
        <w:rPr>
          <w:rFonts w:ascii="Times New Roman" w:hAnsi="Times New Roman" w:cs="Times New Roman"/>
          <w:noProof/>
          <w:u w:val="single"/>
        </w:rPr>
        <w:t>)</w:t>
      </w:r>
    </w:p>
    <w:p w:rsidR="002E508F" w:rsidRDefault="005D0A03">
      <w:pPr>
        <w:pStyle w:val="ListParagraph"/>
        <w:spacing w:after="0" w:line="240" w:lineRule="auto"/>
        <w:ind w:left="1440"/>
        <w:contextualSpacing w:val="0"/>
        <w:jc w:val="both"/>
        <w:rPr>
          <w:rFonts w:ascii="Times New Roman" w:hAnsi="Times New Roman" w:cs="Times New Roman"/>
          <w:noProof/>
        </w:rPr>
      </w:pPr>
      <w:r>
        <w:rPr>
          <w:rFonts w:ascii="Times New Roman" w:hAnsi="Times New Roman" w:cs="Times New Roman"/>
          <w:noProof/>
        </w:rPr>
        <w:t>a high ambition approach of 35% in 2025 and 50% in 2030 for passenger cars and vans; 10% in 2025 and 15% in 2030 for trucks and of 50% in 2025 and 75% in 2030 for urban buses, following the same reasoning for their design as in PO4a but with a much higher market impact in mind. The comparatively high values for urban buses are justified based on the recent market forecasts delivered by public transport operators for the deployment of low- and zero-emission bus solutions and ongoing policy and market action in Member States.</w:t>
      </w:r>
      <w:r>
        <w:rPr>
          <w:rStyle w:val="FootnoteReference"/>
          <w:rFonts w:ascii="Times New Roman" w:hAnsi="Times New Roman" w:cs="Times New Roman"/>
          <w:noProof/>
        </w:rPr>
        <w:footnoteReference w:id="77"/>
      </w:r>
    </w:p>
    <w:p w:rsidR="002E508F" w:rsidRDefault="005D0A03">
      <w:pPr>
        <w:pStyle w:val="ListParagraph"/>
        <w:spacing w:after="0" w:line="240" w:lineRule="auto"/>
        <w:ind w:left="1440"/>
        <w:contextualSpacing w:val="0"/>
        <w:jc w:val="both"/>
        <w:rPr>
          <w:rFonts w:ascii="Times New Roman" w:hAnsi="Times New Roman" w:cs="Times New Roman"/>
          <w:noProof/>
        </w:rPr>
      </w:pPr>
      <w:r>
        <w:rPr>
          <w:rFonts w:ascii="Times New Roman" w:hAnsi="Times New Roman" w:cs="Times New Roman"/>
          <w:noProof/>
        </w:rPr>
        <w:t xml:space="preserve"> </w:t>
      </w:r>
    </w:p>
    <w:p w:rsidR="002E508F" w:rsidRDefault="005D0A03">
      <w:pPr>
        <w:pStyle w:val="ListParagraph"/>
        <w:numPr>
          <w:ilvl w:val="0"/>
          <w:numId w:val="24"/>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As in PO3, further modulation of Member State requirements was undertaken on the basis of combining criteria of GDP per capita and data on urban population density in the respective Member State to get to a weighted assessment of economic capacity and problem exposure. Further information is provided in annex 6 of this Impact Assessment.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policy option removes the current dual choice of implementation mechanisms and with it the monetisation methodology.</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To support the implementation of the Directive and monitoring of the progress towards common minimum procurement targets, Member States would be obliged to report every three years on the implementation of the Directive, starting in the year 2023 with an intermediate report and in 2026 with a full report. To support this reporting, common code for low- and zero-emission and other alternative fuels vehicles should be complemented in the Common Procurement Vocabulary of the EU.</w:t>
      </w:r>
    </w:p>
    <w:p w:rsidR="002E508F" w:rsidRDefault="002E508F">
      <w:pPr>
        <w:spacing w:line="240" w:lineRule="auto"/>
        <w:jc w:val="both"/>
        <w:rPr>
          <w:rFonts w:ascii="Times New Roman" w:hAnsi="Times New Roman" w:cs="Times New Roman"/>
          <w:noProof/>
        </w:rPr>
      </w:pP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  </w:t>
      </w:r>
    </w:p>
    <w:p w:rsidR="002E508F" w:rsidRDefault="005D0A03">
      <w:pPr>
        <w:pBdr>
          <w:top w:val="single" w:sz="4" w:space="1" w:color="auto"/>
          <w:left w:val="single" w:sz="4" w:space="4" w:color="auto"/>
          <w:right w:val="single" w:sz="4" w:space="4" w:color="auto"/>
        </w:pBdr>
        <w:spacing w:line="240" w:lineRule="auto"/>
        <w:jc w:val="both"/>
        <w:rPr>
          <w:rFonts w:ascii="Times New Roman" w:hAnsi="Times New Roman" w:cs="Times New Roman"/>
          <w:b/>
          <w:i/>
          <w:noProof/>
        </w:rPr>
      </w:pPr>
      <w:r>
        <w:rPr>
          <w:rFonts w:ascii="Times New Roman" w:hAnsi="Times New Roman" w:cs="Times New Roman"/>
          <w:b/>
          <w:i/>
          <w:noProof/>
        </w:rPr>
        <w:t>How does this policy option address specific policy objectives?</w:t>
      </w:r>
    </w:p>
    <w:p w:rsidR="002E508F" w:rsidRDefault="005D0A03">
      <w:pPr>
        <w:pBdr>
          <w:top w:val="single" w:sz="4" w:space="1" w:color="auto"/>
          <w:left w:val="single" w:sz="4" w:space="4" w:color="auto"/>
          <w:right w:val="single" w:sz="4" w:space="4" w:color="auto"/>
        </w:pBdr>
        <w:spacing w:line="240" w:lineRule="auto"/>
        <w:jc w:val="both"/>
        <w:rPr>
          <w:rFonts w:ascii="Times New Roman" w:hAnsi="Times New Roman" w:cs="Times New Roman"/>
          <w:i/>
          <w:noProof/>
          <w:u w:val="single"/>
        </w:rPr>
      </w:pPr>
      <w:r>
        <w:rPr>
          <w:rFonts w:ascii="Times New Roman" w:hAnsi="Times New Roman" w:cs="Times New Roman"/>
          <w:i/>
          <w:noProof/>
          <w:u w:val="single"/>
        </w:rPr>
        <w:t>SO1: ensure that the Directive addresses all relevant procurement processes</w:t>
      </w:r>
    </w:p>
    <w:p w:rsidR="002E508F" w:rsidRDefault="005D0A03">
      <w:pPr>
        <w:pBdr>
          <w:top w:val="single" w:sz="4" w:space="1" w:color="auto"/>
          <w:left w:val="single" w:sz="4" w:space="4" w:color="auto"/>
          <w:right w:val="single" w:sz="4" w:space="4" w:color="auto"/>
        </w:pBdr>
        <w:spacing w:line="240" w:lineRule="auto"/>
        <w:jc w:val="both"/>
        <w:rPr>
          <w:rFonts w:ascii="Times New Roman" w:hAnsi="Times New Roman" w:cs="Times New Roman"/>
          <w:noProof/>
        </w:rPr>
      </w:pPr>
      <w:r>
        <w:rPr>
          <w:rFonts w:ascii="Times New Roman" w:hAnsi="Times New Roman" w:cs="Times New Roman"/>
          <w:noProof/>
        </w:rPr>
        <w:t>As in PO3, the expansion of the scope of the Directive brings a considerable number of vehicle contracts under the responsibility of the Directive (see table 2.5). Other than in PO3, PO4 covers a larger amount of contracts due to the fact that it addresses both light- and heavy-duty vehicles.</w:t>
      </w:r>
    </w:p>
    <w:p w:rsidR="002E508F" w:rsidRDefault="005D0A03">
      <w:pPr>
        <w:pBdr>
          <w:top w:val="single" w:sz="4" w:space="1" w:color="auto"/>
          <w:left w:val="single" w:sz="4" w:space="4" w:color="auto"/>
          <w:right w:val="single" w:sz="4" w:space="4" w:color="auto"/>
        </w:pBdr>
        <w:spacing w:line="240" w:lineRule="auto"/>
        <w:jc w:val="both"/>
        <w:rPr>
          <w:rFonts w:ascii="Times New Roman" w:hAnsi="Times New Roman" w:cs="Times New Roman"/>
          <w:noProof/>
        </w:rPr>
      </w:pPr>
      <w:r>
        <w:rPr>
          <w:rFonts w:ascii="Times New Roman" w:hAnsi="Times New Roman" w:cs="Times New Roman"/>
          <w:noProof/>
        </w:rPr>
        <w:t xml:space="preserve">Like PO3, it keeps a proportionality of impact on administrative burden by respecting the common procurement thresholds of Directives 2014/24/EU and 2014/25/EU. Similarly, it allows including operator fleets providing the services in the counting of the overall minimum requirement of the Member State; where the burden impact is, however, larger due to its application to both light- and heavy-duty vehicles. The concrete implementation of the target is the task of Member States. </w:t>
      </w:r>
    </w:p>
    <w:p w:rsidR="002E508F" w:rsidRDefault="005D0A03">
      <w:pPr>
        <w:pBdr>
          <w:left w:val="single" w:sz="4" w:space="4" w:color="auto"/>
          <w:right w:val="single" w:sz="4" w:space="4" w:color="auto"/>
        </w:pBdr>
        <w:spacing w:line="240" w:lineRule="auto"/>
        <w:rPr>
          <w:rFonts w:ascii="Times New Roman" w:hAnsi="Times New Roman" w:cs="Times New Roman"/>
          <w:i/>
          <w:noProof/>
        </w:rPr>
      </w:pPr>
      <w:r>
        <w:rPr>
          <w:rFonts w:ascii="Times New Roman" w:hAnsi="Times New Roman" w:cs="Times New Roman"/>
          <w:i/>
          <w:noProof/>
          <w:u w:val="single"/>
        </w:rPr>
        <w:t>SO2: ensure that the Directive sends clear market signals</w:t>
      </w:r>
    </w:p>
    <w:p w:rsidR="002E508F" w:rsidRDefault="005D0A03">
      <w:pPr>
        <w:pBdr>
          <w:left w:val="single" w:sz="4" w:space="4" w:color="auto"/>
          <w:right w:val="single" w:sz="4" w:space="4" w:color="auto"/>
        </w:pBdr>
        <w:spacing w:line="240" w:lineRule="auto"/>
        <w:jc w:val="both"/>
        <w:rPr>
          <w:rFonts w:ascii="Times New Roman" w:hAnsi="Times New Roman" w:cs="Times New Roman"/>
          <w:noProof/>
        </w:rPr>
      </w:pPr>
      <w:r>
        <w:rPr>
          <w:rFonts w:ascii="Times New Roman" w:hAnsi="Times New Roman" w:cs="Times New Roman"/>
          <w:noProof/>
        </w:rPr>
        <w:t xml:space="preserve">There is a clear long-term market signal indicated by the minimum procurement target. As in PO3, recitals under this option would clearly note the need to take into account urban agglomerations that are particularly concerned by exceedance of air quality limit values as defined in the Acquis. A significant gap between the geographical concentration of public procurement action and the concentration of exceedance of air quality limit values should give rise to recommendations for reprioritising the actions under the target. </w:t>
      </w:r>
    </w:p>
    <w:p w:rsidR="002E508F" w:rsidRDefault="005D0A03">
      <w:pPr>
        <w:pBdr>
          <w:left w:val="single" w:sz="4" w:space="4" w:color="auto"/>
          <w:right w:val="single" w:sz="4" w:space="4" w:color="auto"/>
        </w:pBdr>
        <w:spacing w:line="240" w:lineRule="auto"/>
        <w:jc w:val="both"/>
        <w:rPr>
          <w:rFonts w:ascii="Times New Roman" w:hAnsi="Times New Roman" w:cs="Times New Roman"/>
          <w:i/>
          <w:noProof/>
          <w:u w:val="single"/>
        </w:rPr>
      </w:pPr>
      <w:r>
        <w:rPr>
          <w:rFonts w:ascii="Times New Roman" w:hAnsi="Times New Roman" w:cs="Times New Roman"/>
          <w:i/>
          <w:noProof/>
          <w:u w:val="single"/>
        </w:rPr>
        <w:t>SO3 – ensure that the Directive's provisions are simplified and effective to use</w:t>
      </w:r>
    </w:p>
    <w:p w:rsidR="002E508F" w:rsidRDefault="005D0A03">
      <w:pPr>
        <w:pBdr>
          <w:left w:val="single" w:sz="4" w:space="4" w:color="auto"/>
          <w:bottom w:val="single" w:sz="4" w:space="1" w:color="auto"/>
          <w:right w:val="single" w:sz="4" w:space="4" w:color="auto"/>
        </w:pBdr>
        <w:spacing w:line="240" w:lineRule="auto"/>
        <w:jc w:val="both"/>
        <w:rPr>
          <w:rFonts w:ascii="Times New Roman" w:hAnsi="Times New Roman" w:cs="Times New Roman"/>
          <w:noProof/>
        </w:rPr>
      </w:pPr>
      <w:r>
        <w:rPr>
          <w:rFonts w:ascii="Times New Roman" w:hAnsi="Times New Roman" w:cs="Times New Roman"/>
          <w:noProof/>
        </w:rPr>
        <w:t>Removing the current choice of transposition options helps to simplify the implementation of the Clean Vehicles Directive; no major practical implications are expected due to the limited use of the methodology in practice. Setting a clear definition and minimum procurement targets will support the more effective implementation of the Directive.  This position has also been shared by a majority of stakeholders in the consultation process.</w:t>
      </w:r>
      <w:r>
        <w:rPr>
          <w:rStyle w:val="FootnoteReference"/>
          <w:rFonts w:ascii="Times New Roman" w:hAnsi="Times New Roman" w:cs="Times New Roman"/>
          <w:noProof/>
        </w:rPr>
        <w:footnoteReference w:id="78"/>
      </w:r>
      <w:r>
        <w:rPr>
          <w:rFonts w:ascii="Times New Roman" w:hAnsi="Times New Roman" w:cs="Times New Roman"/>
          <w:noProof/>
        </w:rPr>
        <w:t xml:space="preserve"> Setting up the approach to deliver on the minimum target will require upfront coordination in Member States, but it will be guided by clear provisions. Reporting will be facilitated through clear codes on low- and zero-emission vehicles in the Common Procurement Vocabulary of the EU. </w:t>
      </w:r>
      <w:r>
        <w:rPr>
          <w:rFonts w:ascii="Times New Roman" w:hAnsi="Times New Roman" w:cs="Times New Roman"/>
          <w:noProof/>
          <w:sz w:val="20"/>
          <w:szCs w:val="20"/>
        </w:rPr>
        <w:t xml:space="preserve"> </w:t>
      </w:r>
    </w:p>
    <w:p w:rsidR="002E508F" w:rsidRDefault="005D0A03">
      <w:pPr>
        <w:pStyle w:val="Heading3"/>
        <w:rPr>
          <w:noProof/>
        </w:rPr>
      </w:pPr>
      <w:bookmarkStart w:id="40" w:name="_Toc497141497"/>
      <w:r>
        <w:rPr>
          <w:noProof/>
        </w:rPr>
        <w:t>Policy Option 5: setting up a Regulation to use the monetisation methodology as the sole approach to informing vehicle procurement</w:t>
      </w:r>
      <w:bookmarkEnd w:id="40"/>
      <w:r>
        <w:rPr>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This policy option is the most ambitious policy option. It fundamentally changes the overall governance framework of clean vehicles procurement. It is the option that most strongly increases the level of intervention in Member State: it replaces the current Clean Vehicles Directive with a Regulation on the promotion of clean vehicles. </w:t>
      </w:r>
    </w:p>
    <w:p w:rsidR="002E508F" w:rsidRDefault="005D0A03">
      <w:pPr>
        <w:spacing w:line="240" w:lineRule="auto"/>
        <w:jc w:val="both"/>
        <w:rPr>
          <w:rFonts w:ascii="Times New Roman" w:hAnsi="Times New Roman" w:cs="Times New Roman"/>
          <w:noProof/>
          <w:u w:val="single"/>
        </w:rPr>
      </w:pPr>
      <w:r>
        <w:rPr>
          <w:rFonts w:ascii="Times New Roman" w:hAnsi="Times New Roman" w:cs="Times New Roman"/>
          <w:noProof/>
          <w:u w:val="single"/>
        </w:rPr>
        <w:t>Description of the policy option</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PO5 prescribes to public entities, contracting entities and operators the use of energy and environmental impacts as award criteria in purchase decisions on the basis of monetisation of these impacts. To this end, the Regulation defines the approach to monetisation of impacts on the basis of the revised current monetisation methodology.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This option has a considerable strong impact to harmonise public procurement criteria in Member States. The provisions of the Regulation would apply with immediate effect to all affected public entities, contracting entities and affected operators, but not before the year 2020 to provide time for public bodies to adapt and prepare. It would provide all market actors with clear regulatory framework, but at the cost of no flexibility for local and regional authorities to use other methodologies that would be adjusted to their specific local contexts.</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In terms of revising the scope of the Clean Vehicles Directive, PO5 would adopt the same approach as PO4. However, the difference here is that actors providing vehicles for rent, lease or hire-purchase or actors providing specific transport services would not have to fully comply with the conditions of the minimum requirement in terms of securing a share of their fleets. Rather they would have to demonstrate compliance with the use of the methodology for all their purchases, which increases the level of obligation compared to PO4.</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Regulation would set new values for CO</w:t>
      </w:r>
      <w:r>
        <w:rPr>
          <w:rFonts w:ascii="Times New Roman" w:hAnsi="Times New Roman" w:cs="Times New Roman"/>
          <w:noProof/>
          <w:vertAlign w:val="subscript"/>
        </w:rPr>
        <w:t>2</w:t>
      </w:r>
      <w:r>
        <w:rPr>
          <w:rFonts w:ascii="Times New Roman" w:hAnsi="Times New Roman" w:cs="Times New Roman"/>
          <w:noProof/>
        </w:rPr>
        <w:t xml:space="preserve"> and air pollutant emissions on the basis of the EU handbook on external cost monetisation (see Impact Assessment Support Study, section 3 and Annex 3 for further detail). The use of the methodology would apply to all public procurements above the common procurement thresholds of Directive 2014/24/EU and 2014/25/EU. It would require public bodies to use the revised methodology for monetising all internal and external cost of vehicles to be purchased and determine the vehicle on this basis.</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Under this option, reporting on the outcomes under the Regulation would be required from 2027 onwards.</w:t>
      </w:r>
    </w:p>
    <w:p w:rsidR="002E508F" w:rsidRDefault="005D0A03">
      <w:pPr>
        <w:pBdr>
          <w:top w:val="single" w:sz="4" w:space="1" w:color="auto"/>
          <w:left w:val="single" w:sz="4" w:space="4" w:color="auto"/>
          <w:right w:val="single" w:sz="4" w:space="4" w:color="auto"/>
        </w:pBdr>
        <w:spacing w:line="240" w:lineRule="auto"/>
        <w:jc w:val="both"/>
        <w:rPr>
          <w:rFonts w:ascii="Times New Roman" w:hAnsi="Times New Roman" w:cs="Times New Roman"/>
          <w:b/>
          <w:i/>
          <w:noProof/>
        </w:rPr>
      </w:pPr>
      <w:r>
        <w:rPr>
          <w:rFonts w:ascii="Times New Roman" w:hAnsi="Times New Roman" w:cs="Times New Roman"/>
          <w:b/>
          <w:i/>
          <w:noProof/>
        </w:rPr>
        <w:t>How does this policy option address the specific policy objectives?</w:t>
      </w:r>
    </w:p>
    <w:p w:rsidR="002E508F" w:rsidRDefault="005D0A03">
      <w:pPr>
        <w:pBdr>
          <w:top w:val="single" w:sz="4" w:space="1" w:color="auto"/>
          <w:left w:val="single" w:sz="4" w:space="4" w:color="auto"/>
          <w:right w:val="single" w:sz="4" w:space="4" w:color="auto"/>
        </w:pBdr>
        <w:spacing w:line="240" w:lineRule="auto"/>
        <w:jc w:val="both"/>
        <w:rPr>
          <w:rFonts w:ascii="Times New Roman" w:hAnsi="Times New Roman" w:cs="Times New Roman"/>
          <w:i/>
          <w:noProof/>
          <w:u w:val="single"/>
        </w:rPr>
      </w:pPr>
      <w:r>
        <w:rPr>
          <w:rFonts w:ascii="Times New Roman" w:hAnsi="Times New Roman" w:cs="Times New Roman"/>
          <w:i/>
          <w:noProof/>
          <w:u w:val="single"/>
        </w:rPr>
        <w:t>SO1: ensure that the Directive addresses all relevant procurement processes</w:t>
      </w:r>
    </w:p>
    <w:p w:rsidR="002E508F" w:rsidRDefault="005D0A03">
      <w:pPr>
        <w:pBdr>
          <w:top w:val="single" w:sz="4" w:space="1" w:color="auto"/>
          <w:left w:val="single" w:sz="4" w:space="4" w:color="auto"/>
          <w:right w:val="single" w:sz="4" w:space="4" w:color="auto"/>
        </w:pBdr>
        <w:spacing w:line="240" w:lineRule="auto"/>
        <w:ind w:left="284" w:hanging="284"/>
        <w:jc w:val="both"/>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noProof/>
        </w:rPr>
        <w:tab/>
        <w:t xml:space="preserve">PO5 fully addresses this policy objective, by extending the scope to contracts for rent, lease and purchase hire as well as specific transport service contracts where the methodology would need to be applied. </w:t>
      </w:r>
    </w:p>
    <w:p w:rsidR="002E508F" w:rsidRDefault="005D0A03">
      <w:pPr>
        <w:pBdr>
          <w:left w:val="single" w:sz="4" w:space="4" w:color="auto"/>
          <w:bottom w:val="single" w:sz="4" w:space="1" w:color="auto"/>
          <w:right w:val="single" w:sz="4" w:space="4" w:color="auto"/>
        </w:pBdr>
        <w:spacing w:line="240" w:lineRule="auto"/>
        <w:jc w:val="both"/>
        <w:rPr>
          <w:rFonts w:ascii="Times New Roman" w:hAnsi="Times New Roman" w:cs="Times New Roman"/>
          <w:i/>
          <w:noProof/>
          <w:u w:val="single"/>
        </w:rPr>
      </w:pPr>
      <w:r>
        <w:rPr>
          <w:rFonts w:ascii="Times New Roman" w:hAnsi="Times New Roman" w:cs="Times New Roman"/>
          <w:i/>
          <w:noProof/>
          <w:u w:val="single"/>
        </w:rPr>
        <w:t>SO2: ensure that the Directive sends clear market signals</w:t>
      </w:r>
    </w:p>
    <w:p w:rsidR="002E508F" w:rsidRDefault="005D0A03">
      <w:pPr>
        <w:pBdr>
          <w:left w:val="single" w:sz="4" w:space="4" w:color="auto"/>
          <w:bottom w:val="single" w:sz="4" w:space="1" w:color="auto"/>
          <w:right w:val="single" w:sz="4" w:space="4" w:color="auto"/>
        </w:pBdr>
        <w:spacing w:line="240" w:lineRule="auto"/>
        <w:ind w:left="284" w:hanging="284"/>
        <w:jc w:val="both"/>
        <w:rPr>
          <w:b/>
          <w:noProof/>
        </w:rPr>
      </w:pPr>
      <w:r>
        <w:rPr>
          <w:rFonts w:ascii="Times New Roman" w:hAnsi="Times New Roman" w:cs="Times New Roman"/>
          <w:noProof/>
        </w:rPr>
        <w:t>-</w:t>
      </w:r>
      <w:r>
        <w:rPr>
          <w:rFonts w:ascii="Times New Roman" w:hAnsi="Times New Roman" w:cs="Times New Roman"/>
          <w:noProof/>
        </w:rPr>
        <w:tab/>
        <w:t xml:space="preserve">Using a Regulation to directly target the use of the approach and the methodology with immediate effect after publication will strongly impact the procurement procedures of all related public entities, contracting entities and operators. It will hence streamline public procurement procedures in Member States. However, the use of the methodology will not specify, which vehicles will need to be procured. The outcomes will depend on the specific cases. Hence PO5 delivers less clear market signals compared to PO3 and PO4. </w:t>
      </w:r>
    </w:p>
    <w:p w:rsidR="002E508F" w:rsidRDefault="005D0A03">
      <w:pPr>
        <w:pBdr>
          <w:left w:val="single" w:sz="4" w:space="4" w:color="auto"/>
          <w:bottom w:val="single" w:sz="4" w:space="1" w:color="auto"/>
          <w:right w:val="single" w:sz="4" w:space="4" w:color="auto"/>
        </w:pBdr>
        <w:spacing w:line="240" w:lineRule="auto"/>
        <w:jc w:val="both"/>
        <w:rPr>
          <w:rFonts w:ascii="Times New Roman" w:hAnsi="Times New Roman" w:cs="Times New Roman"/>
          <w:i/>
          <w:noProof/>
          <w:u w:val="single"/>
        </w:rPr>
      </w:pPr>
      <w:r>
        <w:rPr>
          <w:rFonts w:ascii="Times New Roman" w:hAnsi="Times New Roman" w:cs="Times New Roman"/>
          <w:i/>
          <w:noProof/>
          <w:u w:val="single"/>
        </w:rPr>
        <w:t>SO3 ensure that the Directive's provisions are simplified and effective to use</w:t>
      </w:r>
    </w:p>
    <w:p w:rsidR="002E508F" w:rsidRDefault="005D0A03">
      <w:pPr>
        <w:pBdr>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noProof/>
        </w:rPr>
        <w:tab/>
        <w:t xml:space="preserve">The monetisation of energy and environmental impacts as award criteria in procurement decisions will be the only approach; hence simplifying the overall approach by giving up the current dual choice of implementation mechanisms. However, the use of monetisation as an approach in public procurement will make public procurement initially more difficult for those public bodies which have little experience and capacities. Due to the immediate and universal application of the Regulation a more effective use is also conditioned, though the monitoring and enforcement of the correct application of the Regulation will be difficult.  </w:t>
      </w:r>
    </w:p>
    <w:p w:rsidR="002E508F" w:rsidRDefault="005D0A03">
      <w:pPr>
        <w:pStyle w:val="Heading3"/>
        <w:rPr>
          <w:noProof/>
        </w:rPr>
      </w:pPr>
      <w:bookmarkStart w:id="41" w:name="_Toc497141498"/>
      <w:r>
        <w:rPr>
          <w:noProof/>
        </w:rPr>
        <w:t>Policy Option 6: combining a emission-based and an alternative fuels based approach</w:t>
      </w:r>
      <w:bookmarkEnd w:id="41"/>
    </w:p>
    <w:p w:rsidR="002E508F" w:rsidRDefault="005D0A03">
      <w:pPr>
        <w:spacing w:line="240" w:lineRule="auto"/>
        <w:jc w:val="both"/>
        <w:rPr>
          <w:rFonts w:ascii="Times New Roman" w:hAnsi="Times New Roman" w:cs="Times New Roman"/>
          <w:noProof/>
          <w:lang w:val="en"/>
        </w:rPr>
      </w:pPr>
      <w:r>
        <w:rPr>
          <w:rFonts w:ascii="Times New Roman" w:hAnsi="Times New Roman" w:cs="Times New Roman"/>
          <w:noProof/>
          <w:lang w:val="en"/>
        </w:rPr>
        <w:t xml:space="preserve">Policy option 6 evolved in the context of the discussion about the previous five policy options. It adopts the approach to defining a clean vehicle in the light-duty vehicle segments as described in option 3b. It empowers the Commission to adapt similar requirements for heavy-duty vehicles based on emission-based thresholds through a delegated act under this Directive once these have been established at EU level. Until then, the amended Directive would require Member States to conform to a minimum target for heavy-duty vehicles set on the basis of alternative fuels. In addition, this option adopts the same approach to extending the scope of the Directive as presented in options 3 and 4, and includes the same approach to reporting. </w:t>
      </w:r>
    </w:p>
    <w:p w:rsidR="002E508F" w:rsidRDefault="005D0A03">
      <w:pPr>
        <w:spacing w:line="240" w:lineRule="auto"/>
        <w:jc w:val="both"/>
        <w:rPr>
          <w:rFonts w:ascii="Times New Roman" w:hAnsi="Times New Roman" w:cs="Times New Roman"/>
          <w:noProof/>
          <w:u w:val="single"/>
        </w:rPr>
      </w:pPr>
      <w:r>
        <w:rPr>
          <w:rFonts w:ascii="Times New Roman" w:hAnsi="Times New Roman" w:cs="Times New Roman"/>
          <w:noProof/>
          <w:u w:val="single"/>
        </w:rPr>
        <w:t>Description of the policy option</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lang w:val="en"/>
        </w:rPr>
        <w:t xml:space="preserve"> </w:t>
      </w:r>
      <w:r>
        <w:rPr>
          <w:rFonts w:ascii="Times New Roman" w:hAnsi="Times New Roman" w:cs="Times New Roman"/>
          <w:noProof/>
        </w:rPr>
        <w:t xml:space="preserve">PO6 extends the scope of the Clean Vehicles Directive like in PO3 and PO4.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PO6 adopts the same approach to defining a clean light-duty vehicle as PO3b. Moreover, it empowers the Commission to set a definition for a clean vehicle on the basis of a combined CO</w:t>
      </w:r>
      <w:r>
        <w:rPr>
          <w:rFonts w:ascii="Times New Roman" w:hAnsi="Times New Roman" w:cs="Times New Roman"/>
          <w:noProof/>
          <w:vertAlign w:val="subscript"/>
        </w:rPr>
        <w:t>2</w:t>
      </w:r>
      <w:r>
        <w:rPr>
          <w:rFonts w:ascii="Times New Roman" w:hAnsi="Times New Roman" w:cs="Times New Roman"/>
          <w:noProof/>
        </w:rPr>
        <w:t xml:space="preserve">- and air pollutant emission threshold in the area of heavy-duty vehicles once these requirements have been set by the European co-legislator by means of a delegated act under the amended Directive. Until then, PO6 establishes a minimum target in the heavy-duty sector for Member States to meet on the basis of alternative fuels as defined in option 4b. Moreover, it adopts the same approach to reporting on the implementation of the minimum procurement target as option 4b.  </w:t>
      </w:r>
    </w:p>
    <w:p w:rsidR="002E508F" w:rsidRDefault="005D0A03">
      <w:pPr>
        <w:pBdr>
          <w:top w:val="single" w:sz="4" w:space="1" w:color="auto"/>
          <w:left w:val="single" w:sz="4" w:space="4" w:color="auto"/>
          <w:right w:val="single" w:sz="4" w:space="4" w:color="auto"/>
        </w:pBdr>
        <w:spacing w:line="240" w:lineRule="auto"/>
        <w:jc w:val="both"/>
        <w:rPr>
          <w:rFonts w:ascii="Times New Roman" w:hAnsi="Times New Roman" w:cs="Times New Roman"/>
          <w:b/>
          <w:i/>
          <w:noProof/>
        </w:rPr>
      </w:pPr>
      <w:r>
        <w:rPr>
          <w:rFonts w:ascii="Times New Roman" w:hAnsi="Times New Roman" w:cs="Times New Roman"/>
          <w:b/>
          <w:i/>
          <w:noProof/>
        </w:rPr>
        <w:t>How does this policy option address specific policy objectives?</w:t>
      </w:r>
    </w:p>
    <w:p w:rsidR="002E508F" w:rsidRDefault="005D0A03">
      <w:pPr>
        <w:pBdr>
          <w:top w:val="single" w:sz="4" w:space="1" w:color="auto"/>
          <w:left w:val="single" w:sz="4" w:space="4" w:color="auto"/>
          <w:right w:val="single" w:sz="4" w:space="4" w:color="auto"/>
        </w:pBdr>
        <w:spacing w:line="240" w:lineRule="auto"/>
        <w:jc w:val="both"/>
        <w:rPr>
          <w:rFonts w:ascii="Times New Roman" w:hAnsi="Times New Roman" w:cs="Times New Roman"/>
          <w:i/>
          <w:noProof/>
          <w:u w:val="single"/>
        </w:rPr>
      </w:pPr>
      <w:r>
        <w:rPr>
          <w:rFonts w:ascii="Times New Roman" w:hAnsi="Times New Roman" w:cs="Times New Roman"/>
          <w:i/>
          <w:noProof/>
          <w:u w:val="single"/>
        </w:rPr>
        <w:t>SO1: ensure that the Directive addresses all relevant procurement processes</w:t>
      </w:r>
    </w:p>
    <w:p w:rsidR="002E508F" w:rsidRDefault="005D0A03">
      <w:pPr>
        <w:pBdr>
          <w:top w:val="single" w:sz="4" w:space="1" w:color="auto"/>
          <w:left w:val="single" w:sz="4" w:space="4" w:color="auto"/>
          <w:right w:val="single" w:sz="4" w:space="4" w:color="auto"/>
        </w:pBdr>
        <w:spacing w:line="240" w:lineRule="auto"/>
        <w:jc w:val="both"/>
        <w:rPr>
          <w:rFonts w:ascii="Times New Roman" w:hAnsi="Times New Roman" w:cs="Times New Roman"/>
          <w:noProof/>
        </w:rPr>
      </w:pPr>
      <w:r>
        <w:rPr>
          <w:rFonts w:ascii="Times New Roman" w:hAnsi="Times New Roman" w:cs="Times New Roman"/>
          <w:noProof/>
        </w:rPr>
        <w:t>As in PO3b and 4b, the expansion of the scope of the Directive brings a considerable number of vehicle contracts under the responsibility of the Directive (see table 2.5). PO6 covers both light- and heavy-duty vehicles.</w:t>
      </w:r>
    </w:p>
    <w:p w:rsidR="002E508F" w:rsidRDefault="005D0A03">
      <w:pPr>
        <w:pBdr>
          <w:top w:val="single" w:sz="4" w:space="1" w:color="auto"/>
          <w:left w:val="single" w:sz="4" w:space="4" w:color="auto"/>
          <w:right w:val="single" w:sz="4" w:space="4" w:color="auto"/>
        </w:pBdr>
        <w:spacing w:line="240" w:lineRule="auto"/>
        <w:jc w:val="both"/>
        <w:rPr>
          <w:rFonts w:ascii="Times New Roman" w:hAnsi="Times New Roman" w:cs="Times New Roman"/>
          <w:noProof/>
        </w:rPr>
      </w:pPr>
      <w:r>
        <w:rPr>
          <w:rFonts w:ascii="Times New Roman" w:hAnsi="Times New Roman" w:cs="Times New Roman"/>
          <w:noProof/>
        </w:rPr>
        <w:t xml:space="preserve">Like PO4b, it keeps a proportionality of impact on administrative burden by respecting the common procurement thresholds of Directives 2014/24/EU and 2014/25/EU. Similarly, it allows including operator fleets providing the services in the counting of the overall minimum requirement of the Member State; where the burden impact is, however, larger due to its application to both light- and heavy-duty vehicles. The concrete implementation of the target is the task of Member States. </w:t>
      </w:r>
    </w:p>
    <w:p w:rsidR="002E508F" w:rsidRDefault="005D0A03">
      <w:pPr>
        <w:pBdr>
          <w:left w:val="single" w:sz="4" w:space="4" w:color="auto"/>
          <w:right w:val="single" w:sz="4" w:space="4" w:color="auto"/>
        </w:pBdr>
        <w:spacing w:line="240" w:lineRule="auto"/>
        <w:rPr>
          <w:rFonts w:ascii="Times New Roman" w:hAnsi="Times New Roman" w:cs="Times New Roman"/>
          <w:i/>
          <w:noProof/>
        </w:rPr>
      </w:pPr>
      <w:r>
        <w:rPr>
          <w:rFonts w:ascii="Times New Roman" w:hAnsi="Times New Roman" w:cs="Times New Roman"/>
          <w:i/>
          <w:noProof/>
          <w:u w:val="single"/>
        </w:rPr>
        <w:t>SO2: ensure that the Directive sends clear market signals</w:t>
      </w:r>
    </w:p>
    <w:p w:rsidR="002E508F" w:rsidRDefault="005D0A03">
      <w:pPr>
        <w:pBdr>
          <w:left w:val="single" w:sz="4" w:space="4" w:color="auto"/>
          <w:right w:val="single" w:sz="4" w:space="4" w:color="auto"/>
        </w:pBdr>
        <w:spacing w:line="240" w:lineRule="auto"/>
        <w:jc w:val="both"/>
        <w:rPr>
          <w:rFonts w:ascii="Times New Roman" w:hAnsi="Times New Roman" w:cs="Times New Roman"/>
          <w:noProof/>
        </w:rPr>
      </w:pPr>
      <w:r>
        <w:rPr>
          <w:rFonts w:ascii="Times New Roman" w:hAnsi="Times New Roman" w:cs="Times New Roman"/>
          <w:noProof/>
        </w:rPr>
        <w:t xml:space="preserve">As in POb4, there is a clear, long term market signal. Moreover, recitals under this option would clearly note the need to take into account urban agglomerations that are particularly concerned by exceedance of air quality limit values as defined in the Acquis. A significant gap between the geographical concentration of public procurement action and the concentration of exceedance of air quality limit values should give rise to recommendations for reprioritising the actions under the target. </w:t>
      </w:r>
    </w:p>
    <w:p w:rsidR="002E508F" w:rsidRDefault="005D0A03">
      <w:pPr>
        <w:pBdr>
          <w:left w:val="single" w:sz="4" w:space="4" w:color="auto"/>
          <w:right w:val="single" w:sz="4" w:space="4" w:color="auto"/>
        </w:pBdr>
        <w:spacing w:line="240" w:lineRule="auto"/>
        <w:jc w:val="both"/>
        <w:rPr>
          <w:rFonts w:ascii="Times New Roman" w:hAnsi="Times New Roman" w:cs="Times New Roman"/>
          <w:i/>
          <w:noProof/>
          <w:u w:val="single"/>
        </w:rPr>
      </w:pPr>
      <w:r>
        <w:rPr>
          <w:rFonts w:ascii="Times New Roman" w:hAnsi="Times New Roman" w:cs="Times New Roman"/>
          <w:i/>
          <w:noProof/>
          <w:u w:val="single"/>
        </w:rPr>
        <w:t>SO3 – ensure that the Directive's provisions are simplified and effective to use</w:t>
      </w:r>
    </w:p>
    <w:p w:rsidR="002E508F" w:rsidRDefault="005D0A03">
      <w:pPr>
        <w:pBdr>
          <w:left w:val="single" w:sz="4" w:space="4" w:color="auto"/>
          <w:bottom w:val="single" w:sz="4" w:space="1" w:color="auto"/>
          <w:right w:val="single" w:sz="4" w:space="4" w:color="auto"/>
        </w:pBdr>
        <w:spacing w:line="240" w:lineRule="auto"/>
        <w:jc w:val="both"/>
        <w:rPr>
          <w:rFonts w:ascii="Times New Roman" w:hAnsi="Times New Roman" w:cs="Times New Roman"/>
          <w:noProof/>
        </w:rPr>
      </w:pPr>
      <w:r>
        <w:rPr>
          <w:rFonts w:ascii="Times New Roman" w:hAnsi="Times New Roman" w:cs="Times New Roman"/>
          <w:noProof/>
        </w:rPr>
        <w:t>Removing the current choice of transposition options helps to simplify the implementation of the Directive; no major practical implications are expected due to the limited use of the methodology in practice. Setting a clear definition and minimum procurement targets will support the more effective implementation of the Directive.  This position has also been shared by a majority of stakeholders in the consultation process.</w:t>
      </w:r>
      <w:r>
        <w:rPr>
          <w:rStyle w:val="FootnoteReference"/>
          <w:rFonts w:ascii="Times New Roman" w:hAnsi="Times New Roman" w:cs="Times New Roman"/>
          <w:noProof/>
        </w:rPr>
        <w:footnoteReference w:id="79"/>
      </w:r>
      <w:r>
        <w:rPr>
          <w:rFonts w:ascii="Times New Roman" w:hAnsi="Times New Roman" w:cs="Times New Roman"/>
          <w:noProof/>
        </w:rPr>
        <w:t xml:space="preserve"> Setting up the approach to deliver on the minimum target will require upfront coordination in Member States, but it will be guided by clear provisions. Reporting will be facilitated through clear codes on low- and zero-emission vehicles in the Common Procurement Vocabulary of the EU. </w:t>
      </w:r>
      <w:r>
        <w:rPr>
          <w:rFonts w:ascii="Times New Roman" w:hAnsi="Times New Roman" w:cs="Times New Roman"/>
          <w:noProof/>
          <w:sz w:val="20"/>
          <w:szCs w:val="20"/>
        </w:rPr>
        <w:t xml:space="preserve"> </w:t>
      </w:r>
    </w:p>
    <w:p w:rsidR="002E508F" w:rsidRDefault="005D0A03">
      <w:pPr>
        <w:pStyle w:val="Heading1"/>
        <w:rPr>
          <w:noProof/>
        </w:rPr>
      </w:pPr>
      <w:bookmarkStart w:id="42" w:name="_Toc497141499"/>
      <w:r>
        <w:rPr>
          <w:noProof/>
        </w:rPr>
        <w:t>Analysis of Impacts</w:t>
      </w:r>
      <w:bookmarkEnd w:id="42"/>
    </w:p>
    <w:p w:rsidR="002E508F" w:rsidRDefault="005D0A03">
      <w:pPr>
        <w:pStyle w:val="Heading2"/>
        <w:rPr>
          <w:noProof/>
        </w:rPr>
      </w:pPr>
      <w:bookmarkStart w:id="43" w:name="_Toc497141500"/>
      <w:r>
        <w:rPr>
          <w:noProof/>
        </w:rPr>
        <w:t>Overview of impacts</w:t>
      </w:r>
      <w:bookmarkEnd w:id="43"/>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This chapter presents the different economic, social and environmental impacts for the different policy options in comparison to the baseline. A quantitative assessment tool has been developed for this purpose, relying to the extent possible on input from an update of the EU Reference scenario 2016</w:t>
      </w:r>
      <w:r>
        <w:rPr>
          <w:rStyle w:val="FootnoteReference"/>
          <w:rFonts w:ascii="Times New Roman" w:hAnsi="Times New Roman" w:cs="Times New Roman"/>
          <w:noProof/>
        </w:rPr>
        <w:footnoteReference w:id="80"/>
      </w:r>
      <w:r>
        <w:rPr>
          <w:rFonts w:ascii="Times New Roman" w:hAnsi="Times New Roman" w:cs="Times New Roman"/>
          <w:noProof/>
        </w:rPr>
        <w:t xml:space="preserve">. The analysis combines quantitative and qualitative assessment, taking into consideration gaps in data availability and issues of data quality. Further information on the input assumptions used in the quantitative assessment tool is provided in the Annex 4 </w:t>
      </w:r>
      <w:r>
        <w:rPr>
          <w:rFonts w:ascii="Times New Roman" w:hAnsi="Times New Roman" w:cs="Times New Roman"/>
          <w:i/>
          <w:noProof/>
        </w:rPr>
        <w:t>"Analytical models used in preparing the impact assessment"</w:t>
      </w:r>
      <w:r>
        <w:rPr>
          <w:rFonts w:ascii="Times New Roman" w:hAnsi="Times New Roman" w:cs="Times New Roman"/>
          <w:noProof/>
        </w:rPr>
        <w:t xml:space="preserve"> and in Annex 3 of the Impact Assessment Support Study.</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main economic, social and environmental impacts are summarised in this section, relative to the baseline scenario. As explained in section 2.3, sensitivity analysis has been performed for the baseline scenario, given more recent information on market prospects provided by key vehicle manufacturers and transport operators for the bus market. The detailed results of all policy options relative to this alternative baseline are provided in Annex 8 and in the Impact Assessment Support Study. They are mentioned in the sections below, where relevant.</w:t>
      </w:r>
    </w:p>
    <w:p w:rsidR="002E508F" w:rsidRDefault="005D0A03">
      <w:pPr>
        <w:pStyle w:val="Heading2"/>
        <w:rPr>
          <w:noProof/>
        </w:rPr>
      </w:pPr>
      <w:bookmarkStart w:id="44" w:name="_Toc497141501"/>
      <w:r>
        <w:rPr>
          <w:noProof/>
        </w:rPr>
        <w:t>Impacts of policy options on vehicle procurement</w:t>
      </w:r>
      <w:bookmarkEnd w:id="44"/>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quantitative analysis of economic, social and environmental impacts of the policy options is based on the assessment of the number of vehicles procured by powertrain type under each policy option as well as the available data on vehicle purchase and operating costs.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policy options would not have a significant impact on the total number of vehicles procured during 2020-2035. But they would affect the composition of the fleet in terms of types of powertrains procured. Figure 6.1 presents the changes in the number of clean (low- and zero-emission vehicles) vehicles procured relative to the baseline scenario. It covers all vehicle types (i.e. passenger cars, vans, buses and heavy goods vehicles) and all types of contracts (i.e. vehicles procured under purchase, lease and services contracts).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PO4b shows the most significant impact in terms of number of clean vehicles procured, which is projected to be almost four times higher relative to the baseline during 2020-2035. This is particularly due to the early-on impact on urban buses. Setting up a Regulation to use the monetisation methodology in PO5 also shows significant impacts, with clean vehicles projected to be more than three times higher than in the baseline scenario. However, while PO4b incentivises the procurement of both low- and zero-emission vehicles, PO5 shifts the focus fully on zero-emission vehicles. PO3b and PO4a show relatively similar impacts on the total number of clean vehicles procured (139 to 148 % increase relative to the baseline scenario) but providing a definition of clean vehicles based on high ambition emission thresholds (in PO3b) leads to higher uptake of zero-emission vehicles. PO3a, setting a definition of clean vehicles based on moderate ambition emission thresholds, provides less incentives for the uptake of zero-emission vehicles than PO3b.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PO6 is the second best performing in terms of incentives for zero-emission vehicles after PO5, with zero-emission vehicles projected to be almost six times higher relative to the baseline during 2020-2035.  PO2 mostly provides incentives for the procurement of zero-emission vehicles but its overall impact on clean vehicles procurement is more limited. The repeal of the Directive (in PO1) has no significant impact relative to the baseline.</w:t>
      </w:r>
    </w:p>
    <w:p w:rsidR="002E508F" w:rsidRDefault="002E508F">
      <w:pPr>
        <w:spacing w:line="240" w:lineRule="auto"/>
        <w:rPr>
          <w:rFonts w:ascii="Times New Roman" w:hAnsi="Times New Roman" w:cs="Times New Roman"/>
          <w:b/>
          <w:noProof/>
        </w:rPr>
      </w:pPr>
    </w:p>
    <w:p w:rsidR="005D0A03" w:rsidRDefault="005D0A03">
      <w:pPr>
        <w:spacing w:line="240" w:lineRule="auto"/>
        <w:rPr>
          <w:rFonts w:ascii="Times New Roman" w:hAnsi="Times New Roman" w:cs="Times New Roman"/>
          <w:b/>
          <w:noProof/>
        </w:rPr>
      </w:pPr>
    </w:p>
    <w:p w:rsidR="005D0A03" w:rsidRDefault="005D0A03">
      <w:pPr>
        <w:spacing w:line="240" w:lineRule="auto"/>
        <w:rPr>
          <w:rFonts w:ascii="Times New Roman" w:hAnsi="Times New Roman" w:cs="Times New Roman"/>
          <w:b/>
          <w:noProof/>
        </w:rPr>
      </w:pPr>
    </w:p>
    <w:p w:rsidR="002E508F" w:rsidRDefault="005D0A03">
      <w:pPr>
        <w:spacing w:line="240" w:lineRule="auto"/>
        <w:rPr>
          <w:rFonts w:ascii="Times New Roman" w:hAnsi="Times New Roman" w:cs="Times New Roman"/>
          <w:b/>
          <w:noProof/>
        </w:rPr>
      </w:pPr>
      <w:r>
        <w:rPr>
          <w:rFonts w:ascii="Times New Roman" w:hAnsi="Times New Roman" w:cs="Times New Roman"/>
          <w:b/>
          <w:noProof/>
        </w:rPr>
        <w:t>Figure 6.1 Impact of policy options on procurement of clean vehicles</w:t>
      </w:r>
      <w:r>
        <w:rPr>
          <w:rFonts w:ascii="Times New Roman" w:hAnsi="Times New Roman" w:cs="Times New Roman"/>
          <w:b/>
          <w:noProof/>
          <w:vertAlign w:val="superscript"/>
        </w:rPr>
        <w:footnoteReference w:id="81"/>
      </w:r>
      <w:r>
        <w:rPr>
          <w:rFonts w:ascii="Times New Roman" w:hAnsi="Times New Roman" w:cs="Times New Roman"/>
          <w:b/>
          <w:noProof/>
        </w:rPr>
        <w:t xml:space="preserve"> under purchase, lease and services contracts during 2020-2035 relative to the baseline scenario</w:t>
      </w:r>
    </w:p>
    <w:p w:rsidR="002E508F" w:rsidRDefault="005D0A03">
      <w:pPr>
        <w:spacing w:after="0" w:line="240" w:lineRule="auto"/>
        <w:jc w:val="both"/>
        <w:rPr>
          <w:rFonts w:ascii="Times New Roman" w:hAnsi="Times New Roman" w:cs="Times New Roman"/>
          <w:noProof/>
          <w:sz w:val="20"/>
          <w:szCs w:val="20"/>
        </w:rPr>
      </w:pPr>
      <w:r>
        <w:rPr>
          <w:noProof/>
          <w:lang w:eastAsia="en-GB"/>
        </w:rPr>
        <w:drawing>
          <wp:inline distT="0" distB="0" distL="0" distR="0" wp14:anchorId="101C8AFB" wp14:editId="320C6EC4">
            <wp:extent cx="5731510" cy="2883535"/>
            <wp:effectExtent l="0" t="0" r="254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883535"/>
                    </a:xfrm>
                    <a:prstGeom prst="rect">
                      <a:avLst/>
                    </a:prstGeom>
                  </pic:spPr>
                </pic:pic>
              </a:graphicData>
            </a:graphic>
          </wp:inline>
        </w:drawing>
      </w:r>
    </w:p>
    <w:p w:rsidR="002E508F" w:rsidRDefault="005D0A03">
      <w:pPr>
        <w:tabs>
          <w:tab w:val="left" w:pos="3261"/>
        </w:tabs>
        <w:spacing w:line="240" w:lineRule="auto"/>
        <w:rPr>
          <w:rFonts w:ascii="Times New Roman" w:hAnsi="Times New Roman" w:cs="Times New Roman"/>
          <w:i/>
          <w:noProof/>
        </w:rPr>
      </w:pPr>
      <w:r>
        <w:rPr>
          <w:rFonts w:ascii="Times New Roman" w:hAnsi="Times New Roman" w:cs="Times New Roman"/>
          <w:noProof/>
          <w:sz w:val="20"/>
          <w:szCs w:val="20"/>
        </w:rPr>
        <w:t xml:space="preserve">Source: </w:t>
      </w:r>
      <w:r>
        <w:rPr>
          <w:rFonts w:ascii="Times New Roman" w:hAnsi="Times New Roman" w:cs="Times New Roman"/>
          <w:i/>
          <w:noProof/>
          <w:sz w:val="20"/>
          <w:szCs w:val="20"/>
        </w:rPr>
        <w:t>Ricardo (2017) Support Study to the Impact Assessment of the Clean Vehicles Directive</w:t>
      </w:r>
      <w:r>
        <w:rPr>
          <w:rFonts w:ascii="Times New Roman" w:hAnsi="Times New Roman" w:cs="Times New Roman"/>
          <w:noProof/>
          <w:sz w:val="20"/>
          <w:szCs w:val="20"/>
        </w:rPr>
        <w:t xml:space="preserve"> </w:t>
      </w:r>
    </w:p>
    <w:p w:rsidR="002E508F" w:rsidRDefault="005D0A03">
      <w:pPr>
        <w:tabs>
          <w:tab w:val="left" w:pos="3261"/>
        </w:tabs>
        <w:spacing w:line="240" w:lineRule="auto"/>
        <w:jc w:val="both"/>
        <w:rPr>
          <w:rFonts w:ascii="Times New Roman" w:hAnsi="Times New Roman" w:cs="Times New Roman"/>
          <w:noProof/>
        </w:rPr>
      </w:pPr>
      <w:r>
        <w:rPr>
          <w:rFonts w:ascii="Times New Roman" w:hAnsi="Times New Roman" w:cs="Times New Roman"/>
          <w:noProof/>
        </w:rPr>
        <w:t>A detailed breakdown by vehicle category and type of powertrain is available in the Impact Assessment Support Study (Annex 8). The sensitivity check with the alternative baseline (see Figure 6.2) shows a lower impact of the policy options on the deployment of clean vehicles, because of the assumed higher number of low- and zero-emission buses in the alternative baseline. Again, a detailed breakdown is available in the Impact Assessment Support Study (Annex 9).</w:t>
      </w:r>
    </w:p>
    <w:p w:rsidR="002E508F" w:rsidRDefault="005D0A03">
      <w:pPr>
        <w:spacing w:after="0" w:line="240" w:lineRule="auto"/>
        <w:jc w:val="both"/>
        <w:rPr>
          <w:rFonts w:ascii="Times New Roman" w:hAnsi="Times New Roman" w:cs="Times New Roman"/>
          <w:b/>
          <w:noProof/>
        </w:rPr>
      </w:pPr>
      <w:r>
        <w:rPr>
          <w:rFonts w:ascii="Times New Roman" w:hAnsi="Times New Roman" w:cs="Times New Roman"/>
          <w:b/>
          <w:noProof/>
        </w:rPr>
        <w:t>Figure 6.2 Impact of policy options on procurement of clean vehicles under purchase, lease and services contracts during 2020-2035 relative to the alternative baseline scenario (sensitivity analysis)</w:t>
      </w:r>
    </w:p>
    <w:p w:rsidR="002E508F" w:rsidRDefault="005D0A03">
      <w:pPr>
        <w:tabs>
          <w:tab w:val="left" w:pos="3261"/>
        </w:tabs>
        <w:spacing w:line="240" w:lineRule="auto"/>
        <w:jc w:val="both"/>
        <w:rPr>
          <w:noProof/>
        </w:rPr>
      </w:pPr>
      <w:r>
        <w:rPr>
          <w:noProof/>
          <w:lang w:eastAsia="en-GB"/>
        </w:rPr>
        <w:drawing>
          <wp:inline distT="0" distB="0" distL="0" distR="0" wp14:anchorId="220215CB" wp14:editId="450AD640">
            <wp:extent cx="5731510" cy="2609215"/>
            <wp:effectExtent l="0" t="0" r="2540"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609215"/>
                    </a:xfrm>
                    <a:prstGeom prst="rect">
                      <a:avLst/>
                    </a:prstGeom>
                  </pic:spPr>
                </pic:pic>
              </a:graphicData>
            </a:graphic>
          </wp:inline>
        </w:drawing>
      </w:r>
    </w:p>
    <w:p w:rsidR="002E508F" w:rsidRDefault="005D0A03">
      <w:pPr>
        <w:tabs>
          <w:tab w:val="left" w:pos="3261"/>
        </w:tabs>
        <w:spacing w:line="240" w:lineRule="auto"/>
        <w:rPr>
          <w:noProof/>
        </w:rPr>
      </w:pPr>
      <w:r>
        <w:rPr>
          <w:rFonts w:ascii="Times New Roman" w:hAnsi="Times New Roman" w:cs="Times New Roman"/>
          <w:noProof/>
          <w:sz w:val="20"/>
          <w:szCs w:val="20"/>
        </w:rPr>
        <w:t xml:space="preserve">Source: </w:t>
      </w:r>
      <w:r>
        <w:rPr>
          <w:rFonts w:ascii="Times New Roman" w:hAnsi="Times New Roman" w:cs="Times New Roman"/>
          <w:i/>
          <w:noProof/>
          <w:sz w:val="20"/>
          <w:szCs w:val="20"/>
        </w:rPr>
        <w:t>Ricardo (2017) Support Study to the Impact Assessment of the Clean Vehicles Directive</w:t>
      </w:r>
      <w:r>
        <w:rPr>
          <w:rFonts w:ascii="Times New Roman" w:hAnsi="Times New Roman" w:cs="Times New Roman"/>
          <w:noProof/>
          <w:sz w:val="20"/>
          <w:szCs w:val="20"/>
        </w:rPr>
        <w:t xml:space="preserve"> </w:t>
      </w:r>
    </w:p>
    <w:p w:rsidR="002E508F" w:rsidRDefault="005D0A03">
      <w:pPr>
        <w:tabs>
          <w:tab w:val="left" w:pos="3261"/>
        </w:tabs>
        <w:spacing w:line="240" w:lineRule="auto"/>
        <w:jc w:val="both"/>
        <w:rPr>
          <w:rFonts w:ascii="Times New Roman" w:hAnsi="Times New Roman" w:cs="Times New Roman"/>
          <w:noProof/>
        </w:rPr>
      </w:pPr>
      <w:r>
        <w:rPr>
          <w:rFonts w:ascii="Times New Roman" w:hAnsi="Times New Roman" w:cs="Times New Roman"/>
          <w:noProof/>
        </w:rPr>
        <w:t xml:space="preserve">The time profile of the uptake of zero-emission vehicles procured is also a differentiator between policy options, as illustrated in Figure 6.3. While PO4b and PO6 lead to a significant share of zero-emission vehicles procured by 2025 (almost 20%), PO5 only has significant impact starting with 2030 (almost 90%). PO6 offers the best impact in terms of medium (2025) and longer-term (2030) impacts of all the other policy options, thus providing the best benefit to European citizens and companies. </w:t>
      </w:r>
    </w:p>
    <w:p w:rsidR="002E508F" w:rsidRDefault="005D0A03">
      <w:pPr>
        <w:spacing w:after="0" w:line="240" w:lineRule="auto"/>
        <w:jc w:val="both"/>
        <w:rPr>
          <w:rFonts w:ascii="Times New Roman" w:hAnsi="Times New Roman" w:cs="Times New Roman"/>
          <w:b/>
          <w:noProof/>
        </w:rPr>
      </w:pPr>
      <w:r>
        <w:rPr>
          <w:rFonts w:ascii="Times New Roman" w:hAnsi="Times New Roman" w:cs="Times New Roman"/>
          <w:b/>
          <w:noProof/>
        </w:rPr>
        <w:t>Figure 6.3 Example of share of zero-emission vehicles</w:t>
      </w:r>
      <w:r>
        <w:rPr>
          <w:rFonts w:ascii="Times New Roman" w:hAnsi="Times New Roman" w:cs="Times New Roman"/>
          <w:b/>
          <w:noProof/>
          <w:vertAlign w:val="superscript"/>
        </w:rPr>
        <w:footnoteReference w:id="82"/>
      </w:r>
      <w:r>
        <w:rPr>
          <w:rFonts w:ascii="Times New Roman" w:hAnsi="Times New Roman" w:cs="Times New Roman"/>
          <w:b/>
          <w:noProof/>
        </w:rPr>
        <w:t xml:space="preserve"> under purchase, lease and services contracts in the total number of vehicles procured per year as a differentiator among policy options</w:t>
      </w:r>
    </w:p>
    <w:p w:rsidR="002E508F" w:rsidRDefault="005D0A03">
      <w:pPr>
        <w:spacing w:after="0" w:line="240" w:lineRule="auto"/>
        <w:jc w:val="both"/>
        <w:rPr>
          <w:rFonts w:ascii="Times New Roman" w:hAnsi="Times New Roman" w:cs="Times New Roman"/>
          <w:b/>
          <w:noProof/>
        </w:rPr>
      </w:pPr>
      <w:r>
        <w:rPr>
          <w:noProof/>
          <w:lang w:eastAsia="en-GB"/>
        </w:rPr>
        <w:drawing>
          <wp:inline distT="0" distB="0" distL="0" distR="0" wp14:anchorId="4BCA365B" wp14:editId="27942A7C">
            <wp:extent cx="5650173" cy="2313296"/>
            <wp:effectExtent l="0" t="0" r="825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0097" cy="2313265"/>
                    </a:xfrm>
                    <a:prstGeom prst="rect">
                      <a:avLst/>
                    </a:prstGeom>
                    <a:noFill/>
                    <a:ln>
                      <a:noFill/>
                    </a:ln>
                  </pic:spPr>
                </pic:pic>
              </a:graphicData>
            </a:graphic>
          </wp:inline>
        </w:drawing>
      </w:r>
    </w:p>
    <w:p w:rsidR="002E508F" w:rsidRDefault="005D0A03">
      <w:pPr>
        <w:spacing w:after="0" w:line="240" w:lineRule="auto"/>
        <w:jc w:val="both"/>
        <w:rPr>
          <w:rFonts w:ascii="Times New Roman" w:hAnsi="Times New Roman" w:cs="Times New Roman"/>
          <w:b/>
          <w:noProof/>
        </w:rPr>
      </w:pPr>
      <w:r>
        <w:rPr>
          <w:rFonts w:ascii="Times New Roman" w:hAnsi="Times New Roman" w:cs="Times New Roman"/>
          <w:noProof/>
          <w:sz w:val="20"/>
          <w:szCs w:val="20"/>
        </w:rPr>
        <w:t xml:space="preserve">Source: </w:t>
      </w:r>
      <w:r>
        <w:rPr>
          <w:rFonts w:ascii="Times New Roman" w:hAnsi="Times New Roman" w:cs="Times New Roman"/>
          <w:i/>
          <w:noProof/>
          <w:sz w:val="20"/>
          <w:szCs w:val="20"/>
        </w:rPr>
        <w:t>Ricardo (2017) Support Study to the Impact Assessment of the Clean Vehicles Directive</w:t>
      </w:r>
      <w:r>
        <w:rPr>
          <w:rFonts w:ascii="Times New Roman" w:hAnsi="Times New Roman" w:cs="Times New Roman"/>
          <w:noProof/>
          <w:sz w:val="20"/>
          <w:szCs w:val="20"/>
        </w:rPr>
        <w:t xml:space="preserve"> </w:t>
      </w:r>
    </w:p>
    <w:p w:rsidR="002E508F" w:rsidRDefault="002E508F">
      <w:pPr>
        <w:spacing w:line="240" w:lineRule="auto"/>
        <w:jc w:val="both"/>
        <w:rPr>
          <w:rFonts w:ascii="Times New Roman" w:hAnsi="Times New Roman" w:cs="Times New Roman"/>
          <w:i/>
          <w:noProof/>
          <w:sz w:val="18"/>
          <w:szCs w:val="18"/>
        </w:rPr>
      </w:pP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analysis shows a relative even built up of impacts over time under POs 3,4 and 6 as seen from an overall level. </w:t>
      </w:r>
    </w:p>
    <w:p w:rsidR="002E508F" w:rsidRDefault="005D0A03">
      <w:pPr>
        <w:pStyle w:val="Heading2"/>
        <w:rPr>
          <w:noProof/>
        </w:rPr>
      </w:pPr>
      <w:bookmarkStart w:id="45" w:name="_Toc497141502"/>
      <w:r>
        <w:rPr>
          <w:noProof/>
        </w:rPr>
        <w:t>Economic impacts</w:t>
      </w:r>
      <w:bookmarkEnd w:id="45"/>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Economic impacts include cost and benefits for public and private actors, including increases or reductions in purchase prices, operational cost, and administrative cost or other cost (e.g. reporting) as well as administrative and compliance cost and sales revenues for vehicle suppliers. Moreover, a qualitative analysis has considered impacts on competitiveness, SMEs and energy import dependency, as well as on the regional distribution of impacts and on the functioning of the internal market.</w:t>
      </w:r>
    </w:p>
    <w:p w:rsidR="002E508F" w:rsidRDefault="005D0A03">
      <w:pPr>
        <w:pStyle w:val="Heading3"/>
        <w:rPr>
          <w:noProof/>
        </w:rPr>
      </w:pPr>
      <w:bookmarkStart w:id="46" w:name="_Toc497141503"/>
      <w:r>
        <w:rPr>
          <w:noProof/>
        </w:rPr>
        <w:t>Impact on public bodies</w:t>
      </w:r>
      <w:bookmarkEnd w:id="46"/>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Initial purchase cost of vehicles for public bodies are expected to increase, reflecting the higher roll-out of low- and zero-emission vehicles, which are expected to remain more expensive, compared to conventional vehicles (also due to their refuelling/recharging infrastructure needs), particularly in the heavy duty sector (see Table 6.1). Of all options, PO5 is expected to lead to the highest increase in upfront procurement cost (other policy options also incur higher upfront procurement cost), mainly driven by the procurement of battery-electric buses. However, even PO5 shows a relatively moderate increase of 12% compared to the baseline over the period of 2020-2035, whereas PO4b and PO6 lead to an increase of 5% compared to the baseline (Table 6.1).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In addition, administrative costs need to be factored in for public bodies, including one-off and continued costs for changing procedures to adapt to the provisions of the new legislation. Costs are also associated with setting up national monitoring and reporting as required under the policy options.</w:t>
      </w:r>
      <w:r>
        <w:rPr>
          <w:rStyle w:val="FootnoteReference"/>
          <w:rFonts w:ascii="Times New Roman" w:hAnsi="Times New Roman" w:cs="Times New Roman"/>
          <w:noProof/>
        </w:rPr>
        <w:footnoteReference w:id="83"/>
      </w:r>
      <w:r>
        <w:rPr>
          <w:rFonts w:ascii="Times New Roman" w:hAnsi="Times New Roman" w:cs="Times New Roman"/>
          <w:noProof/>
        </w:rPr>
        <w:t xml:space="preserve"> Annexes 3 and 7 of the Impact Assessment Support Study provide further information on cost breakdown and methodology. It is estimated that administrative cost will decrease under all policy options except PO5 (€ 1.3 million increase compared to the baseline) because of decreased information cost with regard to clean vehicle purchase provisions in most of the policy options.  </w:t>
      </w:r>
    </w:p>
    <w:p w:rsidR="002E508F" w:rsidRDefault="005D0A03">
      <w:pPr>
        <w:spacing w:after="0"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 xml:space="preserve">Table 6.1 Estimated impact on procurement costs and administrative costs of policy options in comparison to the baseline – Net present value of additional cost of vehicles procured during the period 2020-2035 (in € million and % change) </w:t>
      </w:r>
    </w:p>
    <w:tbl>
      <w:tblPr>
        <w:tblStyle w:val="TableGrid"/>
        <w:tblW w:w="4885" w:type="pct"/>
        <w:tblInd w:w="108" w:type="dxa"/>
        <w:tblLook w:val="04A0" w:firstRow="1" w:lastRow="0" w:firstColumn="1" w:lastColumn="0" w:noHBand="0" w:noVBand="1"/>
      </w:tblPr>
      <w:tblGrid>
        <w:gridCol w:w="2124"/>
        <w:gridCol w:w="853"/>
        <w:gridCol w:w="853"/>
        <w:gridCol w:w="849"/>
        <w:gridCol w:w="853"/>
        <w:gridCol w:w="849"/>
        <w:gridCol w:w="991"/>
        <w:gridCol w:w="853"/>
        <w:gridCol w:w="847"/>
      </w:tblGrid>
      <w:tr w:rsidR="002E508F">
        <w:tc>
          <w:tcPr>
            <w:tcW w:w="1171" w:type="pct"/>
            <w:vMerge w:val="restart"/>
            <w:shd w:val="clear" w:color="auto" w:fill="00B0F0"/>
          </w:tcPr>
          <w:p w:rsidR="002E508F" w:rsidRDefault="002E508F">
            <w:pPr>
              <w:jc w:val="both"/>
              <w:rPr>
                <w:rFonts w:ascii="Times New Roman" w:hAnsi="Times New Roman" w:cs="Times New Roman"/>
                <w:b/>
                <w:noProof/>
                <w:color w:val="FFFFFF" w:themeColor="background1"/>
                <w:sz w:val="18"/>
                <w:szCs w:val="18"/>
              </w:rPr>
            </w:pPr>
            <w:bookmarkStart w:id="47" w:name="_Hlk494140851"/>
          </w:p>
        </w:tc>
        <w:tc>
          <w:tcPr>
            <w:tcW w:w="470" w:type="pct"/>
            <w:vMerge w:val="restar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PO1</w:t>
            </w:r>
          </w:p>
        </w:tc>
        <w:tc>
          <w:tcPr>
            <w:tcW w:w="470" w:type="pct"/>
            <w:vMerge w:val="restar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PO2</w:t>
            </w:r>
          </w:p>
        </w:tc>
        <w:tc>
          <w:tcPr>
            <w:tcW w:w="938" w:type="pct"/>
            <w:gridSpan w:val="2"/>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PO3</w:t>
            </w:r>
          </w:p>
        </w:tc>
        <w:tc>
          <w:tcPr>
            <w:tcW w:w="1014" w:type="pct"/>
            <w:gridSpan w:val="2"/>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PO4</w:t>
            </w:r>
          </w:p>
        </w:tc>
        <w:tc>
          <w:tcPr>
            <w:tcW w:w="470" w:type="pct"/>
            <w:vMerge w:val="restar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PO5</w:t>
            </w:r>
          </w:p>
        </w:tc>
        <w:tc>
          <w:tcPr>
            <w:tcW w:w="467" w:type="pct"/>
            <w:vMerge w:val="restar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PO6</w:t>
            </w:r>
          </w:p>
        </w:tc>
      </w:tr>
      <w:tr w:rsidR="002E508F">
        <w:tc>
          <w:tcPr>
            <w:tcW w:w="1171" w:type="pct"/>
            <w:vMerge/>
            <w:shd w:val="clear" w:color="auto" w:fill="00B0F0"/>
          </w:tcPr>
          <w:p w:rsidR="002E508F" w:rsidRDefault="002E508F">
            <w:pPr>
              <w:jc w:val="both"/>
              <w:rPr>
                <w:rFonts w:ascii="Times New Roman" w:hAnsi="Times New Roman" w:cs="Times New Roman"/>
                <w:b/>
                <w:noProof/>
                <w:color w:val="FFFFFF" w:themeColor="background1"/>
                <w:sz w:val="18"/>
                <w:szCs w:val="18"/>
              </w:rPr>
            </w:pPr>
          </w:p>
        </w:tc>
        <w:tc>
          <w:tcPr>
            <w:tcW w:w="470" w:type="pct"/>
            <w:vMerge/>
            <w:shd w:val="clear" w:color="auto" w:fill="00B0F0"/>
          </w:tcPr>
          <w:p w:rsidR="002E508F" w:rsidRDefault="002E508F">
            <w:pPr>
              <w:jc w:val="center"/>
              <w:rPr>
                <w:rFonts w:ascii="Times New Roman" w:hAnsi="Times New Roman" w:cs="Times New Roman"/>
                <w:b/>
                <w:noProof/>
                <w:color w:val="FFFFFF" w:themeColor="background1"/>
                <w:sz w:val="18"/>
                <w:szCs w:val="18"/>
              </w:rPr>
            </w:pPr>
          </w:p>
        </w:tc>
        <w:tc>
          <w:tcPr>
            <w:tcW w:w="470" w:type="pct"/>
            <w:vMerge/>
            <w:shd w:val="clear" w:color="auto" w:fill="00B0F0"/>
          </w:tcPr>
          <w:p w:rsidR="002E508F" w:rsidRDefault="002E508F">
            <w:pPr>
              <w:jc w:val="center"/>
              <w:rPr>
                <w:rFonts w:ascii="Times New Roman" w:hAnsi="Times New Roman" w:cs="Times New Roman"/>
                <w:b/>
                <w:noProof/>
                <w:color w:val="FFFFFF" w:themeColor="background1"/>
                <w:sz w:val="18"/>
                <w:szCs w:val="18"/>
              </w:rPr>
            </w:pPr>
          </w:p>
        </w:tc>
        <w:tc>
          <w:tcPr>
            <w:tcW w:w="468" w:type="pc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PO3a</w:t>
            </w:r>
          </w:p>
        </w:tc>
        <w:tc>
          <w:tcPr>
            <w:tcW w:w="470" w:type="pc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PO3b</w:t>
            </w:r>
          </w:p>
        </w:tc>
        <w:tc>
          <w:tcPr>
            <w:tcW w:w="468" w:type="pc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PO4a</w:t>
            </w:r>
          </w:p>
        </w:tc>
        <w:tc>
          <w:tcPr>
            <w:tcW w:w="546" w:type="pc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PO4b</w:t>
            </w:r>
          </w:p>
        </w:tc>
        <w:tc>
          <w:tcPr>
            <w:tcW w:w="470" w:type="pct"/>
            <w:vMerge/>
            <w:shd w:val="clear" w:color="auto" w:fill="00B0F0"/>
          </w:tcPr>
          <w:p w:rsidR="002E508F" w:rsidRDefault="002E508F">
            <w:pPr>
              <w:jc w:val="both"/>
              <w:rPr>
                <w:rFonts w:ascii="Times New Roman" w:hAnsi="Times New Roman" w:cs="Times New Roman"/>
                <w:b/>
                <w:noProof/>
                <w:color w:val="FFFFFF" w:themeColor="background1"/>
                <w:sz w:val="18"/>
                <w:szCs w:val="18"/>
              </w:rPr>
            </w:pPr>
          </w:p>
        </w:tc>
        <w:tc>
          <w:tcPr>
            <w:tcW w:w="467" w:type="pct"/>
            <w:vMerge/>
            <w:shd w:val="clear" w:color="auto" w:fill="00B0F0"/>
          </w:tcPr>
          <w:p w:rsidR="002E508F" w:rsidRDefault="002E508F">
            <w:pPr>
              <w:jc w:val="both"/>
              <w:rPr>
                <w:rFonts w:ascii="Times New Roman" w:hAnsi="Times New Roman" w:cs="Times New Roman"/>
                <w:b/>
                <w:noProof/>
                <w:color w:val="FFFFFF" w:themeColor="background1"/>
                <w:sz w:val="18"/>
                <w:szCs w:val="18"/>
              </w:rPr>
            </w:pPr>
          </w:p>
        </w:tc>
      </w:tr>
      <w:tr w:rsidR="002E508F">
        <w:tc>
          <w:tcPr>
            <w:tcW w:w="1171" w:type="pct"/>
          </w:tcPr>
          <w:p w:rsidR="002E508F" w:rsidRDefault="005D0A03">
            <w:pPr>
              <w:rPr>
                <w:rFonts w:ascii="Times New Roman" w:hAnsi="Times New Roman" w:cs="Times New Roman"/>
                <w:b/>
                <w:bCs/>
                <w:noProof/>
                <w:sz w:val="18"/>
                <w:szCs w:val="18"/>
              </w:rPr>
            </w:pPr>
            <w:r>
              <w:rPr>
                <w:rFonts w:ascii="Times New Roman" w:hAnsi="Times New Roman" w:cs="Times New Roman"/>
                <w:b/>
                <w:bCs/>
                <w:noProof/>
                <w:sz w:val="18"/>
                <w:szCs w:val="18"/>
              </w:rPr>
              <w:t>Procurement costs</w:t>
            </w:r>
          </w:p>
        </w:tc>
        <w:tc>
          <w:tcPr>
            <w:tcW w:w="470" w:type="pct"/>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0  </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(0%)</w:t>
            </w:r>
          </w:p>
        </w:tc>
        <w:tc>
          <w:tcPr>
            <w:tcW w:w="470" w:type="pct"/>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1,300  </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(1%)</w:t>
            </w:r>
          </w:p>
        </w:tc>
        <w:tc>
          <w:tcPr>
            <w:tcW w:w="468" w:type="pct"/>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1,960  </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(2%)</w:t>
            </w:r>
          </w:p>
        </w:tc>
        <w:tc>
          <w:tcPr>
            <w:tcW w:w="470" w:type="pct"/>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1,790  </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(2%)</w:t>
            </w:r>
          </w:p>
        </w:tc>
        <w:tc>
          <w:tcPr>
            <w:tcW w:w="468" w:type="pct"/>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2,550  </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(3%)</w:t>
            </w:r>
          </w:p>
        </w:tc>
        <w:tc>
          <w:tcPr>
            <w:tcW w:w="546" w:type="pct"/>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4,090  </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(5%)</w:t>
            </w:r>
          </w:p>
        </w:tc>
        <w:tc>
          <w:tcPr>
            <w:tcW w:w="470" w:type="pct"/>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11,030  </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(12%)</w:t>
            </w:r>
          </w:p>
        </w:tc>
        <w:tc>
          <w:tcPr>
            <w:tcW w:w="467" w:type="pct"/>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4,190</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 (5%)</w:t>
            </w:r>
          </w:p>
        </w:tc>
      </w:tr>
      <w:tr w:rsidR="002E508F">
        <w:trPr>
          <w:trHeight w:val="300"/>
        </w:trPr>
        <w:tc>
          <w:tcPr>
            <w:tcW w:w="1171" w:type="pct"/>
            <w:noWrap/>
            <w:hideMark/>
          </w:tcPr>
          <w:p w:rsidR="002E508F" w:rsidRDefault="005D0A03">
            <w:pPr>
              <w:rPr>
                <w:rFonts w:ascii="Times New Roman" w:hAnsi="Times New Roman" w:cs="Times New Roman"/>
                <w:b/>
                <w:noProof/>
                <w:sz w:val="18"/>
                <w:szCs w:val="18"/>
                <w:lang w:eastAsia="en-GB"/>
              </w:rPr>
            </w:pPr>
            <w:r>
              <w:rPr>
                <w:rFonts w:ascii="Times New Roman" w:hAnsi="Times New Roman" w:cs="Times New Roman"/>
                <w:b/>
                <w:bCs/>
                <w:noProof/>
                <w:sz w:val="18"/>
                <w:szCs w:val="18"/>
                <w:lang w:eastAsia="en-GB"/>
              </w:rPr>
              <w:t>Administrative costs</w:t>
            </w:r>
          </w:p>
        </w:tc>
        <w:tc>
          <w:tcPr>
            <w:tcW w:w="470" w:type="pct"/>
            <w:hideMark/>
          </w:tcPr>
          <w:p w:rsidR="002E508F" w:rsidRDefault="005D0A03">
            <w:pPr>
              <w:jc w:val="center"/>
              <w:rPr>
                <w:rFonts w:ascii="Times New Roman" w:hAnsi="Times New Roman" w:cs="Times New Roman"/>
                <w:noProof/>
                <w:sz w:val="18"/>
                <w:szCs w:val="18"/>
              </w:rPr>
            </w:pPr>
            <w:r>
              <w:rPr>
                <w:rFonts w:ascii="Times New Roman" w:hAnsi="Times New Roman" w:cs="Times New Roman"/>
                <w:bCs/>
                <w:noProof/>
                <w:color w:val="000000"/>
                <w:sz w:val="18"/>
                <w:szCs w:val="18"/>
              </w:rPr>
              <w:t>-3.7</w:t>
            </w:r>
          </w:p>
        </w:tc>
        <w:tc>
          <w:tcPr>
            <w:tcW w:w="470" w:type="pct"/>
            <w:noWrap/>
            <w:hideMark/>
          </w:tcPr>
          <w:p w:rsidR="002E508F" w:rsidRDefault="005D0A03">
            <w:pPr>
              <w:jc w:val="center"/>
              <w:rPr>
                <w:rFonts w:ascii="Times New Roman" w:hAnsi="Times New Roman" w:cs="Times New Roman"/>
                <w:noProof/>
                <w:sz w:val="18"/>
                <w:szCs w:val="18"/>
                <w:lang w:eastAsia="en-GB"/>
              </w:rPr>
            </w:pPr>
            <w:r>
              <w:rPr>
                <w:rFonts w:ascii="Times New Roman" w:hAnsi="Times New Roman" w:cs="Times New Roman"/>
                <w:bCs/>
                <w:noProof/>
                <w:color w:val="000000"/>
                <w:sz w:val="18"/>
                <w:szCs w:val="18"/>
              </w:rPr>
              <w:t>-1.5</w:t>
            </w:r>
          </w:p>
        </w:tc>
        <w:tc>
          <w:tcPr>
            <w:tcW w:w="468" w:type="pct"/>
            <w:noWrap/>
            <w:hideMark/>
          </w:tcPr>
          <w:p w:rsidR="002E508F" w:rsidRDefault="005D0A03">
            <w:pPr>
              <w:jc w:val="center"/>
              <w:rPr>
                <w:rFonts w:ascii="Times New Roman" w:hAnsi="Times New Roman" w:cs="Times New Roman"/>
                <w:noProof/>
                <w:sz w:val="18"/>
                <w:szCs w:val="18"/>
                <w:lang w:eastAsia="en-GB"/>
              </w:rPr>
            </w:pPr>
            <w:r>
              <w:rPr>
                <w:rFonts w:ascii="Times New Roman" w:hAnsi="Times New Roman" w:cs="Times New Roman"/>
                <w:bCs/>
                <w:noProof/>
                <w:color w:val="000000"/>
                <w:sz w:val="18"/>
                <w:szCs w:val="18"/>
              </w:rPr>
              <w:t>-2.5</w:t>
            </w:r>
          </w:p>
        </w:tc>
        <w:tc>
          <w:tcPr>
            <w:tcW w:w="470" w:type="pct"/>
            <w:noWrap/>
            <w:hideMark/>
          </w:tcPr>
          <w:p w:rsidR="002E508F" w:rsidRDefault="005D0A03">
            <w:pPr>
              <w:jc w:val="center"/>
              <w:rPr>
                <w:rFonts w:ascii="Times New Roman" w:hAnsi="Times New Roman" w:cs="Times New Roman"/>
                <w:noProof/>
                <w:sz w:val="18"/>
                <w:szCs w:val="18"/>
                <w:lang w:eastAsia="en-GB"/>
              </w:rPr>
            </w:pPr>
            <w:r>
              <w:rPr>
                <w:rFonts w:ascii="Times New Roman" w:hAnsi="Times New Roman" w:cs="Times New Roman"/>
                <w:bCs/>
                <w:noProof/>
                <w:color w:val="000000"/>
                <w:sz w:val="18"/>
                <w:szCs w:val="18"/>
              </w:rPr>
              <w:t>-2.5</w:t>
            </w:r>
          </w:p>
        </w:tc>
        <w:tc>
          <w:tcPr>
            <w:tcW w:w="468" w:type="pct"/>
            <w:noWrap/>
            <w:hideMark/>
          </w:tcPr>
          <w:p w:rsidR="002E508F" w:rsidRDefault="005D0A03">
            <w:pPr>
              <w:jc w:val="center"/>
              <w:rPr>
                <w:rFonts w:ascii="Times New Roman" w:hAnsi="Times New Roman" w:cs="Times New Roman"/>
                <w:noProof/>
                <w:sz w:val="18"/>
                <w:szCs w:val="18"/>
                <w:lang w:eastAsia="en-GB"/>
              </w:rPr>
            </w:pPr>
            <w:r>
              <w:rPr>
                <w:rFonts w:ascii="Times New Roman" w:hAnsi="Times New Roman" w:cs="Times New Roman"/>
                <w:bCs/>
                <w:noProof/>
                <w:color w:val="000000"/>
                <w:sz w:val="18"/>
                <w:szCs w:val="18"/>
              </w:rPr>
              <w:t>-2.5</w:t>
            </w:r>
          </w:p>
        </w:tc>
        <w:tc>
          <w:tcPr>
            <w:tcW w:w="546" w:type="pct"/>
            <w:noWrap/>
            <w:hideMark/>
          </w:tcPr>
          <w:p w:rsidR="002E508F" w:rsidRDefault="005D0A03">
            <w:pPr>
              <w:jc w:val="center"/>
              <w:rPr>
                <w:rFonts w:ascii="Times New Roman" w:hAnsi="Times New Roman" w:cs="Times New Roman"/>
                <w:noProof/>
                <w:sz w:val="18"/>
                <w:szCs w:val="18"/>
                <w:lang w:eastAsia="en-GB"/>
              </w:rPr>
            </w:pPr>
            <w:r>
              <w:rPr>
                <w:rFonts w:ascii="Times New Roman" w:hAnsi="Times New Roman" w:cs="Times New Roman"/>
                <w:bCs/>
                <w:noProof/>
                <w:color w:val="000000"/>
                <w:sz w:val="18"/>
                <w:szCs w:val="18"/>
              </w:rPr>
              <w:t>-2.5</w:t>
            </w:r>
          </w:p>
        </w:tc>
        <w:tc>
          <w:tcPr>
            <w:tcW w:w="470" w:type="pct"/>
            <w:noWrap/>
            <w:hideMark/>
          </w:tcPr>
          <w:p w:rsidR="002E508F" w:rsidRDefault="005D0A03">
            <w:pPr>
              <w:jc w:val="center"/>
              <w:rPr>
                <w:rFonts w:ascii="Times New Roman" w:hAnsi="Times New Roman" w:cs="Times New Roman"/>
                <w:noProof/>
                <w:sz w:val="18"/>
                <w:szCs w:val="18"/>
                <w:lang w:eastAsia="en-GB"/>
              </w:rPr>
            </w:pPr>
            <w:r>
              <w:rPr>
                <w:rFonts w:ascii="Times New Roman" w:hAnsi="Times New Roman" w:cs="Times New Roman"/>
                <w:bCs/>
                <w:noProof/>
                <w:color w:val="000000"/>
                <w:sz w:val="18"/>
                <w:szCs w:val="18"/>
              </w:rPr>
              <w:t>1.3</w:t>
            </w:r>
          </w:p>
        </w:tc>
        <w:tc>
          <w:tcPr>
            <w:tcW w:w="467" w:type="pct"/>
          </w:tcPr>
          <w:p w:rsidR="002E508F" w:rsidRDefault="005D0A03">
            <w:pPr>
              <w:jc w:val="center"/>
              <w:rPr>
                <w:rFonts w:ascii="Times New Roman" w:hAnsi="Times New Roman" w:cs="Times New Roman"/>
                <w:bCs/>
                <w:noProof/>
                <w:color w:val="000000"/>
                <w:sz w:val="18"/>
                <w:szCs w:val="18"/>
              </w:rPr>
            </w:pPr>
            <w:r>
              <w:rPr>
                <w:rFonts w:ascii="Times New Roman" w:hAnsi="Times New Roman" w:cs="Times New Roman"/>
                <w:bCs/>
                <w:noProof/>
                <w:color w:val="000000"/>
                <w:sz w:val="18"/>
                <w:szCs w:val="18"/>
              </w:rPr>
              <w:t>-2.5</w:t>
            </w:r>
          </w:p>
        </w:tc>
      </w:tr>
    </w:tbl>
    <w:bookmarkEnd w:id="47"/>
    <w:p w:rsidR="002E508F" w:rsidRDefault="005D0A0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Source: </w:t>
      </w:r>
      <w:r>
        <w:rPr>
          <w:rFonts w:ascii="Times New Roman" w:hAnsi="Times New Roman" w:cs="Times New Roman"/>
          <w:i/>
          <w:noProof/>
          <w:sz w:val="20"/>
          <w:szCs w:val="20"/>
        </w:rPr>
        <w:t>Ricardo (2017) Support Study to the Impact Assessment of the Clean Vehicles Directive</w:t>
      </w:r>
      <w:r>
        <w:rPr>
          <w:rFonts w:ascii="Times New Roman" w:hAnsi="Times New Roman" w:cs="Times New Roman"/>
          <w:noProof/>
          <w:sz w:val="20"/>
          <w:szCs w:val="20"/>
        </w:rPr>
        <w:t xml:space="preserve"> </w:t>
      </w:r>
      <w:r>
        <w:rPr>
          <w:rFonts w:ascii="Times New Roman" w:hAnsi="Times New Roman" w:cs="Times New Roman"/>
          <w:noProof/>
        </w:rPr>
        <w:br/>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In comparison, total operational cost for public bodies (fuel cost and other fixed cost including vehicle insurance, maintenance and repair cost) are expected to decrease, including sizeable fuel cost savings (see Table 6.2). These are particularly relevant in PO5, but also sizeable in PO6 and PO4b. The cost reductions in PO3a, PO3b and PO2 are somewhat lower because of more limited impact on fuel cost savings.  </w:t>
      </w:r>
    </w:p>
    <w:p w:rsidR="002E508F" w:rsidRDefault="005D0A03">
      <w:pPr>
        <w:spacing w:after="0"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Table 6.2 Impact on fixed costs and fuel costs for procurement authorities relative to the baseline – Net present value over the lifetime of procured vehicles</w:t>
      </w:r>
      <w:r>
        <w:rPr>
          <w:rStyle w:val="FootnoteReference"/>
          <w:rFonts w:ascii="Times New Roman" w:hAnsi="Times New Roman" w:cs="Times New Roman"/>
          <w:b/>
          <w:noProof/>
          <w:sz w:val="20"/>
          <w:szCs w:val="20"/>
        </w:rPr>
        <w:footnoteReference w:id="84"/>
      </w:r>
      <w:r>
        <w:rPr>
          <w:rFonts w:ascii="Times New Roman" w:hAnsi="Times New Roman" w:cs="Times New Roman"/>
          <w:b/>
          <w:noProof/>
          <w:sz w:val="20"/>
          <w:szCs w:val="20"/>
        </w:rPr>
        <w:t xml:space="preserve"> (in € million and % change)</w:t>
      </w:r>
    </w:p>
    <w:tbl>
      <w:tblPr>
        <w:tblStyle w:val="TableGrid"/>
        <w:tblW w:w="9072" w:type="dxa"/>
        <w:tblInd w:w="108" w:type="dxa"/>
        <w:tblLayout w:type="fixed"/>
        <w:tblLook w:val="04A0" w:firstRow="1" w:lastRow="0" w:firstColumn="1" w:lastColumn="0" w:noHBand="0" w:noVBand="1"/>
      </w:tblPr>
      <w:tblGrid>
        <w:gridCol w:w="1418"/>
        <w:gridCol w:w="992"/>
        <w:gridCol w:w="709"/>
        <w:gridCol w:w="709"/>
        <w:gridCol w:w="850"/>
        <w:gridCol w:w="851"/>
        <w:gridCol w:w="850"/>
        <w:gridCol w:w="992"/>
        <w:gridCol w:w="851"/>
        <w:gridCol w:w="850"/>
      </w:tblGrid>
      <w:tr w:rsidR="002E508F">
        <w:tc>
          <w:tcPr>
            <w:tcW w:w="1418" w:type="dxa"/>
            <w:vMerge w:val="restart"/>
            <w:shd w:val="clear" w:color="auto" w:fill="00B0F0"/>
          </w:tcPr>
          <w:p w:rsidR="002E508F" w:rsidRDefault="002E508F">
            <w:pPr>
              <w:jc w:val="center"/>
              <w:rPr>
                <w:rFonts w:ascii="Times New Roman" w:hAnsi="Times New Roman" w:cs="Times New Roman"/>
                <w:b/>
                <w:noProof/>
                <w:color w:val="FFFFFF" w:themeColor="background1"/>
                <w:sz w:val="18"/>
                <w:szCs w:val="18"/>
              </w:rPr>
            </w:pPr>
            <w:bookmarkStart w:id="48" w:name="_Hlk494140866"/>
          </w:p>
        </w:tc>
        <w:tc>
          <w:tcPr>
            <w:tcW w:w="992" w:type="dxa"/>
            <w:vMerge w:val="restar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Baseline</w:t>
            </w:r>
          </w:p>
        </w:tc>
        <w:tc>
          <w:tcPr>
            <w:tcW w:w="709" w:type="dxa"/>
            <w:vMerge w:val="restar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PO1</w:t>
            </w:r>
          </w:p>
        </w:tc>
        <w:tc>
          <w:tcPr>
            <w:tcW w:w="709" w:type="dxa"/>
            <w:vMerge w:val="restar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PO2</w:t>
            </w:r>
          </w:p>
        </w:tc>
        <w:tc>
          <w:tcPr>
            <w:tcW w:w="1701" w:type="dxa"/>
            <w:gridSpan w:val="2"/>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PO3</w:t>
            </w:r>
          </w:p>
        </w:tc>
        <w:tc>
          <w:tcPr>
            <w:tcW w:w="1842" w:type="dxa"/>
            <w:gridSpan w:val="2"/>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PO4</w:t>
            </w:r>
          </w:p>
        </w:tc>
        <w:tc>
          <w:tcPr>
            <w:tcW w:w="851" w:type="dxa"/>
            <w:vMerge w:val="restar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PO5</w:t>
            </w:r>
          </w:p>
        </w:tc>
        <w:tc>
          <w:tcPr>
            <w:tcW w:w="850" w:type="dxa"/>
            <w:vMerge w:val="restar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PO6</w:t>
            </w:r>
          </w:p>
        </w:tc>
      </w:tr>
      <w:tr w:rsidR="002E508F">
        <w:tc>
          <w:tcPr>
            <w:tcW w:w="1418" w:type="dxa"/>
            <w:vMerge/>
            <w:shd w:val="clear" w:color="auto" w:fill="00B0F0"/>
          </w:tcPr>
          <w:p w:rsidR="002E508F" w:rsidRDefault="002E508F">
            <w:pPr>
              <w:jc w:val="center"/>
              <w:rPr>
                <w:rFonts w:ascii="Times New Roman" w:hAnsi="Times New Roman" w:cs="Times New Roman"/>
                <w:b/>
                <w:noProof/>
                <w:color w:val="FFFFFF" w:themeColor="background1"/>
                <w:sz w:val="18"/>
                <w:szCs w:val="18"/>
              </w:rPr>
            </w:pPr>
          </w:p>
        </w:tc>
        <w:tc>
          <w:tcPr>
            <w:tcW w:w="992" w:type="dxa"/>
            <w:vMerge/>
            <w:shd w:val="clear" w:color="auto" w:fill="00B0F0"/>
          </w:tcPr>
          <w:p w:rsidR="002E508F" w:rsidRDefault="002E508F">
            <w:pPr>
              <w:jc w:val="center"/>
              <w:rPr>
                <w:rFonts w:ascii="Times New Roman" w:hAnsi="Times New Roman" w:cs="Times New Roman"/>
                <w:b/>
                <w:noProof/>
                <w:color w:val="FFFFFF" w:themeColor="background1"/>
                <w:sz w:val="18"/>
                <w:szCs w:val="18"/>
              </w:rPr>
            </w:pPr>
          </w:p>
        </w:tc>
        <w:tc>
          <w:tcPr>
            <w:tcW w:w="709" w:type="dxa"/>
            <w:vMerge/>
            <w:shd w:val="clear" w:color="auto" w:fill="00B0F0"/>
          </w:tcPr>
          <w:p w:rsidR="002E508F" w:rsidRDefault="002E508F">
            <w:pPr>
              <w:jc w:val="center"/>
              <w:rPr>
                <w:rFonts w:ascii="Times New Roman" w:hAnsi="Times New Roman" w:cs="Times New Roman"/>
                <w:b/>
                <w:noProof/>
                <w:color w:val="FFFFFF" w:themeColor="background1"/>
                <w:sz w:val="18"/>
                <w:szCs w:val="18"/>
              </w:rPr>
            </w:pPr>
          </w:p>
        </w:tc>
        <w:tc>
          <w:tcPr>
            <w:tcW w:w="709" w:type="dxa"/>
            <w:vMerge/>
            <w:shd w:val="clear" w:color="auto" w:fill="00B0F0"/>
          </w:tcPr>
          <w:p w:rsidR="002E508F" w:rsidRDefault="002E508F">
            <w:pPr>
              <w:jc w:val="center"/>
              <w:rPr>
                <w:rFonts w:ascii="Times New Roman" w:hAnsi="Times New Roman" w:cs="Times New Roman"/>
                <w:b/>
                <w:noProof/>
                <w:color w:val="FFFFFF" w:themeColor="background1"/>
                <w:sz w:val="18"/>
                <w:szCs w:val="18"/>
              </w:rPr>
            </w:pPr>
          </w:p>
        </w:tc>
        <w:tc>
          <w:tcPr>
            <w:tcW w:w="850" w:type="dxa"/>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PO3a</w:t>
            </w:r>
          </w:p>
        </w:tc>
        <w:tc>
          <w:tcPr>
            <w:tcW w:w="851" w:type="dxa"/>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PO3b</w:t>
            </w:r>
          </w:p>
        </w:tc>
        <w:tc>
          <w:tcPr>
            <w:tcW w:w="850" w:type="dxa"/>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PO4a</w:t>
            </w:r>
          </w:p>
        </w:tc>
        <w:tc>
          <w:tcPr>
            <w:tcW w:w="992" w:type="dxa"/>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PO4b</w:t>
            </w:r>
          </w:p>
        </w:tc>
        <w:tc>
          <w:tcPr>
            <w:tcW w:w="851" w:type="dxa"/>
            <w:vMerge/>
            <w:shd w:val="clear" w:color="auto" w:fill="00B0F0"/>
          </w:tcPr>
          <w:p w:rsidR="002E508F" w:rsidRDefault="002E508F">
            <w:pPr>
              <w:jc w:val="center"/>
              <w:rPr>
                <w:rFonts w:ascii="Times New Roman" w:hAnsi="Times New Roman" w:cs="Times New Roman"/>
                <w:b/>
                <w:noProof/>
                <w:color w:val="FFFFFF" w:themeColor="background1"/>
                <w:sz w:val="18"/>
                <w:szCs w:val="18"/>
              </w:rPr>
            </w:pPr>
          </w:p>
        </w:tc>
        <w:tc>
          <w:tcPr>
            <w:tcW w:w="850" w:type="dxa"/>
            <w:vMerge/>
            <w:shd w:val="clear" w:color="auto" w:fill="00B0F0"/>
          </w:tcPr>
          <w:p w:rsidR="002E508F" w:rsidRDefault="002E508F">
            <w:pPr>
              <w:jc w:val="center"/>
              <w:rPr>
                <w:rFonts w:ascii="Times New Roman" w:hAnsi="Times New Roman" w:cs="Times New Roman"/>
                <w:b/>
                <w:noProof/>
                <w:color w:val="FFFFFF" w:themeColor="background1"/>
                <w:sz w:val="18"/>
                <w:szCs w:val="18"/>
              </w:rPr>
            </w:pPr>
          </w:p>
        </w:tc>
      </w:tr>
      <w:tr w:rsidR="002E508F">
        <w:trPr>
          <w:trHeight w:val="300"/>
        </w:trPr>
        <w:tc>
          <w:tcPr>
            <w:tcW w:w="1418" w:type="dxa"/>
            <w:noWrap/>
            <w:hideMark/>
          </w:tcPr>
          <w:p w:rsidR="002E508F" w:rsidRDefault="005D0A03">
            <w:pPr>
              <w:rPr>
                <w:rFonts w:ascii="Times New Roman" w:hAnsi="Times New Roman" w:cs="Times New Roman"/>
                <w:b/>
                <w:noProof/>
                <w:sz w:val="18"/>
                <w:szCs w:val="18"/>
              </w:rPr>
            </w:pPr>
            <w:r>
              <w:rPr>
                <w:rFonts w:ascii="Times New Roman" w:hAnsi="Times New Roman" w:cs="Times New Roman"/>
                <w:b/>
                <w:noProof/>
                <w:sz w:val="18"/>
                <w:szCs w:val="18"/>
              </w:rPr>
              <w:t>Fixed cost (maintenance, repair, battery replacement)</w:t>
            </w:r>
          </w:p>
        </w:tc>
        <w:tc>
          <w:tcPr>
            <w:tcW w:w="992" w:type="dxa"/>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47,170</w:t>
            </w:r>
          </w:p>
        </w:tc>
        <w:tc>
          <w:tcPr>
            <w:tcW w:w="709" w:type="dxa"/>
            <w:noWrap/>
            <w:hideMark/>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0  </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(0%)</w:t>
            </w:r>
          </w:p>
        </w:tc>
        <w:tc>
          <w:tcPr>
            <w:tcW w:w="709" w:type="dxa"/>
            <w:noWrap/>
            <w:hideMark/>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290 </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 (1%)</w:t>
            </w:r>
          </w:p>
        </w:tc>
        <w:tc>
          <w:tcPr>
            <w:tcW w:w="850" w:type="dxa"/>
            <w:noWrap/>
            <w:hideMark/>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-220  </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(0%)</w:t>
            </w:r>
          </w:p>
        </w:tc>
        <w:tc>
          <w:tcPr>
            <w:tcW w:w="851" w:type="dxa"/>
            <w:noWrap/>
            <w:hideMark/>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-280     </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(-1%)</w:t>
            </w:r>
          </w:p>
        </w:tc>
        <w:tc>
          <w:tcPr>
            <w:tcW w:w="850" w:type="dxa"/>
            <w:noWrap/>
            <w:hideMark/>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720  </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(2%)</w:t>
            </w:r>
          </w:p>
        </w:tc>
        <w:tc>
          <w:tcPr>
            <w:tcW w:w="992" w:type="dxa"/>
            <w:noWrap/>
            <w:hideMark/>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1,070  </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(2%)</w:t>
            </w:r>
          </w:p>
        </w:tc>
        <w:tc>
          <w:tcPr>
            <w:tcW w:w="851" w:type="dxa"/>
            <w:noWrap/>
            <w:hideMark/>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3,800  </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(8%)</w:t>
            </w:r>
          </w:p>
        </w:tc>
        <w:tc>
          <w:tcPr>
            <w:tcW w:w="850" w:type="dxa"/>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1,040 </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(2%)</w:t>
            </w:r>
          </w:p>
        </w:tc>
      </w:tr>
      <w:tr w:rsidR="002E508F">
        <w:trPr>
          <w:trHeight w:val="300"/>
        </w:trPr>
        <w:tc>
          <w:tcPr>
            <w:tcW w:w="1418" w:type="dxa"/>
            <w:noWrap/>
            <w:hideMark/>
          </w:tcPr>
          <w:p w:rsidR="002E508F" w:rsidRDefault="005D0A03">
            <w:pPr>
              <w:rPr>
                <w:rFonts w:ascii="Times New Roman" w:hAnsi="Times New Roman" w:cs="Times New Roman"/>
                <w:b/>
                <w:noProof/>
                <w:sz w:val="18"/>
                <w:szCs w:val="18"/>
              </w:rPr>
            </w:pPr>
            <w:r>
              <w:rPr>
                <w:rFonts w:ascii="Times New Roman" w:hAnsi="Times New Roman" w:cs="Times New Roman"/>
                <w:b/>
                <w:noProof/>
                <w:sz w:val="18"/>
                <w:szCs w:val="18"/>
              </w:rPr>
              <w:t>Fuel / energy cost</w:t>
            </w:r>
          </w:p>
        </w:tc>
        <w:tc>
          <w:tcPr>
            <w:tcW w:w="992" w:type="dxa"/>
          </w:tcPr>
          <w:p w:rsidR="002E508F" w:rsidRDefault="005D0A03">
            <w:pPr>
              <w:jc w:val="center"/>
              <w:rPr>
                <w:rFonts w:ascii="Times New Roman" w:hAnsi="Times New Roman" w:cs="Times New Roman"/>
                <w:noProof/>
                <w:sz w:val="18"/>
                <w:szCs w:val="18"/>
              </w:rPr>
            </w:pPr>
            <w:r>
              <w:rPr>
                <w:rFonts w:ascii="Times New Roman" w:hAnsi="Times New Roman" w:cs="Times New Roman"/>
                <w:bCs/>
                <w:noProof/>
                <w:sz w:val="18"/>
                <w:szCs w:val="18"/>
              </w:rPr>
              <w:t>46,220</w:t>
            </w:r>
          </w:p>
        </w:tc>
        <w:tc>
          <w:tcPr>
            <w:tcW w:w="709" w:type="dxa"/>
            <w:noWrap/>
            <w:hideMark/>
          </w:tcPr>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0 </w:t>
            </w:r>
          </w:p>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709" w:type="dxa"/>
            <w:noWrap/>
            <w:hideMark/>
          </w:tcPr>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-1,280 </w:t>
            </w:r>
          </w:p>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850" w:type="dxa"/>
            <w:noWrap/>
            <w:hideMark/>
          </w:tcPr>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-800 </w:t>
            </w:r>
          </w:p>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851" w:type="dxa"/>
            <w:noWrap/>
            <w:hideMark/>
          </w:tcPr>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-690 </w:t>
            </w:r>
          </w:p>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850" w:type="dxa"/>
            <w:noWrap/>
            <w:hideMark/>
          </w:tcPr>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-1,730 </w:t>
            </w:r>
          </w:p>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992" w:type="dxa"/>
            <w:noWrap/>
            <w:hideMark/>
          </w:tcPr>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-2,930 </w:t>
            </w:r>
          </w:p>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851" w:type="dxa"/>
            <w:noWrap/>
            <w:hideMark/>
          </w:tcPr>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-14,100 </w:t>
            </w:r>
          </w:p>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(-31%)</w:t>
            </w:r>
          </w:p>
        </w:tc>
        <w:tc>
          <w:tcPr>
            <w:tcW w:w="850" w:type="dxa"/>
          </w:tcPr>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-3,040 </w:t>
            </w:r>
          </w:p>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(-7%)</w:t>
            </w:r>
          </w:p>
        </w:tc>
      </w:tr>
      <w:tr w:rsidR="002E508F">
        <w:trPr>
          <w:trHeight w:val="300"/>
        </w:trPr>
        <w:tc>
          <w:tcPr>
            <w:tcW w:w="1418" w:type="dxa"/>
            <w:noWrap/>
          </w:tcPr>
          <w:p w:rsidR="002E508F" w:rsidRDefault="005D0A03">
            <w:pPr>
              <w:rPr>
                <w:rFonts w:ascii="Times New Roman" w:hAnsi="Times New Roman" w:cs="Times New Roman"/>
                <w:b/>
                <w:noProof/>
                <w:sz w:val="18"/>
                <w:szCs w:val="18"/>
              </w:rPr>
            </w:pPr>
            <w:r>
              <w:rPr>
                <w:rFonts w:ascii="Times New Roman" w:hAnsi="Times New Roman" w:cs="Times New Roman"/>
                <w:b/>
                <w:noProof/>
                <w:sz w:val="18"/>
                <w:szCs w:val="18"/>
              </w:rPr>
              <w:t>Total operational costs</w:t>
            </w:r>
          </w:p>
        </w:tc>
        <w:tc>
          <w:tcPr>
            <w:tcW w:w="992" w:type="dxa"/>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93,390</w:t>
            </w:r>
          </w:p>
        </w:tc>
        <w:tc>
          <w:tcPr>
            <w:tcW w:w="709" w:type="dxa"/>
            <w:noWrap/>
          </w:tcPr>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0 </w:t>
            </w:r>
          </w:p>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(0%)</w:t>
            </w:r>
          </w:p>
        </w:tc>
        <w:tc>
          <w:tcPr>
            <w:tcW w:w="709" w:type="dxa"/>
            <w:noWrap/>
          </w:tcPr>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-990 </w:t>
            </w:r>
          </w:p>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850" w:type="dxa"/>
            <w:noWrap/>
          </w:tcPr>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-1,020 </w:t>
            </w:r>
          </w:p>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(-1%) </w:t>
            </w:r>
          </w:p>
        </w:tc>
        <w:tc>
          <w:tcPr>
            <w:tcW w:w="851" w:type="dxa"/>
            <w:noWrap/>
          </w:tcPr>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-970 </w:t>
            </w:r>
          </w:p>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850" w:type="dxa"/>
            <w:noWrap/>
          </w:tcPr>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-1,010 </w:t>
            </w:r>
          </w:p>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992" w:type="dxa"/>
            <w:noWrap/>
          </w:tcPr>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-1,860 </w:t>
            </w:r>
          </w:p>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851" w:type="dxa"/>
            <w:noWrap/>
          </w:tcPr>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 -10,300 </w:t>
            </w:r>
          </w:p>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850" w:type="dxa"/>
          </w:tcPr>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 xml:space="preserve">-2,000 </w:t>
            </w:r>
          </w:p>
          <w:p w:rsidR="002E508F" w:rsidRDefault="005D0A03">
            <w:pPr>
              <w:jc w:val="center"/>
              <w:rPr>
                <w:rFonts w:ascii="Times New Roman" w:hAnsi="Times New Roman" w:cs="Times New Roman"/>
                <w:noProof/>
                <w:sz w:val="18"/>
                <w:szCs w:val="18"/>
              </w:rPr>
            </w:pPr>
            <w:r>
              <w:rPr>
                <w:rFonts w:ascii="Times New Roman" w:hAnsi="Times New Roman" w:cs="Times New Roman"/>
                <w:noProof/>
                <w:sz w:val="18"/>
                <w:szCs w:val="18"/>
              </w:rPr>
              <w:t>(-2%)</w:t>
            </w:r>
          </w:p>
        </w:tc>
      </w:tr>
    </w:tbl>
    <w:bookmarkEnd w:id="48"/>
    <w:p w:rsidR="002E508F" w:rsidRDefault="005D0A03">
      <w:pPr>
        <w:spacing w:before="120" w:line="240" w:lineRule="auto"/>
        <w:jc w:val="both"/>
        <w:rPr>
          <w:rFonts w:ascii="Times New Roman" w:hAnsi="Times New Roman" w:cs="Times New Roman"/>
          <w:noProof/>
        </w:rPr>
      </w:pPr>
      <w:r>
        <w:rPr>
          <w:rFonts w:ascii="Times New Roman" w:hAnsi="Times New Roman" w:cs="Times New Roman"/>
          <w:noProof/>
          <w:sz w:val="20"/>
          <w:szCs w:val="20"/>
        </w:rPr>
        <w:t xml:space="preserve">Source: </w:t>
      </w:r>
      <w:r>
        <w:rPr>
          <w:rFonts w:ascii="Times New Roman" w:hAnsi="Times New Roman" w:cs="Times New Roman"/>
          <w:i/>
          <w:noProof/>
          <w:sz w:val="20"/>
          <w:szCs w:val="20"/>
        </w:rPr>
        <w:t>Ricardo (2017) Support Study to the Impact Assessment of the Clean Vehicles Directive</w:t>
      </w:r>
      <w:r>
        <w:rPr>
          <w:rFonts w:ascii="Times New Roman" w:hAnsi="Times New Roman" w:cs="Times New Roman"/>
          <w:noProof/>
          <w:sz w:val="20"/>
          <w:szCs w:val="20"/>
        </w:rPr>
        <w:t xml:space="preserve"> </w:t>
      </w:r>
    </w:p>
    <w:p w:rsidR="002E508F" w:rsidRDefault="005D0A03">
      <w:pPr>
        <w:spacing w:before="120" w:line="240" w:lineRule="auto"/>
        <w:jc w:val="both"/>
        <w:rPr>
          <w:rFonts w:ascii="Times New Roman" w:hAnsi="Times New Roman" w:cs="Times New Roman"/>
          <w:noProof/>
        </w:rPr>
      </w:pPr>
      <w:r>
        <w:rPr>
          <w:rFonts w:ascii="Times New Roman" w:hAnsi="Times New Roman" w:cs="Times New Roman"/>
          <w:noProof/>
        </w:rPr>
        <w:t>The additional procurement and administrative costs are lower when compared to the alternative baseline, which shows a larger roll-out of low- and zero-emission vehicles (see Annex 8 of the Impact Assessment Support Study). However, the reductions in operational costs (mainly fuel costs savings) are also lower.</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It is relevant to note that not all benefits of the new technologies are accrued by those who have to bear the costs of implementing them, i.e. public authorities and operators (depending on organisational model) who will bear higher cost initially. Manufacturers and the broader public benefit mainly. This calls for related public support, where needed in view of higher purchase cost, a change in business models to total cost of ownership and more integrated budgeting approaches as successful examples of technology adoption demonstrate. </w:t>
      </w:r>
    </w:p>
    <w:p w:rsidR="002E508F" w:rsidRDefault="005D0A03">
      <w:pPr>
        <w:pStyle w:val="Heading3"/>
        <w:rPr>
          <w:noProof/>
        </w:rPr>
      </w:pPr>
      <w:bookmarkStart w:id="49" w:name="_Toc497141504"/>
      <w:r>
        <w:rPr>
          <w:noProof/>
        </w:rPr>
        <w:t>Impact on enterprises</w:t>
      </w:r>
      <w:bookmarkEnd w:id="49"/>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Enterprises in the vehicle manufacturing sector are expected to benefit from increased revenues from the procurement of low- and zero-emission vehicles, with revenues being distributed among businesses involved in the procurement of vehicles (including vehicle dealers).</w:t>
      </w:r>
      <w:r>
        <w:rPr>
          <w:rStyle w:val="FootnoteReference"/>
          <w:rFonts w:ascii="Times New Roman" w:hAnsi="Times New Roman" w:cs="Times New Roman"/>
          <w:noProof/>
        </w:rPr>
        <w:footnoteReference w:id="85"/>
      </w:r>
      <w:r>
        <w:rPr>
          <w:rFonts w:ascii="Times New Roman" w:hAnsi="Times New Roman" w:cs="Times New Roman"/>
          <w:noProof/>
        </w:rPr>
        <w:t xml:space="preserve"> Table 6.3 shows estimated impact on total revenue, which is estimated to increase under all policy options. </w:t>
      </w:r>
    </w:p>
    <w:p w:rsidR="002E508F" w:rsidRDefault="005D0A03">
      <w:pPr>
        <w:spacing w:line="240" w:lineRule="auto"/>
        <w:rPr>
          <w:rFonts w:ascii="Times New Roman" w:hAnsi="Times New Roman" w:cs="Times New Roman"/>
          <w:b/>
          <w:noProof/>
          <w:sz w:val="20"/>
          <w:szCs w:val="20"/>
        </w:rPr>
      </w:pPr>
      <w:r>
        <w:rPr>
          <w:rFonts w:ascii="Times New Roman" w:hAnsi="Times New Roman" w:cs="Times New Roman"/>
          <w:b/>
          <w:noProof/>
          <w:sz w:val="20"/>
          <w:szCs w:val="20"/>
        </w:rPr>
        <w:t>Table 6.3 Impact on total revenue for businesses – Net present values for vehicles procured during 2020-2035 (in € million and % change - negative values indicate decrease in revenues)</w:t>
      </w:r>
      <w:r>
        <w:rPr>
          <w:rFonts w:ascii="Times New Roman" w:hAnsi="Times New Roman" w:cs="Times New Roman"/>
          <w:b/>
          <w:noProof/>
          <w:sz w:val="20"/>
          <w:szCs w:val="20"/>
        </w:rPr>
        <w:tab/>
      </w:r>
      <w:r>
        <w:rPr>
          <w:rFonts w:ascii="Times New Roman" w:hAnsi="Times New Roman" w:cs="Times New Roman"/>
          <w:b/>
          <w:noProof/>
          <w:sz w:val="20"/>
          <w:szCs w:val="20"/>
        </w:rPr>
        <w:tab/>
        <w:t xml:space="preserve"> </w:t>
      </w:r>
    </w:p>
    <w:tbl>
      <w:tblPr>
        <w:tblStyle w:val="TableGrid"/>
        <w:tblW w:w="4943" w:type="pct"/>
        <w:tblLayout w:type="fixed"/>
        <w:tblLook w:val="04A0" w:firstRow="1" w:lastRow="0" w:firstColumn="1" w:lastColumn="0" w:noHBand="0" w:noVBand="1"/>
      </w:tblPr>
      <w:tblGrid>
        <w:gridCol w:w="1383"/>
        <w:gridCol w:w="991"/>
        <w:gridCol w:w="852"/>
        <w:gridCol w:w="709"/>
        <w:gridCol w:w="852"/>
        <w:gridCol w:w="982"/>
        <w:gridCol w:w="720"/>
        <w:gridCol w:w="991"/>
        <w:gridCol w:w="852"/>
        <w:gridCol w:w="848"/>
      </w:tblGrid>
      <w:tr w:rsidR="002E508F">
        <w:tc>
          <w:tcPr>
            <w:tcW w:w="753" w:type="pct"/>
            <w:vMerge w:val="restart"/>
            <w:shd w:val="clear" w:color="auto" w:fill="00B0F0"/>
          </w:tcPr>
          <w:p w:rsidR="002E508F" w:rsidRDefault="002E508F">
            <w:pPr>
              <w:jc w:val="center"/>
              <w:rPr>
                <w:rFonts w:ascii="Times New Roman" w:hAnsi="Times New Roman" w:cs="Times New Roman"/>
                <w:b/>
                <w:noProof/>
                <w:color w:val="FFFFFF" w:themeColor="background1"/>
                <w:sz w:val="18"/>
                <w:szCs w:val="18"/>
              </w:rPr>
            </w:pPr>
          </w:p>
        </w:tc>
        <w:tc>
          <w:tcPr>
            <w:tcW w:w="540" w:type="pct"/>
            <w:vMerge w:val="restar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Baseline</w:t>
            </w:r>
          </w:p>
        </w:tc>
        <w:tc>
          <w:tcPr>
            <w:tcW w:w="464" w:type="pct"/>
            <w:vMerge w:val="restart"/>
            <w:tcBorders>
              <w:right w:val="single" w:sz="4" w:space="0" w:color="auto"/>
            </w:tcBorders>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PO1</w:t>
            </w:r>
          </w:p>
        </w:tc>
        <w:tc>
          <w:tcPr>
            <w:tcW w:w="386" w:type="pct"/>
            <w:vMerge w:val="restart"/>
            <w:tcBorders>
              <w:left w:val="single" w:sz="4" w:space="0" w:color="auto"/>
            </w:tcBorders>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PO2</w:t>
            </w:r>
          </w:p>
        </w:tc>
        <w:tc>
          <w:tcPr>
            <w:tcW w:w="999" w:type="pct"/>
            <w:gridSpan w:val="2"/>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PO3</w:t>
            </w:r>
          </w:p>
        </w:tc>
        <w:tc>
          <w:tcPr>
            <w:tcW w:w="932" w:type="pct"/>
            <w:gridSpan w:val="2"/>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PO4</w:t>
            </w:r>
          </w:p>
        </w:tc>
        <w:tc>
          <w:tcPr>
            <w:tcW w:w="464" w:type="pct"/>
            <w:vMerge w:val="restar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PO5</w:t>
            </w:r>
          </w:p>
        </w:tc>
        <w:tc>
          <w:tcPr>
            <w:tcW w:w="462" w:type="pct"/>
            <w:vMerge w:val="restar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PO6</w:t>
            </w:r>
          </w:p>
        </w:tc>
      </w:tr>
      <w:tr w:rsidR="002E508F">
        <w:tc>
          <w:tcPr>
            <w:tcW w:w="753" w:type="pct"/>
            <w:vMerge/>
            <w:shd w:val="clear" w:color="auto" w:fill="00B0F0"/>
          </w:tcPr>
          <w:p w:rsidR="002E508F" w:rsidRDefault="002E508F">
            <w:pPr>
              <w:jc w:val="center"/>
              <w:rPr>
                <w:rFonts w:ascii="Times New Roman" w:hAnsi="Times New Roman" w:cs="Times New Roman"/>
                <w:b/>
                <w:noProof/>
                <w:color w:val="FFFFFF" w:themeColor="background1"/>
                <w:sz w:val="18"/>
                <w:szCs w:val="18"/>
              </w:rPr>
            </w:pPr>
          </w:p>
        </w:tc>
        <w:tc>
          <w:tcPr>
            <w:tcW w:w="540" w:type="pct"/>
            <w:vMerge/>
            <w:shd w:val="clear" w:color="auto" w:fill="00B0F0"/>
          </w:tcPr>
          <w:p w:rsidR="002E508F" w:rsidRDefault="002E508F">
            <w:pPr>
              <w:jc w:val="center"/>
              <w:rPr>
                <w:rFonts w:ascii="Times New Roman" w:hAnsi="Times New Roman" w:cs="Times New Roman"/>
                <w:b/>
                <w:noProof/>
                <w:color w:val="FFFFFF" w:themeColor="background1"/>
                <w:sz w:val="18"/>
                <w:szCs w:val="18"/>
              </w:rPr>
            </w:pPr>
          </w:p>
        </w:tc>
        <w:tc>
          <w:tcPr>
            <w:tcW w:w="464" w:type="pct"/>
            <w:vMerge/>
            <w:tcBorders>
              <w:right w:val="single" w:sz="4" w:space="0" w:color="auto"/>
            </w:tcBorders>
            <w:shd w:val="clear" w:color="auto" w:fill="00B0F0"/>
          </w:tcPr>
          <w:p w:rsidR="002E508F" w:rsidRDefault="002E508F">
            <w:pPr>
              <w:jc w:val="center"/>
              <w:rPr>
                <w:rFonts w:ascii="Times New Roman" w:hAnsi="Times New Roman" w:cs="Times New Roman"/>
                <w:b/>
                <w:noProof/>
                <w:color w:val="FFFFFF" w:themeColor="background1"/>
                <w:sz w:val="18"/>
                <w:szCs w:val="18"/>
              </w:rPr>
            </w:pPr>
          </w:p>
        </w:tc>
        <w:tc>
          <w:tcPr>
            <w:tcW w:w="386" w:type="pct"/>
            <w:vMerge/>
            <w:tcBorders>
              <w:left w:val="single" w:sz="4" w:space="0" w:color="auto"/>
            </w:tcBorders>
            <w:shd w:val="clear" w:color="auto" w:fill="00B0F0"/>
          </w:tcPr>
          <w:p w:rsidR="002E508F" w:rsidRDefault="002E508F">
            <w:pPr>
              <w:jc w:val="center"/>
              <w:rPr>
                <w:rFonts w:ascii="Times New Roman" w:hAnsi="Times New Roman" w:cs="Times New Roman"/>
                <w:b/>
                <w:noProof/>
                <w:color w:val="FFFFFF" w:themeColor="background1"/>
                <w:sz w:val="18"/>
                <w:szCs w:val="18"/>
              </w:rPr>
            </w:pPr>
          </w:p>
        </w:tc>
        <w:tc>
          <w:tcPr>
            <w:tcW w:w="464" w:type="pc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PO3a</w:t>
            </w:r>
          </w:p>
        </w:tc>
        <w:tc>
          <w:tcPr>
            <w:tcW w:w="535" w:type="pc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PO3b</w:t>
            </w:r>
          </w:p>
        </w:tc>
        <w:tc>
          <w:tcPr>
            <w:tcW w:w="392" w:type="pc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PO4a</w:t>
            </w:r>
          </w:p>
        </w:tc>
        <w:tc>
          <w:tcPr>
            <w:tcW w:w="540" w:type="pct"/>
            <w:shd w:val="clear" w:color="auto" w:fill="00B0F0"/>
          </w:tcPr>
          <w:p w:rsidR="002E508F" w:rsidRDefault="005D0A03">
            <w:pPr>
              <w:jc w:val="center"/>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PO4b</w:t>
            </w:r>
          </w:p>
        </w:tc>
        <w:tc>
          <w:tcPr>
            <w:tcW w:w="464" w:type="pct"/>
            <w:vMerge/>
            <w:shd w:val="clear" w:color="auto" w:fill="00B0F0"/>
          </w:tcPr>
          <w:p w:rsidR="002E508F" w:rsidRDefault="002E508F">
            <w:pPr>
              <w:jc w:val="center"/>
              <w:rPr>
                <w:rFonts w:ascii="Times New Roman" w:hAnsi="Times New Roman" w:cs="Times New Roman"/>
                <w:b/>
                <w:noProof/>
                <w:color w:val="FFFFFF" w:themeColor="background1"/>
                <w:sz w:val="18"/>
                <w:szCs w:val="18"/>
              </w:rPr>
            </w:pPr>
          </w:p>
        </w:tc>
        <w:tc>
          <w:tcPr>
            <w:tcW w:w="462" w:type="pct"/>
            <w:vMerge/>
            <w:shd w:val="clear" w:color="auto" w:fill="00B0F0"/>
          </w:tcPr>
          <w:p w:rsidR="002E508F" w:rsidRDefault="002E508F">
            <w:pPr>
              <w:jc w:val="center"/>
              <w:rPr>
                <w:rFonts w:ascii="Times New Roman" w:hAnsi="Times New Roman" w:cs="Times New Roman"/>
                <w:b/>
                <w:noProof/>
                <w:color w:val="FFFFFF" w:themeColor="background1"/>
                <w:sz w:val="18"/>
                <w:szCs w:val="18"/>
              </w:rPr>
            </w:pPr>
          </w:p>
        </w:tc>
      </w:tr>
      <w:tr w:rsidR="002E508F">
        <w:trPr>
          <w:trHeight w:val="300"/>
        </w:trPr>
        <w:tc>
          <w:tcPr>
            <w:tcW w:w="753" w:type="pct"/>
            <w:noWrap/>
            <w:hideMark/>
          </w:tcPr>
          <w:p w:rsidR="002E508F" w:rsidRDefault="005D0A03">
            <w:pPr>
              <w:rPr>
                <w:rFonts w:ascii="Times New Roman" w:hAnsi="Times New Roman" w:cs="Times New Roman"/>
                <w:bCs/>
                <w:noProof/>
                <w:sz w:val="18"/>
                <w:szCs w:val="18"/>
              </w:rPr>
            </w:pPr>
            <w:r>
              <w:rPr>
                <w:rFonts w:ascii="Times New Roman" w:hAnsi="Times New Roman" w:cs="Times New Roman"/>
                <w:bCs/>
                <w:noProof/>
                <w:sz w:val="18"/>
                <w:szCs w:val="18"/>
              </w:rPr>
              <w:t xml:space="preserve">Total revenue </w:t>
            </w:r>
          </w:p>
        </w:tc>
        <w:tc>
          <w:tcPr>
            <w:tcW w:w="540" w:type="pct"/>
            <w:vAlign w:val="center"/>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88,450</w:t>
            </w:r>
          </w:p>
        </w:tc>
        <w:tc>
          <w:tcPr>
            <w:tcW w:w="464" w:type="pct"/>
            <w:noWrap/>
            <w:hideMark/>
          </w:tcPr>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0  </w:t>
            </w:r>
          </w:p>
          <w:p w:rsidR="002E508F" w:rsidRDefault="002E508F">
            <w:pPr>
              <w:spacing w:after="0"/>
              <w:jc w:val="center"/>
              <w:rPr>
                <w:rFonts w:ascii="Times New Roman" w:hAnsi="Times New Roman" w:cs="Times New Roman"/>
                <w:bCs/>
                <w:noProof/>
                <w:sz w:val="18"/>
                <w:szCs w:val="18"/>
              </w:rPr>
            </w:pPr>
          </w:p>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(0%)</w:t>
            </w:r>
          </w:p>
        </w:tc>
        <w:tc>
          <w:tcPr>
            <w:tcW w:w="386" w:type="pct"/>
            <w:noWrap/>
            <w:hideMark/>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1,300</w:t>
            </w:r>
          </w:p>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  (1%)</w:t>
            </w:r>
          </w:p>
        </w:tc>
        <w:tc>
          <w:tcPr>
            <w:tcW w:w="464" w:type="pct"/>
            <w:noWrap/>
            <w:hideMark/>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1,960 </w:t>
            </w:r>
          </w:p>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 (2%)</w:t>
            </w:r>
          </w:p>
        </w:tc>
        <w:tc>
          <w:tcPr>
            <w:tcW w:w="535" w:type="pct"/>
            <w:noWrap/>
            <w:hideMark/>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1,790 </w:t>
            </w:r>
          </w:p>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 (2%)</w:t>
            </w:r>
          </w:p>
        </w:tc>
        <w:tc>
          <w:tcPr>
            <w:tcW w:w="392" w:type="pct"/>
            <w:noWrap/>
            <w:hideMark/>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2,550</w:t>
            </w:r>
          </w:p>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  (3%)</w:t>
            </w:r>
          </w:p>
        </w:tc>
        <w:tc>
          <w:tcPr>
            <w:tcW w:w="540" w:type="pct"/>
            <w:noWrap/>
            <w:hideMark/>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4,090  </w:t>
            </w:r>
          </w:p>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(5%)</w:t>
            </w:r>
          </w:p>
        </w:tc>
        <w:tc>
          <w:tcPr>
            <w:tcW w:w="464" w:type="pct"/>
            <w:noWrap/>
            <w:hideMark/>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11,030  </w:t>
            </w:r>
          </w:p>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(12%)</w:t>
            </w:r>
          </w:p>
        </w:tc>
        <w:tc>
          <w:tcPr>
            <w:tcW w:w="462" w:type="pct"/>
          </w:tcPr>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4,190 </w:t>
            </w:r>
          </w:p>
          <w:p w:rsidR="002E508F" w:rsidRDefault="005D0A03">
            <w:pPr>
              <w:jc w:val="center"/>
              <w:rPr>
                <w:rFonts w:ascii="Times New Roman" w:hAnsi="Times New Roman" w:cs="Times New Roman"/>
                <w:bCs/>
                <w:noProof/>
                <w:sz w:val="18"/>
                <w:szCs w:val="18"/>
              </w:rPr>
            </w:pPr>
            <w:r>
              <w:rPr>
                <w:rFonts w:ascii="Times New Roman" w:hAnsi="Times New Roman" w:cs="Times New Roman"/>
                <w:bCs/>
                <w:noProof/>
                <w:sz w:val="18"/>
                <w:szCs w:val="18"/>
              </w:rPr>
              <w:t>(5%)</w:t>
            </w:r>
          </w:p>
        </w:tc>
      </w:tr>
      <w:tr w:rsidR="002E508F">
        <w:trPr>
          <w:trHeight w:val="300"/>
        </w:trPr>
        <w:tc>
          <w:tcPr>
            <w:tcW w:w="753" w:type="pct"/>
            <w:noWrap/>
            <w:hideMark/>
          </w:tcPr>
          <w:p w:rsidR="002E508F" w:rsidRDefault="005D0A03">
            <w:pPr>
              <w:spacing w:after="0"/>
              <w:rPr>
                <w:rFonts w:ascii="Times New Roman" w:hAnsi="Times New Roman" w:cs="Times New Roman"/>
                <w:noProof/>
                <w:sz w:val="18"/>
                <w:szCs w:val="18"/>
                <w:lang w:eastAsia="en-GB"/>
              </w:rPr>
            </w:pPr>
            <w:r>
              <w:rPr>
                <w:rFonts w:ascii="Times New Roman" w:hAnsi="Times New Roman" w:cs="Times New Roman"/>
                <w:bCs/>
                <w:noProof/>
                <w:sz w:val="18"/>
                <w:szCs w:val="18"/>
                <w:lang w:eastAsia="en-GB"/>
              </w:rPr>
              <w:t>Total administrative costs – average</w:t>
            </w:r>
          </w:p>
        </w:tc>
        <w:tc>
          <w:tcPr>
            <w:tcW w:w="540" w:type="pct"/>
          </w:tcPr>
          <w:p w:rsidR="002E508F" w:rsidRDefault="002E508F">
            <w:pPr>
              <w:jc w:val="center"/>
              <w:rPr>
                <w:rFonts w:ascii="Times New Roman" w:hAnsi="Times New Roman" w:cs="Times New Roman"/>
                <w:noProof/>
                <w:sz w:val="18"/>
                <w:szCs w:val="18"/>
                <w:lang w:eastAsia="en-GB"/>
              </w:rPr>
            </w:pPr>
          </w:p>
        </w:tc>
        <w:tc>
          <w:tcPr>
            <w:tcW w:w="464" w:type="pct"/>
          </w:tcPr>
          <w:p w:rsidR="002E508F" w:rsidRDefault="005D0A03">
            <w:pPr>
              <w:jc w:val="center"/>
              <w:rPr>
                <w:rFonts w:ascii="Times New Roman" w:hAnsi="Times New Roman" w:cs="Times New Roman"/>
                <w:noProof/>
                <w:sz w:val="18"/>
                <w:szCs w:val="18"/>
                <w:lang w:eastAsia="en-GB"/>
              </w:rPr>
            </w:pPr>
            <w:r>
              <w:rPr>
                <w:rFonts w:ascii="Times New Roman" w:hAnsi="Times New Roman" w:cs="Times New Roman"/>
                <w:noProof/>
                <w:sz w:val="18"/>
                <w:szCs w:val="18"/>
                <w:lang w:eastAsia="en-GB"/>
              </w:rPr>
              <w:t>-18.2</w:t>
            </w:r>
          </w:p>
        </w:tc>
        <w:tc>
          <w:tcPr>
            <w:tcW w:w="386" w:type="pct"/>
            <w:noWrap/>
          </w:tcPr>
          <w:p w:rsidR="002E508F" w:rsidRDefault="005D0A03">
            <w:pPr>
              <w:jc w:val="center"/>
              <w:rPr>
                <w:rFonts w:ascii="Times New Roman" w:hAnsi="Times New Roman" w:cs="Times New Roman"/>
                <w:noProof/>
                <w:sz w:val="18"/>
                <w:szCs w:val="18"/>
                <w:lang w:eastAsia="en-GB"/>
              </w:rPr>
            </w:pPr>
            <w:r>
              <w:rPr>
                <w:rFonts w:ascii="Times New Roman" w:eastAsia="Calibri" w:hAnsi="Times New Roman" w:cs="Times New Roman"/>
                <w:noProof/>
                <w:sz w:val="18"/>
                <w:szCs w:val="18"/>
              </w:rPr>
              <w:t>-7.3</w:t>
            </w:r>
          </w:p>
        </w:tc>
        <w:tc>
          <w:tcPr>
            <w:tcW w:w="464" w:type="pct"/>
            <w:noWrap/>
          </w:tcPr>
          <w:p w:rsidR="002E508F" w:rsidRDefault="005D0A03">
            <w:pPr>
              <w:jc w:val="center"/>
              <w:rPr>
                <w:rFonts w:ascii="Times New Roman" w:hAnsi="Times New Roman" w:cs="Times New Roman"/>
                <w:noProof/>
                <w:sz w:val="18"/>
                <w:szCs w:val="18"/>
                <w:lang w:eastAsia="en-GB"/>
              </w:rPr>
            </w:pPr>
            <w:r>
              <w:rPr>
                <w:rFonts w:ascii="Times New Roman" w:eastAsia="Calibri" w:hAnsi="Times New Roman" w:cs="Times New Roman"/>
                <w:noProof/>
                <w:sz w:val="18"/>
                <w:szCs w:val="18"/>
              </w:rPr>
              <w:t>-12.4</w:t>
            </w:r>
          </w:p>
        </w:tc>
        <w:tc>
          <w:tcPr>
            <w:tcW w:w="535" w:type="pct"/>
            <w:noWrap/>
          </w:tcPr>
          <w:p w:rsidR="002E508F" w:rsidRDefault="005D0A03">
            <w:pPr>
              <w:jc w:val="center"/>
              <w:rPr>
                <w:rFonts w:ascii="Times New Roman" w:hAnsi="Times New Roman" w:cs="Times New Roman"/>
                <w:noProof/>
                <w:sz w:val="18"/>
                <w:szCs w:val="18"/>
                <w:lang w:eastAsia="en-GB"/>
              </w:rPr>
            </w:pPr>
            <w:r>
              <w:rPr>
                <w:rFonts w:ascii="Times New Roman" w:eastAsia="Calibri" w:hAnsi="Times New Roman" w:cs="Times New Roman"/>
                <w:noProof/>
                <w:sz w:val="18"/>
                <w:szCs w:val="18"/>
              </w:rPr>
              <w:t>-12.4</w:t>
            </w:r>
          </w:p>
        </w:tc>
        <w:tc>
          <w:tcPr>
            <w:tcW w:w="392" w:type="pct"/>
            <w:noWrap/>
          </w:tcPr>
          <w:p w:rsidR="002E508F" w:rsidRDefault="005D0A03">
            <w:pPr>
              <w:jc w:val="center"/>
              <w:rPr>
                <w:rFonts w:ascii="Times New Roman" w:hAnsi="Times New Roman" w:cs="Times New Roman"/>
                <w:noProof/>
                <w:sz w:val="18"/>
                <w:szCs w:val="18"/>
                <w:lang w:eastAsia="en-GB"/>
              </w:rPr>
            </w:pPr>
            <w:r>
              <w:rPr>
                <w:rFonts w:ascii="Times New Roman" w:eastAsia="Calibri" w:hAnsi="Times New Roman" w:cs="Times New Roman"/>
                <w:noProof/>
                <w:sz w:val="18"/>
                <w:szCs w:val="18"/>
              </w:rPr>
              <w:t>-12.4</w:t>
            </w:r>
          </w:p>
        </w:tc>
        <w:tc>
          <w:tcPr>
            <w:tcW w:w="540" w:type="pct"/>
            <w:noWrap/>
          </w:tcPr>
          <w:p w:rsidR="002E508F" w:rsidRDefault="005D0A03">
            <w:pPr>
              <w:jc w:val="center"/>
              <w:rPr>
                <w:rFonts w:ascii="Times New Roman" w:hAnsi="Times New Roman" w:cs="Times New Roman"/>
                <w:noProof/>
                <w:sz w:val="18"/>
                <w:szCs w:val="18"/>
                <w:lang w:eastAsia="en-GB"/>
              </w:rPr>
            </w:pPr>
            <w:r>
              <w:rPr>
                <w:rFonts w:ascii="Times New Roman" w:eastAsia="Calibri" w:hAnsi="Times New Roman" w:cs="Times New Roman"/>
                <w:noProof/>
                <w:sz w:val="18"/>
                <w:szCs w:val="18"/>
              </w:rPr>
              <w:t>-12.4</w:t>
            </w:r>
          </w:p>
        </w:tc>
        <w:tc>
          <w:tcPr>
            <w:tcW w:w="464" w:type="pct"/>
            <w:noWrap/>
          </w:tcPr>
          <w:p w:rsidR="002E508F" w:rsidRDefault="005D0A03">
            <w:pPr>
              <w:jc w:val="center"/>
              <w:rPr>
                <w:rFonts w:ascii="Times New Roman" w:hAnsi="Times New Roman" w:cs="Times New Roman"/>
                <w:noProof/>
                <w:sz w:val="18"/>
                <w:szCs w:val="18"/>
                <w:lang w:eastAsia="en-GB"/>
              </w:rPr>
            </w:pPr>
            <w:r>
              <w:rPr>
                <w:rFonts w:ascii="Times New Roman" w:hAnsi="Times New Roman" w:cs="Times New Roman"/>
                <w:noProof/>
                <w:sz w:val="18"/>
                <w:szCs w:val="18"/>
                <w:lang w:eastAsia="en-GB"/>
              </w:rPr>
              <w:t>6.7</w:t>
            </w:r>
          </w:p>
        </w:tc>
        <w:tc>
          <w:tcPr>
            <w:tcW w:w="462" w:type="pct"/>
          </w:tcPr>
          <w:p w:rsidR="002E508F" w:rsidRDefault="005D0A03">
            <w:pPr>
              <w:jc w:val="center"/>
              <w:rPr>
                <w:rFonts w:ascii="Times New Roman" w:hAnsi="Times New Roman" w:cs="Times New Roman"/>
                <w:noProof/>
                <w:sz w:val="18"/>
                <w:szCs w:val="18"/>
                <w:lang w:eastAsia="en-GB"/>
              </w:rPr>
            </w:pPr>
            <w:r>
              <w:rPr>
                <w:rFonts w:ascii="Times New Roman" w:hAnsi="Times New Roman" w:cs="Times New Roman"/>
                <w:noProof/>
                <w:sz w:val="18"/>
                <w:szCs w:val="18"/>
                <w:lang w:eastAsia="en-GB"/>
              </w:rPr>
              <w:t>-12.4</w:t>
            </w:r>
          </w:p>
        </w:tc>
      </w:tr>
    </w:tbl>
    <w:p w:rsidR="002E508F" w:rsidRDefault="005D0A03">
      <w:pPr>
        <w:spacing w:line="240" w:lineRule="auto"/>
        <w:jc w:val="both"/>
        <w:rPr>
          <w:rFonts w:ascii="Times New Roman" w:hAnsi="Times New Roman" w:cs="Times New Roman"/>
          <w:noProof/>
        </w:rPr>
      </w:pPr>
      <w:r>
        <w:rPr>
          <w:rFonts w:ascii="Times New Roman" w:hAnsi="Times New Roman" w:cs="Times New Roman"/>
          <w:noProof/>
          <w:sz w:val="20"/>
          <w:szCs w:val="20"/>
        </w:rPr>
        <w:t xml:space="preserve">Source: </w:t>
      </w:r>
      <w:r>
        <w:rPr>
          <w:rFonts w:ascii="Times New Roman" w:hAnsi="Times New Roman" w:cs="Times New Roman"/>
          <w:i/>
          <w:noProof/>
          <w:sz w:val="20"/>
          <w:szCs w:val="20"/>
        </w:rPr>
        <w:t>Ricardo (2017) Support Study to the Impact Assessment of the Clean Vehicles Directive</w:t>
      </w:r>
      <w:r>
        <w:rPr>
          <w:rFonts w:ascii="Times New Roman" w:hAnsi="Times New Roman" w:cs="Times New Roman"/>
          <w:noProof/>
          <w:sz w:val="20"/>
          <w:szCs w:val="20"/>
        </w:rPr>
        <w:t xml:space="preserve"> </w:t>
      </w:r>
      <w:r>
        <w:rPr>
          <w:rFonts w:ascii="Times New Roman" w:hAnsi="Times New Roman" w:cs="Times New Roman"/>
          <w:noProof/>
        </w:rPr>
        <w:br/>
      </w:r>
      <w:r>
        <w:rPr>
          <w:rFonts w:ascii="Times New Roman" w:hAnsi="Times New Roman" w:cs="Times New Roman"/>
          <w:noProof/>
        </w:rPr>
        <w:br/>
        <w:t xml:space="preserve">It is expected that vehicle manufacturers will need to invest into production capacity, particularly for low- and zero-emission and other alternatively fuelled buses. However, the revision of the Clean Vehicles Directive should not lead to needs for significant investments into new technologies by manufacturers, with the exception of the market segment of trucks. Under PO4 and PO6, which are most ambitious for this segment, the share of these vehicles is assumed to grow to 15% in PO4a and to 22% in PO4b and PO6 by 2030.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In addition, contractors face administrative cost, particularly in cases of using the monetisation methodology, where vehicle suppliers have to collect additional information to support the calculation. Accordingly, PO2, PO3, PO4 and PO6 are expected to make the procurement procedures easier to follow for contractors and bring about slight administrative cost savings, even in the context of increased cost related due to the extension of the scope of the Directive.</w:t>
      </w:r>
      <w:r>
        <w:rPr>
          <w:rStyle w:val="FootnoteReference"/>
          <w:rFonts w:ascii="Times New Roman" w:hAnsi="Times New Roman" w:cs="Times New Roman"/>
          <w:noProof/>
        </w:rPr>
        <w:footnoteReference w:id="86"/>
      </w:r>
      <w:r>
        <w:rPr>
          <w:rFonts w:ascii="Times New Roman" w:hAnsi="Times New Roman" w:cs="Times New Roman"/>
          <w:noProof/>
        </w:rPr>
        <w:t xml:space="preserve"> In comparison, PO5 is expected to lead to a slight increase in total administrative cost per contract (see table 6.3)</w:t>
      </w:r>
    </w:p>
    <w:p w:rsidR="002E508F" w:rsidRDefault="005D0A03">
      <w:pPr>
        <w:pStyle w:val="Heading3"/>
        <w:rPr>
          <w:noProof/>
        </w:rPr>
      </w:pPr>
      <w:bookmarkStart w:id="50" w:name="_Toc497141505"/>
      <w:r>
        <w:rPr>
          <w:noProof/>
        </w:rPr>
        <w:t>Impact on innovation</w:t>
      </w:r>
      <w:bookmarkEnd w:id="50"/>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Given the limited market share of public procurement in overall sales of passenger cars and vans the Clean Vehicles Directive is not expected to largely impact on innovation in the automotive sector. Innovation in technologies for cars and vans is primarily driven by the CO</w:t>
      </w:r>
      <w:r>
        <w:rPr>
          <w:rFonts w:ascii="Times New Roman" w:hAnsi="Times New Roman" w:cs="Times New Roman"/>
          <w:noProof/>
          <w:vertAlign w:val="subscript"/>
        </w:rPr>
        <w:t>2</w:t>
      </w:r>
      <w:r>
        <w:rPr>
          <w:rFonts w:ascii="Times New Roman" w:hAnsi="Times New Roman" w:cs="Times New Roman"/>
          <w:noProof/>
        </w:rPr>
        <w:t xml:space="preserve"> emission performance standards. Greater scope for influencing the development of new technologies is expected in the market segment of trucks. Given the limited market size, the Clean Vehicles Directive will continue to play a supporting role to other policy levers such as possible CO</w:t>
      </w:r>
      <w:r>
        <w:rPr>
          <w:rFonts w:ascii="Times New Roman" w:hAnsi="Times New Roman" w:cs="Times New Roman"/>
          <w:noProof/>
          <w:vertAlign w:val="subscript"/>
        </w:rPr>
        <w:t>2</w:t>
      </w:r>
      <w:r>
        <w:rPr>
          <w:rFonts w:ascii="Times New Roman" w:hAnsi="Times New Roman" w:cs="Times New Roman"/>
          <w:noProof/>
        </w:rPr>
        <w:t xml:space="preserve"> emission performance standards. However, as a demand-side stimulus it still plays a relevant role for securing a more stable environment for innovation action; and the requirements under the more ambitious policy options particularly will provide a better security for manufacturers to invest.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strongest impact will likely occur in the market segment of urban buses, where demand for low- and zero-emission buses leads to changes of the market share of powertrains and related impacts on production capacities of manufacturers (see annex 9 of this Impact Assessment). Particularly battery-electric and plug-in hybrid vehicles deployment will induce innovation in vehicle and battery technologies, recharging technologies and energy grid system technologies. However, the maturity of these technologies has advanced; many cities are rolling them out or are planning to roll them out.</w:t>
      </w:r>
      <w:r>
        <w:rPr>
          <w:rStyle w:val="FootnoteReference"/>
          <w:rFonts w:ascii="Times New Roman" w:hAnsi="Times New Roman" w:cs="Times New Roman"/>
          <w:noProof/>
        </w:rPr>
        <w:footnoteReference w:id="87"/>
      </w:r>
      <w:r>
        <w:rPr>
          <w:rFonts w:ascii="Times New Roman" w:hAnsi="Times New Roman" w:cs="Times New Roman"/>
          <w:noProof/>
        </w:rPr>
        <w:t xml:space="preserve">  </w:t>
      </w:r>
    </w:p>
    <w:p w:rsidR="002E508F" w:rsidRDefault="005D0A03">
      <w:pPr>
        <w:pStyle w:val="Heading3"/>
        <w:rPr>
          <w:noProof/>
        </w:rPr>
      </w:pPr>
      <w:bookmarkStart w:id="51" w:name="_Toc497141506"/>
      <w:r>
        <w:rPr>
          <w:noProof/>
        </w:rPr>
        <w:t>Impact on SMEs</w:t>
      </w:r>
      <w:bookmarkEnd w:id="51"/>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No area was identified where significant and disproportionate cost for SMEs, in comparison to all enterprises, would result from the changes under the different policy options. SMEs that supply vehicles to the public sector may face greater challenges than larger enterprises – to adapt to demand changes for low- and zero-emission technologies.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SMEs in the rental and leasing business might face greater problems with adapting to meet revised vehicle requirements compared to larger competitors. However, these impacts are considered to be moderate, given that requirements are only introduced by 2025 and the fact that mature technologies in all market areas (except trucks) are already available or will become available (see section 3 and annex 3 of the Impact Assessment Support Study).  </w:t>
      </w:r>
    </w:p>
    <w:p w:rsidR="002E508F" w:rsidRDefault="005D0A03">
      <w:pPr>
        <w:pStyle w:val="Heading2"/>
        <w:rPr>
          <w:noProof/>
        </w:rPr>
      </w:pPr>
      <w:bookmarkStart w:id="52" w:name="_Toc497141507"/>
      <w:r>
        <w:rPr>
          <w:noProof/>
        </w:rPr>
        <w:t>Social impacts</w:t>
      </w:r>
      <w:bookmarkEnd w:id="52"/>
    </w:p>
    <w:p w:rsidR="002E508F" w:rsidRDefault="005D0A03">
      <w:pPr>
        <w:pStyle w:val="Heading3"/>
        <w:rPr>
          <w:noProof/>
        </w:rPr>
      </w:pPr>
      <w:bookmarkStart w:id="53" w:name="_Toc497141508"/>
      <w:r>
        <w:rPr>
          <w:noProof/>
        </w:rPr>
        <w:t>Impacts on employment</w:t>
      </w:r>
      <w:bookmarkEnd w:id="53"/>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policy options are expected to lead to increased revenues from public procurement for vehicle manufacturers and suppliers, due to increased sales of low-and zero-emission vehicles. These are expected to have an overall positive impact on the employment in the sector. Table 6.4 shows estimates, building on EU level data on the average turnover per employee in the motor vehicle sector.</w:t>
      </w:r>
      <w:r>
        <w:rPr>
          <w:rStyle w:val="FootnoteReference"/>
          <w:rFonts w:ascii="Times New Roman" w:hAnsi="Times New Roman" w:cs="Times New Roman"/>
          <w:noProof/>
        </w:rPr>
        <w:footnoteReference w:id="88"/>
      </w:r>
      <w:r>
        <w:rPr>
          <w:rFonts w:ascii="Times New Roman" w:hAnsi="Times New Roman" w:cs="Times New Roman"/>
          <w:noProof/>
        </w:rPr>
        <w:t xml:space="preserve"> PO5, PO6 and PO4b show the highest impacts in terms of additional jobs created, due to the large increase in the low-and zero-emission vehicles procured in these policy options. The analysis of impacts is too coarse to determine specific impacts over specific years, but in line with general studies on the impacts of employment and skills of the workforce in the transport sector due to the electrification of vehicles it can be assumed that positive impacts increase over time. </w:t>
      </w:r>
    </w:p>
    <w:p w:rsidR="002E508F" w:rsidRDefault="005D0A03">
      <w:pPr>
        <w:spacing w:after="0"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Table 6.4 Estimated gross employment effects over period 2020-2035 relative to the baseline</w:t>
      </w:r>
    </w:p>
    <w:tbl>
      <w:tblPr>
        <w:tblStyle w:val="CVD"/>
        <w:tblW w:w="4943" w:type="pct"/>
        <w:tblLayout w:type="fixed"/>
        <w:tblLook w:val="04A0" w:firstRow="1" w:lastRow="0" w:firstColumn="1" w:lastColumn="0" w:noHBand="0" w:noVBand="1"/>
      </w:tblPr>
      <w:tblGrid>
        <w:gridCol w:w="3083"/>
        <w:gridCol w:w="852"/>
        <w:gridCol w:w="707"/>
        <w:gridCol w:w="709"/>
        <w:gridCol w:w="709"/>
        <w:gridCol w:w="852"/>
        <w:gridCol w:w="709"/>
        <w:gridCol w:w="852"/>
        <w:gridCol w:w="707"/>
      </w:tblGrid>
      <w:tr w:rsidR="002E508F" w:rsidTr="002E508F">
        <w:trPr>
          <w:cnfStyle w:val="100000000000" w:firstRow="1" w:lastRow="0" w:firstColumn="0" w:lastColumn="0" w:oddVBand="0" w:evenVBand="0" w:oddHBand="0" w:evenHBand="0" w:firstRowFirstColumn="0" w:firstRowLastColumn="0" w:lastRowFirstColumn="0" w:lastRowLastColumn="0"/>
          <w:trHeight w:val="465"/>
        </w:trPr>
        <w:tc>
          <w:tcPr>
            <w:tcW w:w="1680" w:type="pct"/>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Vehicle type</w:t>
            </w:r>
          </w:p>
        </w:tc>
        <w:tc>
          <w:tcPr>
            <w:tcW w:w="464" w:type="pct"/>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PO1</w:t>
            </w:r>
          </w:p>
        </w:tc>
        <w:tc>
          <w:tcPr>
            <w:tcW w:w="385" w:type="pct"/>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PO2</w:t>
            </w:r>
          </w:p>
        </w:tc>
        <w:tc>
          <w:tcPr>
            <w:tcW w:w="386" w:type="pct"/>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PO3a</w:t>
            </w:r>
          </w:p>
        </w:tc>
        <w:tc>
          <w:tcPr>
            <w:tcW w:w="386" w:type="pct"/>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PO3b</w:t>
            </w:r>
          </w:p>
        </w:tc>
        <w:tc>
          <w:tcPr>
            <w:tcW w:w="464" w:type="pct"/>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PO4a</w:t>
            </w:r>
          </w:p>
        </w:tc>
        <w:tc>
          <w:tcPr>
            <w:tcW w:w="386" w:type="pct"/>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PO4b</w:t>
            </w:r>
          </w:p>
        </w:tc>
        <w:tc>
          <w:tcPr>
            <w:tcW w:w="464" w:type="pct"/>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PO5</w:t>
            </w:r>
          </w:p>
        </w:tc>
        <w:tc>
          <w:tcPr>
            <w:tcW w:w="384" w:type="pct"/>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PO6</w:t>
            </w:r>
          </w:p>
        </w:tc>
      </w:tr>
      <w:tr w:rsidR="002E508F" w:rsidTr="002E508F">
        <w:trPr>
          <w:trHeight w:val="315"/>
        </w:trPr>
        <w:tc>
          <w:tcPr>
            <w:tcW w:w="1680" w:type="pct"/>
            <w:noWrap/>
            <w:hideMark/>
          </w:tcPr>
          <w:p w:rsidR="002E508F" w:rsidRDefault="005D0A03">
            <w:pPr>
              <w:jc w:val="left"/>
              <w:rPr>
                <w:rFonts w:ascii="Times New Roman" w:hAnsi="Times New Roman"/>
                <w:bCs/>
                <w:noProof/>
                <w:color w:val="000000"/>
                <w:sz w:val="18"/>
                <w:szCs w:val="18"/>
                <w:lang w:eastAsia="en-GB"/>
              </w:rPr>
            </w:pPr>
            <w:r>
              <w:rPr>
                <w:rFonts w:ascii="Times New Roman" w:hAnsi="Times New Roman"/>
                <w:bCs/>
                <w:noProof/>
                <w:color w:val="000000"/>
                <w:sz w:val="18"/>
                <w:szCs w:val="18"/>
                <w:lang w:eastAsia="en-GB"/>
              </w:rPr>
              <w:t>Total increase in revenue over 2020-2035 period (million €s)</w:t>
            </w:r>
          </w:p>
        </w:tc>
        <w:tc>
          <w:tcPr>
            <w:tcW w:w="464" w:type="pct"/>
            <w:hideMark/>
          </w:tcPr>
          <w:p w:rsidR="002E508F" w:rsidRDefault="005D0A03">
            <w:pPr>
              <w:rPr>
                <w:rFonts w:ascii="Times New Roman" w:hAnsi="Times New Roman"/>
                <w:noProof/>
                <w:color w:val="000000"/>
                <w:sz w:val="18"/>
                <w:szCs w:val="18"/>
              </w:rPr>
            </w:pPr>
            <w:r>
              <w:rPr>
                <w:rFonts w:ascii="Times New Roman" w:hAnsi="Times New Roman"/>
                <w:bCs/>
                <w:noProof/>
                <w:sz w:val="18"/>
                <w:szCs w:val="18"/>
              </w:rPr>
              <w:t xml:space="preserve">0  </w:t>
            </w:r>
          </w:p>
        </w:tc>
        <w:tc>
          <w:tcPr>
            <w:tcW w:w="385" w:type="pct"/>
            <w:noWrap/>
            <w:hideMark/>
          </w:tcPr>
          <w:p w:rsidR="002E508F" w:rsidRDefault="005D0A03">
            <w:pPr>
              <w:rPr>
                <w:rFonts w:ascii="Times New Roman" w:hAnsi="Times New Roman"/>
                <w:bCs/>
                <w:noProof/>
                <w:color w:val="000000"/>
                <w:sz w:val="18"/>
                <w:szCs w:val="18"/>
                <w:lang w:eastAsia="en-GB"/>
              </w:rPr>
            </w:pPr>
            <w:r>
              <w:rPr>
                <w:rFonts w:ascii="Times New Roman" w:hAnsi="Times New Roman"/>
                <w:bCs/>
                <w:noProof/>
                <w:sz w:val="18"/>
                <w:szCs w:val="18"/>
              </w:rPr>
              <w:t xml:space="preserve">1,300  </w:t>
            </w:r>
          </w:p>
        </w:tc>
        <w:tc>
          <w:tcPr>
            <w:tcW w:w="386" w:type="pct"/>
            <w:noWrap/>
            <w:hideMark/>
          </w:tcPr>
          <w:p w:rsidR="002E508F" w:rsidRDefault="005D0A03">
            <w:pPr>
              <w:rPr>
                <w:rFonts w:ascii="Times New Roman" w:hAnsi="Times New Roman"/>
                <w:bCs/>
                <w:noProof/>
                <w:color w:val="000000"/>
                <w:sz w:val="18"/>
                <w:szCs w:val="18"/>
                <w:lang w:eastAsia="en-GB"/>
              </w:rPr>
            </w:pPr>
            <w:r>
              <w:rPr>
                <w:rFonts w:ascii="Times New Roman" w:hAnsi="Times New Roman"/>
                <w:noProof/>
                <w:color w:val="000000"/>
                <w:sz w:val="18"/>
                <w:szCs w:val="18"/>
              </w:rPr>
              <w:t>1,960</w:t>
            </w:r>
          </w:p>
        </w:tc>
        <w:tc>
          <w:tcPr>
            <w:tcW w:w="386" w:type="pct"/>
            <w:noWrap/>
            <w:hideMark/>
          </w:tcPr>
          <w:p w:rsidR="002E508F" w:rsidRDefault="005D0A03">
            <w:pPr>
              <w:rPr>
                <w:rFonts w:ascii="Times New Roman" w:hAnsi="Times New Roman"/>
                <w:bCs/>
                <w:noProof/>
                <w:color w:val="000000"/>
                <w:sz w:val="18"/>
                <w:szCs w:val="18"/>
                <w:lang w:eastAsia="en-GB"/>
              </w:rPr>
            </w:pPr>
            <w:r>
              <w:rPr>
                <w:rFonts w:ascii="Times New Roman" w:hAnsi="Times New Roman"/>
                <w:noProof/>
                <w:color w:val="000000"/>
                <w:sz w:val="18"/>
                <w:szCs w:val="18"/>
              </w:rPr>
              <w:t>1,790</w:t>
            </w:r>
          </w:p>
        </w:tc>
        <w:tc>
          <w:tcPr>
            <w:tcW w:w="464" w:type="pct"/>
            <w:noWrap/>
            <w:hideMark/>
          </w:tcPr>
          <w:p w:rsidR="002E508F" w:rsidRDefault="005D0A03">
            <w:pPr>
              <w:rPr>
                <w:rFonts w:ascii="Times New Roman" w:hAnsi="Times New Roman"/>
                <w:bCs/>
                <w:noProof/>
                <w:color w:val="000000"/>
                <w:sz w:val="18"/>
                <w:szCs w:val="18"/>
                <w:lang w:eastAsia="en-GB"/>
              </w:rPr>
            </w:pPr>
            <w:r>
              <w:rPr>
                <w:rFonts w:ascii="Times New Roman" w:hAnsi="Times New Roman"/>
                <w:noProof/>
                <w:color w:val="000000"/>
                <w:sz w:val="18"/>
                <w:szCs w:val="18"/>
              </w:rPr>
              <w:t>2,550</w:t>
            </w:r>
          </w:p>
        </w:tc>
        <w:tc>
          <w:tcPr>
            <w:tcW w:w="386" w:type="pct"/>
            <w:noWrap/>
            <w:hideMark/>
          </w:tcPr>
          <w:p w:rsidR="002E508F" w:rsidRDefault="005D0A03">
            <w:pPr>
              <w:rPr>
                <w:rFonts w:ascii="Times New Roman" w:hAnsi="Times New Roman"/>
                <w:bCs/>
                <w:noProof/>
                <w:color w:val="000000"/>
                <w:sz w:val="18"/>
                <w:szCs w:val="18"/>
                <w:lang w:eastAsia="en-GB"/>
              </w:rPr>
            </w:pPr>
            <w:r>
              <w:rPr>
                <w:rFonts w:ascii="Times New Roman" w:hAnsi="Times New Roman"/>
                <w:noProof/>
                <w:color w:val="000000"/>
                <w:sz w:val="18"/>
                <w:szCs w:val="18"/>
              </w:rPr>
              <w:t>4,090</w:t>
            </w:r>
          </w:p>
        </w:tc>
        <w:tc>
          <w:tcPr>
            <w:tcW w:w="464" w:type="pct"/>
            <w:noWrap/>
            <w:hideMark/>
          </w:tcPr>
          <w:p w:rsidR="002E508F" w:rsidRDefault="005D0A03">
            <w:pPr>
              <w:rPr>
                <w:rFonts w:ascii="Times New Roman" w:hAnsi="Times New Roman"/>
                <w:bCs/>
                <w:noProof/>
                <w:color w:val="000000"/>
                <w:sz w:val="18"/>
                <w:szCs w:val="18"/>
                <w:lang w:eastAsia="en-GB"/>
              </w:rPr>
            </w:pPr>
            <w:r>
              <w:rPr>
                <w:rFonts w:ascii="Times New Roman" w:hAnsi="Times New Roman"/>
                <w:noProof/>
                <w:color w:val="000000"/>
                <w:sz w:val="18"/>
                <w:szCs w:val="18"/>
              </w:rPr>
              <w:t>11,030</w:t>
            </w:r>
          </w:p>
        </w:tc>
        <w:tc>
          <w:tcPr>
            <w:tcW w:w="384" w:type="pct"/>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4,190</w:t>
            </w:r>
          </w:p>
        </w:tc>
      </w:tr>
      <w:tr w:rsidR="002E508F" w:rsidTr="002E508F">
        <w:trPr>
          <w:trHeight w:val="315"/>
        </w:trPr>
        <w:tc>
          <w:tcPr>
            <w:tcW w:w="1680" w:type="pct"/>
            <w:noWrap/>
            <w:hideMark/>
          </w:tcPr>
          <w:p w:rsidR="002E508F" w:rsidRDefault="005D0A03">
            <w:pPr>
              <w:jc w:val="left"/>
              <w:rPr>
                <w:rFonts w:ascii="Times New Roman" w:hAnsi="Times New Roman"/>
                <w:bCs/>
                <w:noProof/>
                <w:color w:val="000000"/>
                <w:sz w:val="18"/>
                <w:szCs w:val="18"/>
                <w:lang w:eastAsia="en-GB"/>
              </w:rPr>
            </w:pPr>
            <w:r>
              <w:rPr>
                <w:rFonts w:ascii="Times New Roman" w:hAnsi="Times New Roman"/>
                <w:bCs/>
                <w:noProof/>
                <w:color w:val="000000"/>
                <w:sz w:val="18"/>
                <w:szCs w:val="18"/>
                <w:lang w:eastAsia="en-GB"/>
              </w:rPr>
              <w:t xml:space="preserve">Turnover (million €s) per employee in motor vehicle manufacturing </w:t>
            </w:r>
          </w:p>
        </w:tc>
        <w:tc>
          <w:tcPr>
            <w:tcW w:w="3320" w:type="pct"/>
            <w:gridSpan w:val="8"/>
            <w:hideMark/>
          </w:tcPr>
          <w:p w:rsidR="002E508F" w:rsidRDefault="005D0A03">
            <w:pPr>
              <w:rPr>
                <w:rFonts w:ascii="Times New Roman" w:hAnsi="Times New Roman"/>
                <w:bCs/>
                <w:noProof/>
                <w:color w:val="000000"/>
                <w:sz w:val="18"/>
                <w:szCs w:val="18"/>
                <w:lang w:eastAsia="en-GB"/>
              </w:rPr>
            </w:pPr>
            <w:r>
              <w:rPr>
                <w:rFonts w:ascii="Times New Roman" w:hAnsi="Times New Roman"/>
                <w:bCs/>
                <w:noProof/>
                <w:color w:val="000000"/>
                <w:sz w:val="18"/>
                <w:szCs w:val="18"/>
                <w:lang w:eastAsia="en-GB"/>
              </w:rPr>
              <w:t>0.627</w:t>
            </w:r>
          </w:p>
        </w:tc>
      </w:tr>
      <w:tr w:rsidR="002E508F" w:rsidTr="002E508F">
        <w:trPr>
          <w:trHeight w:val="315"/>
        </w:trPr>
        <w:tc>
          <w:tcPr>
            <w:tcW w:w="1680" w:type="pct"/>
            <w:noWrap/>
            <w:hideMark/>
          </w:tcPr>
          <w:p w:rsidR="002E508F" w:rsidRDefault="005D0A03">
            <w:pPr>
              <w:spacing w:after="0"/>
              <w:jc w:val="left"/>
              <w:rPr>
                <w:rFonts w:ascii="Times New Roman" w:hAnsi="Times New Roman"/>
                <w:bCs/>
                <w:noProof/>
                <w:color w:val="000000"/>
                <w:sz w:val="18"/>
                <w:szCs w:val="18"/>
                <w:lang w:eastAsia="en-GB"/>
              </w:rPr>
            </w:pPr>
            <w:r>
              <w:rPr>
                <w:rFonts w:ascii="Times New Roman" w:hAnsi="Times New Roman"/>
                <w:bCs/>
                <w:noProof/>
                <w:color w:val="000000"/>
                <w:sz w:val="18"/>
                <w:szCs w:val="18"/>
                <w:lang w:eastAsia="en-GB"/>
              </w:rPr>
              <w:t>Additional jobs created</w:t>
            </w:r>
            <w:r>
              <w:rPr>
                <w:rStyle w:val="FootnoteReference"/>
                <w:rFonts w:ascii="Times New Roman" w:hAnsi="Times New Roman"/>
                <w:bCs/>
                <w:noProof/>
                <w:color w:val="000000"/>
                <w:sz w:val="18"/>
                <w:szCs w:val="18"/>
                <w:lang w:eastAsia="en-GB"/>
              </w:rPr>
              <w:footnoteReference w:id="89"/>
            </w:r>
          </w:p>
        </w:tc>
        <w:tc>
          <w:tcPr>
            <w:tcW w:w="464" w:type="pct"/>
            <w:vAlign w:val="top"/>
          </w:tcPr>
          <w:p w:rsidR="002E508F" w:rsidRDefault="005D0A03">
            <w:pPr>
              <w:spacing w:after="0"/>
              <w:rPr>
                <w:rFonts w:ascii="Times New Roman" w:hAnsi="Times New Roman"/>
                <w:noProof/>
                <w:color w:val="000000"/>
                <w:sz w:val="18"/>
                <w:szCs w:val="18"/>
              </w:rPr>
            </w:pPr>
            <w:r>
              <w:rPr>
                <w:rFonts w:ascii="Times New Roman" w:hAnsi="Times New Roman"/>
                <w:noProof/>
                <w:color w:val="000000"/>
                <w:sz w:val="18"/>
                <w:szCs w:val="18"/>
              </w:rPr>
              <w:t>-</w:t>
            </w:r>
          </w:p>
        </w:tc>
        <w:tc>
          <w:tcPr>
            <w:tcW w:w="385" w:type="pct"/>
            <w:noWrap/>
            <w:vAlign w:val="top"/>
          </w:tcPr>
          <w:p w:rsidR="002E508F" w:rsidRDefault="005D0A03">
            <w:pPr>
              <w:spacing w:after="0"/>
              <w:rPr>
                <w:rFonts w:ascii="Times New Roman" w:hAnsi="Times New Roman"/>
                <w:b/>
                <w:bCs/>
                <w:noProof/>
                <w:color w:val="000000"/>
                <w:sz w:val="18"/>
                <w:szCs w:val="18"/>
                <w:lang w:eastAsia="en-GB"/>
              </w:rPr>
            </w:pPr>
            <w:r>
              <w:rPr>
                <w:rFonts w:ascii="Times New Roman" w:hAnsi="Times New Roman"/>
                <w:noProof/>
                <w:color w:val="000000"/>
                <w:sz w:val="18"/>
                <w:szCs w:val="18"/>
              </w:rPr>
              <w:t>2,100</w:t>
            </w:r>
          </w:p>
        </w:tc>
        <w:tc>
          <w:tcPr>
            <w:tcW w:w="386" w:type="pct"/>
            <w:noWrap/>
            <w:vAlign w:val="top"/>
          </w:tcPr>
          <w:p w:rsidR="002E508F" w:rsidRDefault="005D0A03">
            <w:pPr>
              <w:spacing w:after="0"/>
              <w:rPr>
                <w:rFonts w:ascii="Times New Roman" w:hAnsi="Times New Roman"/>
                <w:b/>
                <w:bCs/>
                <w:noProof/>
                <w:color w:val="000000"/>
                <w:sz w:val="18"/>
                <w:szCs w:val="18"/>
                <w:lang w:eastAsia="en-GB"/>
              </w:rPr>
            </w:pPr>
            <w:r>
              <w:rPr>
                <w:rFonts w:ascii="Times New Roman" w:hAnsi="Times New Roman"/>
                <w:noProof/>
                <w:color w:val="000000"/>
                <w:sz w:val="18"/>
                <w:szCs w:val="18"/>
              </w:rPr>
              <w:t>3,100</w:t>
            </w:r>
          </w:p>
        </w:tc>
        <w:tc>
          <w:tcPr>
            <w:tcW w:w="386" w:type="pct"/>
            <w:noWrap/>
            <w:vAlign w:val="top"/>
          </w:tcPr>
          <w:p w:rsidR="002E508F" w:rsidRDefault="005D0A03">
            <w:pPr>
              <w:spacing w:after="0"/>
              <w:rPr>
                <w:rFonts w:ascii="Times New Roman" w:hAnsi="Times New Roman"/>
                <w:b/>
                <w:bCs/>
                <w:noProof/>
                <w:color w:val="000000"/>
                <w:sz w:val="18"/>
                <w:szCs w:val="18"/>
                <w:lang w:eastAsia="en-GB"/>
              </w:rPr>
            </w:pPr>
            <w:r>
              <w:rPr>
                <w:rFonts w:ascii="Times New Roman" w:hAnsi="Times New Roman"/>
                <w:noProof/>
                <w:color w:val="000000"/>
                <w:sz w:val="18"/>
                <w:szCs w:val="18"/>
              </w:rPr>
              <w:t>2,900</w:t>
            </w:r>
          </w:p>
        </w:tc>
        <w:tc>
          <w:tcPr>
            <w:tcW w:w="464" w:type="pct"/>
            <w:noWrap/>
            <w:vAlign w:val="top"/>
          </w:tcPr>
          <w:p w:rsidR="002E508F" w:rsidRDefault="005D0A03">
            <w:pPr>
              <w:spacing w:after="0"/>
              <w:rPr>
                <w:rFonts w:ascii="Times New Roman" w:hAnsi="Times New Roman"/>
                <w:b/>
                <w:bCs/>
                <w:noProof/>
                <w:color w:val="000000"/>
                <w:sz w:val="18"/>
                <w:szCs w:val="18"/>
                <w:lang w:eastAsia="en-GB"/>
              </w:rPr>
            </w:pPr>
            <w:r>
              <w:rPr>
                <w:rFonts w:ascii="Times New Roman" w:hAnsi="Times New Roman"/>
                <w:noProof/>
                <w:color w:val="000000"/>
                <w:sz w:val="18"/>
                <w:szCs w:val="18"/>
              </w:rPr>
              <w:t>4,100</w:t>
            </w:r>
          </w:p>
        </w:tc>
        <w:tc>
          <w:tcPr>
            <w:tcW w:w="386" w:type="pct"/>
            <w:noWrap/>
            <w:vAlign w:val="top"/>
          </w:tcPr>
          <w:p w:rsidR="002E508F" w:rsidRDefault="005D0A03">
            <w:pPr>
              <w:spacing w:after="0"/>
              <w:rPr>
                <w:rFonts w:ascii="Times New Roman" w:hAnsi="Times New Roman"/>
                <w:b/>
                <w:bCs/>
                <w:noProof/>
                <w:color w:val="000000"/>
                <w:sz w:val="18"/>
                <w:szCs w:val="18"/>
                <w:lang w:eastAsia="en-GB"/>
              </w:rPr>
            </w:pPr>
            <w:r>
              <w:rPr>
                <w:rFonts w:ascii="Times New Roman" w:hAnsi="Times New Roman"/>
                <w:noProof/>
                <w:color w:val="000000"/>
                <w:sz w:val="18"/>
                <w:szCs w:val="18"/>
              </w:rPr>
              <w:t>6,500</w:t>
            </w:r>
          </w:p>
        </w:tc>
        <w:tc>
          <w:tcPr>
            <w:tcW w:w="464" w:type="pct"/>
            <w:noWrap/>
            <w:vAlign w:val="top"/>
          </w:tcPr>
          <w:p w:rsidR="002E508F" w:rsidRDefault="005D0A03">
            <w:pPr>
              <w:spacing w:after="0"/>
              <w:rPr>
                <w:rFonts w:ascii="Times New Roman" w:hAnsi="Times New Roman"/>
                <w:b/>
                <w:bCs/>
                <w:noProof/>
                <w:color w:val="000000"/>
                <w:sz w:val="18"/>
                <w:szCs w:val="18"/>
                <w:lang w:eastAsia="en-GB"/>
              </w:rPr>
            </w:pPr>
            <w:r>
              <w:rPr>
                <w:rFonts w:ascii="Times New Roman" w:hAnsi="Times New Roman"/>
                <w:noProof/>
                <w:color w:val="000000"/>
                <w:sz w:val="18"/>
                <w:szCs w:val="18"/>
              </w:rPr>
              <w:t>17,600</w:t>
            </w:r>
          </w:p>
        </w:tc>
        <w:tc>
          <w:tcPr>
            <w:tcW w:w="384" w:type="pct"/>
            <w:vAlign w:val="top"/>
          </w:tcPr>
          <w:p w:rsidR="002E508F" w:rsidRDefault="005D0A03">
            <w:pPr>
              <w:spacing w:after="0"/>
              <w:rPr>
                <w:rFonts w:ascii="Times New Roman" w:hAnsi="Times New Roman"/>
                <w:noProof/>
                <w:color w:val="000000"/>
                <w:sz w:val="18"/>
                <w:szCs w:val="18"/>
              </w:rPr>
            </w:pPr>
            <w:r>
              <w:rPr>
                <w:rFonts w:ascii="Times New Roman" w:hAnsi="Times New Roman"/>
                <w:noProof/>
                <w:color w:val="000000"/>
                <w:sz w:val="18"/>
                <w:szCs w:val="18"/>
              </w:rPr>
              <w:t>6,700</w:t>
            </w:r>
          </w:p>
        </w:tc>
      </w:tr>
    </w:tbl>
    <w:p w:rsidR="002E508F" w:rsidRDefault="005D0A03">
      <w:pPr>
        <w:pStyle w:val="Heading3"/>
        <w:numPr>
          <w:ilvl w:val="0"/>
          <w:numId w:val="0"/>
        </w:numPr>
        <w:spacing w:line="240" w:lineRule="auto"/>
        <w:rPr>
          <w:noProof/>
        </w:rPr>
      </w:pPr>
      <w:bookmarkStart w:id="54" w:name="_Toc497141509"/>
      <w:r>
        <w:rPr>
          <w:noProof/>
          <w:sz w:val="20"/>
          <w:szCs w:val="20"/>
        </w:rPr>
        <w:t xml:space="preserve">Source: </w:t>
      </w:r>
      <w:r>
        <w:rPr>
          <w:i w:val="0"/>
          <w:noProof/>
          <w:sz w:val="20"/>
          <w:szCs w:val="20"/>
        </w:rPr>
        <w:t>Ricardo (2017) Support Study to the Impact Assessment of the Clean Vehicles Directive</w:t>
      </w:r>
      <w:bookmarkEnd w:id="54"/>
      <w:r>
        <w:rPr>
          <w:noProof/>
          <w:sz w:val="20"/>
          <w:szCs w:val="20"/>
        </w:rPr>
        <w:t xml:space="preserve"> </w:t>
      </w:r>
    </w:p>
    <w:p w:rsidR="002E508F" w:rsidRDefault="005D0A03">
      <w:pPr>
        <w:pStyle w:val="Heading3"/>
        <w:rPr>
          <w:noProof/>
        </w:rPr>
      </w:pPr>
      <w:bookmarkStart w:id="55" w:name="_Toc497141510"/>
      <w:r>
        <w:rPr>
          <w:noProof/>
        </w:rPr>
        <w:t>Impacts on public health</w:t>
      </w:r>
      <w:bookmarkEnd w:id="55"/>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All policy options analysed lead to reductions in the emission of harmful air pollutants, particularly NOx (section 6.5.3). These are estimated to have positive, though limited impact on public health. Reflecting net present values of cost savings from reductions in environmental costs, Table 6.5 shows the estimates for the different policy options, relative to the baseline. PO5 stands out in terms of high benefits, which is in line with the expected higher cost. It also shows that PO6 and PO4b are the second-best performing policy options. Moreover, positive impacts on public health are expected from reduction of noise levels, mainly due to the increase in share of zero-emission buses under the different policy options.  </w:t>
      </w:r>
    </w:p>
    <w:p w:rsidR="002E508F" w:rsidRDefault="005D0A03">
      <w:pPr>
        <w:spacing w:after="0" w:line="240" w:lineRule="auto"/>
        <w:jc w:val="both"/>
        <w:rPr>
          <w:rFonts w:ascii="Times New Roman" w:hAnsi="Times New Roman" w:cs="Times New Roman"/>
          <w:noProof/>
        </w:rPr>
      </w:pPr>
      <w:r>
        <w:rPr>
          <w:rFonts w:ascii="Times New Roman" w:hAnsi="Times New Roman" w:cs="Times New Roman"/>
          <w:b/>
          <w:noProof/>
          <w:sz w:val="20"/>
          <w:szCs w:val="20"/>
        </w:rPr>
        <w:t>Table 6.5 Cost savings from reductions in environmental cost compared to the baseline (in € million) – Net present value over the lifetime of the vehicles procured during  2020-2035</w:t>
      </w:r>
    </w:p>
    <w:tbl>
      <w:tblPr>
        <w:tblStyle w:val="CVD"/>
        <w:tblW w:w="4943" w:type="pct"/>
        <w:tblLayout w:type="fixed"/>
        <w:tblLook w:val="04A0" w:firstRow="1" w:lastRow="0" w:firstColumn="1" w:lastColumn="0" w:noHBand="0" w:noVBand="1"/>
      </w:tblPr>
      <w:tblGrid>
        <w:gridCol w:w="2378"/>
        <w:gridCol w:w="852"/>
        <w:gridCol w:w="848"/>
        <w:gridCol w:w="991"/>
        <w:gridCol w:w="852"/>
        <w:gridCol w:w="709"/>
        <w:gridCol w:w="850"/>
        <w:gridCol w:w="852"/>
        <w:gridCol w:w="848"/>
      </w:tblGrid>
      <w:tr w:rsidR="002E508F" w:rsidTr="002E508F">
        <w:trPr>
          <w:cnfStyle w:val="100000000000" w:firstRow="1" w:lastRow="0" w:firstColumn="0" w:lastColumn="0" w:oddVBand="0" w:evenVBand="0" w:oddHBand="0" w:evenHBand="0" w:firstRowFirstColumn="0" w:firstRowLastColumn="0" w:lastRowFirstColumn="0" w:lastRowLastColumn="0"/>
          <w:trHeight w:val="300"/>
        </w:trPr>
        <w:tc>
          <w:tcPr>
            <w:tcW w:w="1295" w:type="pct"/>
          </w:tcPr>
          <w:p w:rsidR="002E508F" w:rsidRDefault="002E508F">
            <w:pPr>
              <w:rPr>
                <w:rFonts w:ascii="Times New Roman" w:hAnsi="Times New Roman"/>
                <w:b/>
                <w:bCs/>
                <w:noProof/>
                <w:sz w:val="18"/>
                <w:szCs w:val="18"/>
                <w:lang w:eastAsia="en-GB"/>
              </w:rPr>
            </w:pPr>
          </w:p>
        </w:tc>
        <w:tc>
          <w:tcPr>
            <w:tcW w:w="464" w:type="pct"/>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PO1</w:t>
            </w:r>
          </w:p>
        </w:tc>
        <w:tc>
          <w:tcPr>
            <w:tcW w:w="462" w:type="pct"/>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PO2</w:t>
            </w:r>
          </w:p>
        </w:tc>
        <w:tc>
          <w:tcPr>
            <w:tcW w:w="540" w:type="pct"/>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PO3a</w:t>
            </w:r>
          </w:p>
        </w:tc>
        <w:tc>
          <w:tcPr>
            <w:tcW w:w="464" w:type="pct"/>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PO3b</w:t>
            </w:r>
          </w:p>
        </w:tc>
        <w:tc>
          <w:tcPr>
            <w:tcW w:w="386" w:type="pct"/>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PO4a</w:t>
            </w:r>
          </w:p>
        </w:tc>
        <w:tc>
          <w:tcPr>
            <w:tcW w:w="463" w:type="pct"/>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PO4b</w:t>
            </w:r>
          </w:p>
        </w:tc>
        <w:tc>
          <w:tcPr>
            <w:tcW w:w="464" w:type="pct"/>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PO5</w:t>
            </w:r>
          </w:p>
        </w:tc>
        <w:tc>
          <w:tcPr>
            <w:tcW w:w="462" w:type="pct"/>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lang w:eastAsia="en-GB"/>
              </w:rPr>
              <w:t>PO6</w:t>
            </w:r>
          </w:p>
        </w:tc>
      </w:tr>
      <w:tr w:rsidR="002E508F" w:rsidTr="002E508F">
        <w:trPr>
          <w:trHeight w:val="170"/>
        </w:trPr>
        <w:tc>
          <w:tcPr>
            <w:tcW w:w="1295" w:type="pct"/>
            <w:noWrap/>
            <w:hideMark/>
          </w:tcPr>
          <w:p w:rsidR="002E508F" w:rsidRDefault="005D0A03">
            <w:pPr>
              <w:spacing w:after="12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Total environmental costs</w:t>
            </w:r>
          </w:p>
        </w:tc>
        <w:tc>
          <w:tcPr>
            <w:tcW w:w="464" w:type="pct"/>
            <w:noWrap/>
            <w:hideMark/>
          </w:tcPr>
          <w:p w:rsidR="002E508F" w:rsidRDefault="005D0A03">
            <w:pPr>
              <w:spacing w:after="120"/>
              <w:jc w:val="left"/>
              <w:rPr>
                <w:rFonts w:ascii="Times New Roman" w:hAnsi="Times New Roman"/>
                <w:b/>
                <w:bCs/>
                <w:noProof/>
                <w:color w:val="000000"/>
                <w:sz w:val="18"/>
                <w:szCs w:val="18"/>
                <w:lang w:eastAsia="en-GB"/>
              </w:rPr>
            </w:pPr>
            <w:r>
              <w:rPr>
                <w:rFonts w:ascii="Times New Roman" w:hAnsi="Times New Roman"/>
                <w:noProof/>
                <w:color w:val="000000"/>
                <w:sz w:val="18"/>
                <w:szCs w:val="18"/>
              </w:rPr>
              <w:t xml:space="preserve">         -        </w:t>
            </w:r>
          </w:p>
        </w:tc>
        <w:tc>
          <w:tcPr>
            <w:tcW w:w="462" w:type="pct"/>
            <w:noWrap/>
            <w:hideMark/>
          </w:tcPr>
          <w:p w:rsidR="002E508F" w:rsidRDefault="005D0A03">
            <w:pPr>
              <w:spacing w:after="120"/>
              <w:jc w:val="right"/>
              <w:rPr>
                <w:rFonts w:ascii="Times New Roman" w:hAnsi="Times New Roman"/>
                <w:b/>
                <w:bCs/>
                <w:noProof/>
                <w:color w:val="000000"/>
                <w:sz w:val="18"/>
                <w:szCs w:val="18"/>
                <w:lang w:eastAsia="en-GB"/>
              </w:rPr>
            </w:pPr>
            <w:r>
              <w:rPr>
                <w:rFonts w:ascii="Times New Roman" w:hAnsi="Times New Roman"/>
                <w:noProof/>
                <w:color w:val="000000"/>
                <w:sz w:val="18"/>
                <w:szCs w:val="18"/>
              </w:rPr>
              <w:t>-850</w:t>
            </w:r>
          </w:p>
        </w:tc>
        <w:tc>
          <w:tcPr>
            <w:tcW w:w="540" w:type="pct"/>
            <w:noWrap/>
            <w:hideMark/>
          </w:tcPr>
          <w:p w:rsidR="002E508F" w:rsidRDefault="005D0A03">
            <w:pPr>
              <w:spacing w:after="120"/>
              <w:jc w:val="right"/>
              <w:rPr>
                <w:rFonts w:ascii="Times New Roman" w:hAnsi="Times New Roman"/>
                <w:b/>
                <w:bCs/>
                <w:noProof/>
                <w:color w:val="000000"/>
                <w:sz w:val="18"/>
                <w:szCs w:val="18"/>
                <w:lang w:eastAsia="en-GB"/>
              </w:rPr>
            </w:pPr>
            <w:r>
              <w:rPr>
                <w:rFonts w:ascii="Times New Roman" w:hAnsi="Times New Roman"/>
                <w:noProof/>
                <w:color w:val="000000"/>
                <w:sz w:val="18"/>
                <w:szCs w:val="18"/>
              </w:rPr>
              <w:t>-640</w:t>
            </w:r>
          </w:p>
        </w:tc>
        <w:tc>
          <w:tcPr>
            <w:tcW w:w="464" w:type="pct"/>
            <w:noWrap/>
            <w:hideMark/>
          </w:tcPr>
          <w:p w:rsidR="002E508F" w:rsidRDefault="005D0A03">
            <w:pPr>
              <w:spacing w:after="120"/>
              <w:jc w:val="right"/>
              <w:rPr>
                <w:rFonts w:ascii="Times New Roman" w:hAnsi="Times New Roman"/>
                <w:b/>
                <w:bCs/>
                <w:noProof/>
                <w:color w:val="000000"/>
                <w:sz w:val="18"/>
                <w:szCs w:val="18"/>
                <w:lang w:eastAsia="en-GB"/>
              </w:rPr>
            </w:pPr>
            <w:r>
              <w:rPr>
                <w:rFonts w:ascii="Times New Roman" w:hAnsi="Times New Roman"/>
                <w:noProof/>
                <w:color w:val="000000"/>
                <w:sz w:val="18"/>
                <w:szCs w:val="18"/>
              </w:rPr>
              <w:t>-650</w:t>
            </w:r>
          </w:p>
        </w:tc>
        <w:tc>
          <w:tcPr>
            <w:tcW w:w="386" w:type="pct"/>
            <w:noWrap/>
            <w:hideMark/>
          </w:tcPr>
          <w:p w:rsidR="002E508F" w:rsidRDefault="005D0A03">
            <w:pPr>
              <w:spacing w:after="120"/>
              <w:jc w:val="right"/>
              <w:rPr>
                <w:rFonts w:ascii="Times New Roman" w:hAnsi="Times New Roman"/>
                <w:b/>
                <w:bCs/>
                <w:noProof/>
                <w:color w:val="000000"/>
                <w:sz w:val="18"/>
                <w:szCs w:val="18"/>
                <w:lang w:eastAsia="en-GB"/>
              </w:rPr>
            </w:pPr>
            <w:r>
              <w:rPr>
                <w:rFonts w:ascii="Times New Roman" w:hAnsi="Times New Roman"/>
                <w:noProof/>
                <w:color w:val="000000"/>
                <w:sz w:val="18"/>
                <w:szCs w:val="18"/>
              </w:rPr>
              <w:t>-1,310</w:t>
            </w:r>
          </w:p>
        </w:tc>
        <w:tc>
          <w:tcPr>
            <w:tcW w:w="463" w:type="pct"/>
            <w:noWrap/>
            <w:hideMark/>
          </w:tcPr>
          <w:p w:rsidR="002E508F" w:rsidRDefault="005D0A03">
            <w:pPr>
              <w:spacing w:after="120"/>
              <w:jc w:val="right"/>
              <w:rPr>
                <w:rFonts w:ascii="Times New Roman" w:hAnsi="Times New Roman"/>
                <w:b/>
                <w:bCs/>
                <w:noProof/>
                <w:color w:val="000000"/>
                <w:sz w:val="18"/>
                <w:szCs w:val="18"/>
                <w:lang w:eastAsia="en-GB"/>
              </w:rPr>
            </w:pPr>
            <w:r>
              <w:rPr>
                <w:rFonts w:ascii="Times New Roman" w:hAnsi="Times New Roman"/>
                <w:noProof/>
                <w:color w:val="000000"/>
                <w:sz w:val="18"/>
                <w:szCs w:val="18"/>
              </w:rPr>
              <w:t>-2,190</w:t>
            </w:r>
          </w:p>
        </w:tc>
        <w:tc>
          <w:tcPr>
            <w:tcW w:w="464" w:type="pct"/>
            <w:noWrap/>
            <w:hideMark/>
          </w:tcPr>
          <w:p w:rsidR="002E508F" w:rsidRDefault="005D0A03">
            <w:pPr>
              <w:spacing w:after="120"/>
              <w:jc w:val="right"/>
              <w:rPr>
                <w:rFonts w:ascii="Times New Roman" w:hAnsi="Times New Roman"/>
                <w:b/>
                <w:bCs/>
                <w:noProof/>
                <w:color w:val="000000"/>
                <w:sz w:val="18"/>
                <w:szCs w:val="18"/>
                <w:lang w:eastAsia="en-GB"/>
              </w:rPr>
            </w:pPr>
            <w:r>
              <w:rPr>
                <w:rFonts w:ascii="Times New Roman" w:hAnsi="Times New Roman"/>
                <w:noProof/>
                <w:color w:val="000000"/>
                <w:sz w:val="18"/>
                <w:szCs w:val="18"/>
              </w:rPr>
              <w:t>-8,870</w:t>
            </w:r>
          </w:p>
        </w:tc>
        <w:tc>
          <w:tcPr>
            <w:tcW w:w="462" w:type="pct"/>
          </w:tcPr>
          <w:p w:rsidR="002E508F" w:rsidRDefault="005D0A03">
            <w:pPr>
              <w:spacing w:after="120"/>
              <w:jc w:val="right"/>
              <w:rPr>
                <w:rFonts w:ascii="Times New Roman" w:hAnsi="Times New Roman"/>
                <w:noProof/>
                <w:color w:val="000000"/>
                <w:sz w:val="18"/>
                <w:szCs w:val="18"/>
              </w:rPr>
            </w:pPr>
            <w:r>
              <w:rPr>
                <w:rFonts w:ascii="Times New Roman" w:hAnsi="Times New Roman"/>
                <w:noProof/>
                <w:color w:val="000000"/>
                <w:sz w:val="18"/>
                <w:szCs w:val="18"/>
              </w:rPr>
              <w:t>-2,240</w:t>
            </w:r>
          </w:p>
        </w:tc>
      </w:tr>
    </w:tbl>
    <w:p w:rsidR="002E508F" w:rsidRDefault="005D0A03">
      <w:pPr>
        <w:pStyle w:val="Heading3"/>
        <w:numPr>
          <w:ilvl w:val="0"/>
          <w:numId w:val="0"/>
        </w:numPr>
        <w:rPr>
          <w:noProof/>
        </w:rPr>
      </w:pPr>
      <w:bookmarkStart w:id="56" w:name="_Toc497141511"/>
      <w:r>
        <w:rPr>
          <w:noProof/>
          <w:sz w:val="20"/>
          <w:szCs w:val="20"/>
        </w:rPr>
        <w:t xml:space="preserve">Source: </w:t>
      </w:r>
      <w:r>
        <w:rPr>
          <w:i w:val="0"/>
          <w:noProof/>
          <w:sz w:val="20"/>
          <w:szCs w:val="20"/>
        </w:rPr>
        <w:t>Ricardo (2017) Support Study to the Impact Assessment of the Clean Vehicles Directive</w:t>
      </w:r>
      <w:bookmarkEnd w:id="56"/>
      <w:r>
        <w:rPr>
          <w:noProof/>
          <w:sz w:val="20"/>
          <w:szCs w:val="20"/>
        </w:rPr>
        <w:t xml:space="preserve"> </w:t>
      </w:r>
    </w:p>
    <w:p w:rsidR="002E508F" w:rsidRDefault="005D0A03">
      <w:pPr>
        <w:pStyle w:val="Heading3"/>
        <w:rPr>
          <w:noProof/>
        </w:rPr>
      </w:pPr>
      <w:bookmarkStart w:id="57" w:name="_Toc497141512"/>
      <w:r>
        <w:rPr>
          <w:noProof/>
        </w:rPr>
        <w:t>Distributional impacts and equal treatment of citizens</w:t>
      </w:r>
      <w:bookmarkEnd w:id="57"/>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Distributional effects could arise, following potential implications of the options on the cost of particularly public passenger transport. Increased upfront procurement cost of low- and zero-emission vehicles could potentially impact on users of public transport in form of increased ticket prices or a reduced offer of services (e.g. frequency of buses serving bus routes). Increased cost might also lead to a slower replacement rate of older vehicles and in the longer term to a higher default rate.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On the other hand, users of public transport can also benefit from the procurement of those vehicles. Benefits include not only a more comfortable ride with less noise exposure, but also the possibility of opening up new bus routes in areas where access with conventionally fuelled vehicles was not possible (e.g. indoor bus stops in large public buildings) and hence increasing the service offer. The impact also depends on the concrete context of use for the vehicle under consideration.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possibility of increases in price/cost of accessibility is more likely in the most ambitious PO5, compared to other policy options PO3a and b, PO4a and b, and PO6. It is expected that the most vulnerable user groups are protected on the basis of existing subsidy policies. Current practice of fleet transition in cities and regions is not strongly pointing to such problem. There is no evidence available that the principle of equal treatment of citizens (i.e. principle of non-discrimination of individual citizens) would be in any way affected by the policy options analysed. </w:t>
      </w:r>
    </w:p>
    <w:p w:rsidR="002E508F" w:rsidRDefault="005D0A03">
      <w:pPr>
        <w:pStyle w:val="Heading3"/>
        <w:rPr>
          <w:noProof/>
        </w:rPr>
      </w:pPr>
      <w:bookmarkStart w:id="58" w:name="_Toc497141513"/>
      <w:r>
        <w:rPr>
          <w:noProof/>
        </w:rPr>
        <w:t>Territorial impacts</w:t>
      </w:r>
      <w:bookmarkEnd w:id="58"/>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In line with the Better Regulation guidelines, a Territorial Impact Assessment Workshop took place on May 11</w:t>
      </w:r>
      <w:r>
        <w:rPr>
          <w:rFonts w:ascii="Times New Roman" w:hAnsi="Times New Roman" w:cs="Times New Roman"/>
          <w:noProof/>
          <w:vertAlign w:val="superscript"/>
        </w:rPr>
        <w:t>th</w:t>
      </w:r>
      <w:r>
        <w:rPr>
          <w:rFonts w:ascii="Times New Roman" w:hAnsi="Times New Roman" w:cs="Times New Roman"/>
          <w:noProof/>
        </w:rPr>
        <w:t xml:space="preserve"> 2017. It brought together 20 representatives of public authorities and general interest organisations (Annex 10 of the Impact Assessment Report provides a full account of the workshop). Workshop participants concluded that the policy options should, overall, have positive effects with no specific territories expected to be particularly affected. In particularly they concluded: </w:t>
      </w:r>
    </w:p>
    <w:p w:rsidR="002E508F" w:rsidRDefault="005D0A03">
      <w:pPr>
        <w:pStyle w:val="EBP1"/>
        <w:numPr>
          <w:ilvl w:val="0"/>
          <w:numId w:val="26"/>
        </w:numPr>
        <w:tabs>
          <w:tab w:val="left" w:pos="0"/>
        </w:tabs>
        <w:spacing w:after="200" w:line="240" w:lineRule="auto"/>
        <w:contextualSpacing w:val="0"/>
        <w:rPr>
          <w:rFonts w:ascii="Times New Roman" w:hAnsi="Times New Roman" w:cs="Times New Roman"/>
          <w:bCs/>
          <w:noProof/>
          <w:sz w:val="22"/>
          <w:szCs w:val="22"/>
        </w:rPr>
      </w:pPr>
      <w:r>
        <w:rPr>
          <w:rFonts w:ascii="Times New Roman" w:hAnsi="Times New Roman" w:cs="Times New Roman"/>
          <w:noProof/>
          <w:sz w:val="22"/>
          <w:szCs w:val="22"/>
        </w:rPr>
        <w:t xml:space="preserve">Effects are expected to be </w:t>
      </w:r>
      <w:r>
        <w:rPr>
          <w:rFonts w:ascii="Times New Roman" w:hAnsi="Times New Roman" w:cs="Times New Roman"/>
          <w:bCs/>
          <w:noProof/>
          <w:sz w:val="22"/>
          <w:szCs w:val="22"/>
        </w:rPr>
        <w:t>distributed quite equally throughout the European regions</w:t>
      </w:r>
      <w:r>
        <w:rPr>
          <w:rFonts w:ascii="Times New Roman" w:hAnsi="Times New Roman" w:cs="Times New Roman"/>
          <w:noProof/>
          <w:sz w:val="22"/>
          <w:szCs w:val="22"/>
        </w:rPr>
        <w:t>, when considering the impact on CO</w:t>
      </w:r>
      <w:r>
        <w:rPr>
          <w:rFonts w:ascii="Times New Roman" w:hAnsi="Times New Roman" w:cs="Times New Roman"/>
          <w:noProof/>
          <w:sz w:val="22"/>
          <w:szCs w:val="22"/>
          <w:vertAlign w:val="subscript"/>
        </w:rPr>
        <w:t>2</w:t>
      </w:r>
      <w:r>
        <w:rPr>
          <w:rFonts w:ascii="Times New Roman" w:hAnsi="Times New Roman" w:cs="Times New Roman"/>
          <w:noProof/>
          <w:sz w:val="22"/>
          <w:szCs w:val="22"/>
        </w:rPr>
        <w:t xml:space="preserve"> emissions, PM10 emissions or R&amp;D climate impacts. Concerning these aspects </w:t>
      </w:r>
      <w:r>
        <w:rPr>
          <w:rFonts w:ascii="Times New Roman" w:hAnsi="Times New Roman" w:cs="Times New Roman"/>
          <w:bCs/>
          <w:noProof/>
          <w:sz w:val="22"/>
          <w:szCs w:val="22"/>
        </w:rPr>
        <w:t>no strong regional distinction would be expected.</w:t>
      </w:r>
    </w:p>
    <w:p w:rsidR="002E508F" w:rsidRDefault="005D0A03">
      <w:pPr>
        <w:pStyle w:val="EBP1"/>
        <w:numPr>
          <w:ilvl w:val="0"/>
          <w:numId w:val="33"/>
        </w:numPr>
        <w:tabs>
          <w:tab w:val="left" w:pos="720"/>
        </w:tabs>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U</w:t>
      </w:r>
      <w:r>
        <w:rPr>
          <w:rFonts w:ascii="Times New Roman" w:hAnsi="Times New Roman" w:cs="Times New Roman"/>
          <w:bCs/>
          <w:noProof/>
          <w:sz w:val="22"/>
          <w:szCs w:val="22"/>
        </w:rPr>
        <w:t xml:space="preserve">rban regions will benefit most from environmental benefits of the revision. </w:t>
      </w:r>
      <w:r>
        <w:rPr>
          <w:rFonts w:ascii="Times New Roman" w:hAnsi="Times New Roman" w:cs="Times New Roman"/>
          <w:noProof/>
          <w:sz w:val="22"/>
          <w:szCs w:val="22"/>
        </w:rPr>
        <w:t>This can be observed by the effects on the air pollutants NO</w:t>
      </w:r>
      <w:r>
        <w:rPr>
          <w:rFonts w:ascii="Times New Roman" w:hAnsi="Times New Roman" w:cs="Times New Roman"/>
          <w:noProof/>
          <w:sz w:val="22"/>
          <w:szCs w:val="22"/>
          <w:vertAlign w:val="subscript"/>
        </w:rPr>
        <w:t>X</w:t>
      </w:r>
      <w:r>
        <w:rPr>
          <w:rFonts w:ascii="Times New Roman" w:hAnsi="Times New Roman" w:cs="Times New Roman"/>
          <w:noProof/>
          <w:sz w:val="22"/>
          <w:szCs w:val="22"/>
        </w:rPr>
        <w:t xml:space="preserve"> and – to a slighter extent – PM10.</w:t>
      </w:r>
    </w:p>
    <w:p w:rsidR="002E508F" w:rsidRDefault="005D0A03">
      <w:pPr>
        <w:pStyle w:val="EBP1"/>
        <w:numPr>
          <w:ilvl w:val="0"/>
          <w:numId w:val="33"/>
        </w:numPr>
        <w:tabs>
          <w:tab w:val="left" w:pos="720"/>
        </w:tabs>
        <w:spacing w:after="200" w:line="240" w:lineRule="auto"/>
        <w:ind w:left="709" w:hanging="357"/>
        <w:contextualSpacing w:val="0"/>
        <w:rPr>
          <w:rFonts w:ascii="Times New Roman" w:hAnsi="Times New Roman" w:cs="Times New Roman"/>
          <w:bCs/>
          <w:noProof/>
          <w:sz w:val="22"/>
          <w:szCs w:val="22"/>
        </w:rPr>
      </w:pPr>
      <w:r>
        <w:rPr>
          <w:rFonts w:ascii="Times New Roman" w:hAnsi="Times New Roman" w:cs="Times New Roman"/>
          <w:noProof/>
          <w:sz w:val="22"/>
          <w:szCs w:val="22"/>
        </w:rPr>
        <w:t xml:space="preserve">An effective implementation of the revised Clean Vehicles Directive would contribute to establish better procurement procedures. </w:t>
      </w:r>
      <w:r>
        <w:rPr>
          <w:rFonts w:ascii="Times New Roman" w:hAnsi="Times New Roman" w:cs="Times New Roman"/>
          <w:bCs/>
          <w:noProof/>
          <w:sz w:val="22"/>
          <w:szCs w:val="22"/>
        </w:rPr>
        <w:t xml:space="preserve">This could support especially Eastern European regions in Latvia, Lithuania, Poland, Romania and Bulgaria as well as Italian and Greek regions and some Spanish regions in terms of effectiveness of procurement procedures.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Workshop participants concluded that the adoption of a clear definition of clean vehicles could support public bodies in the procurement of related vehicles and support the implementation of the Directive.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In that respect, workshop participants noted the advantages of PO3, PO4 and PO6. Workshop participants also highlighted the relevance of setting a right level of ambition: setting the level of ambition too high would cause prohibitive cost or non-compliance. Setting the level of ambition too low would risk continuing the current shortcomings of the Directive.  </w:t>
      </w:r>
    </w:p>
    <w:p w:rsidR="002E508F" w:rsidRDefault="005D0A03">
      <w:pPr>
        <w:pStyle w:val="Heading2"/>
        <w:rPr>
          <w:noProof/>
        </w:rPr>
      </w:pPr>
      <w:bookmarkStart w:id="59" w:name="_Toc497141514"/>
      <w:r>
        <w:rPr>
          <w:noProof/>
        </w:rPr>
        <w:t>Environmental impacts</w:t>
      </w:r>
      <w:bookmarkEnd w:id="59"/>
    </w:p>
    <w:p w:rsidR="002E508F" w:rsidRDefault="005D0A03">
      <w:pPr>
        <w:pStyle w:val="Heading3"/>
        <w:rPr>
          <w:noProof/>
        </w:rPr>
      </w:pPr>
      <w:bookmarkStart w:id="60" w:name="_Toc497141515"/>
      <w:r>
        <w:rPr>
          <w:noProof/>
        </w:rPr>
        <w:t>CO</w:t>
      </w:r>
      <w:r>
        <w:rPr>
          <w:noProof/>
          <w:vertAlign w:val="subscript"/>
        </w:rPr>
        <w:t>2</w:t>
      </w:r>
      <w:r>
        <w:rPr>
          <w:noProof/>
        </w:rPr>
        <w:t xml:space="preserve"> emissions</w:t>
      </w:r>
      <w:bookmarkEnd w:id="60"/>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impacts of policy options on CO</w:t>
      </w:r>
      <w:r>
        <w:rPr>
          <w:rFonts w:ascii="Times New Roman" w:hAnsi="Times New Roman" w:cs="Times New Roman"/>
          <w:noProof/>
          <w:vertAlign w:val="subscript"/>
        </w:rPr>
        <w:t>2</w:t>
      </w:r>
      <w:r>
        <w:rPr>
          <w:rFonts w:ascii="Times New Roman" w:hAnsi="Times New Roman" w:cs="Times New Roman"/>
          <w:noProof/>
        </w:rPr>
        <w:t xml:space="preserve"> emissions depend on changes in the share of low- and zero-emission vehicles in the publicly procured fleet. Table 6.6 shows the estimated cumulative impacts of the policy options over the lifetime of the vehicles procured during 2020-2035</w:t>
      </w:r>
      <w:r>
        <w:rPr>
          <w:rStyle w:val="FootnoteReference"/>
          <w:rFonts w:ascii="Times New Roman" w:hAnsi="Times New Roman" w:cs="Times New Roman"/>
          <w:noProof/>
        </w:rPr>
        <w:footnoteReference w:id="90"/>
      </w:r>
      <w:r>
        <w:rPr>
          <w:rFonts w:ascii="Times New Roman" w:hAnsi="Times New Roman" w:cs="Times New Roman"/>
          <w:noProof/>
        </w:rPr>
        <w:t>. All options lead to emission reductions and related cost savings compared to the baseline. PO5 delivers by far the highest reduction (-61% relative to the baseline) in the CO</w:t>
      </w:r>
      <w:r>
        <w:rPr>
          <w:rFonts w:ascii="Times New Roman" w:hAnsi="Times New Roman" w:cs="Times New Roman"/>
          <w:noProof/>
          <w:vertAlign w:val="subscript"/>
        </w:rPr>
        <w:t>2</w:t>
      </w:r>
      <w:r>
        <w:rPr>
          <w:rFonts w:ascii="Times New Roman" w:hAnsi="Times New Roman" w:cs="Times New Roman"/>
          <w:noProof/>
        </w:rPr>
        <w:t xml:space="preserve"> emissions from publicly procured vehicles due to the large share of zero-emission vehicles procured, followed by PO6 and PO4b (17% reduction). Monetising the CO</w:t>
      </w:r>
      <w:r>
        <w:rPr>
          <w:rFonts w:ascii="Times New Roman" w:hAnsi="Times New Roman" w:cs="Times New Roman"/>
          <w:noProof/>
          <w:vertAlign w:val="subscript"/>
        </w:rPr>
        <w:t>2</w:t>
      </w:r>
      <w:r>
        <w:rPr>
          <w:rFonts w:ascii="Times New Roman" w:hAnsi="Times New Roman" w:cs="Times New Roman"/>
          <w:noProof/>
        </w:rPr>
        <w:t xml:space="preserve"> emissions reductions, this translates into almost € 8.3 billion of external costs savings in PO5 over the lifetime of the vehicles procured in 2020-2035, expressed as present value. </w:t>
      </w:r>
    </w:p>
    <w:p w:rsidR="002E508F" w:rsidRDefault="005D0A03">
      <w:pPr>
        <w:spacing w:line="240" w:lineRule="auto"/>
        <w:jc w:val="both"/>
        <w:rPr>
          <w:rFonts w:ascii="Times New Roman" w:hAnsi="Times New Roman" w:cs="Times New Roman"/>
          <w:b/>
          <w:noProof/>
          <w:sz w:val="20"/>
          <w:szCs w:val="20"/>
        </w:rPr>
      </w:pPr>
      <w:bookmarkStart w:id="61" w:name="_Toc485829445"/>
      <w:r>
        <w:rPr>
          <w:rFonts w:ascii="Times New Roman" w:hAnsi="Times New Roman" w:cs="Times New Roman"/>
          <w:b/>
          <w:noProof/>
          <w:sz w:val="20"/>
          <w:szCs w:val="20"/>
        </w:rPr>
        <w:t>Table 6.6 Cumulative impacts on CO</w:t>
      </w:r>
      <w:r>
        <w:rPr>
          <w:rFonts w:ascii="Times New Roman" w:hAnsi="Times New Roman" w:cs="Times New Roman"/>
          <w:b/>
          <w:noProof/>
          <w:sz w:val="20"/>
          <w:szCs w:val="20"/>
          <w:vertAlign w:val="subscript"/>
        </w:rPr>
        <w:t>2</w:t>
      </w:r>
      <w:r>
        <w:rPr>
          <w:rFonts w:ascii="Times New Roman" w:hAnsi="Times New Roman" w:cs="Times New Roman"/>
          <w:b/>
          <w:noProof/>
          <w:sz w:val="20"/>
          <w:szCs w:val="20"/>
        </w:rPr>
        <w:t xml:space="preserve"> emissions and costs of policy options in comparison to the baseline  - estimated effects over the lifetime of the vehicles procured during 2020-2035</w:t>
      </w:r>
      <w:bookmarkEnd w:id="61"/>
      <w:r>
        <w:rPr>
          <w:rFonts w:ascii="Times New Roman" w:hAnsi="Times New Roman" w:cs="Times New Roman"/>
          <w:b/>
          <w:noProof/>
          <w:sz w:val="20"/>
          <w:szCs w:val="20"/>
        </w:rPr>
        <w:t xml:space="preserve"> in thousand tonnes CO2 and % change </w:t>
      </w:r>
    </w:p>
    <w:tbl>
      <w:tblPr>
        <w:tblStyle w:val="CVD"/>
        <w:tblW w:w="0" w:type="auto"/>
        <w:tblLayout w:type="fixed"/>
        <w:tblLook w:val="04A0" w:firstRow="1" w:lastRow="0" w:firstColumn="1" w:lastColumn="0" w:noHBand="0" w:noVBand="1"/>
      </w:tblPr>
      <w:tblGrid>
        <w:gridCol w:w="1101"/>
        <w:gridCol w:w="992"/>
        <w:gridCol w:w="850"/>
        <w:gridCol w:w="851"/>
        <w:gridCol w:w="850"/>
        <w:gridCol w:w="873"/>
        <w:gridCol w:w="970"/>
        <w:gridCol w:w="975"/>
        <w:gridCol w:w="868"/>
        <w:gridCol w:w="850"/>
      </w:tblGrid>
      <w:tr w:rsidR="002E508F" w:rsidTr="002E508F">
        <w:trPr>
          <w:cnfStyle w:val="100000000000" w:firstRow="1" w:lastRow="0" w:firstColumn="0" w:lastColumn="0" w:oddVBand="0" w:evenVBand="0" w:oddHBand="0" w:evenHBand="0" w:firstRowFirstColumn="0" w:firstRowLastColumn="0" w:lastRowFirstColumn="0" w:lastRowLastColumn="0"/>
          <w:trHeight w:val="300"/>
          <w:tblHeader/>
        </w:trPr>
        <w:tc>
          <w:tcPr>
            <w:tcW w:w="1101" w:type="dxa"/>
          </w:tcPr>
          <w:p w:rsidR="002E508F" w:rsidRDefault="002E508F">
            <w:pPr>
              <w:rPr>
                <w:rFonts w:ascii="Times New Roman" w:hAnsi="Times New Roman"/>
                <w:b/>
                <w:bCs/>
                <w:noProof/>
                <w:sz w:val="18"/>
                <w:szCs w:val="18"/>
                <w:lang w:eastAsia="en-GB"/>
              </w:rPr>
            </w:pPr>
          </w:p>
        </w:tc>
        <w:tc>
          <w:tcPr>
            <w:tcW w:w="992" w:type="dxa"/>
          </w:tcPr>
          <w:p w:rsidR="002E508F" w:rsidRDefault="005D0A03">
            <w:pPr>
              <w:rPr>
                <w:rFonts w:ascii="Times New Roman" w:hAnsi="Times New Roman"/>
                <w:b/>
                <w:bCs/>
                <w:noProof/>
                <w:sz w:val="18"/>
                <w:szCs w:val="18"/>
              </w:rPr>
            </w:pPr>
            <w:r>
              <w:rPr>
                <w:rFonts w:ascii="Times New Roman" w:hAnsi="Times New Roman"/>
                <w:b/>
                <w:bCs/>
                <w:noProof/>
                <w:sz w:val="18"/>
                <w:szCs w:val="18"/>
              </w:rPr>
              <w:t>Baseline</w:t>
            </w:r>
          </w:p>
        </w:tc>
        <w:tc>
          <w:tcPr>
            <w:tcW w:w="850" w:type="dxa"/>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rPr>
              <w:t>PO1</w:t>
            </w:r>
          </w:p>
        </w:tc>
        <w:tc>
          <w:tcPr>
            <w:tcW w:w="851" w:type="dxa"/>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rPr>
              <w:t>PO2</w:t>
            </w:r>
          </w:p>
        </w:tc>
        <w:tc>
          <w:tcPr>
            <w:tcW w:w="850" w:type="dxa"/>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rPr>
              <w:t>PO3a</w:t>
            </w:r>
          </w:p>
        </w:tc>
        <w:tc>
          <w:tcPr>
            <w:tcW w:w="873" w:type="dxa"/>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rPr>
              <w:t>PO3b</w:t>
            </w:r>
          </w:p>
        </w:tc>
        <w:tc>
          <w:tcPr>
            <w:tcW w:w="970" w:type="dxa"/>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rPr>
              <w:t>PO4a</w:t>
            </w:r>
          </w:p>
        </w:tc>
        <w:tc>
          <w:tcPr>
            <w:tcW w:w="975" w:type="dxa"/>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rPr>
              <w:t>PO4b</w:t>
            </w:r>
          </w:p>
        </w:tc>
        <w:tc>
          <w:tcPr>
            <w:tcW w:w="868" w:type="dxa"/>
            <w:noWrap/>
            <w:hideMark/>
          </w:tcPr>
          <w:p w:rsidR="002E508F" w:rsidRDefault="005D0A03">
            <w:pPr>
              <w:rPr>
                <w:rFonts w:ascii="Times New Roman" w:hAnsi="Times New Roman"/>
                <w:b/>
                <w:bCs/>
                <w:noProof/>
                <w:sz w:val="18"/>
                <w:szCs w:val="18"/>
                <w:lang w:eastAsia="en-GB"/>
              </w:rPr>
            </w:pPr>
            <w:r>
              <w:rPr>
                <w:rFonts w:ascii="Times New Roman" w:hAnsi="Times New Roman"/>
                <w:b/>
                <w:bCs/>
                <w:noProof/>
                <w:sz w:val="18"/>
                <w:szCs w:val="18"/>
              </w:rPr>
              <w:t>PO5</w:t>
            </w:r>
          </w:p>
        </w:tc>
        <w:tc>
          <w:tcPr>
            <w:tcW w:w="850" w:type="dxa"/>
          </w:tcPr>
          <w:p w:rsidR="002E508F" w:rsidRDefault="005D0A03">
            <w:pPr>
              <w:rPr>
                <w:rFonts w:ascii="Times New Roman" w:hAnsi="Times New Roman"/>
                <w:b/>
                <w:bCs/>
                <w:noProof/>
                <w:sz w:val="18"/>
                <w:szCs w:val="18"/>
              </w:rPr>
            </w:pPr>
            <w:r>
              <w:rPr>
                <w:rFonts w:ascii="Times New Roman" w:hAnsi="Times New Roman"/>
                <w:b/>
                <w:bCs/>
                <w:noProof/>
                <w:sz w:val="18"/>
                <w:szCs w:val="18"/>
              </w:rPr>
              <w:t>PO6</w:t>
            </w:r>
          </w:p>
        </w:tc>
      </w:tr>
      <w:tr w:rsidR="002E508F" w:rsidTr="002E508F">
        <w:trPr>
          <w:trHeight w:val="300"/>
        </w:trPr>
        <w:tc>
          <w:tcPr>
            <w:tcW w:w="9180" w:type="dxa"/>
            <w:gridSpan w:val="10"/>
            <w:shd w:val="clear" w:color="auto" w:fill="00B0F0"/>
          </w:tcPr>
          <w:p w:rsidR="002E508F" w:rsidRDefault="005D0A03">
            <w:pPr>
              <w:rPr>
                <w:rFonts w:ascii="Times New Roman" w:hAnsi="Times New Roman"/>
                <w:b/>
                <w:bCs/>
                <w:noProof/>
                <w:color w:val="FFFFFF" w:themeColor="background1"/>
                <w:sz w:val="18"/>
                <w:szCs w:val="18"/>
                <w:lang w:eastAsia="en-GB"/>
              </w:rPr>
            </w:pPr>
            <w:r>
              <w:rPr>
                <w:rFonts w:ascii="Times New Roman" w:hAnsi="Times New Roman"/>
                <w:b/>
                <w:bCs/>
                <w:noProof/>
                <w:color w:val="FFFFFF" w:themeColor="background1"/>
                <w:sz w:val="18"/>
                <w:szCs w:val="18"/>
                <w:lang w:eastAsia="en-GB"/>
              </w:rPr>
              <w:t>CO</w:t>
            </w:r>
            <w:r>
              <w:rPr>
                <w:rFonts w:ascii="Times New Roman" w:hAnsi="Times New Roman"/>
                <w:b/>
                <w:bCs/>
                <w:noProof/>
                <w:color w:val="FFFFFF" w:themeColor="background1"/>
                <w:sz w:val="18"/>
                <w:szCs w:val="18"/>
                <w:vertAlign w:val="subscript"/>
                <w:lang w:eastAsia="en-GB"/>
              </w:rPr>
              <w:t>2</w:t>
            </w:r>
            <w:r>
              <w:rPr>
                <w:rFonts w:ascii="Times New Roman" w:hAnsi="Times New Roman"/>
                <w:b/>
                <w:bCs/>
                <w:noProof/>
                <w:color w:val="FFFFFF" w:themeColor="background1"/>
                <w:sz w:val="18"/>
                <w:szCs w:val="18"/>
                <w:lang w:eastAsia="en-GB"/>
              </w:rPr>
              <w:t xml:space="preserve"> emissions (thousand tonnes CO</w:t>
            </w:r>
            <w:r>
              <w:rPr>
                <w:rFonts w:ascii="Times New Roman" w:hAnsi="Times New Roman"/>
                <w:b/>
                <w:bCs/>
                <w:noProof/>
                <w:color w:val="FFFFFF" w:themeColor="background1"/>
                <w:sz w:val="18"/>
                <w:szCs w:val="18"/>
                <w:vertAlign w:val="subscript"/>
                <w:lang w:eastAsia="en-GB"/>
              </w:rPr>
              <w:t>2</w:t>
            </w:r>
            <w:r>
              <w:rPr>
                <w:rFonts w:ascii="Times New Roman" w:hAnsi="Times New Roman"/>
                <w:b/>
                <w:bCs/>
                <w:noProof/>
                <w:color w:val="FFFFFF" w:themeColor="background1"/>
                <w:sz w:val="18"/>
                <w:szCs w:val="18"/>
                <w:lang w:eastAsia="en-GB"/>
              </w:rPr>
              <w:t>)</w:t>
            </w:r>
          </w:p>
        </w:tc>
      </w:tr>
      <w:tr w:rsidR="002E508F" w:rsidTr="002E508F">
        <w:trPr>
          <w:trHeight w:val="300"/>
        </w:trPr>
        <w:tc>
          <w:tcPr>
            <w:tcW w:w="1101" w:type="dxa"/>
            <w:tcBorders>
              <w:bottom w:val="single" w:sz="4" w:space="0" w:color="BFBFBF"/>
            </w:tcBorders>
            <w:hideMark/>
          </w:tcPr>
          <w:p w:rsidR="002E508F" w:rsidRDefault="005D0A03">
            <w:pPr>
              <w:rPr>
                <w:rFonts w:ascii="Times New Roman" w:hAnsi="Times New Roman"/>
                <w:noProof/>
                <w:sz w:val="18"/>
                <w:szCs w:val="18"/>
                <w:lang w:eastAsia="en-GB"/>
              </w:rPr>
            </w:pPr>
            <w:r>
              <w:rPr>
                <w:rFonts w:ascii="Times New Roman" w:hAnsi="Times New Roman"/>
                <w:noProof/>
                <w:sz w:val="18"/>
                <w:szCs w:val="18"/>
                <w:lang w:eastAsia="en-GB"/>
              </w:rPr>
              <w:t>All vehicles procured</w:t>
            </w:r>
          </w:p>
        </w:tc>
        <w:tc>
          <w:tcPr>
            <w:tcW w:w="992" w:type="dxa"/>
            <w:tcBorders>
              <w:bottom w:val="single" w:sz="4" w:space="0" w:color="BFBFBF"/>
            </w:tcBorders>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241,230</w:t>
            </w:r>
          </w:p>
        </w:tc>
        <w:tc>
          <w:tcPr>
            <w:tcW w:w="850" w:type="dxa"/>
            <w:tcBorders>
              <w:bottom w:val="single" w:sz="4" w:space="0" w:color="BFBFBF"/>
            </w:tcBorders>
            <w:noWrap/>
            <w:hideMark/>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0</w:t>
            </w:r>
          </w:p>
          <w:p w:rsidR="002E508F" w:rsidRDefault="005D0A03">
            <w:pPr>
              <w:rPr>
                <w:rFonts w:ascii="Times New Roman" w:hAnsi="Times New Roman"/>
                <w:noProof/>
                <w:sz w:val="18"/>
                <w:szCs w:val="18"/>
                <w:lang w:eastAsia="en-GB"/>
              </w:rPr>
            </w:pPr>
            <w:r>
              <w:rPr>
                <w:rFonts w:ascii="Times New Roman" w:hAnsi="Times New Roman"/>
                <w:noProof/>
                <w:color w:val="000000"/>
                <w:sz w:val="18"/>
                <w:szCs w:val="18"/>
              </w:rPr>
              <w:t>(0%)</w:t>
            </w:r>
          </w:p>
        </w:tc>
        <w:tc>
          <w:tcPr>
            <w:tcW w:w="851" w:type="dxa"/>
            <w:tcBorders>
              <w:bottom w:val="single" w:sz="4" w:space="0" w:color="BFBFBF"/>
            </w:tcBorders>
            <w:noWrap/>
            <w:hideMark/>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-14,900</w:t>
            </w:r>
          </w:p>
          <w:p w:rsidR="002E508F" w:rsidRDefault="005D0A03">
            <w:pPr>
              <w:rPr>
                <w:rFonts w:ascii="Times New Roman" w:hAnsi="Times New Roman"/>
                <w:noProof/>
                <w:sz w:val="18"/>
                <w:szCs w:val="18"/>
                <w:lang w:eastAsia="en-GB"/>
              </w:rPr>
            </w:pPr>
            <w:r>
              <w:rPr>
                <w:rFonts w:ascii="Times New Roman" w:hAnsi="Times New Roman"/>
                <w:noProof/>
                <w:color w:val="000000"/>
                <w:sz w:val="18"/>
                <w:szCs w:val="18"/>
              </w:rPr>
              <w:t>(-6%)</w:t>
            </w:r>
          </w:p>
        </w:tc>
        <w:tc>
          <w:tcPr>
            <w:tcW w:w="850" w:type="dxa"/>
            <w:tcBorders>
              <w:bottom w:val="single" w:sz="4" w:space="0" w:color="BFBFBF"/>
            </w:tcBorders>
            <w:noWrap/>
            <w:hideMark/>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-11,520</w:t>
            </w:r>
          </w:p>
          <w:p w:rsidR="002E508F" w:rsidRDefault="005D0A03">
            <w:pPr>
              <w:rPr>
                <w:rFonts w:ascii="Times New Roman" w:hAnsi="Times New Roman"/>
                <w:noProof/>
                <w:sz w:val="18"/>
                <w:szCs w:val="18"/>
                <w:lang w:eastAsia="en-GB"/>
              </w:rPr>
            </w:pPr>
            <w:r>
              <w:rPr>
                <w:rFonts w:ascii="Times New Roman" w:hAnsi="Times New Roman"/>
                <w:noProof/>
                <w:color w:val="000000"/>
                <w:sz w:val="18"/>
                <w:szCs w:val="18"/>
              </w:rPr>
              <w:t>(-5%)</w:t>
            </w:r>
          </w:p>
        </w:tc>
        <w:tc>
          <w:tcPr>
            <w:tcW w:w="873" w:type="dxa"/>
            <w:tcBorders>
              <w:bottom w:val="single" w:sz="4" w:space="0" w:color="BFBFBF"/>
            </w:tcBorders>
            <w:noWrap/>
            <w:hideMark/>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-11,340</w:t>
            </w:r>
          </w:p>
          <w:p w:rsidR="002E508F" w:rsidRDefault="005D0A03">
            <w:pPr>
              <w:rPr>
                <w:rFonts w:ascii="Times New Roman" w:hAnsi="Times New Roman"/>
                <w:noProof/>
                <w:sz w:val="18"/>
                <w:szCs w:val="18"/>
                <w:lang w:eastAsia="en-GB"/>
              </w:rPr>
            </w:pPr>
            <w:r>
              <w:rPr>
                <w:rFonts w:ascii="Times New Roman" w:hAnsi="Times New Roman"/>
                <w:noProof/>
                <w:color w:val="000000"/>
                <w:sz w:val="18"/>
                <w:szCs w:val="18"/>
              </w:rPr>
              <w:t>(-5%)</w:t>
            </w:r>
          </w:p>
        </w:tc>
        <w:tc>
          <w:tcPr>
            <w:tcW w:w="970" w:type="dxa"/>
            <w:tcBorders>
              <w:bottom w:val="single" w:sz="4" w:space="0" w:color="BFBFBF"/>
            </w:tcBorders>
            <w:noWrap/>
            <w:hideMark/>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-25,030</w:t>
            </w:r>
          </w:p>
          <w:p w:rsidR="002E508F" w:rsidRDefault="005D0A03">
            <w:pPr>
              <w:rPr>
                <w:rFonts w:ascii="Times New Roman" w:hAnsi="Times New Roman"/>
                <w:noProof/>
                <w:sz w:val="18"/>
                <w:szCs w:val="18"/>
                <w:lang w:eastAsia="en-GB"/>
              </w:rPr>
            </w:pPr>
            <w:r>
              <w:rPr>
                <w:rFonts w:ascii="Times New Roman" w:hAnsi="Times New Roman"/>
                <w:noProof/>
                <w:color w:val="000000"/>
                <w:sz w:val="18"/>
                <w:szCs w:val="18"/>
              </w:rPr>
              <w:t>(-10%)</w:t>
            </w:r>
          </w:p>
        </w:tc>
        <w:tc>
          <w:tcPr>
            <w:tcW w:w="975" w:type="dxa"/>
            <w:tcBorders>
              <w:bottom w:val="single" w:sz="4" w:space="0" w:color="BFBFBF"/>
            </w:tcBorders>
            <w:noWrap/>
            <w:hideMark/>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-41,270</w:t>
            </w:r>
          </w:p>
          <w:p w:rsidR="002E508F" w:rsidRDefault="005D0A03">
            <w:pPr>
              <w:rPr>
                <w:rFonts w:ascii="Times New Roman" w:hAnsi="Times New Roman"/>
                <w:noProof/>
                <w:sz w:val="18"/>
                <w:szCs w:val="18"/>
                <w:lang w:eastAsia="en-GB"/>
              </w:rPr>
            </w:pPr>
            <w:r>
              <w:rPr>
                <w:rFonts w:ascii="Times New Roman" w:hAnsi="Times New Roman"/>
                <w:noProof/>
                <w:color w:val="000000"/>
                <w:sz w:val="18"/>
                <w:szCs w:val="18"/>
              </w:rPr>
              <w:t>(-17%)</w:t>
            </w:r>
          </w:p>
        </w:tc>
        <w:tc>
          <w:tcPr>
            <w:tcW w:w="868" w:type="dxa"/>
            <w:tcBorders>
              <w:bottom w:val="single" w:sz="4" w:space="0" w:color="BFBFBF"/>
            </w:tcBorders>
            <w:noWrap/>
            <w:hideMark/>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-148,350</w:t>
            </w:r>
          </w:p>
          <w:p w:rsidR="002E508F" w:rsidRDefault="005D0A03">
            <w:pPr>
              <w:rPr>
                <w:rFonts w:ascii="Times New Roman" w:hAnsi="Times New Roman"/>
                <w:noProof/>
                <w:sz w:val="18"/>
                <w:szCs w:val="18"/>
                <w:lang w:eastAsia="en-GB"/>
              </w:rPr>
            </w:pPr>
            <w:r>
              <w:rPr>
                <w:rFonts w:ascii="Times New Roman" w:hAnsi="Times New Roman"/>
                <w:noProof/>
                <w:color w:val="000000"/>
                <w:sz w:val="18"/>
                <w:szCs w:val="18"/>
              </w:rPr>
              <w:t>(-61%)</w:t>
            </w:r>
          </w:p>
        </w:tc>
        <w:tc>
          <w:tcPr>
            <w:tcW w:w="850" w:type="dxa"/>
            <w:tcBorders>
              <w:bottom w:val="single" w:sz="4" w:space="0" w:color="BFBFBF"/>
            </w:tcBorders>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-41,850</w:t>
            </w:r>
          </w:p>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 xml:space="preserve"> (-17%)</w:t>
            </w:r>
          </w:p>
        </w:tc>
      </w:tr>
    </w:tbl>
    <w:tbl>
      <w:tblPr>
        <w:tblStyle w:val="CVD1"/>
        <w:tblW w:w="4943" w:type="pct"/>
        <w:tblLayout w:type="fixed"/>
        <w:tblLook w:val="04A0" w:firstRow="1" w:lastRow="0" w:firstColumn="1" w:lastColumn="0" w:noHBand="0" w:noVBand="1"/>
      </w:tblPr>
      <w:tblGrid>
        <w:gridCol w:w="1101"/>
        <w:gridCol w:w="1021"/>
        <w:gridCol w:w="821"/>
        <w:gridCol w:w="885"/>
        <w:gridCol w:w="815"/>
        <w:gridCol w:w="854"/>
        <w:gridCol w:w="991"/>
        <w:gridCol w:w="990"/>
        <w:gridCol w:w="852"/>
        <w:gridCol w:w="850"/>
      </w:tblGrid>
      <w:tr w:rsidR="002E508F" w:rsidTr="002E508F">
        <w:trPr>
          <w:cnfStyle w:val="100000000000" w:firstRow="1" w:lastRow="0" w:firstColumn="0" w:lastColumn="0" w:oddVBand="0" w:evenVBand="0" w:oddHBand="0" w:evenHBand="0" w:firstRowFirstColumn="0" w:firstRowLastColumn="0" w:lastRowFirstColumn="0" w:lastRowLastColumn="0"/>
          <w:trHeight w:val="300"/>
        </w:trPr>
        <w:tc>
          <w:tcPr>
            <w:tcW w:w="5000" w:type="pct"/>
            <w:gridSpan w:val="10"/>
          </w:tcPr>
          <w:p w:rsidR="002E508F" w:rsidRDefault="005D0A03">
            <w:pPr>
              <w:rPr>
                <w:rFonts w:ascii="Times New Roman" w:hAnsi="Times New Roman"/>
                <w:b/>
                <w:noProof/>
                <w:sz w:val="18"/>
                <w:szCs w:val="18"/>
                <w:lang w:eastAsia="en-GB"/>
              </w:rPr>
            </w:pPr>
            <w:r>
              <w:rPr>
                <w:rFonts w:ascii="Times New Roman" w:hAnsi="Times New Roman"/>
                <w:b/>
                <w:noProof/>
                <w:sz w:val="18"/>
                <w:szCs w:val="18"/>
                <w:lang w:eastAsia="en-GB"/>
              </w:rPr>
              <w:t>Costs (net present value in million €)</w:t>
            </w:r>
          </w:p>
        </w:tc>
      </w:tr>
      <w:tr w:rsidR="002E508F" w:rsidTr="002E508F">
        <w:trPr>
          <w:trHeight w:val="300"/>
        </w:trPr>
        <w:tc>
          <w:tcPr>
            <w:tcW w:w="600" w:type="pct"/>
            <w:hideMark/>
          </w:tcPr>
          <w:p w:rsidR="002E508F" w:rsidRDefault="005D0A03">
            <w:pPr>
              <w:rPr>
                <w:rFonts w:ascii="Times New Roman" w:hAnsi="Times New Roman"/>
                <w:i/>
                <w:noProof/>
                <w:sz w:val="18"/>
                <w:szCs w:val="18"/>
                <w:lang w:eastAsia="en-GB"/>
              </w:rPr>
            </w:pPr>
            <w:r>
              <w:rPr>
                <w:rFonts w:ascii="Times New Roman" w:hAnsi="Times New Roman"/>
                <w:noProof/>
                <w:sz w:val="18"/>
                <w:szCs w:val="18"/>
                <w:lang w:eastAsia="en-GB"/>
              </w:rPr>
              <w:t>All vehicles procured</w:t>
            </w:r>
          </w:p>
        </w:tc>
        <w:tc>
          <w:tcPr>
            <w:tcW w:w="556" w:type="pct"/>
          </w:tcPr>
          <w:p w:rsidR="002E508F" w:rsidRDefault="005D0A03">
            <w:pPr>
              <w:rPr>
                <w:rFonts w:ascii="Times New Roman" w:hAnsi="Times New Roman"/>
                <w:noProof/>
                <w:color w:val="000000"/>
                <w:sz w:val="18"/>
                <w:szCs w:val="18"/>
              </w:rPr>
            </w:pPr>
            <w:r>
              <w:rPr>
                <w:rFonts w:ascii="Times New Roman" w:hAnsi="Times New Roman"/>
                <w:bCs/>
                <w:noProof/>
                <w:sz w:val="18"/>
                <w:szCs w:val="18"/>
              </w:rPr>
              <w:t>13,860</w:t>
            </w:r>
          </w:p>
        </w:tc>
        <w:tc>
          <w:tcPr>
            <w:tcW w:w="447" w:type="pct"/>
            <w:noWrap/>
            <w:hideMark/>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0</w:t>
            </w:r>
          </w:p>
          <w:p w:rsidR="002E508F" w:rsidRDefault="005D0A03">
            <w:pPr>
              <w:rPr>
                <w:rFonts w:ascii="Times New Roman" w:hAnsi="Times New Roman"/>
                <w:i/>
                <w:noProof/>
                <w:sz w:val="18"/>
                <w:szCs w:val="18"/>
                <w:lang w:eastAsia="en-GB"/>
              </w:rPr>
            </w:pPr>
            <w:r>
              <w:rPr>
                <w:rFonts w:ascii="Times New Roman" w:hAnsi="Times New Roman"/>
                <w:noProof/>
                <w:color w:val="000000"/>
                <w:sz w:val="18"/>
                <w:szCs w:val="18"/>
              </w:rPr>
              <w:t>(0%)</w:t>
            </w:r>
          </w:p>
        </w:tc>
        <w:tc>
          <w:tcPr>
            <w:tcW w:w="482" w:type="pct"/>
            <w:noWrap/>
            <w:hideMark/>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-800</w:t>
            </w:r>
          </w:p>
          <w:p w:rsidR="002E508F" w:rsidRDefault="005D0A03">
            <w:pPr>
              <w:rPr>
                <w:rFonts w:ascii="Times New Roman" w:hAnsi="Times New Roman"/>
                <w:i/>
                <w:noProof/>
                <w:sz w:val="18"/>
                <w:szCs w:val="18"/>
                <w:lang w:eastAsia="en-GB"/>
              </w:rPr>
            </w:pPr>
            <w:r>
              <w:rPr>
                <w:rFonts w:ascii="Times New Roman" w:hAnsi="Times New Roman"/>
                <w:noProof/>
                <w:color w:val="000000"/>
                <w:sz w:val="18"/>
                <w:szCs w:val="18"/>
              </w:rPr>
              <w:t>(-6%)</w:t>
            </w:r>
          </w:p>
        </w:tc>
        <w:tc>
          <w:tcPr>
            <w:tcW w:w="444" w:type="pct"/>
            <w:noWrap/>
            <w:hideMark/>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-610</w:t>
            </w:r>
          </w:p>
          <w:p w:rsidR="002E508F" w:rsidRDefault="005D0A03">
            <w:pPr>
              <w:rPr>
                <w:rFonts w:ascii="Times New Roman" w:hAnsi="Times New Roman"/>
                <w:i/>
                <w:noProof/>
                <w:sz w:val="18"/>
                <w:szCs w:val="18"/>
                <w:lang w:eastAsia="en-GB"/>
              </w:rPr>
            </w:pPr>
            <w:r>
              <w:rPr>
                <w:rFonts w:ascii="Times New Roman" w:hAnsi="Times New Roman"/>
                <w:noProof/>
                <w:color w:val="000000"/>
                <w:sz w:val="18"/>
                <w:szCs w:val="18"/>
              </w:rPr>
              <w:t>(-4%)</w:t>
            </w:r>
          </w:p>
        </w:tc>
        <w:tc>
          <w:tcPr>
            <w:tcW w:w="465" w:type="pct"/>
            <w:noWrap/>
            <w:hideMark/>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-600</w:t>
            </w:r>
          </w:p>
          <w:p w:rsidR="002E508F" w:rsidRDefault="005D0A03">
            <w:pPr>
              <w:rPr>
                <w:rFonts w:ascii="Times New Roman" w:hAnsi="Times New Roman"/>
                <w:i/>
                <w:noProof/>
                <w:sz w:val="18"/>
                <w:szCs w:val="18"/>
                <w:lang w:eastAsia="en-GB"/>
              </w:rPr>
            </w:pPr>
            <w:r>
              <w:rPr>
                <w:rFonts w:ascii="Times New Roman" w:hAnsi="Times New Roman"/>
                <w:noProof/>
                <w:color w:val="000000"/>
                <w:sz w:val="18"/>
                <w:szCs w:val="18"/>
              </w:rPr>
              <w:t>(-4%)</w:t>
            </w:r>
          </w:p>
        </w:tc>
        <w:tc>
          <w:tcPr>
            <w:tcW w:w="540" w:type="pct"/>
            <w:noWrap/>
            <w:hideMark/>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-1,260</w:t>
            </w:r>
          </w:p>
          <w:p w:rsidR="002E508F" w:rsidRDefault="005D0A03">
            <w:pPr>
              <w:rPr>
                <w:rFonts w:ascii="Times New Roman" w:hAnsi="Times New Roman"/>
                <w:i/>
                <w:noProof/>
                <w:sz w:val="18"/>
                <w:szCs w:val="18"/>
                <w:lang w:eastAsia="en-GB"/>
              </w:rPr>
            </w:pPr>
            <w:r>
              <w:rPr>
                <w:rFonts w:ascii="Times New Roman" w:hAnsi="Times New Roman"/>
                <w:noProof/>
                <w:color w:val="000000"/>
                <w:sz w:val="18"/>
                <w:szCs w:val="18"/>
              </w:rPr>
              <w:t>(-9%)</w:t>
            </w:r>
          </w:p>
        </w:tc>
        <w:tc>
          <w:tcPr>
            <w:tcW w:w="539" w:type="pct"/>
            <w:noWrap/>
            <w:hideMark/>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-2,090</w:t>
            </w:r>
          </w:p>
          <w:p w:rsidR="002E508F" w:rsidRDefault="005D0A03">
            <w:pPr>
              <w:rPr>
                <w:rFonts w:ascii="Times New Roman" w:hAnsi="Times New Roman"/>
                <w:i/>
                <w:noProof/>
                <w:sz w:val="18"/>
                <w:szCs w:val="18"/>
                <w:lang w:eastAsia="en-GB"/>
              </w:rPr>
            </w:pPr>
            <w:r>
              <w:rPr>
                <w:rFonts w:ascii="Times New Roman" w:hAnsi="Times New Roman"/>
                <w:noProof/>
                <w:color w:val="000000"/>
                <w:sz w:val="18"/>
                <w:szCs w:val="18"/>
              </w:rPr>
              <w:t>(-15%)</w:t>
            </w:r>
          </w:p>
        </w:tc>
        <w:tc>
          <w:tcPr>
            <w:tcW w:w="464" w:type="pct"/>
            <w:noWrap/>
            <w:hideMark/>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-8,300</w:t>
            </w:r>
          </w:p>
          <w:p w:rsidR="002E508F" w:rsidRDefault="005D0A03">
            <w:pPr>
              <w:rPr>
                <w:rFonts w:ascii="Times New Roman" w:hAnsi="Times New Roman"/>
                <w:i/>
                <w:noProof/>
                <w:sz w:val="18"/>
                <w:szCs w:val="18"/>
                <w:lang w:eastAsia="en-GB"/>
              </w:rPr>
            </w:pPr>
            <w:r>
              <w:rPr>
                <w:rFonts w:ascii="Times New Roman" w:hAnsi="Times New Roman"/>
                <w:noProof/>
                <w:color w:val="000000"/>
                <w:sz w:val="18"/>
                <w:szCs w:val="18"/>
              </w:rPr>
              <w:t>(-60%)</w:t>
            </w:r>
          </w:p>
        </w:tc>
        <w:tc>
          <w:tcPr>
            <w:tcW w:w="463" w:type="pct"/>
          </w:tcPr>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-2,140</w:t>
            </w:r>
          </w:p>
          <w:p w:rsidR="002E508F" w:rsidRDefault="005D0A03">
            <w:pPr>
              <w:rPr>
                <w:rFonts w:ascii="Times New Roman" w:hAnsi="Times New Roman"/>
                <w:noProof/>
                <w:color w:val="000000"/>
                <w:sz w:val="18"/>
                <w:szCs w:val="18"/>
              </w:rPr>
            </w:pPr>
            <w:r>
              <w:rPr>
                <w:rFonts w:ascii="Times New Roman" w:hAnsi="Times New Roman"/>
                <w:noProof/>
                <w:color w:val="000000"/>
                <w:sz w:val="18"/>
                <w:szCs w:val="18"/>
              </w:rPr>
              <w:t>(-15%)</w:t>
            </w:r>
          </w:p>
        </w:tc>
      </w:tr>
    </w:tbl>
    <w:p w:rsidR="002E508F" w:rsidRDefault="005D0A03">
      <w:pPr>
        <w:pStyle w:val="Text3"/>
        <w:spacing w:after="0" w:line="240" w:lineRule="auto"/>
        <w:ind w:left="0"/>
        <w:rPr>
          <w:rFonts w:ascii="Times New Roman" w:hAnsi="Times New Roman" w:cs="Times New Roman"/>
          <w:noProof/>
        </w:rPr>
      </w:pPr>
      <w:r>
        <w:rPr>
          <w:rFonts w:ascii="Times New Roman" w:hAnsi="Times New Roman" w:cs="Times New Roman"/>
          <w:noProof/>
          <w:sz w:val="20"/>
          <w:szCs w:val="20"/>
        </w:rPr>
        <w:t xml:space="preserve">Source: </w:t>
      </w:r>
      <w:r>
        <w:rPr>
          <w:rFonts w:ascii="Times New Roman" w:hAnsi="Times New Roman" w:cs="Times New Roman"/>
          <w:i/>
          <w:noProof/>
          <w:sz w:val="20"/>
          <w:szCs w:val="20"/>
        </w:rPr>
        <w:t>Ricardo (2017) Support Study to the Impact Assessment of the Clean Vehicles Directive</w:t>
      </w:r>
      <w:r>
        <w:rPr>
          <w:rFonts w:ascii="Times New Roman" w:hAnsi="Times New Roman" w:cs="Times New Roman"/>
          <w:noProof/>
          <w:sz w:val="20"/>
          <w:szCs w:val="20"/>
        </w:rPr>
        <w:t xml:space="preserve"> </w:t>
      </w:r>
      <w:r>
        <w:rPr>
          <w:rFonts w:ascii="Times New Roman" w:hAnsi="Times New Roman" w:cs="Times New Roman"/>
          <w:noProof/>
        </w:rPr>
        <w:br/>
      </w:r>
    </w:p>
    <w:p w:rsidR="002E508F" w:rsidRDefault="005D0A03">
      <w:pPr>
        <w:pStyle w:val="Text3"/>
        <w:spacing w:line="240" w:lineRule="auto"/>
        <w:ind w:left="0"/>
        <w:jc w:val="both"/>
        <w:rPr>
          <w:rFonts w:ascii="Times New Roman" w:hAnsi="Times New Roman" w:cs="Times New Roman"/>
          <w:noProof/>
          <w:lang w:eastAsia="en-GB"/>
        </w:rPr>
      </w:pPr>
      <w:r>
        <w:rPr>
          <w:rFonts w:ascii="Times New Roman" w:hAnsi="Times New Roman" w:cs="Times New Roman"/>
          <w:noProof/>
        </w:rPr>
        <w:t>The analytical work underpinning the European Strategy for Low-Emission Mobility showed cost-effective emissions reductions of 18-19% for transport by 2030 relative to 2005.</w:t>
      </w:r>
      <w:r>
        <w:rPr>
          <w:rStyle w:val="FootnoteReference"/>
          <w:rFonts w:ascii="Times New Roman" w:hAnsi="Times New Roman" w:cs="Times New Roman"/>
          <w:noProof/>
          <w:lang w:eastAsia="en-GB"/>
        </w:rPr>
        <w:footnoteReference w:id="91"/>
      </w:r>
      <w:r>
        <w:rPr>
          <w:rFonts w:ascii="Times New Roman" w:hAnsi="Times New Roman" w:cs="Times New Roman"/>
          <w:noProof/>
        </w:rPr>
        <w:t xml:space="preserve"> </w:t>
      </w:r>
      <w:r>
        <w:rPr>
          <w:rFonts w:ascii="Times New Roman" w:hAnsi="Times New Roman" w:cs="Times New Roman"/>
          <w:noProof/>
          <w:lang w:eastAsia="en-GB"/>
        </w:rPr>
        <w:t>For road transport, this translates into a cut of about 206-221 million tonnes of CO</w:t>
      </w:r>
      <w:r>
        <w:rPr>
          <w:rFonts w:ascii="Times New Roman" w:hAnsi="Times New Roman" w:cs="Times New Roman"/>
          <w:noProof/>
          <w:vertAlign w:val="subscript"/>
          <w:lang w:eastAsia="en-GB"/>
        </w:rPr>
        <w:t>2</w:t>
      </w:r>
      <w:r>
        <w:rPr>
          <w:rFonts w:ascii="Times New Roman" w:hAnsi="Times New Roman" w:cs="Times New Roman"/>
          <w:noProof/>
          <w:lang w:eastAsia="en-GB"/>
        </w:rPr>
        <w:t xml:space="preserve"> by 2030 relative to 2005</w:t>
      </w:r>
      <w:r>
        <w:rPr>
          <w:rStyle w:val="FootnoteReference"/>
          <w:rFonts w:ascii="Times New Roman" w:hAnsi="Times New Roman" w:cs="Times New Roman"/>
          <w:noProof/>
          <w:lang w:eastAsia="en-GB"/>
        </w:rPr>
        <w:footnoteReference w:id="92"/>
      </w:r>
      <w:r>
        <w:rPr>
          <w:rFonts w:ascii="Times New Roman" w:hAnsi="Times New Roman" w:cs="Times New Roman"/>
          <w:noProof/>
          <w:lang w:eastAsia="en-GB"/>
        </w:rPr>
        <w:t>, 52 to 67 million tonnes additional reduction relative to the baseline. In 2030, the policy options assessed could save 560 to 6,710 thousand tonnes of CO</w:t>
      </w:r>
      <w:r>
        <w:rPr>
          <w:rFonts w:ascii="Times New Roman" w:hAnsi="Times New Roman" w:cs="Times New Roman"/>
          <w:noProof/>
          <w:vertAlign w:val="subscript"/>
          <w:lang w:eastAsia="en-GB"/>
        </w:rPr>
        <w:t>2</w:t>
      </w:r>
      <w:r>
        <w:rPr>
          <w:rFonts w:ascii="Times New Roman" w:hAnsi="Times New Roman" w:cs="Times New Roman"/>
          <w:noProof/>
          <w:lang w:eastAsia="en-GB"/>
        </w:rPr>
        <w:t xml:space="preserve"> emissions (5 to 57% decrease) relative to the baseline (see Table 6.7). </w:t>
      </w:r>
      <w:r>
        <w:rPr>
          <w:rFonts w:ascii="Times New Roman" w:hAnsi="Times New Roman" w:cs="Times New Roman"/>
          <w:noProof/>
        </w:rPr>
        <w:t>This represents between 1 to 13% of the additional road transport emission reductions needed on top of the baseline by 2030 relative to 2005 (around 3% for PO4b and PO6).</w:t>
      </w:r>
      <w:r>
        <w:rPr>
          <w:rFonts w:ascii="Times New Roman" w:hAnsi="Times New Roman" w:cs="Times New Roman"/>
          <w:noProof/>
          <w:lang w:eastAsia="en-GB"/>
        </w:rPr>
        <w:t xml:space="preserve"> However, </w:t>
      </w:r>
      <w:r>
        <w:rPr>
          <w:rFonts w:ascii="Times New Roman" w:hAnsi="Times New Roman" w:cs="Times New Roman"/>
          <w:noProof/>
        </w:rPr>
        <w:t>the baseline scenario assumes the implementation of the CO</w:t>
      </w:r>
      <w:r>
        <w:rPr>
          <w:rFonts w:ascii="Times New Roman" w:hAnsi="Times New Roman" w:cs="Times New Roman"/>
          <w:noProof/>
          <w:vertAlign w:val="subscript"/>
        </w:rPr>
        <w:t>2</w:t>
      </w:r>
      <w:r>
        <w:rPr>
          <w:rFonts w:ascii="Times New Roman" w:hAnsi="Times New Roman" w:cs="Times New Roman"/>
          <w:noProof/>
        </w:rPr>
        <w:t xml:space="preserve"> standards for cars and vans in line with current legislation.</w:t>
      </w:r>
      <w:r>
        <w:rPr>
          <w:rStyle w:val="FootnoteReference"/>
          <w:rFonts w:ascii="Times New Roman" w:hAnsi="Times New Roman" w:cs="Times New Roman"/>
          <w:noProof/>
        </w:rPr>
        <w:footnoteReference w:id="93"/>
      </w:r>
      <w:r>
        <w:rPr>
          <w:rFonts w:ascii="Times New Roman" w:hAnsi="Times New Roman" w:cs="Times New Roman"/>
          <w:noProof/>
        </w:rPr>
        <w:t xml:space="preserve"> No policy action to strengthen the stringency of the target is assumed after 2020/2021. More stringent CO</w:t>
      </w:r>
      <w:r>
        <w:rPr>
          <w:rFonts w:ascii="Times New Roman" w:hAnsi="Times New Roman" w:cs="Times New Roman"/>
          <w:noProof/>
          <w:vertAlign w:val="subscript"/>
        </w:rPr>
        <w:t>2</w:t>
      </w:r>
      <w:r>
        <w:rPr>
          <w:rFonts w:ascii="Times New Roman" w:hAnsi="Times New Roman" w:cs="Times New Roman"/>
          <w:noProof/>
        </w:rPr>
        <w:t xml:space="preserve"> standards for cars and vans post-2020 would result in a higher share of clean vehicles in the new vehicle fleet and thus in the total vehicles procured in the baseline. Consequently, the impact of policy options in terms of uptake of clean vehicles and thus on the CO</w:t>
      </w:r>
      <w:r>
        <w:rPr>
          <w:rFonts w:ascii="Times New Roman" w:hAnsi="Times New Roman" w:cs="Times New Roman"/>
          <w:noProof/>
          <w:vertAlign w:val="subscript"/>
        </w:rPr>
        <w:t>2</w:t>
      </w:r>
      <w:r>
        <w:rPr>
          <w:rFonts w:ascii="Times New Roman" w:hAnsi="Times New Roman" w:cs="Times New Roman"/>
          <w:noProof/>
        </w:rPr>
        <w:t xml:space="preserve"> emissions savings may be more limited when compared to such alternative baseline. This is due to the overlapping effects between these policies. </w:t>
      </w:r>
    </w:p>
    <w:p w:rsidR="002E508F" w:rsidRDefault="005D0A03">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Table 6.7 Impacts on CO</w:t>
      </w:r>
      <w:r>
        <w:rPr>
          <w:rFonts w:ascii="Times New Roman" w:hAnsi="Times New Roman" w:cs="Times New Roman"/>
          <w:b/>
          <w:noProof/>
          <w:sz w:val="20"/>
          <w:szCs w:val="20"/>
          <w:vertAlign w:val="subscript"/>
        </w:rPr>
        <w:t>2</w:t>
      </w:r>
      <w:r>
        <w:rPr>
          <w:rFonts w:ascii="Times New Roman" w:hAnsi="Times New Roman" w:cs="Times New Roman"/>
          <w:b/>
          <w:noProof/>
          <w:sz w:val="20"/>
          <w:szCs w:val="20"/>
        </w:rPr>
        <w:t xml:space="preserve"> emissions in 2030 relative to the baseline, in thousand tonnes and % change </w:t>
      </w:r>
    </w:p>
    <w:tbl>
      <w:tblPr>
        <w:tblW w:w="9180" w:type="dxa"/>
        <w:tblLayout w:type="fixed"/>
        <w:tblCellMar>
          <w:left w:w="0" w:type="dxa"/>
          <w:right w:w="0" w:type="dxa"/>
        </w:tblCellMar>
        <w:tblLook w:val="04A0" w:firstRow="1" w:lastRow="0" w:firstColumn="1" w:lastColumn="0" w:noHBand="0" w:noVBand="1"/>
      </w:tblPr>
      <w:tblGrid>
        <w:gridCol w:w="1244"/>
        <w:gridCol w:w="991"/>
        <w:gridCol w:w="992"/>
        <w:gridCol w:w="850"/>
        <w:gridCol w:w="851"/>
        <w:gridCol w:w="850"/>
        <w:gridCol w:w="851"/>
        <w:gridCol w:w="850"/>
        <w:gridCol w:w="851"/>
        <w:gridCol w:w="850"/>
      </w:tblGrid>
      <w:tr w:rsidR="002E508F">
        <w:trPr>
          <w:trHeight w:val="290"/>
        </w:trPr>
        <w:tc>
          <w:tcPr>
            <w:tcW w:w="1244" w:type="dxa"/>
            <w:vMerge w:val="restart"/>
            <w:tcBorders>
              <w:top w:val="single" w:sz="8" w:space="0" w:color="BFBFBF"/>
              <w:left w:val="single" w:sz="8" w:space="0" w:color="BFBFBF"/>
              <w:right w:val="single" w:sz="8" w:space="0" w:color="BFBFBF"/>
            </w:tcBorders>
            <w:shd w:val="clear" w:color="auto" w:fill="00B0F0"/>
            <w:noWrap/>
            <w:tcMar>
              <w:top w:w="0" w:type="dxa"/>
              <w:left w:w="108" w:type="dxa"/>
              <w:bottom w:w="0" w:type="dxa"/>
              <w:right w:w="108" w:type="dxa"/>
            </w:tcMar>
            <w:vAlign w:val="center"/>
          </w:tcPr>
          <w:p w:rsidR="002E508F" w:rsidRDefault="002E508F">
            <w:pPr>
              <w:spacing w:after="0"/>
              <w:jc w:val="center"/>
              <w:rPr>
                <w:rFonts w:ascii="Times New Roman" w:hAnsi="Times New Roman" w:cs="Times New Roman"/>
                <w:b/>
                <w:bCs/>
                <w:noProof/>
                <w:color w:val="FF0000"/>
                <w:sz w:val="18"/>
                <w:szCs w:val="18"/>
                <w:lang w:eastAsia="en-GB"/>
              </w:rPr>
            </w:pPr>
          </w:p>
        </w:tc>
        <w:tc>
          <w:tcPr>
            <w:tcW w:w="991" w:type="dxa"/>
            <w:vMerge w:val="restart"/>
            <w:tcBorders>
              <w:top w:val="single" w:sz="8" w:space="0" w:color="BFBFBF"/>
              <w:left w:val="nil"/>
              <w:bottom w:val="single" w:sz="8" w:space="0" w:color="BFBFBF"/>
              <w:right w:val="single" w:sz="8" w:space="0" w:color="BFBFBF"/>
            </w:tcBorders>
            <w:shd w:val="clear" w:color="auto" w:fill="00B0F0"/>
            <w:tcMar>
              <w:top w:w="0" w:type="dxa"/>
              <w:left w:w="108" w:type="dxa"/>
              <w:bottom w:w="0" w:type="dxa"/>
              <w:right w:w="108" w:type="dxa"/>
            </w:tcMar>
            <w:vAlign w:val="center"/>
            <w:hideMark/>
          </w:tcPr>
          <w:p w:rsidR="002E508F" w:rsidRDefault="005D0A03">
            <w:pPr>
              <w:spacing w:after="0"/>
              <w:jc w:val="center"/>
              <w:rPr>
                <w:rFonts w:ascii="Times New Roman" w:hAnsi="Times New Roman" w:cs="Times New Roman"/>
                <w:b/>
                <w:bCs/>
                <w:noProof/>
                <w:color w:val="FFFFFF" w:themeColor="background1"/>
                <w:sz w:val="18"/>
                <w:szCs w:val="18"/>
              </w:rPr>
            </w:pPr>
            <w:r>
              <w:rPr>
                <w:rFonts w:ascii="Times New Roman" w:hAnsi="Times New Roman" w:cs="Times New Roman"/>
                <w:b/>
                <w:bCs/>
                <w:noProof/>
                <w:color w:val="FFFFFF" w:themeColor="background1"/>
                <w:sz w:val="18"/>
                <w:szCs w:val="18"/>
              </w:rPr>
              <w:t>Baseline</w:t>
            </w:r>
          </w:p>
        </w:tc>
        <w:tc>
          <w:tcPr>
            <w:tcW w:w="6945" w:type="dxa"/>
            <w:gridSpan w:val="8"/>
            <w:tcBorders>
              <w:top w:val="single" w:sz="8" w:space="0" w:color="BFBFBF"/>
              <w:left w:val="nil"/>
              <w:bottom w:val="single" w:sz="8" w:space="0" w:color="BFBFBF"/>
              <w:right w:val="single" w:sz="8" w:space="0" w:color="BFBFBF"/>
            </w:tcBorders>
            <w:shd w:val="clear" w:color="auto" w:fill="00B0F0"/>
            <w:noWrap/>
            <w:tcMar>
              <w:top w:w="0" w:type="dxa"/>
              <w:left w:w="108" w:type="dxa"/>
              <w:bottom w:w="0" w:type="dxa"/>
              <w:right w:w="108" w:type="dxa"/>
            </w:tcMar>
            <w:vAlign w:val="center"/>
            <w:hideMark/>
          </w:tcPr>
          <w:p w:rsidR="002E508F" w:rsidRDefault="005D0A03">
            <w:pPr>
              <w:spacing w:after="0"/>
              <w:jc w:val="center"/>
              <w:rPr>
                <w:rFonts w:ascii="Times New Roman" w:hAnsi="Times New Roman" w:cs="Times New Roman"/>
                <w:b/>
                <w:bCs/>
                <w:noProof/>
                <w:color w:val="FFFFFF" w:themeColor="background1"/>
                <w:sz w:val="18"/>
                <w:szCs w:val="18"/>
              </w:rPr>
            </w:pPr>
            <w:r>
              <w:rPr>
                <w:rFonts w:ascii="Times New Roman" w:hAnsi="Times New Roman" w:cs="Times New Roman"/>
                <w:b/>
                <w:bCs/>
                <w:noProof/>
                <w:color w:val="FFFFFF" w:themeColor="background1"/>
                <w:sz w:val="18"/>
                <w:szCs w:val="18"/>
              </w:rPr>
              <w:t>Net change from the baseline (in thousand tonnes and % change)</w:t>
            </w:r>
          </w:p>
        </w:tc>
      </w:tr>
      <w:tr w:rsidR="002E508F">
        <w:trPr>
          <w:trHeight w:val="269"/>
        </w:trPr>
        <w:tc>
          <w:tcPr>
            <w:tcW w:w="1244" w:type="dxa"/>
            <w:vMerge/>
            <w:tcBorders>
              <w:left w:val="single" w:sz="8" w:space="0" w:color="BFBFBF"/>
              <w:bottom w:val="single" w:sz="8" w:space="0" w:color="BFBFBF"/>
              <w:right w:val="single" w:sz="8" w:space="0" w:color="BFBFBF"/>
            </w:tcBorders>
            <w:shd w:val="clear" w:color="auto" w:fill="00B0F0"/>
            <w:noWrap/>
            <w:tcMar>
              <w:top w:w="0" w:type="dxa"/>
              <w:left w:w="108" w:type="dxa"/>
              <w:bottom w:w="0" w:type="dxa"/>
              <w:right w:w="108" w:type="dxa"/>
            </w:tcMar>
            <w:vAlign w:val="center"/>
            <w:hideMark/>
          </w:tcPr>
          <w:p w:rsidR="002E508F" w:rsidRDefault="002E508F">
            <w:pPr>
              <w:spacing w:after="0"/>
              <w:rPr>
                <w:rFonts w:ascii="Times New Roman" w:hAnsi="Times New Roman" w:cs="Times New Roman"/>
                <w:b/>
                <w:bCs/>
                <w:noProof/>
                <w:color w:val="FF0000"/>
                <w:sz w:val="18"/>
                <w:szCs w:val="18"/>
              </w:rPr>
            </w:pPr>
          </w:p>
        </w:tc>
        <w:tc>
          <w:tcPr>
            <w:tcW w:w="991" w:type="dxa"/>
            <w:vMerge/>
            <w:tcBorders>
              <w:top w:val="single" w:sz="8" w:space="0" w:color="BFBFBF"/>
              <w:left w:val="nil"/>
              <w:bottom w:val="single" w:sz="8" w:space="0" w:color="BFBFBF"/>
              <w:right w:val="single" w:sz="8" w:space="0" w:color="BFBFBF"/>
            </w:tcBorders>
            <w:vAlign w:val="center"/>
            <w:hideMark/>
          </w:tcPr>
          <w:p w:rsidR="002E508F" w:rsidRDefault="002E508F">
            <w:pPr>
              <w:spacing w:after="0"/>
              <w:rPr>
                <w:rFonts w:ascii="Times New Roman" w:hAnsi="Times New Roman" w:cs="Times New Roman"/>
                <w:b/>
                <w:bCs/>
                <w:noProof/>
                <w:color w:val="FFFFFF" w:themeColor="background1"/>
                <w:sz w:val="18"/>
                <w:szCs w:val="18"/>
              </w:rPr>
            </w:pPr>
          </w:p>
        </w:tc>
        <w:tc>
          <w:tcPr>
            <w:tcW w:w="992" w:type="dxa"/>
            <w:tcBorders>
              <w:top w:val="nil"/>
              <w:left w:val="nil"/>
              <w:bottom w:val="single" w:sz="8" w:space="0" w:color="BFBFBF"/>
              <w:right w:val="single" w:sz="8" w:space="0" w:color="BFBFBF"/>
            </w:tcBorders>
            <w:shd w:val="clear" w:color="auto" w:fill="00B0F0"/>
            <w:noWrap/>
            <w:tcMar>
              <w:top w:w="0" w:type="dxa"/>
              <w:left w:w="108" w:type="dxa"/>
              <w:bottom w:w="0" w:type="dxa"/>
              <w:right w:w="108" w:type="dxa"/>
            </w:tcMar>
            <w:vAlign w:val="center"/>
            <w:hideMark/>
          </w:tcPr>
          <w:p w:rsidR="002E508F" w:rsidRDefault="005D0A03">
            <w:pPr>
              <w:spacing w:after="0"/>
              <w:jc w:val="center"/>
              <w:rPr>
                <w:rFonts w:ascii="Times New Roman" w:hAnsi="Times New Roman" w:cs="Times New Roman"/>
                <w:b/>
                <w:bCs/>
                <w:noProof/>
                <w:color w:val="FFFFFF" w:themeColor="background1"/>
                <w:sz w:val="18"/>
                <w:szCs w:val="18"/>
              </w:rPr>
            </w:pPr>
            <w:r>
              <w:rPr>
                <w:rFonts w:ascii="Times New Roman" w:hAnsi="Times New Roman" w:cs="Times New Roman"/>
                <w:b/>
                <w:bCs/>
                <w:noProof/>
                <w:color w:val="FFFFFF" w:themeColor="background1"/>
                <w:sz w:val="18"/>
                <w:szCs w:val="18"/>
              </w:rPr>
              <w:t>PO1</w:t>
            </w:r>
          </w:p>
        </w:tc>
        <w:tc>
          <w:tcPr>
            <w:tcW w:w="850" w:type="dxa"/>
            <w:tcBorders>
              <w:top w:val="nil"/>
              <w:left w:val="nil"/>
              <w:bottom w:val="single" w:sz="8" w:space="0" w:color="BFBFBF"/>
              <w:right w:val="single" w:sz="8" w:space="0" w:color="BFBFBF"/>
            </w:tcBorders>
            <w:shd w:val="clear" w:color="auto" w:fill="00B0F0"/>
            <w:noWrap/>
            <w:tcMar>
              <w:top w:w="0" w:type="dxa"/>
              <w:left w:w="108" w:type="dxa"/>
              <w:bottom w:w="0" w:type="dxa"/>
              <w:right w:w="108" w:type="dxa"/>
            </w:tcMar>
            <w:vAlign w:val="center"/>
            <w:hideMark/>
          </w:tcPr>
          <w:p w:rsidR="002E508F" w:rsidRDefault="005D0A03">
            <w:pPr>
              <w:spacing w:after="0"/>
              <w:jc w:val="center"/>
              <w:rPr>
                <w:rFonts w:ascii="Times New Roman" w:hAnsi="Times New Roman" w:cs="Times New Roman"/>
                <w:b/>
                <w:bCs/>
                <w:noProof/>
                <w:color w:val="FFFFFF" w:themeColor="background1"/>
                <w:sz w:val="18"/>
                <w:szCs w:val="18"/>
              </w:rPr>
            </w:pPr>
            <w:r>
              <w:rPr>
                <w:rFonts w:ascii="Times New Roman" w:hAnsi="Times New Roman" w:cs="Times New Roman"/>
                <w:b/>
                <w:bCs/>
                <w:noProof/>
                <w:color w:val="FFFFFF" w:themeColor="background1"/>
                <w:sz w:val="18"/>
                <w:szCs w:val="18"/>
              </w:rPr>
              <w:t>PO2</w:t>
            </w:r>
          </w:p>
        </w:tc>
        <w:tc>
          <w:tcPr>
            <w:tcW w:w="851" w:type="dxa"/>
            <w:tcBorders>
              <w:top w:val="nil"/>
              <w:left w:val="nil"/>
              <w:bottom w:val="single" w:sz="8" w:space="0" w:color="BFBFBF"/>
              <w:right w:val="single" w:sz="8" w:space="0" w:color="BFBFBF"/>
            </w:tcBorders>
            <w:shd w:val="clear" w:color="auto" w:fill="00B0F0"/>
            <w:noWrap/>
            <w:tcMar>
              <w:top w:w="0" w:type="dxa"/>
              <w:left w:w="108" w:type="dxa"/>
              <w:bottom w:w="0" w:type="dxa"/>
              <w:right w:w="108" w:type="dxa"/>
            </w:tcMar>
            <w:vAlign w:val="center"/>
            <w:hideMark/>
          </w:tcPr>
          <w:p w:rsidR="002E508F" w:rsidRDefault="005D0A03">
            <w:pPr>
              <w:spacing w:after="0"/>
              <w:jc w:val="center"/>
              <w:rPr>
                <w:rFonts w:ascii="Times New Roman" w:hAnsi="Times New Roman" w:cs="Times New Roman"/>
                <w:b/>
                <w:bCs/>
                <w:noProof/>
                <w:color w:val="FFFFFF" w:themeColor="background1"/>
                <w:sz w:val="18"/>
                <w:szCs w:val="18"/>
              </w:rPr>
            </w:pPr>
            <w:r>
              <w:rPr>
                <w:rFonts w:ascii="Times New Roman" w:hAnsi="Times New Roman" w:cs="Times New Roman"/>
                <w:b/>
                <w:bCs/>
                <w:noProof/>
                <w:color w:val="FFFFFF" w:themeColor="background1"/>
                <w:sz w:val="18"/>
                <w:szCs w:val="18"/>
              </w:rPr>
              <w:t>PO3a</w:t>
            </w:r>
          </w:p>
        </w:tc>
        <w:tc>
          <w:tcPr>
            <w:tcW w:w="850" w:type="dxa"/>
            <w:tcBorders>
              <w:top w:val="nil"/>
              <w:left w:val="nil"/>
              <w:bottom w:val="single" w:sz="8" w:space="0" w:color="BFBFBF"/>
              <w:right w:val="single" w:sz="8" w:space="0" w:color="BFBFBF"/>
            </w:tcBorders>
            <w:shd w:val="clear" w:color="auto" w:fill="00B0F0"/>
            <w:noWrap/>
            <w:tcMar>
              <w:top w:w="0" w:type="dxa"/>
              <w:left w:w="108" w:type="dxa"/>
              <w:bottom w:w="0" w:type="dxa"/>
              <w:right w:w="108" w:type="dxa"/>
            </w:tcMar>
            <w:vAlign w:val="center"/>
            <w:hideMark/>
          </w:tcPr>
          <w:p w:rsidR="002E508F" w:rsidRDefault="005D0A03">
            <w:pPr>
              <w:spacing w:after="0"/>
              <w:jc w:val="center"/>
              <w:rPr>
                <w:rFonts w:ascii="Times New Roman" w:hAnsi="Times New Roman" w:cs="Times New Roman"/>
                <w:b/>
                <w:bCs/>
                <w:noProof/>
                <w:color w:val="FFFFFF" w:themeColor="background1"/>
                <w:sz w:val="18"/>
                <w:szCs w:val="18"/>
              </w:rPr>
            </w:pPr>
            <w:r>
              <w:rPr>
                <w:rFonts w:ascii="Times New Roman" w:hAnsi="Times New Roman" w:cs="Times New Roman"/>
                <w:b/>
                <w:bCs/>
                <w:noProof/>
                <w:color w:val="FFFFFF" w:themeColor="background1"/>
                <w:sz w:val="18"/>
                <w:szCs w:val="18"/>
              </w:rPr>
              <w:t>PO3b</w:t>
            </w:r>
          </w:p>
        </w:tc>
        <w:tc>
          <w:tcPr>
            <w:tcW w:w="851" w:type="dxa"/>
            <w:tcBorders>
              <w:top w:val="nil"/>
              <w:left w:val="nil"/>
              <w:bottom w:val="single" w:sz="8" w:space="0" w:color="BFBFBF"/>
              <w:right w:val="single" w:sz="8" w:space="0" w:color="BFBFBF"/>
            </w:tcBorders>
            <w:shd w:val="clear" w:color="auto" w:fill="00B0F0"/>
            <w:noWrap/>
            <w:tcMar>
              <w:top w:w="0" w:type="dxa"/>
              <w:left w:w="108" w:type="dxa"/>
              <w:bottom w:w="0" w:type="dxa"/>
              <w:right w:w="108" w:type="dxa"/>
            </w:tcMar>
            <w:vAlign w:val="center"/>
            <w:hideMark/>
          </w:tcPr>
          <w:p w:rsidR="002E508F" w:rsidRDefault="005D0A03">
            <w:pPr>
              <w:spacing w:after="0"/>
              <w:jc w:val="center"/>
              <w:rPr>
                <w:rFonts w:ascii="Times New Roman" w:hAnsi="Times New Roman" w:cs="Times New Roman"/>
                <w:b/>
                <w:bCs/>
                <w:noProof/>
                <w:color w:val="FFFFFF" w:themeColor="background1"/>
                <w:sz w:val="18"/>
                <w:szCs w:val="18"/>
              </w:rPr>
            </w:pPr>
            <w:r>
              <w:rPr>
                <w:rFonts w:ascii="Times New Roman" w:hAnsi="Times New Roman" w:cs="Times New Roman"/>
                <w:b/>
                <w:bCs/>
                <w:noProof/>
                <w:color w:val="FFFFFF" w:themeColor="background1"/>
                <w:sz w:val="18"/>
                <w:szCs w:val="18"/>
              </w:rPr>
              <w:t>PO4a</w:t>
            </w:r>
          </w:p>
        </w:tc>
        <w:tc>
          <w:tcPr>
            <w:tcW w:w="850" w:type="dxa"/>
            <w:tcBorders>
              <w:top w:val="nil"/>
              <w:left w:val="nil"/>
              <w:bottom w:val="single" w:sz="8" w:space="0" w:color="BFBFBF"/>
              <w:right w:val="single" w:sz="8" w:space="0" w:color="BFBFBF"/>
            </w:tcBorders>
            <w:shd w:val="clear" w:color="auto" w:fill="00B0F0"/>
            <w:noWrap/>
            <w:tcMar>
              <w:top w:w="0" w:type="dxa"/>
              <w:left w:w="108" w:type="dxa"/>
              <w:bottom w:w="0" w:type="dxa"/>
              <w:right w:w="108" w:type="dxa"/>
            </w:tcMar>
            <w:vAlign w:val="center"/>
            <w:hideMark/>
          </w:tcPr>
          <w:p w:rsidR="002E508F" w:rsidRDefault="005D0A03">
            <w:pPr>
              <w:spacing w:after="0"/>
              <w:jc w:val="center"/>
              <w:rPr>
                <w:rFonts w:ascii="Times New Roman" w:hAnsi="Times New Roman" w:cs="Times New Roman"/>
                <w:b/>
                <w:bCs/>
                <w:noProof/>
                <w:color w:val="FFFFFF" w:themeColor="background1"/>
                <w:sz w:val="18"/>
                <w:szCs w:val="18"/>
              </w:rPr>
            </w:pPr>
            <w:r>
              <w:rPr>
                <w:rFonts w:ascii="Times New Roman" w:hAnsi="Times New Roman" w:cs="Times New Roman"/>
                <w:b/>
                <w:bCs/>
                <w:noProof/>
                <w:color w:val="FFFFFF" w:themeColor="background1"/>
                <w:sz w:val="18"/>
                <w:szCs w:val="18"/>
              </w:rPr>
              <w:t>PO4b</w:t>
            </w:r>
          </w:p>
        </w:tc>
        <w:tc>
          <w:tcPr>
            <w:tcW w:w="851" w:type="dxa"/>
            <w:tcBorders>
              <w:top w:val="nil"/>
              <w:left w:val="nil"/>
              <w:bottom w:val="single" w:sz="8" w:space="0" w:color="BFBFBF"/>
              <w:right w:val="single" w:sz="8" w:space="0" w:color="BFBFBF"/>
            </w:tcBorders>
            <w:shd w:val="clear" w:color="auto" w:fill="00B0F0"/>
            <w:noWrap/>
            <w:tcMar>
              <w:top w:w="0" w:type="dxa"/>
              <w:left w:w="108" w:type="dxa"/>
              <w:bottom w:w="0" w:type="dxa"/>
              <w:right w:w="108" w:type="dxa"/>
            </w:tcMar>
            <w:vAlign w:val="center"/>
            <w:hideMark/>
          </w:tcPr>
          <w:p w:rsidR="002E508F" w:rsidRDefault="005D0A03">
            <w:pPr>
              <w:spacing w:after="0"/>
              <w:jc w:val="center"/>
              <w:rPr>
                <w:rFonts w:ascii="Times New Roman" w:hAnsi="Times New Roman" w:cs="Times New Roman"/>
                <w:b/>
                <w:bCs/>
                <w:noProof/>
                <w:color w:val="FFFFFF" w:themeColor="background1"/>
                <w:sz w:val="18"/>
                <w:szCs w:val="18"/>
              </w:rPr>
            </w:pPr>
            <w:r>
              <w:rPr>
                <w:rFonts w:ascii="Times New Roman" w:hAnsi="Times New Roman" w:cs="Times New Roman"/>
                <w:b/>
                <w:bCs/>
                <w:noProof/>
                <w:color w:val="FFFFFF" w:themeColor="background1"/>
                <w:sz w:val="18"/>
                <w:szCs w:val="18"/>
              </w:rPr>
              <w:t>PO5</w:t>
            </w:r>
          </w:p>
        </w:tc>
        <w:tc>
          <w:tcPr>
            <w:tcW w:w="850" w:type="dxa"/>
            <w:tcBorders>
              <w:top w:val="nil"/>
              <w:left w:val="nil"/>
              <w:bottom w:val="single" w:sz="8" w:space="0" w:color="BFBFBF"/>
              <w:right w:val="single" w:sz="8" w:space="0" w:color="BFBFBF"/>
            </w:tcBorders>
            <w:shd w:val="clear" w:color="auto" w:fill="00B0F0"/>
          </w:tcPr>
          <w:p w:rsidR="002E508F" w:rsidRDefault="005D0A03">
            <w:pPr>
              <w:spacing w:after="0"/>
              <w:jc w:val="center"/>
              <w:rPr>
                <w:rFonts w:ascii="Times New Roman" w:hAnsi="Times New Roman" w:cs="Times New Roman"/>
                <w:b/>
                <w:bCs/>
                <w:noProof/>
                <w:color w:val="FFFFFF" w:themeColor="background1"/>
                <w:sz w:val="18"/>
                <w:szCs w:val="18"/>
              </w:rPr>
            </w:pPr>
            <w:r>
              <w:rPr>
                <w:rFonts w:ascii="Times New Roman" w:hAnsi="Times New Roman" w:cs="Times New Roman"/>
                <w:b/>
                <w:bCs/>
                <w:noProof/>
                <w:color w:val="FFFFFF" w:themeColor="background1"/>
                <w:sz w:val="18"/>
                <w:szCs w:val="18"/>
              </w:rPr>
              <w:t>PO6</w:t>
            </w:r>
          </w:p>
        </w:tc>
      </w:tr>
      <w:tr w:rsidR="002E508F">
        <w:trPr>
          <w:trHeight w:val="300"/>
        </w:trPr>
        <w:tc>
          <w:tcPr>
            <w:tcW w:w="1244"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rsidR="002E508F" w:rsidRDefault="005D0A03">
            <w:pPr>
              <w:spacing w:after="0"/>
              <w:jc w:val="center"/>
              <w:rPr>
                <w:rFonts w:ascii="Times New Roman" w:hAnsi="Times New Roman" w:cs="Times New Roman"/>
                <w:bCs/>
                <w:noProof/>
                <w:sz w:val="18"/>
                <w:szCs w:val="18"/>
              </w:rPr>
            </w:pPr>
            <w:r>
              <w:rPr>
                <w:rFonts w:ascii="Times New Roman" w:hAnsi="Times New Roman"/>
                <w:noProof/>
                <w:sz w:val="18"/>
                <w:szCs w:val="18"/>
                <w:lang w:eastAsia="en-GB"/>
              </w:rPr>
              <w:t>All vehicles procured</w:t>
            </w:r>
          </w:p>
        </w:tc>
        <w:tc>
          <w:tcPr>
            <w:tcW w:w="991"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rsidR="002E508F" w:rsidRDefault="005D0A03">
            <w:pPr>
              <w:spacing w:after="0"/>
              <w:jc w:val="center"/>
              <w:rPr>
                <w:rFonts w:ascii="Times New Roman" w:hAnsi="Times New Roman" w:cs="Times New Roman"/>
                <w:bCs/>
                <w:noProof/>
                <w:sz w:val="18"/>
                <w:szCs w:val="18"/>
                <w:highlight w:val="yellow"/>
              </w:rPr>
            </w:pPr>
            <w:r>
              <w:rPr>
                <w:rFonts w:ascii="Times New Roman" w:hAnsi="Times New Roman" w:cs="Times New Roman"/>
                <w:bCs/>
                <w:noProof/>
                <w:sz w:val="18"/>
                <w:szCs w:val="18"/>
              </w:rPr>
              <w:t>11,790</w:t>
            </w:r>
          </w:p>
        </w:tc>
        <w:tc>
          <w:tcPr>
            <w:tcW w:w="992" w:type="dxa"/>
            <w:tcBorders>
              <w:top w:val="single" w:sz="4" w:space="0" w:color="A6A6A6"/>
              <w:left w:val="nil"/>
              <w:bottom w:val="single" w:sz="4" w:space="0" w:color="A6A6A6"/>
              <w:right w:val="single" w:sz="4" w:space="0" w:color="A6A6A6"/>
            </w:tcBorders>
            <w:shd w:val="clear" w:color="auto" w:fill="auto"/>
            <w:noWrap/>
            <w:tcMar>
              <w:top w:w="0" w:type="dxa"/>
              <w:left w:w="108" w:type="dxa"/>
              <w:bottom w:w="0" w:type="dxa"/>
              <w:right w:w="108" w:type="dxa"/>
            </w:tcMar>
            <w:vAlign w:val="center"/>
          </w:tcPr>
          <w:p w:rsidR="002E508F" w:rsidRDefault="005D0A03">
            <w:pPr>
              <w:spacing w:after="0"/>
              <w:jc w:val="center"/>
              <w:rPr>
                <w:rFonts w:ascii="Times New Roman" w:hAnsi="Times New Roman" w:cs="Times New Roman"/>
                <w:bCs/>
                <w:noProof/>
                <w:color w:val="000000"/>
                <w:sz w:val="18"/>
                <w:szCs w:val="18"/>
              </w:rPr>
            </w:pPr>
            <w:r>
              <w:rPr>
                <w:rFonts w:ascii="Times New Roman" w:hAnsi="Times New Roman" w:cs="Times New Roman"/>
                <w:bCs/>
                <w:noProof/>
                <w:color w:val="000000"/>
                <w:sz w:val="18"/>
                <w:szCs w:val="18"/>
              </w:rPr>
              <w:t xml:space="preserve">0  </w:t>
            </w:r>
          </w:p>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color w:val="000000"/>
                <w:sz w:val="18"/>
                <w:szCs w:val="18"/>
              </w:rPr>
              <w:t>(0%)</w:t>
            </w:r>
          </w:p>
        </w:tc>
        <w:tc>
          <w:tcPr>
            <w:tcW w:w="850" w:type="dxa"/>
            <w:tcBorders>
              <w:top w:val="single" w:sz="4" w:space="0" w:color="A6A6A6"/>
              <w:left w:val="nil"/>
              <w:bottom w:val="single" w:sz="4" w:space="0" w:color="A6A6A6"/>
              <w:right w:val="single" w:sz="4" w:space="0" w:color="A6A6A6"/>
            </w:tcBorders>
            <w:shd w:val="clear" w:color="auto" w:fill="auto"/>
            <w:noWrap/>
            <w:tcMar>
              <w:top w:w="0" w:type="dxa"/>
              <w:left w:w="108" w:type="dxa"/>
              <w:bottom w:w="0" w:type="dxa"/>
              <w:right w:w="108" w:type="dxa"/>
            </w:tcMar>
            <w:vAlign w:val="center"/>
          </w:tcPr>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-560  </w:t>
            </w:r>
          </w:p>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(-5%)</w:t>
            </w:r>
          </w:p>
        </w:tc>
        <w:tc>
          <w:tcPr>
            <w:tcW w:w="851" w:type="dxa"/>
            <w:tcBorders>
              <w:top w:val="single" w:sz="4" w:space="0" w:color="A6A6A6"/>
              <w:left w:val="nil"/>
              <w:bottom w:val="single" w:sz="4" w:space="0" w:color="A6A6A6"/>
              <w:right w:val="single" w:sz="4" w:space="0" w:color="A6A6A6"/>
            </w:tcBorders>
            <w:shd w:val="clear" w:color="auto" w:fill="auto"/>
            <w:noWrap/>
            <w:tcMar>
              <w:top w:w="0" w:type="dxa"/>
              <w:left w:w="108" w:type="dxa"/>
              <w:bottom w:w="0" w:type="dxa"/>
              <w:right w:w="108" w:type="dxa"/>
            </w:tcMar>
            <w:vAlign w:val="center"/>
          </w:tcPr>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-590  </w:t>
            </w:r>
          </w:p>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(-5%)</w:t>
            </w:r>
          </w:p>
        </w:tc>
        <w:tc>
          <w:tcPr>
            <w:tcW w:w="850" w:type="dxa"/>
            <w:tcBorders>
              <w:top w:val="single" w:sz="4" w:space="0" w:color="A6A6A6"/>
              <w:left w:val="nil"/>
              <w:bottom w:val="single" w:sz="4" w:space="0" w:color="A6A6A6"/>
              <w:right w:val="single" w:sz="4" w:space="0" w:color="A6A6A6"/>
            </w:tcBorders>
            <w:shd w:val="clear" w:color="auto" w:fill="auto"/>
            <w:noWrap/>
            <w:tcMar>
              <w:top w:w="0" w:type="dxa"/>
              <w:left w:w="108" w:type="dxa"/>
              <w:bottom w:w="0" w:type="dxa"/>
              <w:right w:w="108" w:type="dxa"/>
            </w:tcMar>
            <w:vAlign w:val="center"/>
          </w:tcPr>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-590  </w:t>
            </w:r>
          </w:p>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(-5%)</w:t>
            </w:r>
          </w:p>
        </w:tc>
        <w:tc>
          <w:tcPr>
            <w:tcW w:w="851" w:type="dxa"/>
            <w:tcBorders>
              <w:top w:val="single" w:sz="4" w:space="0" w:color="A6A6A6"/>
              <w:left w:val="nil"/>
              <w:bottom w:val="single" w:sz="4" w:space="0" w:color="A6A6A6"/>
              <w:right w:val="single" w:sz="4" w:space="0" w:color="A6A6A6"/>
            </w:tcBorders>
            <w:shd w:val="clear" w:color="auto" w:fill="auto"/>
            <w:noWrap/>
            <w:tcMar>
              <w:top w:w="0" w:type="dxa"/>
              <w:left w:w="108" w:type="dxa"/>
              <w:bottom w:w="0" w:type="dxa"/>
              <w:right w:w="108" w:type="dxa"/>
            </w:tcMar>
            <w:vAlign w:val="center"/>
          </w:tcPr>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-950  </w:t>
            </w:r>
          </w:p>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(-8%)</w:t>
            </w:r>
          </w:p>
        </w:tc>
        <w:tc>
          <w:tcPr>
            <w:tcW w:w="850" w:type="dxa"/>
            <w:tcBorders>
              <w:top w:val="single" w:sz="4" w:space="0" w:color="A6A6A6"/>
              <w:left w:val="nil"/>
              <w:bottom w:val="single" w:sz="4" w:space="0" w:color="A6A6A6"/>
              <w:right w:val="single" w:sz="4" w:space="0" w:color="A6A6A6"/>
            </w:tcBorders>
            <w:shd w:val="clear" w:color="auto" w:fill="auto"/>
            <w:noWrap/>
            <w:tcMar>
              <w:top w:w="0" w:type="dxa"/>
              <w:left w:w="108" w:type="dxa"/>
              <w:bottom w:w="0" w:type="dxa"/>
              <w:right w:w="108" w:type="dxa"/>
            </w:tcMar>
            <w:vAlign w:val="center"/>
          </w:tcPr>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-1,690  </w:t>
            </w:r>
          </w:p>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(-14%)</w:t>
            </w:r>
          </w:p>
        </w:tc>
        <w:tc>
          <w:tcPr>
            <w:tcW w:w="851" w:type="dxa"/>
            <w:tcBorders>
              <w:top w:val="single" w:sz="4" w:space="0" w:color="A6A6A6"/>
              <w:left w:val="nil"/>
              <w:bottom w:val="single" w:sz="4" w:space="0" w:color="A6A6A6"/>
              <w:right w:val="single" w:sz="4" w:space="0" w:color="A6A6A6"/>
            </w:tcBorders>
            <w:shd w:val="clear" w:color="auto" w:fill="auto"/>
            <w:noWrap/>
            <w:tcMar>
              <w:top w:w="0" w:type="dxa"/>
              <w:left w:w="108" w:type="dxa"/>
              <w:bottom w:w="0" w:type="dxa"/>
              <w:right w:w="108" w:type="dxa"/>
            </w:tcMar>
            <w:vAlign w:val="center"/>
          </w:tcPr>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 xml:space="preserve">-6,710  </w:t>
            </w:r>
          </w:p>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(-57%)</w:t>
            </w:r>
          </w:p>
        </w:tc>
        <w:tc>
          <w:tcPr>
            <w:tcW w:w="850" w:type="dxa"/>
            <w:tcBorders>
              <w:top w:val="single" w:sz="4" w:space="0" w:color="A6A6A6"/>
              <w:left w:val="nil"/>
              <w:bottom w:val="single" w:sz="4" w:space="0" w:color="A6A6A6"/>
              <w:right w:val="single" w:sz="4" w:space="0" w:color="A6A6A6"/>
            </w:tcBorders>
          </w:tcPr>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-1,800</w:t>
            </w:r>
          </w:p>
          <w:p w:rsidR="002E508F" w:rsidRDefault="005D0A03">
            <w:pPr>
              <w:spacing w:after="0"/>
              <w:jc w:val="center"/>
              <w:rPr>
                <w:rFonts w:ascii="Times New Roman" w:hAnsi="Times New Roman" w:cs="Times New Roman"/>
                <w:bCs/>
                <w:noProof/>
                <w:sz w:val="18"/>
                <w:szCs w:val="18"/>
              </w:rPr>
            </w:pPr>
            <w:r>
              <w:rPr>
                <w:rFonts w:ascii="Times New Roman" w:hAnsi="Times New Roman" w:cs="Times New Roman"/>
                <w:bCs/>
                <w:noProof/>
                <w:sz w:val="18"/>
                <w:szCs w:val="18"/>
              </w:rPr>
              <w:t>(-15%)</w:t>
            </w:r>
          </w:p>
        </w:tc>
      </w:tr>
    </w:tbl>
    <w:p w:rsidR="002E508F" w:rsidRDefault="005D0A03">
      <w:pPr>
        <w:spacing w:line="240" w:lineRule="auto"/>
        <w:jc w:val="both"/>
        <w:rPr>
          <w:rFonts w:ascii="Times New Roman" w:hAnsi="Times New Roman" w:cs="Times New Roman"/>
          <w:i/>
          <w:noProof/>
          <w:sz w:val="18"/>
          <w:szCs w:val="18"/>
        </w:rPr>
      </w:pPr>
      <w:r>
        <w:rPr>
          <w:rFonts w:ascii="Times New Roman" w:hAnsi="Times New Roman" w:cs="Times New Roman"/>
          <w:noProof/>
          <w:sz w:val="20"/>
          <w:szCs w:val="20"/>
        </w:rPr>
        <w:t xml:space="preserve">Source: </w:t>
      </w:r>
      <w:r>
        <w:rPr>
          <w:rFonts w:ascii="Times New Roman" w:hAnsi="Times New Roman" w:cs="Times New Roman"/>
          <w:i/>
          <w:noProof/>
          <w:sz w:val="20"/>
          <w:szCs w:val="20"/>
        </w:rPr>
        <w:t>Ricardo (2017) Support Study to the Impact Assessment of the Clean Vehicles Directive</w:t>
      </w:r>
      <w:r>
        <w:rPr>
          <w:rFonts w:ascii="Times New Roman" w:hAnsi="Times New Roman" w:cs="Times New Roman"/>
          <w:noProof/>
          <w:sz w:val="20"/>
          <w:szCs w:val="20"/>
        </w:rPr>
        <w:t xml:space="preserve"> </w:t>
      </w:r>
    </w:p>
    <w:p w:rsidR="002E508F" w:rsidRDefault="005D0A03">
      <w:pPr>
        <w:pStyle w:val="Heading3"/>
        <w:rPr>
          <w:noProof/>
        </w:rPr>
      </w:pPr>
      <w:bookmarkStart w:id="62" w:name="_Toc497141516"/>
      <w:r>
        <w:rPr>
          <w:noProof/>
        </w:rPr>
        <w:t>Energy consumption</w:t>
      </w:r>
      <w:bookmarkEnd w:id="62"/>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Over the lifetime of the vehicles procured, all policy options lead to savings in energy consumption compared to the baseline (table 6.8). Highest savings are projected in the policy options with strong monetary methodology. However, even under the strong assumptions of PO5, the level of savings remains small compared to the overall energy consumption in the transport sector.</w:t>
      </w:r>
      <w:r>
        <w:rPr>
          <w:rStyle w:val="FootnoteReference"/>
          <w:rFonts w:ascii="Times New Roman" w:hAnsi="Times New Roman" w:cs="Times New Roman"/>
          <w:noProof/>
        </w:rPr>
        <w:footnoteReference w:id="94"/>
      </w:r>
      <w:r>
        <w:rPr>
          <w:rFonts w:ascii="Times New Roman" w:hAnsi="Times New Roman" w:cs="Times New Roman"/>
          <w:noProof/>
        </w:rPr>
        <w:t xml:space="preserve"> This underlines the supporting role the Clean Vehicles Directive has for other policy levers in this area, including the CO</w:t>
      </w:r>
      <w:r>
        <w:rPr>
          <w:rFonts w:ascii="Times New Roman" w:hAnsi="Times New Roman" w:cs="Times New Roman"/>
          <w:noProof/>
          <w:vertAlign w:val="subscript"/>
        </w:rPr>
        <w:t>2</w:t>
      </w:r>
      <w:r>
        <w:rPr>
          <w:rFonts w:ascii="Times New Roman" w:hAnsi="Times New Roman" w:cs="Times New Roman"/>
          <w:noProof/>
        </w:rPr>
        <w:t xml:space="preserve"> emission performance standards for cars and vans, but also potentially for trucks and buses. </w:t>
      </w:r>
    </w:p>
    <w:p w:rsidR="002E508F" w:rsidRDefault="005D0A03">
      <w:pPr>
        <w:spacing w:after="0" w:line="240" w:lineRule="auto"/>
        <w:rPr>
          <w:rFonts w:ascii="Times New Roman" w:hAnsi="Times New Roman" w:cs="Times New Roman"/>
          <w:b/>
          <w:noProof/>
          <w:sz w:val="20"/>
          <w:szCs w:val="20"/>
        </w:rPr>
      </w:pPr>
      <w:bookmarkStart w:id="63" w:name="_Ref485370058"/>
      <w:bookmarkStart w:id="64" w:name="_Toc485829444"/>
      <w:r>
        <w:rPr>
          <w:rFonts w:ascii="Times New Roman" w:hAnsi="Times New Roman" w:cs="Times New Roman"/>
          <w:b/>
          <w:noProof/>
          <w:sz w:val="20"/>
          <w:szCs w:val="20"/>
        </w:rPr>
        <w:t xml:space="preserve">Table </w:t>
      </w:r>
      <w:bookmarkEnd w:id="63"/>
      <w:r>
        <w:rPr>
          <w:rFonts w:ascii="Times New Roman" w:hAnsi="Times New Roman" w:cs="Times New Roman"/>
          <w:b/>
          <w:noProof/>
          <w:sz w:val="20"/>
          <w:szCs w:val="20"/>
        </w:rPr>
        <w:t xml:space="preserve">6.8 Cumulative impacts on energy consumption relative to the baseline - effects estimated over the lifetime of the vehicles procured during 2020-2035 </w:t>
      </w:r>
      <w:bookmarkEnd w:id="64"/>
      <w:r>
        <w:rPr>
          <w:rFonts w:ascii="Times New Roman" w:hAnsi="Times New Roman" w:cs="Times New Roman"/>
          <w:b/>
          <w:noProof/>
          <w:sz w:val="20"/>
          <w:szCs w:val="20"/>
        </w:rPr>
        <w:t>(in thousand terajoules and % change)</w:t>
      </w:r>
    </w:p>
    <w:tbl>
      <w:tblPr>
        <w:tblStyle w:val="CVD"/>
        <w:tblW w:w="4943" w:type="pct"/>
        <w:tblLayout w:type="fixed"/>
        <w:tblLook w:val="04A0" w:firstRow="1" w:lastRow="0" w:firstColumn="1" w:lastColumn="0" w:noHBand="0" w:noVBand="1"/>
      </w:tblPr>
      <w:tblGrid>
        <w:gridCol w:w="1282"/>
        <w:gridCol w:w="953"/>
        <w:gridCol w:w="850"/>
        <w:gridCol w:w="852"/>
        <w:gridCol w:w="848"/>
        <w:gridCol w:w="993"/>
        <w:gridCol w:w="852"/>
        <w:gridCol w:w="850"/>
        <w:gridCol w:w="852"/>
        <w:gridCol w:w="848"/>
      </w:tblGrid>
      <w:tr w:rsidR="002E508F" w:rsidTr="002E508F">
        <w:trPr>
          <w:cnfStyle w:val="100000000000" w:firstRow="1" w:lastRow="0" w:firstColumn="0" w:lastColumn="0" w:oddVBand="0" w:evenVBand="0" w:oddHBand="0" w:evenHBand="0" w:firstRowFirstColumn="0" w:firstRowLastColumn="0" w:lastRowFirstColumn="0" w:lastRowLastColumn="0"/>
          <w:trHeight w:val="300"/>
          <w:tblHeader/>
        </w:trPr>
        <w:tc>
          <w:tcPr>
            <w:tcW w:w="698" w:type="pct"/>
            <w:vMerge w:val="restart"/>
            <w:noWrap/>
          </w:tcPr>
          <w:p w:rsidR="002E508F" w:rsidRDefault="002E508F">
            <w:pPr>
              <w:rPr>
                <w:rFonts w:ascii="Times New Roman" w:hAnsi="Times New Roman"/>
                <w:b/>
                <w:bCs/>
                <w:noProof/>
                <w:color w:val="FFFFFF"/>
                <w:sz w:val="18"/>
                <w:szCs w:val="18"/>
                <w:lang w:eastAsia="en-GB"/>
              </w:rPr>
            </w:pPr>
          </w:p>
        </w:tc>
        <w:tc>
          <w:tcPr>
            <w:tcW w:w="519" w:type="pct"/>
            <w:vMerge w:val="restart"/>
            <w:hideMark/>
          </w:tcPr>
          <w:p w:rsidR="002E508F" w:rsidRDefault="005D0A03">
            <w:pPr>
              <w:rPr>
                <w:rFonts w:ascii="Times New Roman" w:hAnsi="Times New Roman"/>
                <w:b/>
                <w:bCs/>
                <w:noProof/>
                <w:color w:val="FFFFFF"/>
                <w:sz w:val="18"/>
                <w:szCs w:val="18"/>
              </w:rPr>
            </w:pPr>
            <w:r>
              <w:rPr>
                <w:rFonts w:ascii="Times New Roman" w:hAnsi="Times New Roman"/>
                <w:b/>
                <w:bCs/>
                <w:noProof/>
                <w:color w:val="FFFFFF"/>
                <w:sz w:val="18"/>
                <w:szCs w:val="18"/>
              </w:rPr>
              <w:t>Baseline</w:t>
            </w:r>
          </w:p>
        </w:tc>
        <w:tc>
          <w:tcPr>
            <w:tcW w:w="3783" w:type="pct"/>
            <w:gridSpan w:val="8"/>
            <w:noWrap/>
            <w:hideMark/>
          </w:tcPr>
          <w:p w:rsidR="002E508F" w:rsidRDefault="005D0A03">
            <w:pPr>
              <w:rPr>
                <w:rFonts w:ascii="Times New Roman" w:hAnsi="Times New Roman"/>
                <w:b/>
                <w:bCs/>
                <w:noProof/>
                <w:color w:val="FFFFFF"/>
                <w:sz w:val="18"/>
                <w:szCs w:val="18"/>
              </w:rPr>
            </w:pPr>
            <w:r>
              <w:rPr>
                <w:rFonts w:ascii="Times New Roman" w:hAnsi="Times New Roman"/>
                <w:b/>
                <w:bCs/>
                <w:noProof/>
                <w:color w:val="FFFFFF"/>
                <w:sz w:val="18"/>
                <w:szCs w:val="18"/>
              </w:rPr>
              <w:t>Net change from the baseline (thousand terajoules and % change)</w:t>
            </w:r>
          </w:p>
        </w:tc>
      </w:tr>
      <w:tr w:rsidR="002E508F" w:rsidTr="002E508F">
        <w:trPr>
          <w:cnfStyle w:val="100000000000" w:firstRow="1" w:lastRow="0" w:firstColumn="0" w:lastColumn="0" w:oddVBand="0" w:evenVBand="0" w:oddHBand="0" w:evenHBand="0" w:firstRowFirstColumn="0" w:firstRowLastColumn="0" w:lastRowFirstColumn="0" w:lastRowLastColumn="0"/>
          <w:trHeight w:val="300"/>
          <w:tblHeader/>
        </w:trPr>
        <w:tc>
          <w:tcPr>
            <w:tcW w:w="698" w:type="pct"/>
            <w:vMerge/>
            <w:noWrap/>
            <w:hideMark/>
          </w:tcPr>
          <w:p w:rsidR="002E508F" w:rsidRDefault="002E508F">
            <w:pPr>
              <w:rPr>
                <w:rFonts w:ascii="Times New Roman" w:hAnsi="Times New Roman"/>
                <w:b/>
                <w:bCs/>
                <w:noProof/>
                <w:color w:val="FFFFFF"/>
                <w:sz w:val="18"/>
                <w:szCs w:val="18"/>
              </w:rPr>
            </w:pPr>
          </w:p>
        </w:tc>
        <w:tc>
          <w:tcPr>
            <w:tcW w:w="519" w:type="pct"/>
            <w:vMerge/>
            <w:hideMark/>
          </w:tcPr>
          <w:p w:rsidR="002E508F" w:rsidRDefault="002E508F">
            <w:pPr>
              <w:rPr>
                <w:rFonts w:ascii="Times New Roman" w:hAnsi="Times New Roman"/>
                <w:b/>
                <w:bCs/>
                <w:noProof/>
                <w:color w:val="FFFFFF"/>
                <w:sz w:val="18"/>
                <w:szCs w:val="18"/>
              </w:rPr>
            </w:pPr>
          </w:p>
        </w:tc>
        <w:tc>
          <w:tcPr>
            <w:tcW w:w="463" w:type="pct"/>
            <w:noWrap/>
            <w:hideMark/>
          </w:tcPr>
          <w:p w:rsidR="002E508F" w:rsidRDefault="005D0A03">
            <w:pPr>
              <w:rPr>
                <w:rFonts w:ascii="Times New Roman" w:hAnsi="Times New Roman"/>
                <w:b/>
                <w:bCs/>
                <w:noProof/>
                <w:color w:val="FFFFFF"/>
                <w:sz w:val="18"/>
                <w:szCs w:val="18"/>
              </w:rPr>
            </w:pPr>
            <w:r>
              <w:rPr>
                <w:rFonts w:ascii="Times New Roman" w:hAnsi="Times New Roman"/>
                <w:b/>
                <w:bCs/>
                <w:noProof/>
                <w:color w:val="FFFFFF"/>
                <w:sz w:val="18"/>
                <w:szCs w:val="18"/>
              </w:rPr>
              <w:t>PO1</w:t>
            </w:r>
          </w:p>
        </w:tc>
        <w:tc>
          <w:tcPr>
            <w:tcW w:w="464" w:type="pct"/>
            <w:noWrap/>
            <w:hideMark/>
          </w:tcPr>
          <w:p w:rsidR="002E508F" w:rsidRDefault="005D0A03">
            <w:pPr>
              <w:rPr>
                <w:rFonts w:ascii="Times New Roman" w:hAnsi="Times New Roman"/>
                <w:b/>
                <w:bCs/>
                <w:noProof/>
                <w:color w:val="FFFFFF"/>
                <w:sz w:val="18"/>
                <w:szCs w:val="18"/>
              </w:rPr>
            </w:pPr>
            <w:r>
              <w:rPr>
                <w:rFonts w:ascii="Times New Roman" w:hAnsi="Times New Roman"/>
                <w:b/>
                <w:bCs/>
                <w:noProof/>
                <w:color w:val="FFFFFF"/>
                <w:sz w:val="18"/>
                <w:szCs w:val="18"/>
              </w:rPr>
              <w:t>PO2</w:t>
            </w:r>
          </w:p>
        </w:tc>
        <w:tc>
          <w:tcPr>
            <w:tcW w:w="462" w:type="pct"/>
            <w:noWrap/>
            <w:hideMark/>
          </w:tcPr>
          <w:p w:rsidR="002E508F" w:rsidRDefault="005D0A03">
            <w:pPr>
              <w:rPr>
                <w:rFonts w:ascii="Times New Roman" w:hAnsi="Times New Roman"/>
                <w:b/>
                <w:bCs/>
                <w:noProof/>
                <w:color w:val="FFFFFF"/>
                <w:sz w:val="18"/>
                <w:szCs w:val="18"/>
              </w:rPr>
            </w:pPr>
            <w:r>
              <w:rPr>
                <w:rFonts w:ascii="Times New Roman" w:hAnsi="Times New Roman"/>
                <w:b/>
                <w:bCs/>
                <w:noProof/>
                <w:color w:val="FFFFFF"/>
                <w:sz w:val="18"/>
                <w:szCs w:val="18"/>
              </w:rPr>
              <w:t>PO3a</w:t>
            </w:r>
          </w:p>
        </w:tc>
        <w:tc>
          <w:tcPr>
            <w:tcW w:w="541" w:type="pct"/>
            <w:noWrap/>
            <w:hideMark/>
          </w:tcPr>
          <w:p w:rsidR="002E508F" w:rsidRDefault="005D0A03">
            <w:pPr>
              <w:rPr>
                <w:rFonts w:ascii="Times New Roman" w:hAnsi="Times New Roman"/>
                <w:b/>
                <w:bCs/>
                <w:noProof/>
                <w:color w:val="FFFFFF"/>
                <w:sz w:val="18"/>
                <w:szCs w:val="18"/>
              </w:rPr>
            </w:pPr>
            <w:r>
              <w:rPr>
                <w:rFonts w:ascii="Times New Roman" w:hAnsi="Times New Roman"/>
                <w:b/>
                <w:bCs/>
                <w:noProof/>
                <w:color w:val="FFFFFF"/>
                <w:sz w:val="18"/>
                <w:szCs w:val="18"/>
              </w:rPr>
              <w:t>PO3b</w:t>
            </w:r>
          </w:p>
        </w:tc>
        <w:tc>
          <w:tcPr>
            <w:tcW w:w="464" w:type="pct"/>
            <w:noWrap/>
            <w:hideMark/>
          </w:tcPr>
          <w:p w:rsidR="002E508F" w:rsidRDefault="005D0A03">
            <w:pPr>
              <w:rPr>
                <w:rFonts w:ascii="Times New Roman" w:hAnsi="Times New Roman"/>
                <w:b/>
                <w:bCs/>
                <w:noProof/>
                <w:color w:val="FFFFFF"/>
                <w:sz w:val="18"/>
                <w:szCs w:val="18"/>
              </w:rPr>
            </w:pPr>
            <w:r>
              <w:rPr>
                <w:rFonts w:ascii="Times New Roman" w:hAnsi="Times New Roman"/>
                <w:b/>
                <w:bCs/>
                <w:noProof/>
                <w:color w:val="FFFFFF"/>
                <w:sz w:val="18"/>
                <w:szCs w:val="18"/>
              </w:rPr>
              <w:t>PO4a</w:t>
            </w:r>
          </w:p>
        </w:tc>
        <w:tc>
          <w:tcPr>
            <w:tcW w:w="463" w:type="pct"/>
            <w:noWrap/>
            <w:hideMark/>
          </w:tcPr>
          <w:p w:rsidR="002E508F" w:rsidRDefault="005D0A03">
            <w:pPr>
              <w:rPr>
                <w:rFonts w:ascii="Times New Roman" w:hAnsi="Times New Roman"/>
                <w:b/>
                <w:bCs/>
                <w:noProof/>
                <w:color w:val="FFFFFF"/>
                <w:sz w:val="18"/>
                <w:szCs w:val="18"/>
              </w:rPr>
            </w:pPr>
            <w:r>
              <w:rPr>
                <w:rFonts w:ascii="Times New Roman" w:hAnsi="Times New Roman"/>
                <w:b/>
                <w:bCs/>
                <w:noProof/>
                <w:color w:val="FFFFFF"/>
                <w:sz w:val="18"/>
                <w:szCs w:val="18"/>
              </w:rPr>
              <w:t>PO4b</w:t>
            </w:r>
          </w:p>
        </w:tc>
        <w:tc>
          <w:tcPr>
            <w:tcW w:w="464" w:type="pct"/>
            <w:noWrap/>
            <w:hideMark/>
          </w:tcPr>
          <w:p w:rsidR="002E508F" w:rsidRDefault="005D0A03">
            <w:pPr>
              <w:rPr>
                <w:rFonts w:ascii="Times New Roman" w:hAnsi="Times New Roman"/>
                <w:b/>
                <w:bCs/>
                <w:noProof/>
                <w:color w:val="FFFFFF"/>
                <w:sz w:val="18"/>
                <w:szCs w:val="18"/>
              </w:rPr>
            </w:pPr>
            <w:r>
              <w:rPr>
                <w:rFonts w:ascii="Times New Roman" w:hAnsi="Times New Roman"/>
                <w:b/>
                <w:bCs/>
                <w:noProof/>
                <w:color w:val="FFFFFF"/>
                <w:sz w:val="18"/>
                <w:szCs w:val="18"/>
              </w:rPr>
              <w:t>PO5</w:t>
            </w:r>
          </w:p>
        </w:tc>
        <w:tc>
          <w:tcPr>
            <w:tcW w:w="462" w:type="pct"/>
          </w:tcPr>
          <w:p w:rsidR="002E508F" w:rsidRDefault="005D0A03">
            <w:pPr>
              <w:rPr>
                <w:rFonts w:ascii="Times New Roman" w:hAnsi="Times New Roman"/>
                <w:b/>
                <w:bCs/>
                <w:noProof/>
                <w:color w:val="FFFFFF"/>
                <w:sz w:val="18"/>
                <w:szCs w:val="18"/>
              </w:rPr>
            </w:pPr>
            <w:r>
              <w:rPr>
                <w:rFonts w:ascii="Times New Roman" w:hAnsi="Times New Roman"/>
                <w:b/>
                <w:bCs/>
                <w:noProof/>
                <w:color w:val="FFFFFF"/>
                <w:sz w:val="18"/>
                <w:szCs w:val="18"/>
              </w:rPr>
              <w:t>PO6</w:t>
            </w:r>
          </w:p>
        </w:tc>
      </w:tr>
      <w:tr w:rsidR="002E508F" w:rsidTr="002E508F">
        <w:trPr>
          <w:trHeight w:val="300"/>
        </w:trPr>
        <w:tc>
          <w:tcPr>
            <w:tcW w:w="698" w:type="pct"/>
            <w:noWrap/>
            <w:hideMark/>
          </w:tcPr>
          <w:p w:rsidR="002E508F" w:rsidRDefault="005D0A03">
            <w:pPr>
              <w:rPr>
                <w:rFonts w:ascii="Times New Roman" w:hAnsi="Times New Roman"/>
                <w:b/>
                <w:bCs/>
                <w:noProof/>
                <w:sz w:val="18"/>
                <w:szCs w:val="18"/>
              </w:rPr>
            </w:pPr>
            <w:r>
              <w:rPr>
                <w:rFonts w:ascii="Times New Roman" w:hAnsi="Times New Roman"/>
                <w:noProof/>
                <w:sz w:val="18"/>
                <w:szCs w:val="18"/>
                <w:lang w:eastAsia="en-GB"/>
              </w:rPr>
              <w:t>All vehicles procured</w:t>
            </w:r>
          </w:p>
        </w:tc>
        <w:tc>
          <w:tcPr>
            <w:tcW w:w="519" w:type="pct"/>
            <w:tcBorders>
              <w:top w:val="single" w:sz="4" w:space="0" w:color="A6A6A6"/>
              <w:left w:val="single" w:sz="4" w:space="0" w:color="A6A6A6"/>
              <w:bottom w:val="single" w:sz="4" w:space="0" w:color="A6A6A6"/>
              <w:right w:val="single" w:sz="4" w:space="0" w:color="A6A6A6"/>
            </w:tcBorders>
            <w:shd w:val="clear" w:color="auto" w:fill="auto"/>
          </w:tcPr>
          <w:p w:rsidR="002E508F" w:rsidRDefault="005D0A03">
            <w:pPr>
              <w:rPr>
                <w:rFonts w:ascii="Times New Roman" w:hAnsi="Times New Roman"/>
                <w:bCs/>
                <w:noProof/>
                <w:sz w:val="18"/>
                <w:szCs w:val="18"/>
                <w:highlight w:val="yellow"/>
              </w:rPr>
            </w:pPr>
            <w:r>
              <w:rPr>
                <w:rFonts w:ascii="Times New Roman" w:hAnsi="Times New Roman"/>
                <w:bCs/>
                <w:noProof/>
                <w:sz w:val="18"/>
                <w:szCs w:val="18"/>
              </w:rPr>
              <w:t>3,340</w:t>
            </w:r>
          </w:p>
        </w:tc>
        <w:tc>
          <w:tcPr>
            <w:tcW w:w="463" w:type="pct"/>
            <w:tcBorders>
              <w:top w:val="single" w:sz="4" w:space="0" w:color="A6A6A6"/>
              <w:left w:val="nil"/>
              <w:bottom w:val="single" w:sz="4" w:space="0" w:color="A6A6A6"/>
              <w:right w:val="single" w:sz="4" w:space="0" w:color="A6A6A6"/>
            </w:tcBorders>
            <w:shd w:val="clear" w:color="auto" w:fill="auto"/>
            <w:noWrap/>
          </w:tcPr>
          <w:p w:rsidR="002E508F" w:rsidRDefault="005D0A03">
            <w:pPr>
              <w:rPr>
                <w:rFonts w:ascii="Times New Roman" w:hAnsi="Times New Roman"/>
                <w:bCs/>
                <w:noProof/>
                <w:color w:val="000000"/>
                <w:sz w:val="18"/>
                <w:szCs w:val="18"/>
              </w:rPr>
            </w:pPr>
            <w:r>
              <w:rPr>
                <w:rFonts w:ascii="Times New Roman" w:hAnsi="Times New Roman"/>
                <w:bCs/>
                <w:noProof/>
                <w:color w:val="000000"/>
                <w:sz w:val="18"/>
                <w:szCs w:val="18"/>
              </w:rPr>
              <w:t xml:space="preserve">0.0 </w:t>
            </w:r>
          </w:p>
          <w:p w:rsidR="002E508F" w:rsidRDefault="005D0A03">
            <w:pPr>
              <w:rPr>
                <w:rFonts w:ascii="Times New Roman" w:hAnsi="Times New Roman"/>
                <w:bCs/>
                <w:noProof/>
                <w:sz w:val="18"/>
                <w:szCs w:val="18"/>
              </w:rPr>
            </w:pPr>
            <w:r>
              <w:rPr>
                <w:rFonts w:ascii="Times New Roman" w:hAnsi="Times New Roman"/>
                <w:bCs/>
                <w:noProof/>
                <w:color w:val="000000"/>
                <w:sz w:val="18"/>
                <w:szCs w:val="18"/>
              </w:rPr>
              <w:t>(0%)</w:t>
            </w:r>
          </w:p>
        </w:tc>
        <w:tc>
          <w:tcPr>
            <w:tcW w:w="464" w:type="pct"/>
            <w:tcBorders>
              <w:top w:val="single" w:sz="4" w:space="0" w:color="A6A6A6"/>
              <w:left w:val="nil"/>
              <w:bottom w:val="single" w:sz="4" w:space="0" w:color="A6A6A6"/>
              <w:right w:val="single" w:sz="4" w:space="0" w:color="A6A6A6"/>
            </w:tcBorders>
            <w:shd w:val="clear" w:color="auto" w:fill="auto"/>
            <w:noWrap/>
          </w:tcPr>
          <w:p w:rsidR="002E508F" w:rsidRDefault="005D0A03">
            <w:pPr>
              <w:rPr>
                <w:rFonts w:ascii="Times New Roman" w:hAnsi="Times New Roman"/>
                <w:bCs/>
                <w:noProof/>
                <w:color w:val="000000"/>
                <w:sz w:val="18"/>
                <w:szCs w:val="18"/>
              </w:rPr>
            </w:pPr>
            <w:r>
              <w:rPr>
                <w:rFonts w:ascii="Times New Roman" w:hAnsi="Times New Roman"/>
                <w:bCs/>
                <w:noProof/>
                <w:color w:val="000000"/>
                <w:sz w:val="18"/>
                <w:szCs w:val="18"/>
              </w:rPr>
              <w:t xml:space="preserve">-140 </w:t>
            </w:r>
          </w:p>
          <w:p w:rsidR="002E508F" w:rsidRDefault="005D0A03">
            <w:pPr>
              <w:rPr>
                <w:rFonts w:ascii="Times New Roman" w:hAnsi="Times New Roman"/>
                <w:bCs/>
                <w:noProof/>
                <w:sz w:val="18"/>
                <w:szCs w:val="18"/>
              </w:rPr>
            </w:pPr>
            <w:r>
              <w:rPr>
                <w:rFonts w:ascii="Times New Roman" w:hAnsi="Times New Roman"/>
                <w:bCs/>
                <w:noProof/>
                <w:color w:val="000000"/>
                <w:sz w:val="18"/>
                <w:szCs w:val="18"/>
              </w:rPr>
              <w:t>(-4%)</w:t>
            </w:r>
          </w:p>
        </w:tc>
        <w:tc>
          <w:tcPr>
            <w:tcW w:w="462" w:type="pct"/>
            <w:tcBorders>
              <w:top w:val="single" w:sz="4" w:space="0" w:color="A6A6A6"/>
              <w:left w:val="nil"/>
              <w:bottom w:val="single" w:sz="4" w:space="0" w:color="A6A6A6"/>
              <w:right w:val="single" w:sz="4" w:space="0" w:color="A6A6A6"/>
            </w:tcBorders>
            <w:shd w:val="clear" w:color="auto" w:fill="auto"/>
            <w:noWrap/>
          </w:tcPr>
          <w:p w:rsidR="002E508F" w:rsidRDefault="005D0A03">
            <w:pPr>
              <w:rPr>
                <w:rFonts w:ascii="Times New Roman" w:hAnsi="Times New Roman"/>
                <w:bCs/>
                <w:noProof/>
                <w:color w:val="000000"/>
                <w:sz w:val="18"/>
                <w:szCs w:val="18"/>
              </w:rPr>
            </w:pPr>
            <w:r>
              <w:rPr>
                <w:rFonts w:ascii="Times New Roman" w:hAnsi="Times New Roman"/>
                <w:bCs/>
                <w:noProof/>
                <w:color w:val="000000"/>
                <w:sz w:val="18"/>
                <w:szCs w:val="18"/>
              </w:rPr>
              <w:t xml:space="preserve">-110 </w:t>
            </w:r>
          </w:p>
          <w:p w:rsidR="002E508F" w:rsidRDefault="005D0A03">
            <w:pPr>
              <w:rPr>
                <w:rFonts w:ascii="Times New Roman" w:hAnsi="Times New Roman"/>
                <w:bCs/>
                <w:noProof/>
                <w:sz w:val="18"/>
                <w:szCs w:val="18"/>
              </w:rPr>
            </w:pPr>
            <w:r>
              <w:rPr>
                <w:rFonts w:ascii="Times New Roman" w:hAnsi="Times New Roman"/>
                <w:bCs/>
                <w:noProof/>
                <w:color w:val="000000"/>
                <w:sz w:val="18"/>
                <w:szCs w:val="18"/>
              </w:rPr>
              <w:t>(-3%)</w:t>
            </w:r>
          </w:p>
        </w:tc>
        <w:tc>
          <w:tcPr>
            <w:tcW w:w="541" w:type="pct"/>
            <w:tcBorders>
              <w:top w:val="single" w:sz="4" w:space="0" w:color="A6A6A6"/>
              <w:left w:val="nil"/>
              <w:bottom w:val="single" w:sz="4" w:space="0" w:color="A6A6A6"/>
              <w:right w:val="single" w:sz="4" w:space="0" w:color="A6A6A6"/>
            </w:tcBorders>
            <w:shd w:val="clear" w:color="auto" w:fill="auto"/>
            <w:noWrap/>
          </w:tcPr>
          <w:p w:rsidR="002E508F" w:rsidRDefault="005D0A03">
            <w:pPr>
              <w:rPr>
                <w:rFonts w:ascii="Times New Roman" w:hAnsi="Times New Roman"/>
                <w:bCs/>
                <w:noProof/>
                <w:color w:val="000000"/>
                <w:sz w:val="18"/>
                <w:szCs w:val="18"/>
              </w:rPr>
            </w:pPr>
            <w:r>
              <w:rPr>
                <w:rFonts w:ascii="Times New Roman" w:hAnsi="Times New Roman"/>
                <w:bCs/>
                <w:noProof/>
                <w:color w:val="000000"/>
                <w:sz w:val="18"/>
                <w:szCs w:val="18"/>
              </w:rPr>
              <w:t xml:space="preserve">-100 </w:t>
            </w:r>
          </w:p>
          <w:p w:rsidR="002E508F" w:rsidRDefault="005D0A03">
            <w:pPr>
              <w:rPr>
                <w:rFonts w:ascii="Times New Roman" w:hAnsi="Times New Roman"/>
                <w:bCs/>
                <w:noProof/>
                <w:sz w:val="18"/>
                <w:szCs w:val="18"/>
              </w:rPr>
            </w:pPr>
            <w:r>
              <w:rPr>
                <w:rFonts w:ascii="Times New Roman" w:hAnsi="Times New Roman"/>
                <w:bCs/>
                <w:noProof/>
                <w:color w:val="000000"/>
                <w:sz w:val="18"/>
                <w:szCs w:val="18"/>
              </w:rPr>
              <w:t>(-3%)</w:t>
            </w:r>
          </w:p>
        </w:tc>
        <w:tc>
          <w:tcPr>
            <w:tcW w:w="464" w:type="pct"/>
            <w:tcBorders>
              <w:top w:val="single" w:sz="4" w:space="0" w:color="A6A6A6"/>
              <w:left w:val="nil"/>
              <w:bottom w:val="single" w:sz="4" w:space="0" w:color="A6A6A6"/>
              <w:right w:val="single" w:sz="4" w:space="0" w:color="A6A6A6"/>
            </w:tcBorders>
            <w:shd w:val="clear" w:color="auto" w:fill="auto"/>
            <w:noWrap/>
          </w:tcPr>
          <w:p w:rsidR="002E508F" w:rsidRDefault="005D0A03">
            <w:pPr>
              <w:rPr>
                <w:rFonts w:ascii="Times New Roman" w:hAnsi="Times New Roman"/>
                <w:bCs/>
                <w:noProof/>
                <w:color w:val="000000"/>
                <w:sz w:val="18"/>
                <w:szCs w:val="18"/>
              </w:rPr>
            </w:pPr>
            <w:r>
              <w:rPr>
                <w:rFonts w:ascii="Times New Roman" w:hAnsi="Times New Roman"/>
                <w:bCs/>
                <w:noProof/>
                <w:color w:val="000000"/>
                <w:sz w:val="18"/>
                <w:szCs w:val="18"/>
              </w:rPr>
              <w:t xml:space="preserve">-180 </w:t>
            </w:r>
          </w:p>
          <w:p w:rsidR="002E508F" w:rsidRDefault="005D0A03">
            <w:pPr>
              <w:rPr>
                <w:rFonts w:ascii="Times New Roman" w:hAnsi="Times New Roman"/>
                <w:bCs/>
                <w:noProof/>
                <w:sz w:val="18"/>
                <w:szCs w:val="18"/>
              </w:rPr>
            </w:pPr>
            <w:r>
              <w:rPr>
                <w:rFonts w:ascii="Times New Roman" w:hAnsi="Times New Roman"/>
                <w:bCs/>
                <w:noProof/>
                <w:color w:val="000000"/>
                <w:sz w:val="18"/>
                <w:szCs w:val="18"/>
              </w:rPr>
              <w:t>(-5%)</w:t>
            </w:r>
          </w:p>
        </w:tc>
        <w:tc>
          <w:tcPr>
            <w:tcW w:w="463" w:type="pct"/>
            <w:tcBorders>
              <w:top w:val="single" w:sz="4" w:space="0" w:color="A6A6A6"/>
              <w:left w:val="nil"/>
              <w:bottom w:val="single" w:sz="4" w:space="0" w:color="A6A6A6"/>
              <w:right w:val="single" w:sz="4" w:space="0" w:color="A6A6A6"/>
            </w:tcBorders>
            <w:shd w:val="clear" w:color="auto" w:fill="auto"/>
            <w:noWrap/>
          </w:tcPr>
          <w:p w:rsidR="002E508F" w:rsidRDefault="005D0A03">
            <w:pPr>
              <w:rPr>
                <w:rFonts w:ascii="Times New Roman" w:hAnsi="Times New Roman"/>
                <w:bCs/>
                <w:noProof/>
                <w:color w:val="000000"/>
                <w:sz w:val="18"/>
                <w:szCs w:val="18"/>
              </w:rPr>
            </w:pPr>
            <w:r>
              <w:rPr>
                <w:rFonts w:ascii="Times New Roman" w:hAnsi="Times New Roman"/>
                <w:bCs/>
                <w:noProof/>
                <w:color w:val="000000"/>
                <w:sz w:val="18"/>
                <w:szCs w:val="18"/>
              </w:rPr>
              <w:t xml:space="preserve">-320 </w:t>
            </w:r>
          </w:p>
          <w:p w:rsidR="002E508F" w:rsidRDefault="005D0A03">
            <w:pPr>
              <w:rPr>
                <w:rFonts w:ascii="Times New Roman" w:hAnsi="Times New Roman"/>
                <w:bCs/>
                <w:noProof/>
                <w:sz w:val="18"/>
                <w:szCs w:val="18"/>
              </w:rPr>
            </w:pPr>
            <w:r>
              <w:rPr>
                <w:rFonts w:ascii="Times New Roman" w:hAnsi="Times New Roman"/>
                <w:bCs/>
                <w:noProof/>
                <w:color w:val="000000"/>
                <w:sz w:val="18"/>
                <w:szCs w:val="18"/>
              </w:rPr>
              <w:t>(-10%)</w:t>
            </w:r>
          </w:p>
        </w:tc>
        <w:tc>
          <w:tcPr>
            <w:tcW w:w="464" w:type="pct"/>
            <w:tcBorders>
              <w:top w:val="single" w:sz="4" w:space="0" w:color="A6A6A6"/>
              <w:left w:val="nil"/>
              <w:bottom w:val="single" w:sz="4" w:space="0" w:color="A6A6A6"/>
              <w:right w:val="single" w:sz="4" w:space="0" w:color="A6A6A6"/>
            </w:tcBorders>
            <w:shd w:val="clear" w:color="auto" w:fill="auto"/>
            <w:noWrap/>
          </w:tcPr>
          <w:p w:rsidR="002E508F" w:rsidRDefault="005D0A03">
            <w:pPr>
              <w:rPr>
                <w:rFonts w:ascii="Times New Roman" w:hAnsi="Times New Roman"/>
                <w:bCs/>
                <w:noProof/>
                <w:color w:val="000000"/>
                <w:sz w:val="18"/>
                <w:szCs w:val="18"/>
              </w:rPr>
            </w:pPr>
            <w:r>
              <w:rPr>
                <w:rFonts w:ascii="Times New Roman" w:hAnsi="Times New Roman"/>
                <w:bCs/>
                <w:noProof/>
                <w:color w:val="000000"/>
                <w:sz w:val="18"/>
                <w:szCs w:val="18"/>
              </w:rPr>
              <w:t xml:space="preserve">-1,580 </w:t>
            </w:r>
          </w:p>
          <w:p w:rsidR="002E508F" w:rsidRDefault="005D0A03">
            <w:pPr>
              <w:rPr>
                <w:rFonts w:ascii="Times New Roman" w:hAnsi="Times New Roman"/>
                <w:bCs/>
                <w:noProof/>
                <w:sz w:val="18"/>
                <w:szCs w:val="18"/>
              </w:rPr>
            </w:pPr>
            <w:r>
              <w:rPr>
                <w:rFonts w:ascii="Times New Roman" w:hAnsi="Times New Roman"/>
                <w:bCs/>
                <w:noProof/>
                <w:color w:val="000000"/>
                <w:sz w:val="18"/>
                <w:szCs w:val="18"/>
              </w:rPr>
              <w:t>(-47%)</w:t>
            </w:r>
          </w:p>
        </w:tc>
        <w:tc>
          <w:tcPr>
            <w:tcW w:w="462" w:type="pct"/>
            <w:tcBorders>
              <w:top w:val="single" w:sz="4" w:space="0" w:color="A6A6A6"/>
              <w:left w:val="nil"/>
              <w:bottom w:val="single" w:sz="4" w:space="0" w:color="A6A6A6"/>
              <w:right w:val="single" w:sz="4" w:space="0" w:color="A6A6A6"/>
            </w:tcBorders>
            <w:vAlign w:val="top"/>
          </w:tcPr>
          <w:p w:rsidR="002E508F" w:rsidRDefault="005D0A03">
            <w:pPr>
              <w:rPr>
                <w:rFonts w:ascii="Times New Roman" w:hAnsi="Times New Roman"/>
                <w:bCs/>
                <w:noProof/>
                <w:color w:val="000000"/>
                <w:sz w:val="18"/>
                <w:szCs w:val="18"/>
              </w:rPr>
            </w:pPr>
            <w:r>
              <w:rPr>
                <w:rFonts w:ascii="Times New Roman" w:hAnsi="Times New Roman"/>
                <w:bCs/>
                <w:noProof/>
                <w:color w:val="000000"/>
                <w:sz w:val="18"/>
                <w:szCs w:val="18"/>
              </w:rPr>
              <w:t>-340</w:t>
            </w:r>
          </w:p>
          <w:p w:rsidR="002E508F" w:rsidRDefault="005D0A03">
            <w:pPr>
              <w:rPr>
                <w:rFonts w:ascii="Times New Roman" w:hAnsi="Times New Roman"/>
                <w:bCs/>
                <w:noProof/>
                <w:color w:val="000000"/>
                <w:sz w:val="18"/>
                <w:szCs w:val="18"/>
              </w:rPr>
            </w:pPr>
            <w:r>
              <w:rPr>
                <w:rFonts w:ascii="Times New Roman" w:hAnsi="Times New Roman"/>
                <w:bCs/>
                <w:noProof/>
                <w:color w:val="000000"/>
                <w:sz w:val="18"/>
                <w:szCs w:val="18"/>
              </w:rPr>
              <w:t>(-10%)</w:t>
            </w:r>
          </w:p>
        </w:tc>
      </w:tr>
    </w:tbl>
    <w:p w:rsidR="002E508F" w:rsidRDefault="005D0A03">
      <w:pPr>
        <w:spacing w:after="0" w:line="240" w:lineRule="auto"/>
        <w:jc w:val="both"/>
        <w:rPr>
          <w:rFonts w:ascii="Times New Roman" w:hAnsi="Times New Roman" w:cs="Times New Roman"/>
          <w:noProof/>
        </w:rPr>
      </w:pPr>
      <w:r>
        <w:rPr>
          <w:rFonts w:ascii="Times New Roman" w:hAnsi="Times New Roman" w:cs="Times New Roman"/>
          <w:noProof/>
          <w:sz w:val="20"/>
          <w:szCs w:val="20"/>
        </w:rPr>
        <w:t xml:space="preserve">Source: </w:t>
      </w:r>
      <w:r>
        <w:rPr>
          <w:rFonts w:ascii="Times New Roman" w:hAnsi="Times New Roman" w:cs="Times New Roman"/>
          <w:i/>
          <w:noProof/>
          <w:sz w:val="20"/>
          <w:szCs w:val="20"/>
        </w:rPr>
        <w:t>Ricardo (2017) Support Study to the Impact Assessment of the Clean Vehicles Directive</w:t>
      </w:r>
      <w:r>
        <w:rPr>
          <w:rFonts w:ascii="Times New Roman" w:hAnsi="Times New Roman" w:cs="Times New Roman"/>
          <w:noProof/>
          <w:sz w:val="20"/>
          <w:szCs w:val="20"/>
        </w:rPr>
        <w:t xml:space="preserve"> </w:t>
      </w:r>
    </w:p>
    <w:p w:rsidR="002E508F" w:rsidRDefault="002E508F">
      <w:pPr>
        <w:spacing w:after="0" w:line="240" w:lineRule="auto"/>
        <w:jc w:val="both"/>
        <w:rPr>
          <w:rFonts w:ascii="Times New Roman" w:hAnsi="Times New Roman" w:cs="Times New Roman"/>
          <w:noProof/>
        </w:rPr>
      </w:pPr>
    </w:p>
    <w:p w:rsidR="002E508F" w:rsidRDefault="005D0A03">
      <w:pPr>
        <w:pStyle w:val="Heading3"/>
        <w:rPr>
          <w:noProof/>
        </w:rPr>
      </w:pPr>
      <w:bookmarkStart w:id="65" w:name="_Toc497141517"/>
      <w:r>
        <w:rPr>
          <w:noProof/>
        </w:rPr>
        <w:t>Air quality</w:t>
      </w:r>
      <w:bookmarkEnd w:id="65"/>
      <w:r>
        <w:rPr>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analysis of impacts on air pollutants covers impacts on non-methane hydrocarbons (NMHCs), nitrogen oxide (NOx) emissions and particulate matter (PM10). Table 6.9 shows that all policy options lead to NOx and PM10 reductions over the lifetime of the vehicles procured. Emissions of NMHC are expected to raise under all policy options except PO3a and PO3b.  This is because of the reduced use of diesel vehicles and the increased use of petrol cars and vans over a longer period of time in PO2 and PO5 as well as the increased use of natural gas (CNG/LNG) vehicles in PO4a, PO4b and PO6. Further information on the breakdown of air pollutant emission reductions by vehicle category is provided in the Impact Assessment Support Study (Annex 8). </w:t>
      </w:r>
    </w:p>
    <w:p w:rsidR="002E508F" w:rsidRDefault="005D0A03">
      <w:pPr>
        <w:rPr>
          <w:rFonts w:ascii="Times New Roman" w:hAnsi="Times New Roman" w:cs="Times New Roman"/>
          <w:b/>
          <w:noProof/>
          <w:sz w:val="20"/>
          <w:szCs w:val="20"/>
        </w:rPr>
      </w:pPr>
      <w:bookmarkStart w:id="66" w:name="_Toc485829446"/>
      <w:r>
        <w:rPr>
          <w:rFonts w:ascii="Times New Roman" w:hAnsi="Times New Roman" w:cs="Times New Roman"/>
          <w:b/>
          <w:noProof/>
          <w:sz w:val="20"/>
          <w:szCs w:val="20"/>
        </w:rPr>
        <w:t xml:space="preserve">Table 6.9: </w:t>
      </w:r>
      <w:bookmarkEnd w:id="66"/>
      <w:r>
        <w:rPr>
          <w:rFonts w:ascii="Times New Roman" w:hAnsi="Times New Roman" w:cs="Times New Roman"/>
          <w:b/>
          <w:noProof/>
          <w:sz w:val="20"/>
          <w:szCs w:val="20"/>
        </w:rPr>
        <w:t>Cumulative impacts on non-methane hydrocarbon (NMHC), NOx and PM10 emissions relative to the baseline - effects over the lifetime of the vehicles procured during 2020-2035</w:t>
      </w:r>
    </w:p>
    <w:tbl>
      <w:tblPr>
        <w:tblStyle w:val="CVD"/>
        <w:tblW w:w="4943" w:type="pct"/>
        <w:tblLayout w:type="fixed"/>
        <w:tblLook w:val="04A0" w:firstRow="1" w:lastRow="0" w:firstColumn="1" w:lastColumn="0" w:noHBand="0" w:noVBand="1"/>
      </w:tblPr>
      <w:tblGrid>
        <w:gridCol w:w="1386"/>
        <w:gridCol w:w="993"/>
        <w:gridCol w:w="854"/>
        <w:gridCol w:w="852"/>
        <w:gridCol w:w="854"/>
        <w:gridCol w:w="852"/>
        <w:gridCol w:w="852"/>
        <w:gridCol w:w="852"/>
        <w:gridCol w:w="857"/>
        <w:gridCol w:w="828"/>
      </w:tblGrid>
      <w:tr w:rsidR="002E508F" w:rsidTr="002E508F">
        <w:trPr>
          <w:cnfStyle w:val="100000000000" w:firstRow="1" w:lastRow="0" w:firstColumn="0" w:lastColumn="0" w:oddVBand="0" w:evenVBand="0" w:oddHBand="0" w:evenHBand="0" w:firstRowFirstColumn="0" w:firstRowLastColumn="0" w:lastRowFirstColumn="0" w:lastRowLastColumn="0"/>
          <w:trHeight w:val="300"/>
          <w:tblHeader/>
        </w:trPr>
        <w:tc>
          <w:tcPr>
            <w:tcW w:w="754" w:type="pct"/>
          </w:tcPr>
          <w:p w:rsidR="002E508F" w:rsidRDefault="002E508F">
            <w:pPr>
              <w:spacing w:after="0" w:line="240" w:lineRule="auto"/>
              <w:rPr>
                <w:rFonts w:ascii="Times New Roman" w:hAnsi="Times New Roman"/>
                <w:b/>
                <w:bCs/>
                <w:noProof/>
                <w:sz w:val="18"/>
                <w:szCs w:val="18"/>
                <w:lang w:eastAsia="en-GB"/>
              </w:rPr>
            </w:pPr>
          </w:p>
        </w:tc>
        <w:tc>
          <w:tcPr>
            <w:tcW w:w="541" w:type="pct"/>
          </w:tcPr>
          <w:p w:rsidR="002E508F" w:rsidRDefault="005D0A03">
            <w:pPr>
              <w:spacing w:after="0" w:line="240" w:lineRule="auto"/>
              <w:rPr>
                <w:rFonts w:ascii="Times New Roman" w:hAnsi="Times New Roman"/>
                <w:b/>
                <w:bCs/>
                <w:noProof/>
                <w:sz w:val="18"/>
                <w:szCs w:val="18"/>
                <w:lang w:eastAsia="en-GB"/>
              </w:rPr>
            </w:pPr>
            <w:r>
              <w:rPr>
                <w:rFonts w:ascii="Times New Roman" w:hAnsi="Times New Roman"/>
                <w:b/>
                <w:bCs/>
                <w:noProof/>
                <w:sz w:val="18"/>
                <w:szCs w:val="18"/>
                <w:lang w:eastAsia="en-GB"/>
              </w:rPr>
              <w:t>Baseline</w:t>
            </w:r>
          </w:p>
        </w:tc>
        <w:tc>
          <w:tcPr>
            <w:tcW w:w="465" w:type="pct"/>
            <w:noWrap/>
            <w:hideMark/>
          </w:tcPr>
          <w:p w:rsidR="002E508F" w:rsidRDefault="005D0A03">
            <w:pPr>
              <w:spacing w:after="0" w:line="240" w:lineRule="auto"/>
              <w:rPr>
                <w:rFonts w:ascii="Times New Roman" w:hAnsi="Times New Roman"/>
                <w:b/>
                <w:bCs/>
                <w:noProof/>
                <w:sz w:val="18"/>
                <w:szCs w:val="18"/>
                <w:lang w:eastAsia="en-GB"/>
              </w:rPr>
            </w:pPr>
            <w:r>
              <w:rPr>
                <w:rFonts w:ascii="Times New Roman" w:hAnsi="Times New Roman"/>
                <w:b/>
                <w:bCs/>
                <w:noProof/>
                <w:sz w:val="18"/>
                <w:szCs w:val="18"/>
                <w:lang w:eastAsia="en-GB"/>
              </w:rPr>
              <w:t>PO1</w:t>
            </w:r>
          </w:p>
        </w:tc>
        <w:tc>
          <w:tcPr>
            <w:tcW w:w="464" w:type="pct"/>
            <w:noWrap/>
            <w:hideMark/>
          </w:tcPr>
          <w:p w:rsidR="002E508F" w:rsidRDefault="005D0A03">
            <w:pPr>
              <w:spacing w:after="0" w:line="240" w:lineRule="auto"/>
              <w:rPr>
                <w:rFonts w:ascii="Times New Roman" w:hAnsi="Times New Roman"/>
                <w:b/>
                <w:bCs/>
                <w:noProof/>
                <w:sz w:val="18"/>
                <w:szCs w:val="18"/>
                <w:lang w:eastAsia="en-GB"/>
              </w:rPr>
            </w:pPr>
            <w:r>
              <w:rPr>
                <w:rFonts w:ascii="Times New Roman" w:hAnsi="Times New Roman"/>
                <w:b/>
                <w:bCs/>
                <w:noProof/>
                <w:sz w:val="18"/>
                <w:szCs w:val="18"/>
                <w:lang w:eastAsia="en-GB"/>
              </w:rPr>
              <w:t>PO2</w:t>
            </w:r>
          </w:p>
        </w:tc>
        <w:tc>
          <w:tcPr>
            <w:tcW w:w="465" w:type="pct"/>
            <w:noWrap/>
            <w:hideMark/>
          </w:tcPr>
          <w:p w:rsidR="002E508F" w:rsidRDefault="005D0A03">
            <w:pPr>
              <w:spacing w:after="0" w:line="240" w:lineRule="auto"/>
              <w:rPr>
                <w:rFonts w:ascii="Times New Roman" w:hAnsi="Times New Roman"/>
                <w:b/>
                <w:bCs/>
                <w:noProof/>
                <w:sz w:val="18"/>
                <w:szCs w:val="18"/>
                <w:lang w:eastAsia="en-GB"/>
              </w:rPr>
            </w:pPr>
            <w:r>
              <w:rPr>
                <w:rFonts w:ascii="Times New Roman" w:hAnsi="Times New Roman"/>
                <w:b/>
                <w:bCs/>
                <w:noProof/>
                <w:sz w:val="18"/>
                <w:szCs w:val="18"/>
                <w:lang w:eastAsia="en-GB"/>
              </w:rPr>
              <w:t>PO3a</w:t>
            </w:r>
          </w:p>
        </w:tc>
        <w:tc>
          <w:tcPr>
            <w:tcW w:w="464" w:type="pct"/>
            <w:noWrap/>
            <w:hideMark/>
          </w:tcPr>
          <w:p w:rsidR="002E508F" w:rsidRDefault="005D0A03">
            <w:pPr>
              <w:spacing w:after="0" w:line="240" w:lineRule="auto"/>
              <w:rPr>
                <w:rFonts w:ascii="Times New Roman" w:hAnsi="Times New Roman"/>
                <w:b/>
                <w:bCs/>
                <w:noProof/>
                <w:sz w:val="18"/>
                <w:szCs w:val="18"/>
                <w:lang w:eastAsia="en-GB"/>
              </w:rPr>
            </w:pPr>
            <w:r>
              <w:rPr>
                <w:rFonts w:ascii="Times New Roman" w:hAnsi="Times New Roman"/>
                <w:b/>
                <w:bCs/>
                <w:noProof/>
                <w:sz w:val="18"/>
                <w:szCs w:val="18"/>
                <w:lang w:eastAsia="en-GB"/>
              </w:rPr>
              <w:t>PO3b</w:t>
            </w:r>
          </w:p>
        </w:tc>
        <w:tc>
          <w:tcPr>
            <w:tcW w:w="464" w:type="pct"/>
            <w:noWrap/>
            <w:hideMark/>
          </w:tcPr>
          <w:p w:rsidR="002E508F" w:rsidRDefault="005D0A03">
            <w:pPr>
              <w:spacing w:after="0" w:line="240" w:lineRule="auto"/>
              <w:rPr>
                <w:rFonts w:ascii="Times New Roman" w:hAnsi="Times New Roman"/>
                <w:b/>
                <w:bCs/>
                <w:noProof/>
                <w:sz w:val="18"/>
                <w:szCs w:val="18"/>
                <w:lang w:eastAsia="en-GB"/>
              </w:rPr>
            </w:pPr>
            <w:r>
              <w:rPr>
                <w:rFonts w:ascii="Times New Roman" w:hAnsi="Times New Roman"/>
                <w:b/>
                <w:bCs/>
                <w:noProof/>
                <w:sz w:val="18"/>
                <w:szCs w:val="18"/>
                <w:lang w:eastAsia="en-GB"/>
              </w:rPr>
              <w:t>PO4a</w:t>
            </w:r>
          </w:p>
        </w:tc>
        <w:tc>
          <w:tcPr>
            <w:tcW w:w="464" w:type="pct"/>
            <w:noWrap/>
            <w:hideMark/>
          </w:tcPr>
          <w:p w:rsidR="002E508F" w:rsidRDefault="005D0A03">
            <w:pPr>
              <w:spacing w:after="0" w:line="240" w:lineRule="auto"/>
              <w:rPr>
                <w:rFonts w:ascii="Times New Roman" w:hAnsi="Times New Roman"/>
                <w:b/>
                <w:bCs/>
                <w:noProof/>
                <w:sz w:val="18"/>
                <w:szCs w:val="18"/>
                <w:lang w:eastAsia="en-GB"/>
              </w:rPr>
            </w:pPr>
            <w:r>
              <w:rPr>
                <w:rFonts w:ascii="Times New Roman" w:hAnsi="Times New Roman"/>
                <w:b/>
                <w:bCs/>
                <w:noProof/>
                <w:sz w:val="18"/>
                <w:szCs w:val="18"/>
                <w:lang w:eastAsia="en-GB"/>
              </w:rPr>
              <w:t>PO4b</w:t>
            </w:r>
          </w:p>
        </w:tc>
        <w:tc>
          <w:tcPr>
            <w:tcW w:w="467" w:type="pct"/>
            <w:noWrap/>
            <w:hideMark/>
          </w:tcPr>
          <w:p w:rsidR="002E508F" w:rsidRDefault="005D0A03">
            <w:pPr>
              <w:spacing w:after="0" w:line="240" w:lineRule="auto"/>
              <w:rPr>
                <w:rFonts w:ascii="Times New Roman" w:hAnsi="Times New Roman"/>
                <w:b/>
                <w:bCs/>
                <w:noProof/>
                <w:sz w:val="18"/>
                <w:szCs w:val="18"/>
                <w:lang w:eastAsia="en-GB"/>
              </w:rPr>
            </w:pPr>
            <w:r>
              <w:rPr>
                <w:rFonts w:ascii="Times New Roman" w:hAnsi="Times New Roman"/>
                <w:b/>
                <w:bCs/>
                <w:noProof/>
                <w:sz w:val="18"/>
                <w:szCs w:val="18"/>
                <w:lang w:eastAsia="en-GB"/>
              </w:rPr>
              <w:t>PO5</w:t>
            </w:r>
          </w:p>
        </w:tc>
        <w:tc>
          <w:tcPr>
            <w:tcW w:w="452" w:type="pct"/>
          </w:tcPr>
          <w:p w:rsidR="002E508F" w:rsidRDefault="005D0A03">
            <w:pPr>
              <w:spacing w:after="0" w:line="240" w:lineRule="auto"/>
              <w:rPr>
                <w:rFonts w:ascii="Times New Roman" w:hAnsi="Times New Roman"/>
                <w:b/>
                <w:bCs/>
                <w:noProof/>
                <w:sz w:val="18"/>
                <w:szCs w:val="18"/>
                <w:lang w:eastAsia="en-GB"/>
              </w:rPr>
            </w:pPr>
            <w:r>
              <w:rPr>
                <w:rFonts w:ascii="Times New Roman" w:hAnsi="Times New Roman"/>
                <w:b/>
                <w:bCs/>
                <w:noProof/>
                <w:sz w:val="18"/>
                <w:szCs w:val="18"/>
                <w:lang w:eastAsia="en-GB"/>
              </w:rPr>
              <w:t>PO6</w:t>
            </w:r>
          </w:p>
        </w:tc>
      </w:tr>
      <w:tr w:rsidR="002E508F" w:rsidTr="002E508F">
        <w:trPr>
          <w:trHeight w:val="300"/>
        </w:trPr>
        <w:tc>
          <w:tcPr>
            <w:tcW w:w="5000" w:type="pct"/>
            <w:gridSpan w:val="10"/>
            <w:shd w:val="clear" w:color="auto" w:fill="00B0F0"/>
          </w:tcPr>
          <w:p w:rsidR="002E508F" w:rsidRDefault="005D0A03">
            <w:pPr>
              <w:spacing w:after="0" w:line="240" w:lineRule="auto"/>
              <w:rPr>
                <w:rFonts w:ascii="Times New Roman" w:hAnsi="Times New Roman"/>
                <w:b/>
                <w:bCs/>
                <w:noProof/>
                <w:color w:val="FFFFFF" w:themeColor="background1"/>
                <w:sz w:val="18"/>
                <w:szCs w:val="18"/>
                <w:lang w:eastAsia="en-GB"/>
              </w:rPr>
            </w:pPr>
            <w:r>
              <w:rPr>
                <w:rFonts w:ascii="Times New Roman" w:hAnsi="Times New Roman"/>
                <w:b/>
                <w:bCs/>
                <w:noProof/>
                <w:color w:val="FFFFFF" w:themeColor="background1"/>
                <w:sz w:val="18"/>
                <w:szCs w:val="18"/>
                <w:lang w:eastAsia="en-GB"/>
              </w:rPr>
              <w:t>NMHC emissions savings (difference in tonnes and % change to the baseline)</w:t>
            </w:r>
          </w:p>
        </w:tc>
      </w:tr>
      <w:tr w:rsidR="002E508F" w:rsidTr="002E508F">
        <w:trPr>
          <w:trHeight w:val="300"/>
        </w:trPr>
        <w:tc>
          <w:tcPr>
            <w:tcW w:w="755" w:type="pct"/>
          </w:tcPr>
          <w:p w:rsidR="002E508F" w:rsidRDefault="005D0A03">
            <w:pPr>
              <w:spacing w:after="0" w:line="240" w:lineRule="auto"/>
              <w:rPr>
                <w:rFonts w:ascii="Times New Roman" w:hAnsi="Times New Roman"/>
                <w:b/>
                <w:noProof/>
                <w:sz w:val="18"/>
                <w:szCs w:val="18"/>
                <w:lang w:eastAsia="en-GB"/>
              </w:rPr>
            </w:pPr>
            <w:r>
              <w:rPr>
                <w:rFonts w:ascii="Times New Roman" w:hAnsi="Times New Roman"/>
                <w:noProof/>
                <w:sz w:val="18"/>
                <w:szCs w:val="18"/>
                <w:lang w:eastAsia="en-GB"/>
              </w:rPr>
              <w:t>All vehicles procured</w:t>
            </w:r>
          </w:p>
        </w:tc>
        <w:tc>
          <w:tcPr>
            <w:tcW w:w="540" w:type="pct"/>
            <w:hideMark/>
          </w:tcPr>
          <w:p w:rsidR="002E508F" w:rsidRDefault="005D0A03">
            <w:pPr>
              <w:spacing w:after="0" w:line="240" w:lineRule="auto"/>
              <w:rPr>
                <w:rFonts w:ascii="Times New Roman" w:hAnsi="Times New Roman"/>
                <w:noProof/>
                <w:sz w:val="18"/>
                <w:szCs w:val="18"/>
                <w:lang w:eastAsia="en-GB"/>
              </w:rPr>
            </w:pPr>
            <w:r>
              <w:rPr>
                <w:rFonts w:ascii="Times New Roman" w:hAnsi="Times New Roman"/>
                <w:noProof/>
                <w:sz w:val="18"/>
                <w:szCs w:val="18"/>
                <w:lang w:eastAsia="en-GB"/>
              </w:rPr>
              <w:t>15,490</w:t>
            </w:r>
          </w:p>
        </w:tc>
        <w:tc>
          <w:tcPr>
            <w:tcW w:w="465"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0</w:t>
            </w:r>
          </w:p>
          <w:p w:rsidR="002E508F" w:rsidRDefault="005D0A03">
            <w:pPr>
              <w:spacing w:after="0" w:line="240" w:lineRule="auto"/>
              <w:rPr>
                <w:rFonts w:ascii="Times New Roman" w:hAnsi="Times New Roman"/>
                <w:b/>
                <w:noProof/>
                <w:sz w:val="18"/>
                <w:szCs w:val="18"/>
                <w:lang w:eastAsia="en-GB"/>
              </w:rPr>
            </w:pPr>
            <w:r>
              <w:rPr>
                <w:rFonts w:ascii="Times New Roman" w:hAnsi="Times New Roman"/>
                <w:noProof/>
                <w:color w:val="000000"/>
                <w:sz w:val="18"/>
                <w:szCs w:val="18"/>
              </w:rPr>
              <w:t>(0%)</w:t>
            </w:r>
          </w:p>
        </w:tc>
        <w:tc>
          <w:tcPr>
            <w:tcW w:w="464"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 xml:space="preserve">1,220  </w:t>
            </w:r>
          </w:p>
          <w:p w:rsidR="002E508F" w:rsidRDefault="005D0A03">
            <w:pPr>
              <w:spacing w:after="0" w:line="240" w:lineRule="auto"/>
              <w:rPr>
                <w:rFonts w:ascii="Times New Roman" w:hAnsi="Times New Roman"/>
                <w:b/>
                <w:noProof/>
                <w:sz w:val="18"/>
                <w:szCs w:val="18"/>
                <w:lang w:eastAsia="en-GB"/>
              </w:rPr>
            </w:pPr>
            <w:r>
              <w:rPr>
                <w:rFonts w:ascii="Times New Roman" w:hAnsi="Times New Roman"/>
                <w:noProof/>
                <w:color w:val="000000"/>
                <w:sz w:val="18"/>
                <w:szCs w:val="18"/>
              </w:rPr>
              <w:t>(8%)</w:t>
            </w:r>
          </w:p>
        </w:tc>
        <w:tc>
          <w:tcPr>
            <w:tcW w:w="465"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 xml:space="preserve">-1,470  </w:t>
            </w:r>
          </w:p>
          <w:p w:rsidR="002E508F" w:rsidRDefault="005D0A03">
            <w:pPr>
              <w:spacing w:after="0" w:line="240" w:lineRule="auto"/>
              <w:rPr>
                <w:rFonts w:ascii="Times New Roman" w:hAnsi="Times New Roman"/>
                <w:b/>
                <w:noProof/>
                <w:sz w:val="18"/>
                <w:szCs w:val="18"/>
                <w:lang w:eastAsia="en-GB"/>
              </w:rPr>
            </w:pPr>
            <w:r>
              <w:rPr>
                <w:rFonts w:ascii="Times New Roman" w:hAnsi="Times New Roman"/>
                <w:noProof/>
                <w:color w:val="000000"/>
                <w:sz w:val="18"/>
                <w:szCs w:val="18"/>
              </w:rPr>
              <w:t>(-9%)</w:t>
            </w:r>
          </w:p>
        </w:tc>
        <w:tc>
          <w:tcPr>
            <w:tcW w:w="464"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-2,130</w:t>
            </w:r>
          </w:p>
          <w:p w:rsidR="002E508F" w:rsidRDefault="005D0A03">
            <w:pPr>
              <w:spacing w:after="0" w:line="240" w:lineRule="auto"/>
              <w:rPr>
                <w:rFonts w:ascii="Times New Roman" w:hAnsi="Times New Roman"/>
                <w:b/>
                <w:noProof/>
                <w:sz w:val="18"/>
                <w:szCs w:val="18"/>
                <w:lang w:eastAsia="en-GB"/>
              </w:rPr>
            </w:pPr>
            <w:r>
              <w:rPr>
                <w:rFonts w:ascii="Times New Roman" w:hAnsi="Times New Roman"/>
                <w:noProof/>
                <w:color w:val="000000"/>
                <w:sz w:val="18"/>
                <w:szCs w:val="18"/>
              </w:rPr>
              <w:t>(-14%)</w:t>
            </w:r>
          </w:p>
        </w:tc>
        <w:tc>
          <w:tcPr>
            <w:tcW w:w="464"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 xml:space="preserve">7,250  </w:t>
            </w:r>
          </w:p>
          <w:p w:rsidR="002E508F" w:rsidRDefault="005D0A03">
            <w:pPr>
              <w:spacing w:after="0" w:line="240" w:lineRule="auto"/>
              <w:rPr>
                <w:rFonts w:ascii="Times New Roman" w:hAnsi="Times New Roman"/>
                <w:b/>
                <w:noProof/>
                <w:sz w:val="18"/>
                <w:szCs w:val="18"/>
                <w:lang w:eastAsia="en-GB"/>
              </w:rPr>
            </w:pPr>
            <w:r>
              <w:rPr>
                <w:rFonts w:ascii="Times New Roman" w:hAnsi="Times New Roman"/>
                <w:noProof/>
                <w:color w:val="000000"/>
                <w:sz w:val="18"/>
                <w:szCs w:val="18"/>
              </w:rPr>
              <w:t>(47%)</w:t>
            </w:r>
          </w:p>
        </w:tc>
        <w:tc>
          <w:tcPr>
            <w:tcW w:w="464"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 xml:space="preserve">8,140 </w:t>
            </w:r>
          </w:p>
          <w:p w:rsidR="002E508F" w:rsidRDefault="005D0A03">
            <w:pPr>
              <w:spacing w:after="0" w:line="240" w:lineRule="auto"/>
              <w:rPr>
                <w:rFonts w:ascii="Times New Roman" w:hAnsi="Times New Roman"/>
                <w:b/>
                <w:noProof/>
                <w:sz w:val="18"/>
                <w:szCs w:val="18"/>
                <w:lang w:eastAsia="en-GB"/>
              </w:rPr>
            </w:pPr>
            <w:r>
              <w:rPr>
                <w:rFonts w:ascii="Times New Roman" w:hAnsi="Times New Roman"/>
                <w:noProof/>
                <w:color w:val="000000"/>
                <w:sz w:val="18"/>
                <w:szCs w:val="18"/>
              </w:rPr>
              <w:t>(53%)</w:t>
            </w:r>
          </w:p>
        </w:tc>
        <w:tc>
          <w:tcPr>
            <w:tcW w:w="467"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 xml:space="preserve">3,520  </w:t>
            </w:r>
          </w:p>
          <w:p w:rsidR="002E508F" w:rsidRDefault="005D0A03">
            <w:pPr>
              <w:spacing w:after="0" w:line="240" w:lineRule="auto"/>
              <w:rPr>
                <w:rFonts w:ascii="Times New Roman" w:hAnsi="Times New Roman"/>
                <w:b/>
                <w:noProof/>
                <w:sz w:val="18"/>
                <w:szCs w:val="18"/>
                <w:lang w:eastAsia="en-GB"/>
              </w:rPr>
            </w:pPr>
            <w:r>
              <w:rPr>
                <w:rFonts w:ascii="Times New Roman" w:hAnsi="Times New Roman"/>
                <w:noProof/>
                <w:color w:val="000000"/>
                <w:sz w:val="18"/>
                <w:szCs w:val="18"/>
              </w:rPr>
              <w:t>(23%)</w:t>
            </w:r>
          </w:p>
        </w:tc>
        <w:tc>
          <w:tcPr>
            <w:tcW w:w="452" w:type="pct"/>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6,180</w:t>
            </w:r>
          </w:p>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(40%)</w:t>
            </w:r>
          </w:p>
        </w:tc>
      </w:tr>
    </w:tbl>
    <w:tbl>
      <w:tblPr>
        <w:tblStyle w:val="CVD4"/>
        <w:tblW w:w="4943" w:type="pct"/>
        <w:tblLayout w:type="fixed"/>
        <w:tblLook w:val="04A0" w:firstRow="1" w:lastRow="0" w:firstColumn="1" w:lastColumn="0" w:noHBand="0" w:noVBand="1"/>
      </w:tblPr>
      <w:tblGrid>
        <w:gridCol w:w="1407"/>
        <w:gridCol w:w="969"/>
        <w:gridCol w:w="852"/>
        <w:gridCol w:w="848"/>
        <w:gridCol w:w="852"/>
        <w:gridCol w:w="850"/>
        <w:gridCol w:w="852"/>
        <w:gridCol w:w="848"/>
        <w:gridCol w:w="852"/>
        <w:gridCol w:w="850"/>
      </w:tblGrid>
      <w:tr w:rsidR="002E508F" w:rsidTr="002E508F">
        <w:trPr>
          <w:cnfStyle w:val="100000000000" w:firstRow="1" w:lastRow="0" w:firstColumn="0" w:lastColumn="0" w:oddVBand="0" w:evenVBand="0" w:oddHBand="0" w:evenHBand="0" w:firstRowFirstColumn="0" w:firstRowLastColumn="0" w:lastRowFirstColumn="0" w:lastRowLastColumn="0"/>
          <w:trHeight w:val="300"/>
        </w:trPr>
        <w:tc>
          <w:tcPr>
            <w:tcW w:w="5000" w:type="pct"/>
            <w:gridSpan w:val="10"/>
          </w:tcPr>
          <w:p w:rsidR="002E508F" w:rsidRDefault="005D0A03">
            <w:pPr>
              <w:spacing w:after="0" w:line="240" w:lineRule="auto"/>
              <w:rPr>
                <w:rFonts w:ascii="Times New Roman" w:hAnsi="Times New Roman"/>
                <w:b/>
                <w:bCs/>
                <w:noProof/>
                <w:sz w:val="18"/>
                <w:szCs w:val="18"/>
                <w:lang w:eastAsia="en-GB"/>
              </w:rPr>
            </w:pPr>
            <w:r>
              <w:rPr>
                <w:rFonts w:ascii="Times New Roman" w:hAnsi="Times New Roman"/>
                <w:b/>
                <w:bCs/>
                <w:noProof/>
                <w:sz w:val="18"/>
                <w:szCs w:val="18"/>
                <w:lang w:eastAsia="en-GB"/>
              </w:rPr>
              <w:t xml:space="preserve">NOx emissions savings (difference in tonnes and % change to the baseline) </w:t>
            </w:r>
          </w:p>
        </w:tc>
      </w:tr>
      <w:tr w:rsidR="002E508F" w:rsidTr="002E508F">
        <w:trPr>
          <w:trHeight w:val="300"/>
        </w:trPr>
        <w:tc>
          <w:tcPr>
            <w:tcW w:w="766" w:type="pct"/>
            <w:hideMark/>
          </w:tcPr>
          <w:p w:rsidR="002E508F" w:rsidRDefault="005D0A03">
            <w:pPr>
              <w:spacing w:after="0" w:line="240" w:lineRule="auto"/>
              <w:rPr>
                <w:rFonts w:ascii="Times New Roman" w:hAnsi="Times New Roman"/>
                <w:b/>
                <w:noProof/>
                <w:sz w:val="18"/>
                <w:szCs w:val="18"/>
                <w:lang w:eastAsia="en-GB"/>
              </w:rPr>
            </w:pPr>
            <w:r>
              <w:rPr>
                <w:rFonts w:ascii="Times New Roman" w:hAnsi="Times New Roman"/>
                <w:noProof/>
                <w:sz w:val="18"/>
                <w:szCs w:val="18"/>
                <w:lang w:eastAsia="en-GB"/>
              </w:rPr>
              <w:t>All vehicles procured</w:t>
            </w:r>
          </w:p>
        </w:tc>
        <w:tc>
          <w:tcPr>
            <w:tcW w:w="528" w:type="pct"/>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116,380</w:t>
            </w:r>
          </w:p>
        </w:tc>
        <w:tc>
          <w:tcPr>
            <w:tcW w:w="464"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 xml:space="preserve">0  </w:t>
            </w:r>
          </w:p>
          <w:p w:rsidR="002E508F" w:rsidRDefault="005D0A03">
            <w:pPr>
              <w:spacing w:after="0" w:line="240" w:lineRule="auto"/>
              <w:rPr>
                <w:rFonts w:ascii="Times New Roman" w:hAnsi="Times New Roman"/>
                <w:b/>
                <w:noProof/>
                <w:sz w:val="18"/>
                <w:szCs w:val="18"/>
                <w:lang w:eastAsia="en-GB"/>
              </w:rPr>
            </w:pPr>
            <w:r>
              <w:rPr>
                <w:rFonts w:ascii="Times New Roman" w:hAnsi="Times New Roman"/>
                <w:noProof/>
                <w:color w:val="000000"/>
                <w:sz w:val="18"/>
                <w:szCs w:val="18"/>
              </w:rPr>
              <w:t>(0%)</w:t>
            </w:r>
          </w:p>
        </w:tc>
        <w:tc>
          <w:tcPr>
            <w:tcW w:w="462"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 xml:space="preserve">-7,070  </w:t>
            </w:r>
          </w:p>
          <w:p w:rsidR="002E508F" w:rsidRDefault="005D0A03">
            <w:pPr>
              <w:spacing w:after="0" w:line="240" w:lineRule="auto"/>
              <w:rPr>
                <w:rFonts w:ascii="Times New Roman" w:hAnsi="Times New Roman"/>
                <w:b/>
                <w:noProof/>
                <w:sz w:val="18"/>
                <w:szCs w:val="18"/>
                <w:lang w:eastAsia="en-GB"/>
              </w:rPr>
            </w:pPr>
            <w:r>
              <w:rPr>
                <w:rFonts w:ascii="Times New Roman" w:hAnsi="Times New Roman"/>
                <w:noProof/>
                <w:color w:val="000000"/>
                <w:sz w:val="18"/>
                <w:szCs w:val="18"/>
              </w:rPr>
              <w:t>(-6%)</w:t>
            </w:r>
          </w:p>
        </w:tc>
        <w:tc>
          <w:tcPr>
            <w:tcW w:w="464"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 xml:space="preserve">-3,390  </w:t>
            </w:r>
          </w:p>
          <w:p w:rsidR="002E508F" w:rsidRDefault="005D0A03">
            <w:pPr>
              <w:spacing w:after="0" w:line="240" w:lineRule="auto"/>
              <w:rPr>
                <w:rFonts w:ascii="Times New Roman" w:hAnsi="Times New Roman"/>
                <w:b/>
                <w:noProof/>
                <w:sz w:val="18"/>
                <w:szCs w:val="18"/>
                <w:lang w:eastAsia="en-GB"/>
              </w:rPr>
            </w:pPr>
            <w:r>
              <w:rPr>
                <w:rFonts w:ascii="Times New Roman" w:hAnsi="Times New Roman"/>
                <w:noProof/>
                <w:color w:val="000000"/>
                <w:sz w:val="18"/>
                <w:szCs w:val="18"/>
              </w:rPr>
              <w:t>(-3%)</w:t>
            </w:r>
          </w:p>
        </w:tc>
        <w:tc>
          <w:tcPr>
            <w:tcW w:w="463"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 xml:space="preserve">-6,330  </w:t>
            </w:r>
          </w:p>
          <w:p w:rsidR="002E508F" w:rsidRDefault="005D0A03">
            <w:pPr>
              <w:spacing w:after="0" w:line="240" w:lineRule="auto"/>
              <w:rPr>
                <w:rFonts w:ascii="Times New Roman" w:hAnsi="Times New Roman"/>
                <w:b/>
                <w:noProof/>
                <w:sz w:val="18"/>
                <w:szCs w:val="18"/>
                <w:lang w:eastAsia="en-GB"/>
              </w:rPr>
            </w:pPr>
            <w:r>
              <w:rPr>
                <w:rFonts w:ascii="Times New Roman" w:hAnsi="Times New Roman"/>
                <w:noProof/>
                <w:color w:val="000000"/>
                <w:sz w:val="18"/>
                <w:szCs w:val="18"/>
              </w:rPr>
              <w:t>(-5%)</w:t>
            </w:r>
          </w:p>
        </w:tc>
        <w:tc>
          <w:tcPr>
            <w:tcW w:w="464"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 xml:space="preserve">-8,780  </w:t>
            </w:r>
          </w:p>
          <w:p w:rsidR="002E508F" w:rsidRDefault="005D0A03">
            <w:pPr>
              <w:spacing w:after="0" w:line="240" w:lineRule="auto"/>
              <w:rPr>
                <w:rFonts w:ascii="Times New Roman" w:hAnsi="Times New Roman"/>
                <w:b/>
                <w:noProof/>
                <w:sz w:val="18"/>
                <w:szCs w:val="18"/>
                <w:lang w:eastAsia="en-GB"/>
              </w:rPr>
            </w:pPr>
            <w:r>
              <w:rPr>
                <w:rFonts w:ascii="Times New Roman" w:hAnsi="Times New Roman"/>
                <w:noProof/>
                <w:color w:val="000000"/>
                <w:sz w:val="18"/>
                <w:szCs w:val="18"/>
              </w:rPr>
              <w:t>(-8%)</w:t>
            </w:r>
          </w:p>
        </w:tc>
        <w:tc>
          <w:tcPr>
            <w:tcW w:w="462"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 xml:space="preserve">-15,670  </w:t>
            </w:r>
          </w:p>
          <w:p w:rsidR="002E508F" w:rsidRDefault="005D0A03">
            <w:pPr>
              <w:spacing w:after="0" w:line="240" w:lineRule="auto"/>
              <w:rPr>
                <w:rFonts w:ascii="Times New Roman" w:hAnsi="Times New Roman"/>
                <w:b/>
                <w:noProof/>
                <w:sz w:val="18"/>
                <w:szCs w:val="18"/>
                <w:lang w:eastAsia="en-GB"/>
              </w:rPr>
            </w:pPr>
            <w:r>
              <w:rPr>
                <w:rFonts w:ascii="Times New Roman" w:hAnsi="Times New Roman"/>
                <w:noProof/>
                <w:color w:val="000000"/>
                <w:sz w:val="18"/>
                <w:szCs w:val="18"/>
              </w:rPr>
              <w:t>(-13%)</w:t>
            </w:r>
          </w:p>
        </w:tc>
        <w:tc>
          <w:tcPr>
            <w:tcW w:w="464"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 xml:space="preserve">-77,790  </w:t>
            </w:r>
          </w:p>
          <w:p w:rsidR="002E508F" w:rsidRDefault="005D0A03">
            <w:pPr>
              <w:spacing w:after="0" w:line="240" w:lineRule="auto"/>
              <w:rPr>
                <w:rFonts w:ascii="Times New Roman" w:hAnsi="Times New Roman"/>
                <w:b/>
                <w:noProof/>
                <w:sz w:val="18"/>
                <w:szCs w:val="18"/>
                <w:lang w:eastAsia="en-GB"/>
              </w:rPr>
            </w:pPr>
            <w:r>
              <w:rPr>
                <w:rFonts w:ascii="Times New Roman" w:hAnsi="Times New Roman"/>
                <w:noProof/>
                <w:color w:val="000000"/>
                <w:sz w:val="18"/>
                <w:szCs w:val="18"/>
              </w:rPr>
              <w:t>(-67%)</w:t>
            </w:r>
          </w:p>
        </w:tc>
        <w:tc>
          <w:tcPr>
            <w:tcW w:w="463" w:type="pct"/>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-15,900</w:t>
            </w:r>
          </w:p>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(-14%)</w:t>
            </w:r>
          </w:p>
        </w:tc>
      </w:tr>
    </w:tbl>
    <w:tbl>
      <w:tblPr>
        <w:tblStyle w:val="CVD5"/>
        <w:tblW w:w="4943" w:type="pct"/>
        <w:tblLayout w:type="fixed"/>
        <w:tblLook w:val="04A0" w:firstRow="1" w:lastRow="0" w:firstColumn="1" w:lastColumn="0" w:noHBand="0" w:noVBand="1"/>
      </w:tblPr>
      <w:tblGrid>
        <w:gridCol w:w="1383"/>
        <w:gridCol w:w="993"/>
        <w:gridCol w:w="852"/>
        <w:gridCol w:w="852"/>
        <w:gridCol w:w="852"/>
        <w:gridCol w:w="852"/>
        <w:gridCol w:w="848"/>
        <w:gridCol w:w="852"/>
        <w:gridCol w:w="848"/>
        <w:gridCol w:w="848"/>
      </w:tblGrid>
      <w:tr w:rsidR="002E508F" w:rsidTr="002E508F">
        <w:trPr>
          <w:cnfStyle w:val="100000000000" w:firstRow="1" w:lastRow="0" w:firstColumn="0" w:lastColumn="0" w:oddVBand="0" w:evenVBand="0" w:oddHBand="0" w:evenHBand="0" w:firstRowFirstColumn="0" w:firstRowLastColumn="0" w:lastRowFirstColumn="0" w:lastRowLastColumn="0"/>
          <w:trHeight w:val="300"/>
        </w:trPr>
        <w:tc>
          <w:tcPr>
            <w:tcW w:w="5000" w:type="pct"/>
            <w:gridSpan w:val="10"/>
          </w:tcPr>
          <w:p w:rsidR="002E508F" w:rsidRDefault="005D0A03">
            <w:pPr>
              <w:spacing w:after="0" w:line="240" w:lineRule="auto"/>
              <w:rPr>
                <w:rFonts w:ascii="Times New Roman" w:hAnsi="Times New Roman"/>
                <w:b/>
                <w:bCs/>
                <w:noProof/>
                <w:sz w:val="18"/>
                <w:szCs w:val="18"/>
                <w:lang w:eastAsia="en-GB"/>
              </w:rPr>
            </w:pPr>
            <w:r>
              <w:rPr>
                <w:rFonts w:ascii="Times New Roman" w:hAnsi="Times New Roman"/>
                <w:b/>
                <w:bCs/>
                <w:noProof/>
                <w:sz w:val="18"/>
                <w:szCs w:val="18"/>
                <w:lang w:eastAsia="en-GB"/>
              </w:rPr>
              <w:t xml:space="preserve">PM10 emissions savings (difference in kg and % change to the baseline) </w:t>
            </w:r>
          </w:p>
        </w:tc>
      </w:tr>
      <w:tr w:rsidR="002E508F" w:rsidTr="002E508F">
        <w:trPr>
          <w:trHeight w:val="300"/>
        </w:trPr>
        <w:tc>
          <w:tcPr>
            <w:tcW w:w="753" w:type="pct"/>
            <w:hideMark/>
          </w:tcPr>
          <w:p w:rsidR="002E508F" w:rsidRDefault="005D0A03">
            <w:pPr>
              <w:spacing w:after="0" w:line="240" w:lineRule="auto"/>
              <w:rPr>
                <w:rFonts w:ascii="Times New Roman" w:hAnsi="Times New Roman"/>
                <w:b/>
                <w:noProof/>
                <w:sz w:val="18"/>
                <w:szCs w:val="18"/>
                <w:lang w:eastAsia="en-GB"/>
              </w:rPr>
            </w:pPr>
            <w:r>
              <w:rPr>
                <w:rFonts w:ascii="Times New Roman" w:hAnsi="Times New Roman"/>
                <w:noProof/>
                <w:sz w:val="18"/>
                <w:szCs w:val="18"/>
                <w:lang w:eastAsia="en-GB"/>
              </w:rPr>
              <w:t>All vehicles procured</w:t>
            </w:r>
          </w:p>
        </w:tc>
        <w:tc>
          <w:tcPr>
            <w:tcW w:w="541" w:type="pct"/>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4,610</w:t>
            </w:r>
          </w:p>
        </w:tc>
        <w:tc>
          <w:tcPr>
            <w:tcW w:w="464"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0</w:t>
            </w:r>
          </w:p>
          <w:p w:rsidR="002E508F" w:rsidRDefault="005D0A03">
            <w:pPr>
              <w:spacing w:after="0" w:line="240" w:lineRule="auto"/>
              <w:rPr>
                <w:rFonts w:ascii="Times New Roman" w:hAnsi="Times New Roman"/>
                <w:noProof/>
                <w:sz w:val="18"/>
                <w:szCs w:val="18"/>
                <w:lang w:eastAsia="en-GB"/>
              </w:rPr>
            </w:pPr>
            <w:r>
              <w:rPr>
                <w:rFonts w:ascii="Times New Roman" w:hAnsi="Times New Roman"/>
                <w:noProof/>
                <w:color w:val="000000"/>
                <w:sz w:val="18"/>
                <w:szCs w:val="18"/>
              </w:rPr>
              <w:t>(0%)</w:t>
            </w:r>
          </w:p>
        </w:tc>
        <w:tc>
          <w:tcPr>
            <w:tcW w:w="464" w:type="pct"/>
            <w:noWrap/>
            <w:hideMark/>
          </w:tcPr>
          <w:p w:rsidR="002E508F" w:rsidRDefault="005D0A03">
            <w:pPr>
              <w:spacing w:after="0" w:line="240" w:lineRule="auto"/>
              <w:rPr>
                <w:rFonts w:ascii="Times New Roman" w:hAnsi="Times New Roman"/>
                <w:noProof/>
                <w:sz w:val="18"/>
                <w:szCs w:val="18"/>
                <w:lang w:eastAsia="en-GB"/>
              </w:rPr>
            </w:pPr>
            <w:r>
              <w:rPr>
                <w:rFonts w:ascii="Times New Roman" w:hAnsi="Times New Roman"/>
                <w:noProof/>
                <w:color w:val="000000"/>
                <w:sz w:val="18"/>
                <w:szCs w:val="18"/>
              </w:rPr>
              <w:t xml:space="preserve">-250 </w:t>
            </w:r>
            <w:r>
              <w:rPr>
                <w:rFonts w:ascii="Times New Roman" w:hAnsi="Times New Roman"/>
                <w:noProof/>
                <w:color w:val="000000"/>
                <w:sz w:val="18"/>
                <w:szCs w:val="18"/>
              </w:rPr>
              <w:br/>
              <w:t>(-5%)</w:t>
            </w:r>
          </w:p>
        </w:tc>
        <w:tc>
          <w:tcPr>
            <w:tcW w:w="464"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-190</w:t>
            </w:r>
          </w:p>
          <w:p w:rsidR="002E508F" w:rsidRDefault="005D0A03">
            <w:pPr>
              <w:spacing w:after="0" w:line="240" w:lineRule="auto"/>
              <w:rPr>
                <w:rFonts w:ascii="Times New Roman" w:hAnsi="Times New Roman"/>
                <w:noProof/>
                <w:sz w:val="18"/>
                <w:szCs w:val="18"/>
                <w:lang w:eastAsia="en-GB"/>
              </w:rPr>
            </w:pPr>
            <w:r>
              <w:rPr>
                <w:rFonts w:ascii="Times New Roman" w:hAnsi="Times New Roman"/>
                <w:noProof/>
                <w:color w:val="000000"/>
                <w:sz w:val="18"/>
                <w:szCs w:val="18"/>
              </w:rPr>
              <w:t>(-4%)</w:t>
            </w:r>
          </w:p>
        </w:tc>
        <w:tc>
          <w:tcPr>
            <w:tcW w:w="464"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-330</w:t>
            </w:r>
          </w:p>
          <w:p w:rsidR="002E508F" w:rsidRDefault="005D0A03">
            <w:pPr>
              <w:spacing w:after="0" w:line="240" w:lineRule="auto"/>
              <w:rPr>
                <w:rFonts w:ascii="Times New Roman" w:hAnsi="Times New Roman"/>
                <w:noProof/>
                <w:sz w:val="18"/>
                <w:szCs w:val="18"/>
                <w:lang w:eastAsia="en-GB"/>
              </w:rPr>
            </w:pPr>
            <w:r>
              <w:rPr>
                <w:rFonts w:ascii="Times New Roman" w:hAnsi="Times New Roman"/>
                <w:noProof/>
                <w:color w:val="000000"/>
                <w:sz w:val="18"/>
                <w:szCs w:val="18"/>
              </w:rPr>
              <w:t>(-7%)</w:t>
            </w:r>
          </w:p>
        </w:tc>
        <w:tc>
          <w:tcPr>
            <w:tcW w:w="462"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-320</w:t>
            </w:r>
          </w:p>
          <w:p w:rsidR="002E508F" w:rsidRDefault="005D0A03">
            <w:pPr>
              <w:spacing w:after="0" w:line="240" w:lineRule="auto"/>
              <w:rPr>
                <w:rFonts w:ascii="Times New Roman" w:hAnsi="Times New Roman"/>
                <w:noProof/>
                <w:sz w:val="18"/>
                <w:szCs w:val="18"/>
                <w:lang w:eastAsia="en-GB"/>
              </w:rPr>
            </w:pPr>
            <w:r>
              <w:rPr>
                <w:rFonts w:ascii="Times New Roman" w:hAnsi="Times New Roman"/>
                <w:noProof/>
                <w:color w:val="000000"/>
                <w:sz w:val="18"/>
                <w:szCs w:val="18"/>
              </w:rPr>
              <w:t>(-7%)</w:t>
            </w:r>
          </w:p>
        </w:tc>
        <w:tc>
          <w:tcPr>
            <w:tcW w:w="464"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-570</w:t>
            </w:r>
          </w:p>
          <w:p w:rsidR="002E508F" w:rsidRDefault="005D0A03">
            <w:pPr>
              <w:spacing w:after="0" w:line="240" w:lineRule="auto"/>
              <w:rPr>
                <w:rFonts w:ascii="Times New Roman" w:hAnsi="Times New Roman"/>
                <w:noProof/>
                <w:sz w:val="18"/>
                <w:szCs w:val="18"/>
                <w:lang w:eastAsia="en-GB"/>
              </w:rPr>
            </w:pPr>
            <w:r>
              <w:rPr>
                <w:rFonts w:ascii="Times New Roman" w:hAnsi="Times New Roman"/>
                <w:noProof/>
                <w:color w:val="000000"/>
                <w:sz w:val="18"/>
                <w:szCs w:val="18"/>
              </w:rPr>
              <w:t>(-12%)</w:t>
            </w:r>
          </w:p>
        </w:tc>
        <w:tc>
          <w:tcPr>
            <w:tcW w:w="462" w:type="pct"/>
            <w:noWrap/>
            <w:hideMark/>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 xml:space="preserve">-2,530 </w:t>
            </w:r>
          </w:p>
          <w:p w:rsidR="002E508F" w:rsidRDefault="005D0A03">
            <w:pPr>
              <w:spacing w:after="0" w:line="240" w:lineRule="auto"/>
              <w:rPr>
                <w:rFonts w:ascii="Times New Roman" w:hAnsi="Times New Roman"/>
                <w:noProof/>
                <w:sz w:val="18"/>
                <w:szCs w:val="18"/>
                <w:lang w:eastAsia="en-GB"/>
              </w:rPr>
            </w:pPr>
            <w:r>
              <w:rPr>
                <w:rFonts w:ascii="Times New Roman" w:hAnsi="Times New Roman"/>
                <w:noProof/>
                <w:color w:val="000000"/>
                <w:sz w:val="18"/>
                <w:szCs w:val="18"/>
              </w:rPr>
              <w:t>(-55%)</w:t>
            </w:r>
          </w:p>
        </w:tc>
        <w:tc>
          <w:tcPr>
            <w:tcW w:w="462" w:type="pct"/>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-650</w:t>
            </w:r>
          </w:p>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(-14%)</w:t>
            </w:r>
          </w:p>
        </w:tc>
      </w:tr>
      <w:tr w:rsidR="002E508F" w:rsidTr="002E508F">
        <w:trPr>
          <w:trHeight w:val="300"/>
        </w:trPr>
        <w:tc>
          <w:tcPr>
            <w:tcW w:w="5000" w:type="pct"/>
            <w:gridSpan w:val="10"/>
            <w:shd w:val="clear" w:color="auto" w:fill="00B0F0"/>
          </w:tcPr>
          <w:p w:rsidR="002E508F" w:rsidRDefault="005D0A03">
            <w:pPr>
              <w:spacing w:after="0" w:line="240" w:lineRule="auto"/>
              <w:rPr>
                <w:rFonts w:ascii="Times New Roman" w:hAnsi="Times New Roman"/>
                <w:noProof/>
                <w:color w:val="000000"/>
                <w:sz w:val="18"/>
                <w:szCs w:val="18"/>
              </w:rPr>
            </w:pPr>
            <w:r>
              <w:rPr>
                <w:rFonts w:ascii="Times New Roman" w:hAnsi="Times New Roman"/>
                <w:b/>
                <w:i/>
                <w:noProof/>
                <w:color w:val="FFFFFF" w:themeColor="background1"/>
                <w:sz w:val="18"/>
                <w:szCs w:val="18"/>
              </w:rPr>
              <w:t xml:space="preserve">Cumulative cost (net present value in million </w:t>
            </w:r>
            <w:r>
              <w:rPr>
                <w:rFonts w:ascii="Times New Roman" w:hAnsi="Times New Roman"/>
                <w:b/>
                <w:i/>
                <w:noProof/>
                <w:color w:val="FFFFFF" w:themeColor="background1"/>
                <w:sz w:val="18"/>
                <w:szCs w:val="18"/>
                <w:lang w:eastAsia="en-GB"/>
              </w:rPr>
              <w:t>€</w:t>
            </w:r>
            <w:r>
              <w:rPr>
                <w:rFonts w:ascii="Times New Roman" w:hAnsi="Times New Roman"/>
                <w:b/>
                <w:i/>
                <w:noProof/>
                <w:color w:val="FFFFFF" w:themeColor="background1"/>
                <w:szCs w:val="20"/>
                <w:lang w:eastAsia="en-GB"/>
              </w:rPr>
              <w:t xml:space="preserve"> </w:t>
            </w:r>
            <w:r>
              <w:rPr>
                <w:rFonts w:ascii="Times New Roman" w:hAnsi="Times New Roman"/>
                <w:b/>
                <w:i/>
                <w:noProof/>
                <w:color w:val="FFFFFF" w:themeColor="background1"/>
                <w:sz w:val="18"/>
                <w:szCs w:val="18"/>
                <w:lang w:eastAsia="en-GB"/>
              </w:rPr>
              <w:t>and % change to the baseline</w:t>
            </w:r>
            <w:r>
              <w:rPr>
                <w:rFonts w:ascii="Times New Roman" w:hAnsi="Times New Roman"/>
                <w:b/>
                <w:i/>
                <w:noProof/>
                <w:color w:val="FFFFFF" w:themeColor="background1"/>
                <w:szCs w:val="20"/>
                <w:lang w:eastAsia="en-GB"/>
              </w:rPr>
              <w:t>)</w:t>
            </w:r>
          </w:p>
        </w:tc>
      </w:tr>
      <w:tr w:rsidR="002E508F" w:rsidTr="002E508F">
        <w:trPr>
          <w:trHeight w:val="300"/>
        </w:trPr>
        <w:tc>
          <w:tcPr>
            <w:tcW w:w="753" w:type="pct"/>
          </w:tcPr>
          <w:p w:rsidR="002E508F" w:rsidRDefault="005D0A03">
            <w:pPr>
              <w:spacing w:after="0" w:line="240" w:lineRule="auto"/>
              <w:rPr>
                <w:rFonts w:ascii="Times New Roman" w:hAnsi="Times New Roman"/>
                <w:noProof/>
                <w:sz w:val="18"/>
                <w:szCs w:val="18"/>
                <w:lang w:eastAsia="en-GB"/>
              </w:rPr>
            </w:pPr>
            <w:r>
              <w:rPr>
                <w:rFonts w:ascii="Times New Roman" w:hAnsi="Times New Roman"/>
                <w:noProof/>
                <w:sz w:val="18"/>
                <w:szCs w:val="18"/>
                <w:lang w:eastAsia="en-GB"/>
              </w:rPr>
              <w:t>All vehicles procured</w:t>
            </w:r>
          </w:p>
        </w:tc>
        <w:tc>
          <w:tcPr>
            <w:tcW w:w="541" w:type="pct"/>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930</w:t>
            </w:r>
          </w:p>
        </w:tc>
        <w:tc>
          <w:tcPr>
            <w:tcW w:w="464" w:type="pct"/>
            <w:noWrap/>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0</w:t>
            </w:r>
          </w:p>
        </w:tc>
        <w:tc>
          <w:tcPr>
            <w:tcW w:w="464" w:type="pct"/>
            <w:noWrap/>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-50</w:t>
            </w:r>
          </w:p>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(-5%)</w:t>
            </w:r>
          </w:p>
        </w:tc>
        <w:tc>
          <w:tcPr>
            <w:tcW w:w="464" w:type="pct"/>
            <w:noWrap/>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-30</w:t>
            </w:r>
          </w:p>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(-3%)</w:t>
            </w:r>
          </w:p>
        </w:tc>
        <w:tc>
          <w:tcPr>
            <w:tcW w:w="464" w:type="pct"/>
            <w:noWrap/>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-50</w:t>
            </w:r>
          </w:p>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(-5%)</w:t>
            </w:r>
          </w:p>
        </w:tc>
        <w:tc>
          <w:tcPr>
            <w:tcW w:w="462" w:type="pct"/>
            <w:noWrap/>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-50</w:t>
            </w:r>
          </w:p>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(-5%)</w:t>
            </w:r>
          </w:p>
        </w:tc>
        <w:tc>
          <w:tcPr>
            <w:tcW w:w="464" w:type="pct"/>
            <w:noWrap/>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-100</w:t>
            </w:r>
          </w:p>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(-11%)</w:t>
            </w:r>
          </w:p>
        </w:tc>
        <w:tc>
          <w:tcPr>
            <w:tcW w:w="462" w:type="pct"/>
            <w:noWrap/>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-570</w:t>
            </w:r>
          </w:p>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(-61%)</w:t>
            </w:r>
          </w:p>
        </w:tc>
        <w:tc>
          <w:tcPr>
            <w:tcW w:w="462" w:type="pct"/>
          </w:tcPr>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-100</w:t>
            </w:r>
          </w:p>
          <w:p w:rsidR="002E508F" w:rsidRDefault="005D0A03">
            <w:pPr>
              <w:spacing w:after="0" w:line="240" w:lineRule="auto"/>
              <w:rPr>
                <w:rFonts w:ascii="Times New Roman" w:hAnsi="Times New Roman"/>
                <w:noProof/>
                <w:color w:val="000000"/>
                <w:sz w:val="18"/>
                <w:szCs w:val="18"/>
              </w:rPr>
            </w:pPr>
            <w:r>
              <w:rPr>
                <w:rFonts w:ascii="Times New Roman" w:hAnsi="Times New Roman"/>
                <w:noProof/>
                <w:color w:val="000000"/>
                <w:sz w:val="18"/>
                <w:szCs w:val="18"/>
              </w:rPr>
              <w:t>(-11%)</w:t>
            </w:r>
          </w:p>
        </w:tc>
      </w:tr>
    </w:tbl>
    <w:p w:rsidR="002E508F" w:rsidRDefault="005D0A03">
      <w:pPr>
        <w:spacing w:line="240" w:lineRule="auto"/>
        <w:jc w:val="both"/>
        <w:rPr>
          <w:rFonts w:ascii="Times New Roman" w:hAnsi="Times New Roman" w:cs="Times New Roman"/>
          <w:noProof/>
        </w:rPr>
      </w:pPr>
      <w:r>
        <w:rPr>
          <w:rFonts w:ascii="Times New Roman" w:hAnsi="Times New Roman" w:cs="Times New Roman"/>
          <w:noProof/>
          <w:sz w:val="20"/>
          <w:szCs w:val="20"/>
        </w:rPr>
        <w:t xml:space="preserve">Source: </w:t>
      </w:r>
      <w:r>
        <w:rPr>
          <w:rFonts w:ascii="Times New Roman" w:hAnsi="Times New Roman" w:cs="Times New Roman"/>
          <w:i/>
          <w:noProof/>
          <w:sz w:val="20"/>
          <w:szCs w:val="20"/>
        </w:rPr>
        <w:t>Ricardo (2017) Support Study to the Impact Assessment of the Clean Vehicles Directive</w:t>
      </w:r>
      <w:r>
        <w:rPr>
          <w:rFonts w:ascii="Times New Roman" w:hAnsi="Times New Roman" w:cs="Times New Roman"/>
          <w:noProof/>
          <w:sz w:val="20"/>
          <w:szCs w:val="20"/>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Over the lifetime of the vehicles procured, PO5 shows the biggest impact on the overall reduction of NOx and PM10 pollutants (67% and 55% reduction, respectively, relative to the baseline), followed by PO6 (14% decrease) and PO4b (13% and 12% decrease, respectively). It is important at this point to note the strong assumptions and large uncertainty that underpin PO5. The methodology basically assumed that an authority purchases always the vehicle that is most cost-effective considering its total internal and external cost, and no other vehicles. As shown in greater detail in the Impact Assessment support study, the implications are different for the market segments of cars, vans, buses and trucks. </w:t>
      </w:r>
    </w:p>
    <w:p w:rsidR="002E508F" w:rsidRDefault="005D0A03">
      <w:pPr>
        <w:spacing w:line="240" w:lineRule="auto"/>
        <w:jc w:val="both"/>
        <w:rPr>
          <w:rFonts w:ascii="Times New Roman" w:hAnsi="Times New Roman" w:cs="Times New Roman"/>
          <w:i/>
          <w:noProof/>
        </w:rPr>
      </w:pPr>
      <w:r>
        <w:rPr>
          <w:rFonts w:ascii="Times New Roman" w:hAnsi="Times New Roman" w:cs="Times New Roman"/>
          <w:noProof/>
        </w:rPr>
        <w:t xml:space="preserve">PO3a and PO3b and PO4a and PO4b are also estimated to contribute to further reductions of air pollutants, but PO4 (a and b) performs much better compared to PO3 (a and b), because of the lack of impact on the heavy-duty segment in case of PO3 options. PO6 however performs better than both PO3 and PO4 due to the combined action on light duty (similar to PO3b) and heavy-duty segments (similar to PO4b). Additionally, positive impacts on concentrations of pollutants in urban areas are likely to be even more pronounced as reductions will occur for many vehicles which mostly operate in cities. The effect would be biggest for the policy options displaying high uptake of zero-emission vehicles like PO5, PO6, PO3b and PO4b. </w:t>
      </w:r>
    </w:p>
    <w:p w:rsidR="002E508F" w:rsidRDefault="005D0A03">
      <w:pPr>
        <w:pStyle w:val="Heading3"/>
        <w:rPr>
          <w:noProof/>
        </w:rPr>
      </w:pPr>
      <w:bookmarkStart w:id="67" w:name="_Toc497141518"/>
      <w:r>
        <w:rPr>
          <w:noProof/>
        </w:rPr>
        <w:t>Noise</w:t>
      </w:r>
      <w:bookmarkEnd w:id="67"/>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Noise was not quantitatively assessed in the Impact Assessment. In general, a move from conventional vehicles to clean vehicles – particularly electric and fuel cell vehicles - will have a positive impact on overall noise levels. However, this impact will remain limited for cars and vans, since publicly procured vehicles still represent a very small share of the total fleet. The situation is different for heavy-duty vehicles and in particular buses. A recent survey of experiences with using battery-electric buses showed strong benefits in case of using battery-electric or fuel-cell electric buses, with lower benefits for natural-gas driven buses. However, quantification did not take place due to the lack of data, the context-dependency on measuring reduction in noise levels and related damage costs.The performance of the different POs on noise emission reduction should be in line with the number of low and zero-emission vehicles procured. Because PO5 leads to the highest estimate of low- and zero-emission vehicles, it is also considered having the strongest impacts on noise emission reduction. Because of the lack of impact on urban buses, PO2 is considered to be less effective than PO3.  </w:t>
      </w:r>
      <w:r>
        <w:rPr>
          <w:noProof/>
        </w:rPr>
        <w:t xml:space="preserve"> </w:t>
      </w:r>
    </w:p>
    <w:p w:rsidR="002E508F" w:rsidRDefault="005D0A03">
      <w:pPr>
        <w:pStyle w:val="Heading1"/>
        <w:rPr>
          <w:noProof/>
        </w:rPr>
      </w:pPr>
      <w:bookmarkStart w:id="68" w:name="_Toc497141519"/>
      <w:r>
        <w:rPr>
          <w:noProof/>
        </w:rPr>
        <w:t>How do the options compare?</w:t>
      </w:r>
      <w:bookmarkEnd w:id="68"/>
      <w:r>
        <w:rPr>
          <w:noProof/>
        </w:rPr>
        <w:t xml:space="preserve"> </w:t>
      </w:r>
    </w:p>
    <w:p w:rsidR="002E508F" w:rsidRDefault="005D0A03">
      <w:pPr>
        <w:pStyle w:val="Heading2"/>
        <w:rPr>
          <w:noProof/>
        </w:rPr>
      </w:pPr>
      <w:bookmarkStart w:id="69" w:name="_Toc497141520"/>
      <w:r>
        <w:rPr>
          <w:noProof/>
        </w:rPr>
        <w:t>Effectiveness</w:t>
      </w:r>
      <w:bookmarkEnd w:id="69"/>
      <w:r>
        <w:rPr>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effectiveness of the policy options must consider the extent to which these objectives are achieved. Table 7.1 presents the objectives and the indicators that have been developed to monitor the level of achievement of the objectives. The effectiveness of each policy option in achieving the objectives is presented in table 7.2, using the indicators described above. </w:t>
      </w:r>
    </w:p>
    <w:p w:rsidR="002E508F" w:rsidRDefault="005D0A03">
      <w:pPr>
        <w:spacing w:after="240" w:line="240" w:lineRule="auto"/>
        <w:jc w:val="both"/>
        <w:rPr>
          <w:rFonts w:ascii="Times New Roman" w:hAnsi="Times New Roman" w:cs="Times New Roman"/>
          <w:noProof/>
        </w:rPr>
      </w:pPr>
      <w:r>
        <w:rPr>
          <w:rFonts w:ascii="Times New Roman" w:hAnsi="Times New Roman" w:cs="Times New Roman"/>
          <w:noProof/>
        </w:rPr>
        <w:t xml:space="preserve">Table 7.1 </w:t>
      </w:r>
      <w:r>
        <w:rPr>
          <w:rFonts w:ascii="Times New Roman" w:hAnsi="Times New Roman" w:cs="Times New Roman"/>
          <w:noProof/>
        </w:rPr>
        <w:tab/>
        <w:t>Linking of objectives to key indicators</w:t>
      </w:r>
    </w:p>
    <w:tbl>
      <w:tblPr>
        <w:tblStyle w:val="TableGrid"/>
        <w:tblW w:w="5000" w:type="pct"/>
        <w:tblBorders>
          <w:left w:val="single" w:sz="4" w:space="0" w:color="FFFFFF"/>
          <w:right w:val="single" w:sz="4" w:space="0" w:color="FFFFFF"/>
          <w:insideV w:val="single" w:sz="4" w:space="0" w:color="FFFFFF"/>
        </w:tblBorders>
        <w:tblLook w:val="04A0" w:firstRow="1" w:lastRow="0" w:firstColumn="1" w:lastColumn="0" w:noHBand="0" w:noVBand="1"/>
      </w:tblPr>
      <w:tblGrid>
        <w:gridCol w:w="2381"/>
        <w:gridCol w:w="3135"/>
        <w:gridCol w:w="3770"/>
      </w:tblGrid>
      <w:tr w:rsidR="002E508F">
        <w:tc>
          <w:tcPr>
            <w:tcW w:w="1282" w:type="pct"/>
            <w:hideMark/>
          </w:tcPr>
          <w:p w:rsidR="002E508F" w:rsidRDefault="005D0A03">
            <w:pPr>
              <w:keepNext/>
              <w:rPr>
                <w:rFonts w:ascii="Times New Roman" w:hAnsi="Times New Roman" w:cs="Times New Roman"/>
                <w:b/>
                <w:noProof/>
                <w:sz w:val="20"/>
                <w:szCs w:val="20"/>
              </w:rPr>
            </w:pPr>
            <w:r>
              <w:rPr>
                <w:rFonts w:ascii="Times New Roman" w:hAnsi="Times New Roman" w:cs="Times New Roman"/>
                <w:b/>
                <w:noProof/>
                <w:sz w:val="20"/>
                <w:szCs w:val="20"/>
              </w:rPr>
              <w:t>General objectives</w:t>
            </w:r>
          </w:p>
        </w:tc>
        <w:tc>
          <w:tcPr>
            <w:tcW w:w="1688" w:type="pct"/>
            <w:hideMark/>
          </w:tcPr>
          <w:p w:rsidR="002E508F" w:rsidRDefault="005D0A03">
            <w:pPr>
              <w:keepNext/>
              <w:rPr>
                <w:rFonts w:ascii="Times New Roman" w:hAnsi="Times New Roman" w:cs="Times New Roman"/>
                <w:b/>
                <w:noProof/>
                <w:sz w:val="20"/>
                <w:szCs w:val="20"/>
              </w:rPr>
            </w:pPr>
            <w:r>
              <w:rPr>
                <w:rFonts w:ascii="Times New Roman" w:hAnsi="Times New Roman" w:cs="Times New Roman"/>
                <w:b/>
                <w:noProof/>
                <w:sz w:val="20"/>
                <w:szCs w:val="20"/>
              </w:rPr>
              <w:t>Specific objectives</w:t>
            </w:r>
          </w:p>
        </w:tc>
        <w:tc>
          <w:tcPr>
            <w:tcW w:w="2030" w:type="pct"/>
            <w:hideMark/>
          </w:tcPr>
          <w:p w:rsidR="002E508F" w:rsidRDefault="005D0A03">
            <w:pPr>
              <w:keepNext/>
              <w:rPr>
                <w:rFonts w:ascii="Times New Roman" w:hAnsi="Times New Roman" w:cs="Times New Roman"/>
                <w:b/>
                <w:noProof/>
                <w:sz w:val="20"/>
                <w:szCs w:val="20"/>
              </w:rPr>
            </w:pPr>
            <w:r>
              <w:rPr>
                <w:rFonts w:ascii="Times New Roman" w:hAnsi="Times New Roman" w:cs="Times New Roman"/>
                <w:b/>
                <w:noProof/>
                <w:sz w:val="20"/>
                <w:szCs w:val="20"/>
              </w:rPr>
              <w:t>Indicators</w:t>
            </w:r>
          </w:p>
        </w:tc>
      </w:tr>
      <w:tr w:rsidR="002E508F">
        <w:trPr>
          <w:trHeight w:val="1263"/>
        </w:trPr>
        <w:tc>
          <w:tcPr>
            <w:tcW w:w="1282" w:type="pct"/>
            <w:vMerge w:val="restart"/>
            <w:hideMark/>
          </w:tcPr>
          <w:p w:rsidR="002E508F" w:rsidRDefault="005D0A03">
            <w:pPr>
              <w:keepNext/>
              <w:spacing w:before="120"/>
              <w:rPr>
                <w:rFonts w:ascii="Times New Roman" w:hAnsi="Times New Roman" w:cs="Times New Roman"/>
                <w:noProof/>
                <w:sz w:val="20"/>
                <w:szCs w:val="20"/>
              </w:rPr>
            </w:pPr>
            <w:r>
              <w:rPr>
                <w:rFonts w:ascii="Times New Roman" w:hAnsi="Times New Roman" w:cs="Times New Roman"/>
                <w:noProof/>
                <w:sz w:val="20"/>
                <w:szCs w:val="20"/>
              </w:rPr>
              <w:br/>
            </w:r>
            <w:r>
              <w:rPr>
                <w:rFonts w:ascii="Times New Roman" w:hAnsi="Times New Roman" w:cs="Times New Roman"/>
                <w:noProof/>
                <w:sz w:val="20"/>
                <w:szCs w:val="20"/>
              </w:rPr>
              <w:br/>
            </w:r>
            <w:r>
              <w:rPr>
                <w:rFonts w:ascii="Times New Roman" w:hAnsi="Times New Roman" w:cs="Times New Roman"/>
                <w:noProof/>
                <w:sz w:val="20"/>
                <w:szCs w:val="20"/>
              </w:rPr>
              <w:br/>
            </w:r>
            <w:r>
              <w:rPr>
                <w:rFonts w:ascii="Times New Roman" w:hAnsi="Times New Roman" w:cs="Times New Roman"/>
                <w:noProof/>
                <w:sz w:val="20"/>
                <w:szCs w:val="20"/>
              </w:rPr>
              <w:br/>
              <w:t>Support the market-uptake of low- and zero-emission vehicles</w:t>
            </w:r>
          </w:p>
          <w:p w:rsidR="002E508F" w:rsidRDefault="005D0A03">
            <w:pPr>
              <w:rPr>
                <w:rFonts w:ascii="Times New Roman" w:hAnsi="Times New Roman" w:cs="Times New Roman"/>
                <w:noProof/>
                <w:sz w:val="20"/>
                <w:szCs w:val="20"/>
              </w:rPr>
            </w:pPr>
            <w:r>
              <w:rPr>
                <w:rFonts w:ascii="Times New Roman" w:hAnsi="Times New Roman" w:cs="Times New Roman"/>
                <w:noProof/>
                <w:sz w:val="20"/>
                <w:szCs w:val="20"/>
              </w:rPr>
              <w:t xml:space="preserve"> </w:t>
            </w:r>
          </w:p>
          <w:p w:rsidR="002E508F" w:rsidRDefault="002E508F">
            <w:pPr>
              <w:rPr>
                <w:rFonts w:ascii="Times New Roman" w:hAnsi="Times New Roman" w:cs="Times New Roman"/>
                <w:noProof/>
                <w:sz w:val="20"/>
                <w:szCs w:val="20"/>
              </w:rPr>
            </w:pPr>
          </w:p>
        </w:tc>
        <w:tc>
          <w:tcPr>
            <w:tcW w:w="1688" w:type="pct"/>
          </w:tcPr>
          <w:p w:rsidR="002E508F" w:rsidRDefault="005D0A03">
            <w:pPr>
              <w:keepNext/>
              <w:spacing w:before="60"/>
              <w:contextualSpacing/>
              <w:rPr>
                <w:rFonts w:ascii="Times New Roman" w:hAnsi="Times New Roman" w:cs="Times New Roman"/>
                <w:noProof/>
                <w:sz w:val="20"/>
                <w:szCs w:val="20"/>
              </w:rPr>
            </w:pPr>
            <w:r>
              <w:rPr>
                <w:rFonts w:ascii="Times New Roman" w:hAnsi="Times New Roman" w:cs="Times New Roman"/>
                <w:noProof/>
                <w:sz w:val="20"/>
                <w:szCs w:val="20"/>
              </w:rPr>
              <w:t>Ensure that the Directive covers all relevant procurement practices</w:t>
            </w:r>
          </w:p>
        </w:tc>
        <w:tc>
          <w:tcPr>
            <w:tcW w:w="2030" w:type="pct"/>
            <w:hideMark/>
          </w:tcPr>
          <w:p w:rsidR="002E508F" w:rsidRDefault="005D0A03">
            <w:pPr>
              <w:pStyle w:val="ListParagraph"/>
              <w:keepNext/>
              <w:numPr>
                <w:ilvl w:val="0"/>
                <w:numId w:val="27"/>
              </w:numPr>
              <w:spacing w:before="60" w:after="0" w:line="240" w:lineRule="auto"/>
              <w:ind w:left="357" w:hanging="357"/>
              <w:rPr>
                <w:rFonts w:ascii="Times New Roman" w:hAnsi="Times New Roman" w:cs="Times New Roman"/>
                <w:noProof/>
                <w:sz w:val="20"/>
                <w:szCs w:val="20"/>
              </w:rPr>
            </w:pPr>
            <w:r>
              <w:rPr>
                <w:rFonts w:ascii="Times New Roman" w:hAnsi="Times New Roman" w:cs="Times New Roman"/>
                <w:noProof/>
                <w:sz w:val="20"/>
                <w:szCs w:val="20"/>
              </w:rPr>
              <w:t>Increase of number of public procurement contracts falling under the scope of the Clean Vehicles Directive</w:t>
            </w:r>
          </w:p>
        </w:tc>
      </w:tr>
      <w:tr w:rsidR="002E508F">
        <w:tc>
          <w:tcPr>
            <w:tcW w:w="1282" w:type="pct"/>
            <w:vMerge/>
            <w:hideMark/>
          </w:tcPr>
          <w:p w:rsidR="002E508F" w:rsidRDefault="002E508F">
            <w:pPr>
              <w:rPr>
                <w:rFonts w:ascii="Times New Roman" w:hAnsi="Times New Roman" w:cs="Times New Roman"/>
                <w:noProof/>
                <w:sz w:val="20"/>
                <w:szCs w:val="20"/>
              </w:rPr>
            </w:pPr>
          </w:p>
        </w:tc>
        <w:tc>
          <w:tcPr>
            <w:tcW w:w="1688" w:type="pct"/>
            <w:hideMark/>
          </w:tcPr>
          <w:p w:rsidR="002E508F" w:rsidRDefault="005D0A03">
            <w:pPr>
              <w:spacing w:before="60"/>
              <w:rPr>
                <w:rFonts w:ascii="Times New Roman" w:hAnsi="Times New Roman" w:cs="Times New Roman"/>
                <w:noProof/>
                <w:sz w:val="20"/>
                <w:szCs w:val="20"/>
              </w:rPr>
            </w:pPr>
            <w:r>
              <w:rPr>
                <w:rFonts w:ascii="Times New Roman" w:hAnsi="Times New Roman" w:cs="Times New Roman"/>
                <w:noProof/>
                <w:sz w:val="20"/>
                <w:szCs w:val="20"/>
              </w:rPr>
              <w:t>Ensure that the Directive  supports  clear, long-term market signals</w:t>
            </w:r>
          </w:p>
        </w:tc>
        <w:tc>
          <w:tcPr>
            <w:tcW w:w="2030" w:type="pct"/>
            <w:hideMark/>
          </w:tcPr>
          <w:p w:rsidR="002E508F" w:rsidRDefault="005D0A03">
            <w:pPr>
              <w:pStyle w:val="ListParagraph"/>
              <w:numPr>
                <w:ilvl w:val="0"/>
                <w:numId w:val="27"/>
              </w:numPr>
              <w:spacing w:before="60" w:after="60" w:line="240" w:lineRule="auto"/>
              <w:contextualSpacing w:val="0"/>
              <w:rPr>
                <w:rFonts w:ascii="Times New Roman" w:hAnsi="Times New Roman" w:cs="Times New Roman"/>
                <w:noProof/>
                <w:sz w:val="20"/>
                <w:szCs w:val="20"/>
              </w:rPr>
            </w:pPr>
            <w:r>
              <w:rPr>
                <w:rFonts w:ascii="Times New Roman" w:hAnsi="Times New Roman" w:cs="Times New Roman"/>
                <w:noProof/>
                <w:sz w:val="20"/>
                <w:szCs w:val="20"/>
              </w:rPr>
              <w:t xml:space="preserve">Increase of registrations of low- and zero-emission vehicles that are publicly procured </w:t>
            </w:r>
          </w:p>
        </w:tc>
      </w:tr>
      <w:tr w:rsidR="002E508F">
        <w:tc>
          <w:tcPr>
            <w:tcW w:w="1282" w:type="pct"/>
            <w:vMerge/>
          </w:tcPr>
          <w:p w:rsidR="002E508F" w:rsidRDefault="002E508F">
            <w:pPr>
              <w:rPr>
                <w:rFonts w:ascii="Times New Roman" w:hAnsi="Times New Roman" w:cs="Times New Roman"/>
                <w:noProof/>
                <w:sz w:val="20"/>
                <w:szCs w:val="20"/>
              </w:rPr>
            </w:pPr>
          </w:p>
        </w:tc>
        <w:tc>
          <w:tcPr>
            <w:tcW w:w="1688" w:type="pct"/>
            <w:hideMark/>
          </w:tcPr>
          <w:p w:rsidR="002E508F" w:rsidRDefault="005D0A03">
            <w:pPr>
              <w:spacing w:before="60"/>
              <w:rPr>
                <w:rFonts w:ascii="Times New Roman" w:hAnsi="Times New Roman" w:cs="Times New Roman"/>
                <w:noProof/>
                <w:sz w:val="20"/>
                <w:szCs w:val="20"/>
              </w:rPr>
            </w:pPr>
            <w:r>
              <w:rPr>
                <w:rFonts w:ascii="Times New Roman" w:hAnsi="Times New Roman" w:cs="Times New Roman"/>
                <w:noProof/>
                <w:sz w:val="20"/>
                <w:szCs w:val="20"/>
              </w:rPr>
              <w:t>Ensure that the Directive's provisions are simplified and effective to use</w:t>
            </w:r>
          </w:p>
        </w:tc>
        <w:tc>
          <w:tcPr>
            <w:tcW w:w="2030" w:type="pct"/>
            <w:hideMark/>
          </w:tcPr>
          <w:p w:rsidR="002E508F" w:rsidRDefault="005D0A03">
            <w:pPr>
              <w:pStyle w:val="ListParagraph"/>
              <w:numPr>
                <w:ilvl w:val="0"/>
                <w:numId w:val="27"/>
              </w:numPr>
              <w:spacing w:before="60" w:after="60" w:line="240" w:lineRule="auto"/>
              <w:contextualSpacing w:val="0"/>
              <w:rPr>
                <w:rFonts w:ascii="Times New Roman" w:hAnsi="Times New Roman" w:cs="Times New Roman"/>
                <w:noProof/>
                <w:sz w:val="20"/>
                <w:szCs w:val="20"/>
              </w:rPr>
            </w:pPr>
            <w:r>
              <w:rPr>
                <w:rFonts w:ascii="Times New Roman" w:hAnsi="Times New Roman" w:cs="Times New Roman"/>
                <w:noProof/>
                <w:sz w:val="20"/>
                <w:szCs w:val="20"/>
              </w:rPr>
              <w:t xml:space="preserve">Simplification and directional alignment of procurement procedures concerning road vehicles </w:t>
            </w:r>
          </w:p>
          <w:p w:rsidR="002E508F" w:rsidRDefault="005D0A03">
            <w:pPr>
              <w:pStyle w:val="ListParagraph"/>
              <w:numPr>
                <w:ilvl w:val="0"/>
                <w:numId w:val="27"/>
              </w:numPr>
              <w:spacing w:before="60" w:after="60" w:line="240" w:lineRule="auto"/>
              <w:contextualSpacing w:val="0"/>
              <w:rPr>
                <w:rFonts w:ascii="Times New Roman" w:hAnsi="Times New Roman" w:cs="Times New Roman"/>
                <w:noProof/>
                <w:sz w:val="20"/>
                <w:szCs w:val="20"/>
              </w:rPr>
            </w:pPr>
            <w:r>
              <w:rPr>
                <w:rFonts w:ascii="Times New Roman" w:hAnsi="Times New Roman" w:cs="Times New Roman"/>
                <w:noProof/>
                <w:sz w:val="20"/>
                <w:szCs w:val="20"/>
              </w:rPr>
              <w:t>Increased reduction of CO2 and air pollutant emissions</w:t>
            </w:r>
          </w:p>
          <w:p w:rsidR="002E508F" w:rsidRDefault="005D0A03">
            <w:pPr>
              <w:pStyle w:val="ListParagraph"/>
              <w:numPr>
                <w:ilvl w:val="0"/>
                <w:numId w:val="27"/>
              </w:numPr>
              <w:spacing w:before="60" w:after="60" w:line="240" w:lineRule="auto"/>
              <w:contextualSpacing w:val="0"/>
              <w:rPr>
                <w:rFonts w:ascii="Times New Roman" w:hAnsi="Times New Roman" w:cs="Times New Roman"/>
                <w:noProof/>
                <w:sz w:val="20"/>
                <w:szCs w:val="20"/>
              </w:rPr>
            </w:pPr>
            <w:r>
              <w:rPr>
                <w:rFonts w:ascii="Times New Roman" w:hAnsi="Times New Roman" w:cs="Times New Roman"/>
                <w:noProof/>
                <w:sz w:val="20"/>
                <w:szCs w:val="20"/>
              </w:rPr>
              <w:t>More effective use of monetisation methodology (where relevant)</w:t>
            </w:r>
          </w:p>
        </w:tc>
      </w:tr>
    </w:tbl>
    <w:p w:rsidR="002E508F" w:rsidRDefault="005D0A03">
      <w:pPr>
        <w:rPr>
          <w:rFonts w:ascii="Times New Roman" w:hAnsi="Times New Roman" w:cs="Times New Roman"/>
          <w:b/>
          <w:noProof/>
          <w:sz w:val="20"/>
          <w:szCs w:val="20"/>
        </w:rPr>
      </w:pPr>
      <w:r>
        <w:rPr>
          <w:rFonts w:ascii="Times New Roman" w:hAnsi="Times New Roman" w:cs="Times New Roman"/>
          <w:b/>
          <w:noProof/>
          <w:sz w:val="20"/>
          <w:szCs w:val="20"/>
        </w:rPr>
        <w:br w:type="page"/>
      </w:r>
    </w:p>
    <w:p w:rsidR="002E508F" w:rsidRDefault="002E508F">
      <w:pPr>
        <w:spacing w:line="240" w:lineRule="auto"/>
        <w:jc w:val="both"/>
        <w:rPr>
          <w:rFonts w:ascii="Times New Roman" w:hAnsi="Times New Roman" w:cs="Times New Roman"/>
          <w:b/>
          <w:noProof/>
          <w:sz w:val="20"/>
          <w:szCs w:val="20"/>
        </w:rPr>
        <w:sectPr w:rsidR="002E508F">
          <w:headerReference w:type="even" r:id="rId34"/>
          <w:headerReference w:type="default" r:id="rId35"/>
          <w:footerReference w:type="even" r:id="rId36"/>
          <w:footerReference w:type="default" r:id="rId37"/>
          <w:headerReference w:type="first" r:id="rId38"/>
          <w:footerReference w:type="first" r:id="rId39"/>
          <w:pgSz w:w="11906" w:h="16838"/>
          <w:pgMar w:top="1418" w:right="1418" w:bottom="1418" w:left="1418" w:header="709" w:footer="709" w:gutter="0"/>
          <w:cols w:space="708"/>
          <w:docGrid w:linePitch="360"/>
        </w:sectPr>
      </w:pPr>
    </w:p>
    <w:p w:rsidR="002E508F" w:rsidRDefault="005D0A03">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Table 7.2: Effectiveness of policy options</w:t>
      </w:r>
      <w:r>
        <w:rPr>
          <w:rFonts w:ascii="Times New Roman" w:hAnsi="Times New Roman" w:cs="Times New Roman"/>
          <w:b/>
          <w:noProof/>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5"/>
        <w:gridCol w:w="264"/>
        <w:gridCol w:w="1126"/>
        <w:gridCol w:w="856"/>
        <w:gridCol w:w="589"/>
        <w:gridCol w:w="1536"/>
        <w:gridCol w:w="176"/>
        <w:gridCol w:w="1723"/>
        <w:gridCol w:w="1641"/>
        <w:gridCol w:w="1558"/>
        <w:gridCol w:w="290"/>
        <w:gridCol w:w="1288"/>
        <w:gridCol w:w="1476"/>
      </w:tblGrid>
      <w:tr w:rsidR="002E508F">
        <w:trPr>
          <w:tblHeader/>
          <w:jc w:val="center"/>
        </w:trPr>
        <w:tc>
          <w:tcPr>
            <w:tcW w:w="5000" w:type="pct"/>
            <w:gridSpan w:val="13"/>
            <w:tcBorders>
              <w:top w:val="single" w:sz="4" w:space="0" w:color="auto"/>
              <w:left w:val="single" w:sz="4" w:space="0" w:color="auto"/>
              <w:bottom w:val="single" w:sz="4" w:space="0" w:color="auto"/>
              <w:right w:val="single" w:sz="4" w:space="0" w:color="auto"/>
            </w:tcBorders>
            <w:hideMark/>
          </w:tcPr>
          <w:p w:rsidR="002E508F" w:rsidRDefault="005D0A03">
            <w:pPr>
              <w:keepNext/>
              <w:spacing w:after="0" w:line="254" w:lineRule="auto"/>
              <w:rPr>
                <w:rFonts w:ascii="Times New Roman" w:hAnsi="Times New Roman" w:cs="Times New Roman"/>
                <w:b/>
                <w:noProof/>
                <w:sz w:val="20"/>
                <w:szCs w:val="20"/>
              </w:rPr>
            </w:pPr>
            <w:r>
              <w:rPr>
                <w:rFonts w:ascii="Times New Roman" w:hAnsi="Times New Roman" w:cs="Times New Roman"/>
                <w:b/>
                <w:noProof/>
                <w:sz w:val="20"/>
                <w:szCs w:val="20"/>
              </w:rPr>
              <w:t>Key: Impacts expected</w:t>
            </w:r>
          </w:p>
        </w:tc>
      </w:tr>
      <w:tr w:rsidR="002E508F">
        <w:trPr>
          <w:tblHeader/>
          <w:jc w:val="center"/>
        </w:trPr>
        <w:tc>
          <w:tcPr>
            <w:tcW w:w="689" w:type="pct"/>
            <w:gridSpan w:val="2"/>
            <w:tcBorders>
              <w:top w:val="single" w:sz="4" w:space="0" w:color="auto"/>
              <w:left w:val="single" w:sz="4" w:space="0" w:color="auto"/>
              <w:bottom w:val="single" w:sz="4" w:space="0" w:color="auto"/>
              <w:right w:val="single" w:sz="4" w:space="0" w:color="auto"/>
            </w:tcBorders>
            <w:shd w:val="clear" w:color="auto" w:fill="FF0000"/>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B"/>
            </w:r>
            <w:r>
              <w:rPr>
                <w:rFonts w:ascii="Times New Roman" w:hAnsi="Times New Roman" w:cs="Times New Roman"/>
                <w:noProof/>
                <w:sz w:val="20"/>
                <w:szCs w:val="20"/>
              </w:rPr>
              <w:sym w:font="Wingdings" w:char="F0FB"/>
            </w:r>
          </w:p>
        </w:tc>
        <w:tc>
          <w:tcPr>
            <w:tcW w:w="697" w:type="pct"/>
            <w:gridSpan w:val="2"/>
            <w:tcBorders>
              <w:top w:val="single" w:sz="4" w:space="0" w:color="auto"/>
              <w:left w:val="single" w:sz="4" w:space="0" w:color="auto"/>
              <w:bottom w:val="single" w:sz="4" w:space="0" w:color="auto"/>
              <w:right w:val="single" w:sz="4" w:space="0" w:color="auto"/>
            </w:tcBorders>
            <w:shd w:val="clear" w:color="auto" w:fill="FFC000"/>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B"/>
            </w:r>
          </w:p>
        </w:tc>
        <w:tc>
          <w:tcPr>
            <w:tcW w:w="74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E508F" w:rsidRDefault="005D0A03">
            <w:pPr>
              <w:keepNext/>
              <w:tabs>
                <w:tab w:val="left" w:pos="1245"/>
                <w:tab w:val="center" w:pos="1330"/>
              </w:tabs>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t>O</w:t>
            </w:r>
          </w:p>
        </w:tc>
        <w:tc>
          <w:tcPr>
            <w:tcW w:w="668" w:type="pct"/>
            <w:gridSpan w:val="2"/>
            <w:tcBorders>
              <w:top w:val="single" w:sz="4" w:space="0" w:color="auto"/>
              <w:left w:val="single" w:sz="4" w:space="0" w:color="auto"/>
              <w:bottom w:val="single" w:sz="4" w:space="0" w:color="auto"/>
              <w:right w:val="single" w:sz="4" w:space="0" w:color="auto"/>
            </w:tcBorders>
            <w:shd w:val="clear" w:color="auto" w:fill="92D050"/>
            <w:hideMark/>
          </w:tcPr>
          <w:p w:rsidR="002E508F" w:rsidRDefault="005D0A03">
            <w:pPr>
              <w:keepNext/>
              <w:tabs>
                <w:tab w:val="left" w:pos="469"/>
                <w:tab w:val="center" w:pos="671"/>
              </w:tabs>
              <w:spacing w:after="0" w:line="254" w:lineRule="auto"/>
              <w:rPr>
                <w:rFonts w:ascii="Times New Roman" w:hAnsi="Times New Roman" w:cs="Times New Roman"/>
                <w:noProof/>
                <w:sz w:val="20"/>
                <w:szCs w:val="20"/>
              </w:rPr>
            </w:pP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sym w:font="Wingdings" w:char="F0FC"/>
            </w:r>
          </w:p>
        </w:tc>
        <w:tc>
          <w:tcPr>
            <w:tcW w:w="1227" w:type="pct"/>
            <w:gridSpan w:val="3"/>
            <w:tcBorders>
              <w:top w:val="single" w:sz="4" w:space="0" w:color="auto"/>
              <w:left w:val="single" w:sz="4" w:space="0" w:color="auto"/>
              <w:bottom w:val="single" w:sz="4" w:space="0" w:color="auto"/>
              <w:right w:val="single" w:sz="4" w:space="0" w:color="auto"/>
            </w:tcBorders>
            <w:shd w:val="clear" w:color="auto" w:fill="00B050"/>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r>
              <w:rPr>
                <w:rFonts w:ascii="Times New Roman" w:hAnsi="Times New Roman" w:cs="Times New Roman"/>
                <w:noProof/>
                <w:sz w:val="20"/>
                <w:szCs w:val="20"/>
              </w:rPr>
              <w:sym w:font="Wingdings" w:char="F0FC"/>
            </w:r>
          </w:p>
        </w:tc>
        <w:tc>
          <w:tcPr>
            <w:tcW w:w="972"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2E508F" w:rsidRDefault="002E508F">
            <w:pPr>
              <w:keepNext/>
              <w:spacing w:after="0" w:line="254" w:lineRule="auto"/>
              <w:jc w:val="center"/>
              <w:rPr>
                <w:rFonts w:ascii="Times New Roman" w:hAnsi="Times New Roman" w:cs="Times New Roman"/>
                <w:noProof/>
                <w:sz w:val="20"/>
                <w:szCs w:val="20"/>
              </w:rPr>
            </w:pPr>
          </w:p>
        </w:tc>
      </w:tr>
      <w:tr w:rsidR="002E508F">
        <w:trPr>
          <w:tblHeader/>
          <w:jc w:val="center"/>
        </w:trPr>
        <w:tc>
          <w:tcPr>
            <w:tcW w:w="689" w:type="pct"/>
            <w:gridSpan w:val="2"/>
            <w:tcBorders>
              <w:top w:val="single" w:sz="4" w:space="0" w:color="auto"/>
              <w:left w:val="single" w:sz="4" w:space="0" w:color="auto"/>
              <w:bottom w:val="single" w:sz="4" w:space="0" w:color="auto"/>
              <w:right w:val="single" w:sz="4" w:space="0" w:color="auto"/>
            </w:tcBorders>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t>Strongly negative</w:t>
            </w:r>
          </w:p>
        </w:tc>
        <w:tc>
          <w:tcPr>
            <w:tcW w:w="697" w:type="pct"/>
            <w:gridSpan w:val="2"/>
            <w:tcBorders>
              <w:top w:val="single" w:sz="4" w:space="0" w:color="auto"/>
              <w:left w:val="single" w:sz="4" w:space="0" w:color="auto"/>
              <w:bottom w:val="single" w:sz="4" w:space="0" w:color="auto"/>
              <w:right w:val="single" w:sz="4" w:space="0" w:color="auto"/>
            </w:tcBorders>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t>Weakly negative</w:t>
            </w:r>
          </w:p>
        </w:tc>
        <w:tc>
          <w:tcPr>
            <w:tcW w:w="747" w:type="pct"/>
            <w:gridSpan w:val="2"/>
            <w:tcBorders>
              <w:top w:val="single" w:sz="4" w:space="0" w:color="auto"/>
              <w:left w:val="single" w:sz="4" w:space="0" w:color="auto"/>
              <w:bottom w:val="single" w:sz="4" w:space="0" w:color="auto"/>
              <w:right w:val="single" w:sz="4" w:space="0" w:color="auto"/>
            </w:tcBorders>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t>No or negligible impact</w:t>
            </w:r>
          </w:p>
        </w:tc>
        <w:tc>
          <w:tcPr>
            <w:tcW w:w="668" w:type="pct"/>
            <w:gridSpan w:val="2"/>
            <w:tcBorders>
              <w:top w:val="single" w:sz="4" w:space="0" w:color="auto"/>
              <w:left w:val="single" w:sz="4" w:space="0" w:color="auto"/>
              <w:bottom w:val="single" w:sz="4" w:space="0" w:color="auto"/>
              <w:right w:val="single" w:sz="4" w:space="0" w:color="auto"/>
            </w:tcBorders>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t>Weakly positive</w:t>
            </w:r>
          </w:p>
        </w:tc>
        <w:tc>
          <w:tcPr>
            <w:tcW w:w="1227" w:type="pct"/>
            <w:gridSpan w:val="3"/>
            <w:tcBorders>
              <w:top w:val="single" w:sz="4" w:space="0" w:color="auto"/>
              <w:left w:val="single" w:sz="4" w:space="0" w:color="auto"/>
              <w:bottom w:val="single" w:sz="4" w:space="0" w:color="auto"/>
              <w:right w:val="single" w:sz="4" w:space="0" w:color="auto"/>
            </w:tcBorders>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t>Strongly positive</w:t>
            </w:r>
          </w:p>
        </w:tc>
        <w:tc>
          <w:tcPr>
            <w:tcW w:w="972" w:type="pct"/>
            <w:gridSpan w:val="2"/>
            <w:tcBorders>
              <w:top w:val="single" w:sz="4" w:space="0" w:color="auto"/>
              <w:left w:val="single" w:sz="4" w:space="0" w:color="auto"/>
              <w:bottom w:val="single" w:sz="4" w:space="0" w:color="auto"/>
              <w:right w:val="single" w:sz="4" w:space="0" w:color="auto"/>
            </w:tcBorders>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t>Unclear</w:t>
            </w:r>
          </w:p>
        </w:tc>
      </w:tr>
      <w:tr w:rsidR="002E508F">
        <w:trPr>
          <w:cantSplit/>
          <w:tblHeader/>
          <w:jc w:val="center"/>
        </w:trPr>
        <w:tc>
          <w:tcPr>
            <w:tcW w:w="596" w:type="pct"/>
            <w:tcBorders>
              <w:top w:val="single" w:sz="4" w:space="0" w:color="auto"/>
              <w:left w:val="single" w:sz="4" w:space="0" w:color="auto"/>
              <w:bottom w:val="single" w:sz="4" w:space="0" w:color="auto"/>
              <w:right w:val="single" w:sz="4" w:space="0" w:color="auto"/>
            </w:tcBorders>
            <w:shd w:val="clear" w:color="auto" w:fill="00B0F0"/>
            <w:tcMar>
              <w:top w:w="0" w:type="dxa"/>
              <w:left w:w="0" w:type="dxa"/>
              <w:bottom w:w="0" w:type="dxa"/>
              <w:right w:w="0" w:type="dxa"/>
            </w:tcMar>
            <w:vAlign w:val="center"/>
          </w:tcPr>
          <w:p w:rsidR="002E508F" w:rsidRDefault="002E508F">
            <w:pPr>
              <w:keepNext/>
              <w:spacing w:after="0" w:line="254" w:lineRule="auto"/>
              <w:rPr>
                <w:rFonts w:ascii="Times New Roman" w:hAnsi="Times New Roman" w:cs="Times New Roman"/>
                <w:b/>
                <w:bCs/>
                <w:noProof/>
                <w:sz w:val="20"/>
                <w:szCs w:val="20"/>
                <w:lang w:eastAsia="en-GB"/>
              </w:rPr>
            </w:pPr>
          </w:p>
        </w:tc>
        <w:tc>
          <w:tcPr>
            <w:tcW w:w="489" w:type="pct"/>
            <w:gridSpan w:val="2"/>
            <w:vMerge w:val="restart"/>
            <w:tcBorders>
              <w:top w:val="single" w:sz="4" w:space="0" w:color="auto"/>
              <w:left w:val="single" w:sz="4" w:space="0" w:color="auto"/>
              <w:right w:val="single" w:sz="4" w:space="0" w:color="auto"/>
            </w:tcBorders>
            <w:shd w:val="clear" w:color="auto" w:fill="00B0F0"/>
            <w:tcMar>
              <w:top w:w="0" w:type="dxa"/>
              <w:left w:w="0" w:type="dxa"/>
              <w:bottom w:w="0" w:type="dxa"/>
              <w:right w:w="0" w:type="dxa"/>
            </w:tcMar>
            <w:hideMark/>
          </w:tcPr>
          <w:p w:rsidR="002E508F" w:rsidRDefault="005D0A03">
            <w:pPr>
              <w:keepNext/>
              <w:spacing w:after="0" w:line="254" w:lineRule="auto"/>
              <w:jc w:val="center"/>
              <w:rPr>
                <w:rFonts w:ascii="Times New Roman" w:hAnsi="Times New Roman" w:cs="Times New Roman"/>
                <w:b/>
                <w:bCs/>
                <w:noProof/>
                <w:color w:val="FFFFFF"/>
                <w:sz w:val="20"/>
                <w:szCs w:val="20"/>
                <w:lang w:eastAsia="en-GB"/>
              </w:rPr>
            </w:pPr>
            <w:r>
              <w:rPr>
                <w:rFonts w:ascii="Times New Roman" w:hAnsi="Times New Roman" w:cs="Times New Roman"/>
                <w:b/>
                <w:bCs/>
                <w:noProof/>
                <w:color w:val="FFFFFF"/>
                <w:sz w:val="20"/>
                <w:szCs w:val="20"/>
                <w:lang w:eastAsia="en-GB"/>
              </w:rPr>
              <w:t>PO1</w:t>
            </w:r>
          </w:p>
        </w:tc>
        <w:tc>
          <w:tcPr>
            <w:tcW w:w="508" w:type="pct"/>
            <w:gridSpan w:val="2"/>
            <w:tcBorders>
              <w:top w:val="single" w:sz="4" w:space="0" w:color="auto"/>
              <w:left w:val="single" w:sz="4" w:space="0" w:color="auto"/>
              <w:bottom w:val="single" w:sz="4" w:space="0" w:color="auto"/>
              <w:right w:val="single" w:sz="4" w:space="0" w:color="auto"/>
            </w:tcBorders>
            <w:shd w:val="clear" w:color="auto" w:fill="00B0F0"/>
            <w:tcMar>
              <w:top w:w="0" w:type="dxa"/>
              <w:left w:w="0" w:type="dxa"/>
              <w:bottom w:w="0" w:type="dxa"/>
              <w:right w:w="0" w:type="dxa"/>
            </w:tcMar>
            <w:vAlign w:val="center"/>
            <w:hideMark/>
          </w:tcPr>
          <w:p w:rsidR="002E508F" w:rsidRDefault="005D0A03">
            <w:pPr>
              <w:keepNext/>
              <w:spacing w:after="0" w:line="254" w:lineRule="auto"/>
              <w:jc w:val="center"/>
              <w:rPr>
                <w:rFonts w:ascii="Times New Roman" w:hAnsi="Times New Roman" w:cs="Times New Roman"/>
                <w:b/>
                <w:bCs/>
                <w:noProof/>
                <w:color w:val="FFFFFF"/>
                <w:sz w:val="20"/>
                <w:szCs w:val="20"/>
                <w:lang w:eastAsia="en-GB"/>
              </w:rPr>
            </w:pPr>
            <w:r>
              <w:rPr>
                <w:rFonts w:ascii="Times New Roman" w:hAnsi="Times New Roman" w:cs="Times New Roman"/>
                <w:b/>
                <w:bCs/>
                <w:noProof/>
                <w:color w:val="FFFFFF"/>
                <w:sz w:val="20"/>
                <w:szCs w:val="20"/>
                <w:lang w:eastAsia="en-GB"/>
              </w:rPr>
              <w:t>PO2</w:t>
            </w:r>
          </w:p>
        </w:tc>
        <w:tc>
          <w:tcPr>
            <w:tcW w:w="1208" w:type="pct"/>
            <w:gridSpan w:val="3"/>
            <w:tcBorders>
              <w:top w:val="single" w:sz="4" w:space="0" w:color="auto"/>
              <w:left w:val="single" w:sz="4" w:space="0" w:color="auto"/>
              <w:bottom w:val="single" w:sz="4" w:space="0" w:color="auto"/>
              <w:right w:val="single" w:sz="4" w:space="0" w:color="auto"/>
            </w:tcBorders>
            <w:shd w:val="clear" w:color="auto" w:fill="00B0F0"/>
            <w:tcMar>
              <w:top w:w="0" w:type="dxa"/>
              <w:left w:w="57" w:type="dxa"/>
              <w:bottom w:w="0" w:type="dxa"/>
              <w:right w:w="57" w:type="dxa"/>
            </w:tcMar>
            <w:vAlign w:val="center"/>
            <w:hideMark/>
          </w:tcPr>
          <w:p w:rsidR="002E508F" w:rsidRDefault="005D0A03">
            <w:pPr>
              <w:keepNext/>
              <w:spacing w:after="0" w:line="254" w:lineRule="auto"/>
              <w:jc w:val="center"/>
              <w:rPr>
                <w:rFonts w:ascii="Times New Roman" w:hAnsi="Times New Roman" w:cs="Times New Roman"/>
                <w:b/>
                <w:bCs/>
                <w:noProof/>
                <w:color w:val="FFFFFF"/>
                <w:sz w:val="20"/>
                <w:szCs w:val="20"/>
                <w:lang w:eastAsia="en-GB"/>
              </w:rPr>
            </w:pPr>
            <w:r>
              <w:rPr>
                <w:rFonts w:ascii="Times New Roman" w:hAnsi="Times New Roman" w:cs="Times New Roman"/>
                <w:b/>
                <w:bCs/>
                <w:noProof/>
                <w:color w:val="FFFFFF"/>
                <w:sz w:val="20"/>
                <w:szCs w:val="20"/>
                <w:lang w:eastAsia="en-GB"/>
              </w:rPr>
              <w:t>PO3</w:t>
            </w:r>
          </w:p>
        </w:tc>
        <w:tc>
          <w:tcPr>
            <w:tcW w:w="1125" w:type="pct"/>
            <w:gridSpan w:val="2"/>
            <w:tcBorders>
              <w:top w:val="single" w:sz="4" w:space="0" w:color="auto"/>
              <w:left w:val="single" w:sz="4" w:space="0" w:color="auto"/>
              <w:bottom w:val="single" w:sz="4" w:space="0" w:color="auto"/>
              <w:right w:val="single" w:sz="4" w:space="0" w:color="auto"/>
            </w:tcBorders>
            <w:shd w:val="clear" w:color="auto" w:fill="00B0F0"/>
            <w:tcMar>
              <w:top w:w="0" w:type="dxa"/>
              <w:left w:w="0" w:type="dxa"/>
              <w:bottom w:w="0" w:type="dxa"/>
              <w:right w:w="0" w:type="dxa"/>
            </w:tcMar>
            <w:vAlign w:val="center"/>
            <w:hideMark/>
          </w:tcPr>
          <w:p w:rsidR="002E508F" w:rsidRDefault="005D0A03">
            <w:pPr>
              <w:keepNext/>
              <w:spacing w:after="0" w:line="254" w:lineRule="auto"/>
              <w:jc w:val="center"/>
              <w:rPr>
                <w:rFonts w:ascii="Times New Roman" w:hAnsi="Times New Roman" w:cs="Times New Roman"/>
                <w:b/>
                <w:bCs/>
                <w:noProof/>
                <w:color w:val="FFFFFF" w:themeColor="background1"/>
                <w:sz w:val="20"/>
                <w:szCs w:val="20"/>
                <w:lang w:eastAsia="en-GB"/>
              </w:rPr>
            </w:pPr>
            <w:r>
              <w:rPr>
                <w:rFonts w:ascii="Times New Roman" w:hAnsi="Times New Roman" w:cs="Times New Roman"/>
                <w:b/>
                <w:bCs/>
                <w:noProof/>
                <w:color w:val="FFFFFF" w:themeColor="background1"/>
                <w:sz w:val="20"/>
                <w:szCs w:val="20"/>
                <w:lang w:eastAsia="en-GB"/>
              </w:rPr>
              <w:t>PO4</w:t>
            </w:r>
          </w:p>
        </w:tc>
        <w:tc>
          <w:tcPr>
            <w:tcW w:w="555" w:type="pct"/>
            <w:gridSpan w:val="2"/>
            <w:vMerge w:val="restart"/>
            <w:tcBorders>
              <w:top w:val="single" w:sz="4" w:space="0" w:color="auto"/>
              <w:left w:val="single" w:sz="4" w:space="0" w:color="auto"/>
              <w:right w:val="single" w:sz="4" w:space="0" w:color="auto"/>
            </w:tcBorders>
            <w:shd w:val="clear" w:color="auto" w:fill="00B0F0"/>
            <w:tcMar>
              <w:top w:w="0" w:type="dxa"/>
              <w:left w:w="0" w:type="dxa"/>
              <w:bottom w:w="0" w:type="dxa"/>
              <w:right w:w="0" w:type="dxa"/>
            </w:tcMar>
            <w:hideMark/>
          </w:tcPr>
          <w:p w:rsidR="002E508F" w:rsidRDefault="005D0A03">
            <w:pPr>
              <w:keepNext/>
              <w:spacing w:after="0" w:line="254" w:lineRule="auto"/>
              <w:jc w:val="center"/>
              <w:rPr>
                <w:rFonts w:ascii="Times New Roman" w:hAnsi="Times New Roman" w:cs="Times New Roman"/>
                <w:b/>
                <w:bCs/>
                <w:noProof/>
                <w:color w:val="FFFFFF" w:themeColor="background1"/>
                <w:sz w:val="20"/>
                <w:szCs w:val="20"/>
                <w:lang w:eastAsia="en-GB"/>
              </w:rPr>
            </w:pPr>
            <w:r>
              <w:rPr>
                <w:rFonts w:ascii="Times New Roman" w:hAnsi="Times New Roman" w:cs="Times New Roman"/>
                <w:b/>
                <w:bCs/>
                <w:noProof/>
                <w:color w:val="FFFFFF" w:themeColor="background1"/>
                <w:sz w:val="20"/>
                <w:szCs w:val="20"/>
                <w:lang w:eastAsia="en-GB"/>
              </w:rPr>
              <w:t>PO5</w:t>
            </w:r>
          </w:p>
        </w:tc>
        <w:tc>
          <w:tcPr>
            <w:tcW w:w="519" w:type="pct"/>
            <w:vMerge w:val="restart"/>
            <w:tcBorders>
              <w:top w:val="single" w:sz="4" w:space="0" w:color="auto"/>
              <w:left w:val="single" w:sz="4" w:space="0" w:color="auto"/>
              <w:right w:val="single" w:sz="4" w:space="0" w:color="auto"/>
            </w:tcBorders>
            <w:shd w:val="clear" w:color="auto" w:fill="00B0F0"/>
          </w:tcPr>
          <w:p w:rsidR="002E508F" w:rsidRDefault="005D0A03">
            <w:pPr>
              <w:keepNext/>
              <w:spacing w:after="0" w:line="254" w:lineRule="auto"/>
              <w:jc w:val="center"/>
              <w:rPr>
                <w:rFonts w:ascii="Times New Roman" w:hAnsi="Times New Roman" w:cs="Times New Roman"/>
                <w:b/>
                <w:bCs/>
                <w:noProof/>
                <w:color w:val="FFFFFF" w:themeColor="background1"/>
                <w:sz w:val="20"/>
                <w:szCs w:val="20"/>
                <w:lang w:eastAsia="en-GB"/>
              </w:rPr>
            </w:pPr>
            <w:r>
              <w:rPr>
                <w:rFonts w:ascii="Times New Roman" w:hAnsi="Times New Roman" w:cs="Times New Roman"/>
                <w:b/>
                <w:bCs/>
                <w:noProof/>
                <w:color w:val="FFFFFF" w:themeColor="background1"/>
                <w:sz w:val="20"/>
                <w:szCs w:val="20"/>
                <w:lang w:eastAsia="en-GB"/>
              </w:rPr>
              <w:t>PO6</w:t>
            </w:r>
          </w:p>
        </w:tc>
      </w:tr>
      <w:tr w:rsidR="002E508F">
        <w:trPr>
          <w:cantSplit/>
          <w:tblHeader/>
          <w:jc w:val="center"/>
        </w:trPr>
        <w:tc>
          <w:tcPr>
            <w:tcW w:w="596" w:type="pct"/>
            <w:tcBorders>
              <w:top w:val="single" w:sz="4" w:space="0" w:color="auto"/>
              <w:left w:val="single" w:sz="4" w:space="0" w:color="auto"/>
              <w:bottom w:val="single" w:sz="4" w:space="0" w:color="auto"/>
              <w:right w:val="single" w:sz="4" w:space="0" w:color="auto"/>
            </w:tcBorders>
            <w:shd w:val="clear" w:color="auto" w:fill="00B0F0"/>
            <w:tcMar>
              <w:top w:w="0" w:type="dxa"/>
              <w:left w:w="0" w:type="dxa"/>
              <w:bottom w:w="0" w:type="dxa"/>
              <w:right w:w="0" w:type="dxa"/>
            </w:tcMar>
            <w:vAlign w:val="center"/>
          </w:tcPr>
          <w:p w:rsidR="002E508F" w:rsidRDefault="002E508F">
            <w:pPr>
              <w:keepNext/>
              <w:spacing w:after="0" w:line="254" w:lineRule="auto"/>
              <w:rPr>
                <w:rFonts w:ascii="Times New Roman" w:hAnsi="Times New Roman" w:cs="Times New Roman"/>
                <w:b/>
                <w:bCs/>
                <w:noProof/>
                <w:sz w:val="20"/>
                <w:szCs w:val="20"/>
                <w:lang w:eastAsia="en-GB"/>
              </w:rPr>
            </w:pPr>
          </w:p>
        </w:tc>
        <w:tc>
          <w:tcPr>
            <w:tcW w:w="489" w:type="pct"/>
            <w:gridSpan w:val="2"/>
            <w:vMerge/>
            <w:tcBorders>
              <w:left w:val="single" w:sz="4" w:space="0" w:color="auto"/>
              <w:bottom w:val="single" w:sz="4" w:space="0" w:color="auto"/>
              <w:right w:val="single" w:sz="4" w:space="0" w:color="auto"/>
            </w:tcBorders>
            <w:shd w:val="clear" w:color="auto" w:fill="00B0F0"/>
            <w:tcMar>
              <w:top w:w="0" w:type="dxa"/>
              <w:left w:w="0" w:type="dxa"/>
              <w:bottom w:w="0" w:type="dxa"/>
              <w:right w:w="0" w:type="dxa"/>
            </w:tcMar>
          </w:tcPr>
          <w:p w:rsidR="002E508F" w:rsidRDefault="002E508F">
            <w:pPr>
              <w:keepNext/>
              <w:spacing w:after="0" w:line="254" w:lineRule="auto"/>
              <w:jc w:val="center"/>
              <w:rPr>
                <w:rFonts w:ascii="Times New Roman" w:hAnsi="Times New Roman" w:cs="Times New Roman"/>
                <w:b/>
                <w:bCs/>
                <w:noProof/>
                <w:color w:val="FFFFFF"/>
                <w:sz w:val="20"/>
                <w:szCs w:val="20"/>
                <w:lang w:eastAsia="en-GB"/>
              </w:rPr>
            </w:pPr>
          </w:p>
        </w:tc>
        <w:tc>
          <w:tcPr>
            <w:tcW w:w="508" w:type="pct"/>
            <w:gridSpan w:val="2"/>
            <w:tcBorders>
              <w:top w:val="single" w:sz="4" w:space="0" w:color="auto"/>
              <w:left w:val="single" w:sz="4" w:space="0" w:color="auto"/>
              <w:bottom w:val="single" w:sz="4" w:space="0" w:color="auto"/>
              <w:right w:val="single" w:sz="4" w:space="0" w:color="auto"/>
            </w:tcBorders>
            <w:shd w:val="clear" w:color="auto" w:fill="00B0F0"/>
            <w:tcMar>
              <w:top w:w="0" w:type="dxa"/>
              <w:left w:w="0" w:type="dxa"/>
              <w:bottom w:w="0" w:type="dxa"/>
              <w:right w:w="0" w:type="dxa"/>
            </w:tcMar>
            <w:vAlign w:val="center"/>
            <w:hideMark/>
          </w:tcPr>
          <w:p w:rsidR="002E508F" w:rsidRDefault="002E508F">
            <w:pPr>
              <w:keepNext/>
              <w:spacing w:after="0" w:line="254" w:lineRule="auto"/>
              <w:jc w:val="center"/>
              <w:rPr>
                <w:rFonts w:ascii="Times New Roman" w:hAnsi="Times New Roman" w:cs="Times New Roman"/>
                <w:b/>
                <w:bCs/>
                <w:noProof/>
                <w:color w:val="FFFFFF"/>
                <w:sz w:val="20"/>
                <w:szCs w:val="20"/>
                <w:lang w:eastAsia="en-GB"/>
              </w:rPr>
            </w:pPr>
          </w:p>
        </w:tc>
        <w:tc>
          <w:tcPr>
            <w:tcW w:w="602" w:type="pct"/>
            <w:gridSpan w:val="2"/>
            <w:tcBorders>
              <w:top w:val="single" w:sz="4" w:space="0" w:color="auto"/>
              <w:left w:val="single" w:sz="4" w:space="0" w:color="auto"/>
              <w:bottom w:val="single" w:sz="4" w:space="0" w:color="auto"/>
              <w:right w:val="single" w:sz="4" w:space="0" w:color="auto"/>
            </w:tcBorders>
            <w:shd w:val="clear" w:color="auto" w:fill="00B0F0"/>
            <w:tcMar>
              <w:top w:w="0" w:type="dxa"/>
              <w:left w:w="57" w:type="dxa"/>
              <w:bottom w:w="0" w:type="dxa"/>
              <w:right w:w="57" w:type="dxa"/>
            </w:tcMar>
            <w:vAlign w:val="center"/>
          </w:tcPr>
          <w:p w:rsidR="002E508F" w:rsidRDefault="005D0A03">
            <w:pPr>
              <w:keepNext/>
              <w:spacing w:after="0" w:line="254" w:lineRule="auto"/>
              <w:jc w:val="center"/>
              <w:rPr>
                <w:rFonts w:ascii="Times New Roman" w:hAnsi="Times New Roman" w:cs="Times New Roman"/>
                <w:b/>
                <w:bCs/>
                <w:noProof/>
                <w:color w:val="FFFFFF"/>
                <w:sz w:val="20"/>
                <w:szCs w:val="20"/>
                <w:lang w:eastAsia="en-GB"/>
              </w:rPr>
            </w:pPr>
            <w:r>
              <w:rPr>
                <w:rFonts w:ascii="Times New Roman" w:hAnsi="Times New Roman" w:cs="Times New Roman"/>
                <w:b/>
                <w:bCs/>
                <w:noProof/>
                <w:color w:val="FFFFFF"/>
                <w:sz w:val="20"/>
                <w:szCs w:val="20"/>
                <w:lang w:eastAsia="en-GB"/>
              </w:rPr>
              <w:t>PO3a</w:t>
            </w:r>
          </w:p>
        </w:tc>
        <w:tc>
          <w:tcPr>
            <w:tcW w:w="606" w:type="pct"/>
            <w:tcBorders>
              <w:top w:val="single" w:sz="4" w:space="0" w:color="auto"/>
              <w:left w:val="single" w:sz="4" w:space="0" w:color="auto"/>
              <w:bottom w:val="single" w:sz="4" w:space="0" w:color="auto"/>
              <w:right w:val="single" w:sz="4" w:space="0" w:color="auto"/>
            </w:tcBorders>
            <w:shd w:val="clear" w:color="auto" w:fill="00B0F0"/>
            <w:tcMar>
              <w:top w:w="0" w:type="dxa"/>
              <w:left w:w="57" w:type="dxa"/>
              <w:bottom w:w="0" w:type="dxa"/>
              <w:right w:w="57" w:type="dxa"/>
            </w:tcMar>
            <w:vAlign w:val="center"/>
          </w:tcPr>
          <w:p w:rsidR="002E508F" w:rsidRDefault="005D0A03">
            <w:pPr>
              <w:keepNext/>
              <w:spacing w:after="0" w:line="254" w:lineRule="auto"/>
              <w:jc w:val="center"/>
              <w:rPr>
                <w:rFonts w:ascii="Times New Roman" w:hAnsi="Times New Roman" w:cs="Times New Roman"/>
                <w:b/>
                <w:bCs/>
                <w:noProof/>
                <w:color w:val="FFFFFF"/>
                <w:sz w:val="20"/>
                <w:szCs w:val="20"/>
                <w:lang w:eastAsia="en-GB"/>
              </w:rPr>
            </w:pPr>
            <w:r>
              <w:rPr>
                <w:rFonts w:ascii="Times New Roman" w:hAnsi="Times New Roman" w:cs="Times New Roman"/>
                <w:b/>
                <w:bCs/>
                <w:noProof/>
                <w:color w:val="FFFFFF"/>
                <w:sz w:val="20"/>
                <w:szCs w:val="20"/>
                <w:lang w:eastAsia="en-GB"/>
              </w:rPr>
              <w:t>PO3b</w:t>
            </w:r>
          </w:p>
        </w:tc>
        <w:tc>
          <w:tcPr>
            <w:tcW w:w="577" w:type="pct"/>
            <w:tcBorders>
              <w:top w:val="single" w:sz="4" w:space="0" w:color="auto"/>
              <w:left w:val="single" w:sz="4" w:space="0" w:color="auto"/>
              <w:bottom w:val="single" w:sz="4" w:space="0" w:color="auto"/>
              <w:right w:val="single" w:sz="4" w:space="0" w:color="auto"/>
            </w:tcBorders>
            <w:shd w:val="clear" w:color="auto" w:fill="00B0F0"/>
            <w:tcMar>
              <w:top w:w="0" w:type="dxa"/>
              <w:left w:w="0" w:type="dxa"/>
              <w:bottom w:w="0" w:type="dxa"/>
              <w:right w:w="0" w:type="dxa"/>
            </w:tcMar>
            <w:vAlign w:val="center"/>
          </w:tcPr>
          <w:p w:rsidR="002E508F" w:rsidRDefault="005D0A03">
            <w:pPr>
              <w:keepNext/>
              <w:spacing w:after="0" w:line="254" w:lineRule="auto"/>
              <w:jc w:val="center"/>
              <w:rPr>
                <w:rFonts w:ascii="Times New Roman" w:hAnsi="Times New Roman" w:cs="Times New Roman"/>
                <w:b/>
                <w:bCs/>
                <w:noProof/>
                <w:color w:val="FFFFFF" w:themeColor="background1"/>
                <w:sz w:val="20"/>
                <w:szCs w:val="20"/>
                <w:lang w:eastAsia="en-GB"/>
              </w:rPr>
            </w:pPr>
            <w:r>
              <w:rPr>
                <w:rFonts w:ascii="Times New Roman" w:hAnsi="Times New Roman" w:cs="Times New Roman"/>
                <w:b/>
                <w:bCs/>
                <w:noProof/>
                <w:color w:val="FFFFFF" w:themeColor="background1"/>
                <w:sz w:val="20"/>
                <w:szCs w:val="20"/>
                <w:lang w:eastAsia="en-GB"/>
              </w:rPr>
              <w:t>PO4a</w:t>
            </w:r>
          </w:p>
        </w:tc>
        <w:tc>
          <w:tcPr>
            <w:tcW w:w="548" w:type="pct"/>
            <w:tcBorders>
              <w:top w:val="single" w:sz="4" w:space="0" w:color="auto"/>
              <w:left w:val="single" w:sz="4" w:space="0" w:color="auto"/>
              <w:bottom w:val="single" w:sz="4" w:space="0" w:color="auto"/>
              <w:right w:val="single" w:sz="4" w:space="0" w:color="auto"/>
            </w:tcBorders>
            <w:shd w:val="clear" w:color="auto" w:fill="00B0F0"/>
            <w:tcMar>
              <w:top w:w="0" w:type="dxa"/>
              <w:left w:w="0" w:type="dxa"/>
              <w:bottom w:w="0" w:type="dxa"/>
              <w:right w:w="0" w:type="dxa"/>
            </w:tcMar>
          </w:tcPr>
          <w:p w:rsidR="002E508F" w:rsidRDefault="005D0A03">
            <w:pPr>
              <w:keepNext/>
              <w:spacing w:after="0" w:line="254" w:lineRule="auto"/>
              <w:jc w:val="center"/>
              <w:rPr>
                <w:rFonts w:ascii="Times New Roman" w:hAnsi="Times New Roman" w:cs="Times New Roman"/>
                <w:b/>
                <w:bCs/>
                <w:noProof/>
                <w:color w:val="FFFFFF" w:themeColor="background1"/>
                <w:sz w:val="20"/>
                <w:szCs w:val="20"/>
                <w:lang w:eastAsia="en-GB"/>
              </w:rPr>
            </w:pPr>
            <w:r>
              <w:rPr>
                <w:rFonts w:ascii="Times New Roman" w:hAnsi="Times New Roman" w:cs="Times New Roman"/>
                <w:b/>
                <w:bCs/>
                <w:noProof/>
                <w:color w:val="FFFFFF" w:themeColor="background1"/>
                <w:sz w:val="20"/>
                <w:szCs w:val="20"/>
                <w:lang w:eastAsia="en-GB"/>
              </w:rPr>
              <w:t>PO4b</w:t>
            </w:r>
          </w:p>
        </w:tc>
        <w:tc>
          <w:tcPr>
            <w:tcW w:w="555" w:type="pct"/>
            <w:gridSpan w:val="2"/>
            <w:vMerge/>
            <w:tcBorders>
              <w:left w:val="single" w:sz="4" w:space="0" w:color="auto"/>
              <w:bottom w:val="single" w:sz="4" w:space="0" w:color="auto"/>
              <w:right w:val="single" w:sz="4" w:space="0" w:color="auto"/>
            </w:tcBorders>
            <w:shd w:val="clear" w:color="auto" w:fill="00B0F0"/>
            <w:tcMar>
              <w:top w:w="0" w:type="dxa"/>
              <w:left w:w="0" w:type="dxa"/>
              <w:bottom w:w="0" w:type="dxa"/>
              <w:right w:w="0" w:type="dxa"/>
            </w:tcMar>
          </w:tcPr>
          <w:p w:rsidR="002E508F" w:rsidRDefault="002E508F">
            <w:pPr>
              <w:keepNext/>
              <w:spacing w:after="0" w:line="254" w:lineRule="auto"/>
              <w:jc w:val="center"/>
              <w:rPr>
                <w:rFonts w:ascii="Times New Roman" w:hAnsi="Times New Roman" w:cs="Times New Roman"/>
                <w:b/>
                <w:bCs/>
                <w:noProof/>
                <w:color w:val="FFFFFF" w:themeColor="background1"/>
                <w:sz w:val="20"/>
                <w:szCs w:val="20"/>
                <w:lang w:eastAsia="en-GB"/>
              </w:rPr>
            </w:pPr>
          </w:p>
        </w:tc>
        <w:tc>
          <w:tcPr>
            <w:tcW w:w="519" w:type="pct"/>
            <w:vMerge/>
            <w:tcBorders>
              <w:left w:val="single" w:sz="4" w:space="0" w:color="auto"/>
              <w:bottom w:val="single" w:sz="4" w:space="0" w:color="auto"/>
              <w:right w:val="single" w:sz="4" w:space="0" w:color="auto"/>
            </w:tcBorders>
            <w:shd w:val="clear" w:color="auto" w:fill="00B0F0"/>
          </w:tcPr>
          <w:p w:rsidR="002E508F" w:rsidRDefault="002E508F">
            <w:pPr>
              <w:keepNext/>
              <w:spacing w:after="0" w:line="254" w:lineRule="auto"/>
              <w:jc w:val="center"/>
              <w:rPr>
                <w:rFonts w:ascii="Times New Roman" w:hAnsi="Times New Roman" w:cs="Times New Roman"/>
                <w:b/>
                <w:bCs/>
                <w:noProof/>
                <w:color w:val="FFFFFF" w:themeColor="background1"/>
                <w:sz w:val="20"/>
                <w:szCs w:val="20"/>
                <w:lang w:eastAsia="en-GB"/>
              </w:rPr>
            </w:pPr>
          </w:p>
        </w:tc>
      </w:tr>
      <w:tr w:rsidR="002E508F">
        <w:trPr>
          <w:cantSplit/>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hideMark/>
          </w:tcPr>
          <w:p w:rsidR="002E508F" w:rsidRDefault="005D0A03">
            <w:pPr>
              <w:keepNext/>
              <w:spacing w:line="254" w:lineRule="auto"/>
              <w:rPr>
                <w:rFonts w:ascii="Times New Roman" w:hAnsi="Times New Roman" w:cs="Times New Roman"/>
                <w:b/>
                <w:noProof/>
                <w:sz w:val="20"/>
                <w:szCs w:val="20"/>
                <w:lang w:eastAsia="en-GB"/>
              </w:rPr>
            </w:pPr>
            <w:r>
              <w:rPr>
                <w:rFonts w:ascii="Times New Roman" w:hAnsi="Times New Roman" w:cs="Times New Roman"/>
                <w:b/>
                <w:noProof/>
                <w:sz w:val="20"/>
                <w:szCs w:val="20"/>
                <w:lang w:eastAsia="en-GB"/>
              </w:rPr>
              <w:t xml:space="preserve">Specific objective1: </w:t>
            </w:r>
            <w:r>
              <w:rPr>
                <w:rFonts w:ascii="Times New Roman" w:hAnsi="Times New Roman" w:cs="Times New Roman"/>
                <w:b/>
                <w:noProof/>
                <w:sz w:val="20"/>
                <w:szCs w:val="20"/>
              </w:rPr>
              <w:t>Ensure that the Directive covers all relevant procurement practices</w:t>
            </w:r>
          </w:p>
        </w:tc>
      </w:tr>
      <w:tr w:rsidR="002E508F">
        <w:trPr>
          <w:cantSplit/>
          <w:jc w:val="center"/>
        </w:trPr>
        <w:tc>
          <w:tcPr>
            <w:tcW w:w="596" w:type="pct"/>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Extension of scope to vehicles rented, leased, hire-purchased and to specific transport service contracts</w:t>
            </w:r>
          </w:p>
        </w:tc>
        <w:tc>
          <w:tcPr>
            <w:tcW w:w="489" w:type="pct"/>
            <w:gridSpan w:val="2"/>
            <w:tcBorders>
              <w:top w:val="single" w:sz="4" w:space="0" w:color="auto"/>
              <w:left w:val="single" w:sz="4" w:space="0" w:color="auto"/>
              <w:bottom w:val="single" w:sz="4" w:space="0" w:color="auto"/>
              <w:right w:val="single" w:sz="4" w:space="0" w:color="auto"/>
            </w:tcBorders>
            <w:shd w:val="clear" w:color="auto" w:fill="FFC000"/>
            <w:tcMar>
              <w:top w:w="0" w:type="dxa"/>
              <w:left w:w="0" w:type="dxa"/>
              <w:bottom w:w="0" w:type="dxa"/>
              <w:right w:w="0" w:type="dxa"/>
            </w:tcMar>
            <w:hideMark/>
          </w:tcPr>
          <w:p w:rsidR="002E508F" w:rsidRDefault="005D0A03">
            <w:pPr>
              <w:spacing w:after="0"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Negative – Eliminate impact of the current Directive</w:t>
            </w:r>
          </w:p>
        </w:tc>
        <w:tc>
          <w:tcPr>
            <w:tcW w:w="50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bCs/>
                <w:iCs/>
                <w:noProof/>
                <w:sz w:val="20"/>
                <w:szCs w:val="20"/>
                <w:lang w:eastAsia="en-GB"/>
              </w:rPr>
              <w:t>No impact</w:t>
            </w:r>
          </w:p>
        </w:tc>
        <w:tc>
          <w:tcPr>
            <w:tcW w:w="602" w:type="pct"/>
            <w:gridSpan w:val="2"/>
            <w:tcBorders>
              <w:top w:val="single" w:sz="4" w:space="0" w:color="auto"/>
              <w:left w:val="single" w:sz="4" w:space="0" w:color="auto"/>
              <w:bottom w:val="single" w:sz="4" w:space="0" w:color="auto"/>
              <w:right w:val="single" w:sz="4" w:space="0" w:color="auto"/>
            </w:tcBorders>
            <w:shd w:val="clear" w:color="auto" w:fill="92D050"/>
            <w:tcMar>
              <w:top w:w="0" w:type="dxa"/>
              <w:left w:w="57" w:type="dxa"/>
              <w:bottom w:w="0" w:type="dxa"/>
              <w:right w:w="57"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Increase in number of vehicles covered by 28% on average, but no actual limits in place for buses and trucks that represent 33% of the scope extension</w:t>
            </w:r>
          </w:p>
        </w:tc>
        <w:tc>
          <w:tcPr>
            <w:tcW w:w="606" w:type="pct"/>
            <w:tcBorders>
              <w:top w:val="single" w:sz="4" w:space="0" w:color="auto"/>
              <w:left w:val="single" w:sz="4" w:space="0" w:color="auto"/>
              <w:bottom w:val="single" w:sz="4" w:space="0" w:color="auto"/>
              <w:right w:val="single" w:sz="4" w:space="0" w:color="auto"/>
            </w:tcBorders>
            <w:shd w:val="clear" w:color="auto" w:fill="92D050"/>
            <w:tcMar>
              <w:top w:w="0" w:type="dxa"/>
              <w:left w:w="57" w:type="dxa"/>
              <w:bottom w:w="0" w:type="dxa"/>
              <w:right w:w="57"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Increase in number of vehicles covered by 28% on average, but no actual limits in place for buses and trucks that represent 33% of the scope extension</w:t>
            </w:r>
          </w:p>
        </w:tc>
        <w:tc>
          <w:tcPr>
            <w:tcW w:w="577" w:type="pct"/>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Increase in number of vehicles affected by 28% on average, with higher impact for trucks and buses</w:t>
            </w:r>
          </w:p>
        </w:tc>
        <w:tc>
          <w:tcPr>
            <w:tcW w:w="548" w:type="pct"/>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Increase in number of vehicles affected by 28% on average, with higher impact for trucks and buses</w:t>
            </w:r>
          </w:p>
        </w:tc>
        <w:tc>
          <w:tcPr>
            <w:tcW w:w="555" w:type="pct"/>
            <w:gridSpan w:val="2"/>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Increase in number of vehicles affected by 28% on average, with higher impact for trucks and buses</w:t>
            </w:r>
          </w:p>
        </w:tc>
        <w:tc>
          <w:tcPr>
            <w:tcW w:w="519" w:type="pct"/>
            <w:tcBorders>
              <w:top w:val="single" w:sz="4" w:space="0" w:color="auto"/>
              <w:left w:val="single" w:sz="4" w:space="0" w:color="auto"/>
              <w:bottom w:val="single" w:sz="4" w:space="0" w:color="auto"/>
              <w:right w:val="single" w:sz="4" w:space="0" w:color="auto"/>
            </w:tcBorders>
            <w:shd w:val="clear" w:color="auto" w:fill="92D050"/>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Increase in number of vehicles affected by 28% on average</w:t>
            </w:r>
          </w:p>
        </w:tc>
      </w:tr>
      <w:tr w:rsidR="002E508F">
        <w:trPr>
          <w:cantSplit/>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hideMark/>
          </w:tcPr>
          <w:p w:rsidR="002E508F" w:rsidRDefault="005D0A03">
            <w:pPr>
              <w:keepNext/>
              <w:spacing w:line="254" w:lineRule="auto"/>
              <w:rPr>
                <w:rFonts w:ascii="Times New Roman" w:hAnsi="Times New Roman" w:cs="Times New Roman"/>
                <w:b/>
                <w:noProof/>
                <w:sz w:val="20"/>
                <w:szCs w:val="20"/>
                <w:lang w:eastAsia="en-GB"/>
              </w:rPr>
            </w:pPr>
            <w:r>
              <w:rPr>
                <w:rFonts w:ascii="Times New Roman" w:hAnsi="Times New Roman" w:cs="Times New Roman"/>
                <w:b/>
                <w:noProof/>
                <w:sz w:val="20"/>
                <w:szCs w:val="20"/>
                <w:lang w:eastAsia="en-GB"/>
              </w:rPr>
              <w:t xml:space="preserve">Specific objective2: </w:t>
            </w:r>
            <w:r>
              <w:rPr>
                <w:rFonts w:ascii="Times New Roman" w:hAnsi="Times New Roman" w:cs="Times New Roman"/>
                <w:b/>
                <w:noProof/>
                <w:sz w:val="20"/>
                <w:szCs w:val="20"/>
              </w:rPr>
              <w:t>Ensure that the Directive supports clear, long-term market signals</w:t>
            </w:r>
          </w:p>
        </w:tc>
      </w:tr>
      <w:tr w:rsidR="002E508F">
        <w:trPr>
          <w:cantSplit/>
          <w:jc w:val="center"/>
        </w:trPr>
        <w:tc>
          <w:tcPr>
            <w:tcW w:w="596" w:type="pct"/>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Number and share of clean vehicles procured</w:t>
            </w:r>
          </w:p>
        </w:tc>
        <w:tc>
          <w:tcPr>
            <w:tcW w:w="489" w:type="pct"/>
            <w:gridSpan w:val="2"/>
            <w:tcBorders>
              <w:top w:val="single" w:sz="4" w:space="0" w:color="auto"/>
              <w:left w:val="single" w:sz="4" w:space="0" w:color="auto"/>
              <w:bottom w:val="single" w:sz="4" w:space="0" w:color="auto"/>
              <w:right w:val="single" w:sz="4" w:space="0" w:color="auto"/>
            </w:tcBorders>
            <w:shd w:val="clear" w:color="auto" w:fill="FFC000"/>
            <w:tcMar>
              <w:top w:w="0" w:type="dxa"/>
              <w:left w:w="0" w:type="dxa"/>
              <w:bottom w:w="0" w:type="dxa"/>
              <w:right w:w="0" w:type="dxa"/>
            </w:tcMar>
          </w:tcPr>
          <w:p w:rsidR="002E508F" w:rsidRDefault="005D0A03">
            <w:pPr>
              <w:spacing w:after="0"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 xml:space="preserve">No or possibly even negative impact  </w:t>
            </w:r>
          </w:p>
        </w:tc>
        <w:tc>
          <w:tcPr>
            <w:tcW w:w="508" w:type="pct"/>
            <w:gridSpan w:val="2"/>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tcPr>
          <w:p w:rsidR="002E508F" w:rsidRDefault="005D0A03">
            <w:pPr>
              <w:spacing w:after="0"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 xml:space="preserve">Positive effect (total increase by 154 thousand vehicles or 7 p.p. increase in the share of clean  vehicles procured) driven mainly by impact on clean buses </w:t>
            </w:r>
          </w:p>
        </w:tc>
        <w:tc>
          <w:tcPr>
            <w:tcW w:w="602" w:type="pct"/>
            <w:gridSpan w:val="2"/>
            <w:tcBorders>
              <w:top w:val="single" w:sz="4" w:space="0" w:color="auto"/>
              <w:left w:val="single" w:sz="4" w:space="0" w:color="auto"/>
              <w:bottom w:val="single" w:sz="4" w:space="0" w:color="auto"/>
              <w:right w:val="single" w:sz="4" w:space="0" w:color="auto"/>
            </w:tcBorders>
            <w:shd w:val="clear" w:color="auto" w:fill="92D050"/>
            <w:tcMar>
              <w:top w:w="0" w:type="dxa"/>
              <w:left w:w="57" w:type="dxa"/>
              <w:bottom w:w="0" w:type="dxa"/>
              <w:right w:w="57" w:type="dxa"/>
            </w:tcMar>
          </w:tcPr>
          <w:p w:rsidR="002E508F" w:rsidRDefault="005D0A03">
            <w:pPr>
              <w:spacing w:after="0"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 xml:space="preserve">Positive effect (overall increase by 450 thousand vehicles or 21 p.p. increase in the share of clean vehicles procured) driven by increase in scope and share of clean passenger cars, vans </w:t>
            </w:r>
          </w:p>
          <w:p w:rsidR="002E508F" w:rsidRDefault="005D0A03">
            <w:pPr>
              <w:spacing w:after="0"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 xml:space="preserve">No impact on trucks and buses  </w:t>
            </w:r>
          </w:p>
        </w:tc>
        <w:tc>
          <w:tcPr>
            <w:tcW w:w="606" w:type="pct"/>
            <w:tcBorders>
              <w:top w:val="single" w:sz="4" w:space="0" w:color="auto"/>
              <w:left w:val="single" w:sz="4" w:space="0" w:color="auto"/>
              <w:bottom w:val="single" w:sz="4" w:space="0" w:color="auto"/>
              <w:right w:val="single" w:sz="4" w:space="0" w:color="auto"/>
            </w:tcBorders>
            <w:shd w:val="clear" w:color="auto" w:fill="92D050"/>
            <w:tcMar>
              <w:top w:w="0" w:type="dxa"/>
              <w:left w:w="57" w:type="dxa"/>
              <w:bottom w:w="0" w:type="dxa"/>
              <w:right w:w="57" w:type="dxa"/>
            </w:tcMar>
          </w:tcPr>
          <w:p w:rsidR="002E508F" w:rsidRDefault="005D0A03">
            <w:pPr>
              <w:spacing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 xml:space="preserve">Positive effect (overall increase by 376 thousand vehicles or 17 p.p. increase in the share of clean vehicles procured) driven by increase in scope in higher share of clean passenger cars, vans </w:t>
            </w:r>
          </w:p>
          <w:p w:rsidR="002E508F" w:rsidRDefault="005D0A03">
            <w:pPr>
              <w:spacing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 xml:space="preserve">No impact on trucks and buses  </w:t>
            </w:r>
          </w:p>
        </w:tc>
        <w:tc>
          <w:tcPr>
            <w:tcW w:w="577" w:type="pct"/>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tcPr>
          <w:p w:rsidR="002E508F" w:rsidRDefault="005D0A03">
            <w:pPr>
              <w:spacing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Positive effect with total increase by 397 thousand vehicles or 18 p.p. increase in the share of clean vehicles procured) driven by increase in scope and higher share of clean passenger cars, vans and buses</w:t>
            </w:r>
          </w:p>
          <w:p w:rsidR="002E508F" w:rsidRDefault="002E508F">
            <w:pPr>
              <w:spacing w:line="254" w:lineRule="auto"/>
              <w:rPr>
                <w:rFonts w:ascii="Times New Roman" w:hAnsi="Times New Roman" w:cs="Times New Roman"/>
                <w:bCs/>
                <w:iCs/>
                <w:noProof/>
                <w:sz w:val="20"/>
                <w:szCs w:val="20"/>
                <w:lang w:eastAsia="en-GB"/>
              </w:rPr>
            </w:pPr>
          </w:p>
        </w:tc>
        <w:tc>
          <w:tcPr>
            <w:tcW w:w="548" w:type="pct"/>
            <w:tcBorders>
              <w:top w:val="single" w:sz="4" w:space="0" w:color="auto"/>
              <w:left w:val="single" w:sz="4" w:space="0" w:color="auto"/>
              <w:bottom w:val="single" w:sz="4" w:space="0" w:color="auto"/>
              <w:right w:val="single" w:sz="4" w:space="0" w:color="auto"/>
            </w:tcBorders>
            <w:shd w:val="clear" w:color="auto" w:fill="00B050"/>
            <w:tcMar>
              <w:top w:w="0" w:type="dxa"/>
              <w:left w:w="0" w:type="dxa"/>
              <w:bottom w:w="0" w:type="dxa"/>
              <w:right w:w="0" w:type="dxa"/>
            </w:tcMar>
          </w:tcPr>
          <w:p w:rsidR="002E508F" w:rsidRDefault="005D0A03">
            <w:pPr>
              <w:spacing w:line="254" w:lineRule="auto"/>
              <w:rPr>
                <w:rFonts w:ascii="Times New Roman" w:hAnsi="Times New Roman" w:cs="Times New Roman"/>
                <w:bCs/>
                <w:iCs/>
                <w:noProof/>
                <w:sz w:val="20"/>
                <w:szCs w:val="20"/>
                <w:shd w:val="clear" w:color="auto" w:fill="00B050"/>
                <w:lang w:eastAsia="en-GB"/>
              </w:rPr>
            </w:pPr>
            <w:r>
              <w:rPr>
                <w:rFonts w:ascii="Times New Roman" w:hAnsi="Times New Roman" w:cs="Times New Roman"/>
                <w:bCs/>
                <w:iCs/>
                <w:noProof/>
                <w:sz w:val="20"/>
                <w:szCs w:val="20"/>
                <w:shd w:val="clear" w:color="auto" w:fill="00B050"/>
                <w:lang w:eastAsia="en-GB"/>
              </w:rPr>
              <w:t>Positive effect with total increase by 691 thousand vehicles or 32 p.p. increase in the share of clean vehicles procured) driven by higher share of clean passenger cars, vans and buses</w:t>
            </w:r>
          </w:p>
          <w:p w:rsidR="002E508F" w:rsidRDefault="002E508F">
            <w:pPr>
              <w:spacing w:line="254" w:lineRule="auto"/>
              <w:rPr>
                <w:rFonts w:ascii="Times New Roman" w:hAnsi="Times New Roman" w:cs="Times New Roman"/>
                <w:bCs/>
                <w:iCs/>
                <w:noProof/>
                <w:sz w:val="20"/>
                <w:szCs w:val="20"/>
                <w:shd w:val="clear" w:color="auto" w:fill="00B050"/>
                <w:lang w:eastAsia="en-GB"/>
              </w:rPr>
            </w:pPr>
          </w:p>
        </w:tc>
        <w:tc>
          <w:tcPr>
            <w:tcW w:w="555" w:type="pct"/>
            <w:gridSpan w:val="2"/>
            <w:tcBorders>
              <w:top w:val="single" w:sz="4" w:space="0" w:color="auto"/>
              <w:left w:val="single" w:sz="4" w:space="0" w:color="auto"/>
              <w:bottom w:val="single" w:sz="4" w:space="0" w:color="auto"/>
              <w:right w:val="single" w:sz="4" w:space="0" w:color="auto"/>
            </w:tcBorders>
            <w:shd w:val="clear" w:color="auto" w:fill="00B050"/>
            <w:tcMar>
              <w:top w:w="0" w:type="dxa"/>
              <w:left w:w="0" w:type="dxa"/>
              <w:bottom w:w="0" w:type="dxa"/>
              <w:right w:w="0" w:type="dxa"/>
            </w:tcMar>
          </w:tcPr>
          <w:p w:rsidR="002E508F" w:rsidRDefault="005D0A03">
            <w:pPr>
              <w:spacing w:line="254" w:lineRule="auto"/>
              <w:rPr>
                <w:rFonts w:ascii="Times New Roman" w:hAnsi="Times New Roman" w:cs="Times New Roman"/>
                <w:bCs/>
                <w:iCs/>
                <w:noProof/>
                <w:sz w:val="20"/>
                <w:szCs w:val="20"/>
                <w:shd w:val="clear" w:color="auto" w:fill="00B050"/>
                <w:lang w:eastAsia="en-GB"/>
              </w:rPr>
            </w:pPr>
            <w:r>
              <w:rPr>
                <w:rFonts w:ascii="Times New Roman" w:hAnsi="Times New Roman" w:cs="Times New Roman"/>
                <w:bCs/>
                <w:iCs/>
                <w:noProof/>
                <w:sz w:val="20"/>
                <w:szCs w:val="20"/>
                <w:shd w:val="clear" w:color="auto" w:fill="00B050"/>
                <w:lang w:eastAsia="en-GB"/>
              </w:rPr>
              <w:t>Positive effect with total increase by 635 thousand vehicles or 29 p.p. increase in the share of clean vehicles procured) driven by increase in scope and higher share of clean buses and passenger cars</w:t>
            </w:r>
          </w:p>
          <w:p w:rsidR="002E508F" w:rsidRDefault="002E508F">
            <w:pPr>
              <w:spacing w:line="254" w:lineRule="auto"/>
              <w:rPr>
                <w:rFonts w:ascii="Times New Roman" w:hAnsi="Times New Roman" w:cs="Times New Roman"/>
                <w:bCs/>
                <w:iCs/>
                <w:noProof/>
                <w:sz w:val="20"/>
                <w:szCs w:val="20"/>
                <w:shd w:val="clear" w:color="auto" w:fill="92D050"/>
                <w:lang w:eastAsia="en-GB"/>
              </w:rPr>
            </w:pPr>
          </w:p>
        </w:tc>
        <w:tc>
          <w:tcPr>
            <w:tcW w:w="519" w:type="pct"/>
            <w:tcBorders>
              <w:top w:val="single" w:sz="4" w:space="0" w:color="auto"/>
              <w:left w:val="single" w:sz="4" w:space="0" w:color="auto"/>
              <w:bottom w:val="single" w:sz="4" w:space="0" w:color="auto"/>
              <w:right w:val="single" w:sz="4" w:space="0" w:color="auto"/>
            </w:tcBorders>
            <w:shd w:val="clear" w:color="auto" w:fill="00B050"/>
          </w:tcPr>
          <w:p w:rsidR="002E508F" w:rsidRDefault="005D0A03">
            <w:pPr>
              <w:spacing w:line="254" w:lineRule="auto"/>
              <w:rPr>
                <w:rFonts w:ascii="Times New Roman" w:hAnsi="Times New Roman" w:cs="Times New Roman"/>
                <w:bCs/>
                <w:iCs/>
                <w:noProof/>
                <w:sz w:val="20"/>
                <w:szCs w:val="20"/>
                <w:shd w:val="clear" w:color="auto" w:fill="00B050"/>
                <w:lang w:eastAsia="en-GB"/>
              </w:rPr>
            </w:pPr>
            <w:r>
              <w:rPr>
                <w:rFonts w:ascii="Times New Roman" w:hAnsi="Times New Roman" w:cs="Times New Roman"/>
                <w:bCs/>
                <w:iCs/>
                <w:noProof/>
                <w:sz w:val="20"/>
                <w:szCs w:val="20"/>
                <w:shd w:val="clear" w:color="auto" w:fill="00B050"/>
                <w:lang w:eastAsia="en-GB"/>
              </w:rPr>
              <w:t>Positive effect with total increase by 500 thousand vehicles or 23 p.p. increase in the share of clean vehicles procured) driven by higher share of clean passenger cars, vans and buses</w:t>
            </w:r>
          </w:p>
        </w:tc>
      </w:tr>
      <w:tr w:rsidR="002E508F">
        <w:trPr>
          <w:cantSplit/>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hideMark/>
          </w:tcPr>
          <w:p w:rsidR="002E508F" w:rsidRDefault="005D0A03">
            <w:pPr>
              <w:keepNext/>
              <w:spacing w:line="254" w:lineRule="auto"/>
              <w:rPr>
                <w:rFonts w:ascii="Times New Roman" w:hAnsi="Times New Roman" w:cs="Times New Roman"/>
                <w:b/>
                <w:noProof/>
                <w:sz w:val="20"/>
                <w:szCs w:val="20"/>
                <w:lang w:eastAsia="en-GB"/>
              </w:rPr>
            </w:pPr>
            <w:r>
              <w:rPr>
                <w:rFonts w:ascii="Times New Roman" w:hAnsi="Times New Roman" w:cs="Times New Roman"/>
                <w:b/>
                <w:noProof/>
                <w:sz w:val="20"/>
                <w:szCs w:val="20"/>
                <w:lang w:eastAsia="en-GB"/>
              </w:rPr>
              <w:t xml:space="preserve">Specific objective 3: </w:t>
            </w:r>
            <w:r>
              <w:rPr>
                <w:rFonts w:ascii="Times New Roman" w:hAnsi="Times New Roman" w:cs="Times New Roman"/>
                <w:b/>
                <w:noProof/>
                <w:sz w:val="20"/>
                <w:szCs w:val="20"/>
              </w:rPr>
              <w:t>Ensure that the Directive's provision are simple and effective to use</w:t>
            </w:r>
          </w:p>
        </w:tc>
      </w:tr>
      <w:tr w:rsidR="002E508F">
        <w:trPr>
          <w:cantSplit/>
          <w:jc w:val="center"/>
        </w:trPr>
        <w:tc>
          <w:tcPr>
            <w:tcW w:w="596" w:type="pct"/>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Greater alignment of procurement procedures</w:t>
            </w:r>
          </w:p>
        </w:tc>
        <w:tc>
          <w:tcPr>
            <w:tcW w:w="489" w:type="pct"/>
            <w:gridSpan w:val="2"/>
            <w:tcBorders>
              <w:top w:val="single" w:sz="4" w:space="0" w:color="auto"/>
              <w:left w:val="single" w:sz="4" w:space="0" w:color="auto"/>
              <w:bottom w:val="single" w:sz="4" w:space="0" w:color="auto"/>
              <w:right w:val="single" w:sz="4" w:space="0" w:color="auto"/>
            </w:tcBorders>
            <w:shd w:val="clear" w:color="auto" w:fill="FF0000"/>
            <w:tcMar>
              <w:top w:w="0" w:type="dxa"/>
              <w:left w:w="0" w:type="dxa"/>
              <w:bottom w:w="0" w:type="dxa"/>
              <w:right w:w="0" w:type="dxa"/>
            </w:tcMar>
          </w:tcPr>
          <w:p w:rsidR="002E508F" w:rsidRDefault="005D0A03">
            <w:pPr>
              <w:spacing w:after="0"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Strongly negative – current framework is discarded; no general common rules</w:t>
            </w:r>
          </w:p>
        </w:tc>
        <w:tc>
          <w:tcPr>
            <w:tcW w:w="50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tcPr>
          <w:p w:rsidR="002E508F" w:rsidRDefault="005D0A03">
            <w:pPr>
              <w:spacing w:after="0"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Member States have to choose an option: Majority use of common definition, but follow-up unclear</w:t>
            </w:r>
          </w:p>
        </w:tc>
        <w:tc>
          <w:tcPr>
            <w:tcW w:w="602" w:type="pct"/>
            <w:gridSpan w:val="2"/>
            <w:tcBorders>
              <w:top w:val="single" w:sz="4" w:space="0" w:color="auto"/>
              <w:left w:val="single" w:sz="4" w:space="0" w:color="auto"/>
              <w:bottom w:val="single" w:sz="4" w:space="0" w:color="auto"/>
              <w:right w:val="single" w:sz="4" w:space="0" w:color="auto"/>
            </w:tcBorders>
            <w:shd w:val="clear" w:color="auto" w:fill="00B050"/>
            <w:tcMar>
              <w:top w:w="0" w:type="dxa"/>
              <w:left w:w="57" w:type="dxa"/>
              <w:bottom w:w="0" w:type="dxa"/>
              <w:right w:w="57" w:type="dxa"/>
            </w:tcMar>
          </w:tcPr>
          <w:p w:rsidR="002E508F" w:rsidRDefault="005D0A03">
            <w:pPr>
              <w:spacing w:after="0"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Strong positive impact: common definition and action requirement</w:t>
            </w:r>
          </w:p>
        </w:tc>
        <w:tc>
          <w:tcPr>
            <w:tcW w:w="606" w:type="pct"/>
            <w:tcBorders>
              <w:top w:val="single" w:sz="4" w:space="0" w:color="auto"/>
              <w:left w:val="single" w:sz="4" w:space="0" w:color="auto"/>
              <w:bottom w:val="single" w:sz="4" w:space="0" w:color="auto"/>
              <w:right w:val="single" w:sz="4" w:space="0" w:color="auto"/>
            </w:tcBorders>
            <w:shd w:val="clear" w:color="auto" w:fill="00B050"/>
            <w:tcMar>
              <w:top w:w="0" w:type="dxa"/>
              <w:left w:w="57" w:type="dxa"/>
              <w:bottom w:w="0" w:type="dxa"/>
              <w:right w:w="57" w:type="dxa"/>
            </w:tcMar>
          </w:tcPr>
          <w:p w:rsidR="002E508F" w:rsidRDefault="005D0A03">
            <w:pPr>
              <w:spacing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Strong positive impact: common definition and action requirement</w:t>
            </w:r>
          </w:p>
        </w:tc>
        <w:tc>
          <w:tcPr>
            <w:tcW w:w="577" w:type="pct"/>
            <w:tcBorders>
              <w:top w:val="single" w:sz="4" w:space="0" w:color="auto"/>
              <w:left w:val="single" w:sz="4" w:space="0" w:color="auto"/>
              <w:bottom w:val="single" w:sz="4" w:space="0" w:color="auto"/>
              <w:right w:val="single" w:sz="4" w:space="0" w:color="auto"/>
            </w:tcBorders>
            <w:shd w:val="clear" w:color="auto" w:fill="00B050"/>
            <w:tcMar>
              <w:top w:w="0" w:type="dxa"/>
              <w:left w:w="0" w:type="dxa"/>
              <w:bottom w:w="0" w:type="dxa"/>
              <w:right w:w="0" w:type="dxa"/>
            </w:tcMar>
          </w:tcPr>
          <w:p w:rsidR="002E508F" w:rsidRDefault="005D0A03">
            <w:pPr>
              <w:spacing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Strong positive impact: common definition and action requirement</w:t>
            </w:r>
          </w:p>
        </w:tc>
        <w:tc>
          <w:tcPr>
            <w:tcW w:w="548" w:type="pct"/>
            <w:tcBorders>
              <w:top w:val="single" w:sz="4" w:space="0" w:color="auto"/>
              <w:left w:val="single" w:sz="4" w:space="0" w:color="auto"/>
              <w:bottom w:val="single" w:sz="4" w:space="0" w:color="auto"/>
              <w:right w:val="single" w:sz="4" w:space="0" w:color="auto"/>
            </w:tcBorders>
            <w:shd w:val="clear" w:color="auto" w:fill="00B050"/>
            <w:tcMar>
              <w:top w:w="0" w:type="dxa"/>
              <w:left w:w="0" w:type="dxa"/>
              <w:bottom w:w="0" w:type="dxa"/>
              <w:right w:w="0" w:type="dxa"/>
            </w:tcMar>
          </w:tcPr>
          <w:p w:rsidR="002E508F" w:rsidRDefault="005D0A03">
            <w:pPr>
              <w:spacing w:line="254" w:lineRule="auto"/>
              <w:rPr>
                <w:rFonts w:ascii="Times New Roman" w:hAnsi="Times New Roman" w:cs="Times New Roman"/>
                <w:bCs/>
                <w:iCs/>
                <w:noProof/>
                <w:sz w:val="20"/>
                <w:szCs w:val="20"/>
                <w:shd w:val="clear" w:color="auto" w:fill="00B050"/>
                <w:lang w:eastAsia="en-GB"/>
              </w:rPr>
            </w:pPr>
            <w:r>
              <w:rPr>
                <w:rFonts w:ascii="Times New Roman" w:hAnsi="Times New Roman" w:cs="Times New Roman"/>
                <w:bCs/>
                <w:iCs/>
                <w:noProof/>
                <w:sz w:val="20"/>
                <w:szCs w:val="20"/>
                <w:lang w:eastAsia="en-GB"/>
              </w:rPr>
              <w:t>Strong positive impact: common definition and action requirement</w:t>
            </w:r>
          </w:p>
        </w:tc>
        <w:tc>
          <w:tcPr>
            <w:tcW w:w="555" w:type="pct"/>
            <w:gridSpan w:val="2"/>
            <w:tcBorders>
              <w:top w:val="single" w:sz="4" w:space="0" w:color="auto"/>
              <w:left w:val="single" w:sz="4" w:space="0" w:color="auto"/>
              <w:bottom w:val="single" w:sz="4" w:space="0" w:color="auto"/>
              <w:right w:val="single" w:sz="4" w:space="0" w:color="auto"/>
            </w:tcBorders>
            <w:shd w:val="clear" w:color="auto" w:fill="00B050"/>
            <w:tcMar>
              <w:top w:w="0" w:type="dxa"/>
              <w:left w:w="0" w:type="dxa"/>
              <w:bottom w:w="0" w:type="dxa"/>
              <w:right w:w="0" w:type="dxa"/>
            </w:tcMar>
          </w:tcPr>
          <w:p w:rsidR="002E508F" w:rsidRDefault="005D0A03">
            <w:pPr>
              <w:spacing w:line="254" w:lineRule="auto"/>
              <w:rPr>
                <w:rFonts w:ascii="Times New Roman" w:hAnsi="Times New Roman" w:cs="Times New Roman"/>
                <w:bCs/>
                <w:iCs/>
                <w:noProof/>
                <w:sz w:val="20"/>
                <w:szCs w:val="20"/>
                <w:shd w:val="clear" w:color="auto" w:fill="92D050"/>
                <w:lang w:eastAsia="en-GB"/>
              </w:rPr>
            </w:pPr>
            <w:r>
              <w:rPr>
                <w:rFonts w:ascii="Times New Roman" w:hAnsi="Times New Roman" w:cs="Times New Roman"/>
                <w:bCs/>
                <w:iCs/>
                <w:noProof/>
                <w:sz w:val="20"/>
                <w:szCs w:val="20"/>
                <w:lang w:eastAsia="en-GB"/>
              </w:rPr>
              <w:t>Strongest impact due to immediate effect of common procedure</w:t>
            </w:r>
          </w:p>
        </w:tc>
        <w:tc>
          <w:tcPr>
            <w:tcW w:w="519" w:type="pct"/>
            <w:tcBorders>
              <w:top w:val="single" w:sz="4" w:space="0" w:color="auto"/>
              <w:left w:val="single" w:sz="4" w:space="0" w:color="auto"/>
              <w:bottom w:val="single" w:sz="4" w:space="0" w:color="auto"/>
              <w:right w:val="single" w:sz="4" w:space="0" w:color="auto"/>
            </w:tcBorders>
            <w:shd w:val="clear" w:color="auto" w:fill="00B050"/>
          </w:tcPr>
          <w:p w:rsidR="002E508F" w:rsidRDefault="005D0A03">
            <w:pPr>
              <w:spacing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Strong positive impact: common definition and action requirement</w:t>
            </w:r>
          </w:p>
        </w:tc>
      </w:tr>
      <w:tr w:rsidR="002E508F">
        <w:trPr>
          <w:cantSplit/>
          <w:jc w:val="center"/>
        </w:trPr>
        <w:tc>
          <w:tcPr>
            <w:tcW w:w="596" w:type="pct"/>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tcPr>
          <w:p w:rsidR="002E508F" w:rsidRDefault="005D0A03">
            <w:pPr>
              <w:pStyle w:val="ListParagraph"/>
              <w:keepNext/>
              <w:numPr>
                <w:ilvl w:val="0"/>
                <w:numId w:val="28"/>
              </w:numPr>
              <w:spacing w:before="60" w:after="60" w:line="254" w:lineRule="auto"/>
              <w:ind w:left="360"/>
              <w:rPr>
                <w:rFonts w:ascii="Times New Roman" w:hAnsi="Times New Roman" w:cs="Times New Roman"/>
                <w:noProof/>
                <w:sz w:val="20"/>
                <w:szCs w:val="20"/>
              </w:rPr>
            </w:pPr>
            <w:r>
              <w:rPr>
                <w:rFonts w:ascii="Times New Roman" w:hAnsi="Times New Roman" w:cs="Times New Roman"/>
                <w:noProof/>
                <w:sz w:val="20"/>
                <w:szCs w:val="20"/>
              </w:rPr>
              <w:t xml:space="preserve">CO2 emissions </w:t>
            </w:r>
          </w:p>
        </w:tc>
        <w:tc>
          <w:tcPr>
            <w:tcW w:w="48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tcPr>
          <w:p w:rsidR="002E508F" w:rsidRDefault="005D0A03">
            <w:pPr>
              <w:spacing w:after="0"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No impact</w:t>
            </w:r>
          </w:p>
        </w:tc>
        <w:tc>
          <w:tcPr>
            <w:tcW w:w="508" w:type="pct"/>
            <w:gridSpan w:val="2"/>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rPr>
              <w:t>Reduction by 15 million tonnes (800 million cost savings)</w:t>
            </w:r>
          </w:p>
        </w:tc>
        <w:tc>
          <w:tcPr>
            <w:tcW w:w="602" w:type="pct"/>
            <w:gridSpan w:val="2"/>
            <w:tcBorders>
              <w:top w:val="single" w:sz="4" w:space="0" w:color="auto"/>
              <w:left w:val="single" w:sz="4" w:space="0" w:color="auto"/>
              <w:bottom w:val="single" w:sz="4" w:space="0" w:color="auto"/>
              <w:right w:val="single" w:sz="4" w:space="0" w:color="auto"/>
            </w:tcBorders>
            <w:shd w:val="clear" w:color="auto" w:fill="92D050"/>
            <w:tcMar>
              <w:top w:w="0" w:type="dxa"/>
              <w:left w:w="57" w:type="dxa"/>
              <w:bottom w:w="0" w:type="dxa"/>
              <w:right w:w="57" w:type="dxa"/>
            </w:tcMar>
          </w:tcPr>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rPr>
              <w:t>Reduction by 12 million tonnes (€610 million cost savings)</w:t>
            </w:r>
          </w:p>
        </w:tc>
        <w:tc>
          <w:tcPr>
            <w:tcW w:w="606" w:type="pct"/>
            <w:tcBorders>
              <w:top w:val="single" w:sz="4" w:space="0" w:color="auto"/>
              <w:left w:val="single" w:sz="4" w:space="0" w:color="auto"/>
              <w:bottom w:val="single" w:sz="4" w:space="0" w:color="auto"/>
              <w:right w:val="single" w:sz="4" w:space="0" w:color="auto"/>
            </w:tcBorders>
            <w:shd w:val="clear" w:color="auto" w:fill="92D050"/>
            <w:tcMar>
              <w:top w:w="0" w:type="dxa"/>
              <w:left w:w="57" w:type="dxa"/>
              <w:bottom w:w="0" w:type="dxa"/>
              <w:right w:w="57" w:type="dxa"/>
            </w:tcMar>
          </w:tcPr>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rPr>
              <w:t>Reduction by 11 million tonnes (€600 million cost savings)</w:t>
            </w:r>
          </w:p>
        </w:tc>
        <w:tc>
          <w:tcPr>
            <w:tcW w:w="577" w:type="pct"/>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rPr>
              <w:t>Reduction by 25 million tonnes (1,260 million cost savings)</w:t>
            </w:r>
          </w:p>
        </w:tc>
        <w:tc>
          <w:tcPr>
            <w:tcW w:w="548" w:type="pct"/>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rPr>
              <w:t>Reduction by 41 million tonnes (2,090 billion cost savings)</w:t>
            </w:r>
          </w:p>
        </w:tc>
        <w:tc>
          <w:tcPr>
            <w:tcW w:w="555" w:type="pct"/>
            <w:gridSpan w:val="2"/>
            <w:tcBorders>
              <w:top w:val="single" w:sz="4" w:space="0" w:color="auto"/>
              <w:left w:val="single" w:sz="4" w:space="0" w:color="auto"/>
              <w:bottom w:val="single" w:sz="4" w:space="0" w:color="auto"/>
              <w:right w:val="single" w:sz="4" w:space="0" w:color="auto"/>
            </w:tcBorders>
            <w:shd w:val="clear" w:color="auto" w:fill="00B050"/>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rPr>
              <w:t>Reduction by 148 million tonnes (€8.3 billion cost savings)</w:t>
            </w:r>
          </w:p>
        </w:tc>
        <w:tc>
          <w:tcPr>
            <w:tcW w:w="519" w:type="pct"/>
            <w:tcBorders>
              <w:top w:val="single" w:sz="4" w:space="0" w:color="auto"/>
              <w:left w:val="single" w:sz="4" w:space="0" w:color="auto"/>
              <w:bottom w:val="single" w:sz="4" w:space="0" w:color="auto"/>
              <w:right w:val="single" w:sz="4" w:space="0" w:color="auto"/>
            </w:tcBorders>
            <w:shd w:val="clear" w:color="auto" w:fill="92D050"/>
          </w:tcPr>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rPr>
              <w:t>Reduction by 42 million tonnes (2,140 billion cost savings)</w:t>
            </w:r>
          </w:p>
        </w:tc>
      </w:tr>
      <w:tr w:rsidR="002E508F">
        <w:trPr>
          <w:cantSplit/>
          <w:jc w:val="center"/>
        </w:trPr>
        <w:tc>
          <w:tcPr>
            <w:tcW w:w="596" w:type="pct"/>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tcPr>
          <w:p w:rsidR="002E508F" w:rsidRDefault="005D0A03">
            <w:pPr>
              <w:pStyle w:val="ListParagraph"/>
              <w:keepNext/>
              <w:numPr>
                <w:ilvl w:val="0"/>
                <w:numId w:val="28"/>
              </w:numPr>
              <w:spacing w:before="60" w:after="60" w:line="254" w:lineRule="auto"/>
              <w:ind w:left="360"/>
              <w:rPr>
                <w:rFonts w:ascii="Times New Roman" w:hAnsi="Times New Roman" w:cs="Times New Roman"/>
                <w:noProof/>
                <w:sz w:val="20"/>
                <w:szCs w:val="20"/>
              </w:rPr>
            </w:pPr>
            <w:r>
              <w:rPr>
                <w:rFonts w:ascii="Times New Roman" w:hAnsi="Times New Roman" w:cs="Times New Roman"/>
                <w:noProof/>
                <w:sz w:val="20"/>
                <w:szCs w:val="20"/>
              </w:rPr>
              <w:t>Air pollutants</w:t>
            </w:r>
          </w:p>
        </w:tc>
        <w:tc>
          <w:tcPr>
            <w:tcW w:w="48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tcPr>
          <w:p w:rsidR="002E508F" w:rsidRDefault="005D0A03">
            <w:pPr>
              <w:spacing w:after="0"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No impact</w:t>
            </w:r>
          </w:p>
        </w:tc>
        <w:tc>
          <w:tcPr>
            <w:tcW w:w="508" w:type="pct"/>
            <w:gridSpan w:val="2"/>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rPr>
              <w:t>Total damage costs reduction by €50 million mainly from reduction of NOx emissions, less so PM10</w:t>
            </w:r>
          </w:p>
        </w:tc>
        <w:tc>
          <w:tcPr>
            <w:tcW w:w="602" w:type="pct"/>
            <w:gridSpan w:val="2"/>
            <w:tcBorders>
              <w:top w:val="single" w:sz="4" w:space="0" w:color="auto"/>
              <w:left w:val="single" w:sz="4" w:space="0" w:color="auto"/>
              <w:bottom w:val="single" w:sz="4" w:space="0" w:color="auto"/>
              <w:right w:val="single" w:sz="4" w:space="0" w:color="auto"/>
            </w:tcBorders>
            <w:shd w:val="clear" w:color="auto" w:fill="92D050"/>
            <w:tcMar>
              <w:top w:w="0" w:type="dxa"/>
              <w:left w:w="57" w:type="dxa"/>
              <w:bottom w:w="0" w:type="dxa"/>
              <w:right w:w="57" w:type="dxa"/>
            </w:tcMar>
          </w:tcPr>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rPr>
              <w:t>Reduction by €30 million mainly from reduction of NOx emissions, less so PM10</w:t>
            </w:r>
          </w:p>
        </w:tc>
        <w:tc>
          <w:tcPr>
            <w:tcW w:w="606" w:type="pct"/>
            <w:tcBorders>
              <w:top w:val="single" w:sz="4" w:space="0" w:color="auto"/>
              <w:left w:val="single" w:sz="4" w:space="0" w:color="auto"/>
              <w:bottom w:val="single" w:sz="4" w:space="0" w:color="auto"/>
              <w:right w:val="single" w:sz="4" w:space="0" w:color="auto"/>
            </w:tcBorders>
            <w:shd w:val="clear" w:color="auto" w:fill="92D050"/>
            <w:tcMar>
              <w:top w:w="0" w:type="dxa"/>
              <w:left w:w="57" w:type="dxa"/>
              <w:bottom w:w="0" w:type="dxa"/>
              <w:right w:w="57" w:type="dxa"/>
            </w:tcMar>
          </w:tcPr>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rPr>
              <w:t>Reduction by €50 million mainly from reduction of NOx emissions, less so PM10</w:t>
            </w:r>
          </w:p>
        </w:tc>
        <w:tc>
          <w:tcPr>
            <w:tcW w:w="577" w:type="pct"/>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rPr>
              <w:t>Reduction by €50 million mainly from reduction of NOx emissions, less so PM10</w:t>
            </w:r>
          </w:p>
        </w:tc>
        <w:tc>
          <w:tcPr>
            <w:tcW w:w="548" w:type="pct"/>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rPr>
              <w:t>Reduction by €100 million mainly from reduction of NOx emissions, less so PM10</w:t>
            </w:r>
          </w:p>
        </w:tc>
        <w:tc>
          <w:tcPr>
            <w:tcW w:w="555" w:type="pct"/>
            <w:gridSpan w:val="2"/>
            <w:tcBorders>
              <w:top w:val="single" w:sz="4" w:space="0" w:color="auto"/>
              <w:left w:val="single" w:sz="4" w:space="0" w:color="auto"/>
              <w:bottom w:val="single" w:sz="4" w:space="0" w:color="auto"/>
              <w:right w:val="single" w:sz="4" w:space="0" w:color="auto"/>
            </w:tcBorders>
            <w:shd w:val="clear" w:color="auto" w:fill="00B050"/>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rPr>
              <w:t>Reduction by €570 million mainly from reduction of NOx emissions, less so PM10</w:t>
            </w:r>
          </w:p>
        </w:tc>
        <w:tc>
          <w:tcPr>
            <w:tcW w:w="519" w:type="pct"/>
            <w:tcBorders>
              <w:top w:val="single" w:sz="4" w:space="0" w:color="auto"/>
              <w:left w:val="single" w:sz="4" w:space="0" w:color="auto"/>
              <w:bottom w:val="single" w:sz="4" w:space="0" w:color="auto"/>
              <w:right w:val="single" w:sz="4" w:space="0" w:color="auto"/>
            </w:tcBorders>
            <w:shd w:val="clear" w:color="auto" w:fill="92D050"/>
          </w:tcPr>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rPr>
              <w:t>Reduction by €100 million mainly from reduction of NOx emissions, less so PM10</w:t>
            </w:r>
          </w:p>
        </w:tc>
      </w:tr>
      <w:tr w:rsidR="002E508F">
        <w:trPr>
          <w:cantSplit/>
          <w:jc w:val="center"/>
        </w:trPr>
        <w:tc>
          <w:tcPr>
            <w:tcW w:w="596" w:type="pct"/>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rPr>
              <w:t>Use of monetisation methodology, where required</w:t>
            </w:r>
          </w:p>
        </w:tc>
        <w:tc>
          <w:tcPr>
            <w:tcW w:w="489" w:type="pct"/>
            <w:gridSpan w:val="2"/>
            <w:tcBorders>
              <w:top w:val="single" w:sz="4" w:space="0" w:color="auto"/>
              <w:left w:val="single" w:sz="4" w:space="0" w:color="auto"/>
              <w:bottom w:val="single" w:sz="4" w:space="0" w:color="auto"/>
              <w:right w:val="single" w:sz="4" w:space="0" w:color="auto"/>
            </w:tcBorders>
            <w:shd w:val="clear" w:color="auto" w:fill="FFC000"/>
            <w:tcMar>
              <w:top w:w="0" w:type="dxa"/>
              <w:left w:w="0" w:type="dxa"/>
              <w:bottom w:w="0" w:type="dxa"/>
              <w:right w:w="0" w:type="dxa"/>
            </w:tcMar>
            <w:hideMark/>
          </w:tcPr>
          <w:p w:rsidR="002E508F" w:rsidRDefault="005D0A03">
            <w:pPr>
              <w:spacing w:after="0"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Negative impact – eliminate use and no adequate replacement</w:t>
            </w:r>
          </w:p>
        </w:tc>
        <w:tc>
          <w:tcPr>
            <w:tcW w:w="508"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use of the methodology is assumed to apply to 11% of the vehicles procured, in line with the findings from the ex-post evaluation on the current practice.</w:t>
            </w:r>
          </w:p>
        </w:tc>
        <w:tc>
          <w:tcPr>
            <w:tcW w:w="2333" w:type="pct"/>
            <w:gridSpan w:val="5"/>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rsidR="002E508F" w:rsidRDefault="005D0A03">
            <w:pPr>
              <w:spacing w:after="0" w:line="254" w:lineRule="auto"/>
              <w:rPr>
                <w:rFonts w:ascii="Times New Roman" w:hAnsi="Times New Roman" w:cs="Times New Roman"/>
                <w:bCs/>
                <w:iCs/>
                <w:noProof/>
                <w:sz w:val="20"/>
                <w:szCs w:val="20"/>
                <w:lang w:eastAsia="en-GB"/>
              </w:rPr>
            </w:pPr>
            <w:r>
              <w:rPr>
                <w:rFonts w:ascii="Times New Roman" w:hAnsi="Times New Roman" w:cs="Times New Roman"/>
                <w:bCs/>
                <w:iCs/>
                <w:noProof/>
                <w:sz w:val="20"/>
                <w:szCs w:val="20"/>
                <w:lang w:eastAsia="en-GB"/>
              </w:rPr>
              <w:t>No use required, but adequate approach in place to ensure intended outcomes</w:t>
            </w:r>
          </w:p>
        </w:tc>
        <w:tc>
          <w:tcPr>
            <w:tcW w:w="555" w:type="pct"/>
            <w:gridSpan w:val="2"/>
            <w:tcBorders>
              <w:top w:val="single" w:sz="4" w:space="0" w:color="auto"/>
              <w:left w:val="single" w:sz="4" w:space="0" w:color="auto"/>
              <w:bottom w:val="single" w:sz="4" w:space="0" w:color="auto"/>
              <w:right w:val="single" w:sz="4" w:space="0" w:color="auto"/>
            </w:tcBorders>
            <w:shd w:val="clear" w:color="auto" w:fill="00B050"/>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100% use of methodology by public bodies</w:t>
            </w:r>
          </w:p>
        </w:tc>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bCs/>
                <w:iCs/>
                <w:noProof/>
                <w:sz w:val="20"/>
                <w:szCs w:val="20"/>
                <w:lang w:eastAsia="en-GB"/>
              </w:rPr>
              <w:t>No use required, but adequate approach in place to ensure intended outcomes</w:t>
            </w:r>
          </w:p>
        </w:tc>
      </w:tr>
    </w:tbl>
    <w:p w:rsidR="002E508F" w:rsidRDefault="002E508F">
      <w:pPr>
        <w:spacing w:line="240" w:lineRule="auto"/>
        <w:jc w:val="both"/>
        <w:rPr>
          <w:rFonts w:ascii="Times New Roman" w:hAnsi="Times New Roman" w:cs="Times New Roman"/>
          <w:noProof/>
        </w:rPr>
        <w:sectPr w:rsidR="002E508F">
          <w:headerReference w:type="even" r:id="rId40"/>
          <w:headerReference w:type="default" r:id="rId41"/>
          <w:footerReference w:type="even" r:id="rId42"/>
          <w:footerReference w:type="default" r:id="rId43"/>
          <w:headerReference w:type="first" r:id="rId44"/>
          <w:footerReference w:type="first" r:id="rId45"/>
          <w:pgSz w:w="16838" w:h="11906" w:orient="landscape"/>
          <w:pgMar w:top="1418" w:right="1418" w:bottom="1418" w:left="1418" w:header="709" w:footer="709" w:gutter="0"/>
          <w:cols w:space="708"/>
          <w:docGrid w:linePitch="360"/>
        </w:sectPr>
      </w:pP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PO1 either has no impacts or generates a negative impact compared to the current situation. PO2 contributes to the achievement of objectives to some extent, but its effectiveness is strongly dependent on the responses from Member States to the requirement of setting up policy action based on a clean vehicle definition or use of the monetisation methodology. PO3 shows average effectiveness against all the objectives, mainly because it lacks impacts in the heavy-duty segment. PO4 shows average to good effectiveness against all the objectives. In terms of vehicle uptake it is the most effective policy option, but in terms of vehicle emission reductions it is considered less effective than PO5, because it leads to a higher share of CNG and LNG vehicles than in other policy options. However, seen from the point of view of flexibility offered to cities and regions and the sizeable savings this is fully acceptable.  PO6 combines the strengths of PO3 for an approach to light-duty vehicle procurement that is fully coherent with relevant CO2 and air quality legislation at European level, while it addresses a temporary alternative fuels requirement for heavy-duty vehicles until the conditions are established for the adoption of a clean vehicle procurement approach based on emission-thresholds.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PO5 is most effective when it comes to the alignment of procedures (all authorities have to use the same procedure) and emission reductions (higher share of zero-emission vehicles). However, it is important to recall that the assessment of this PO is characterised by a considerable degree of uncertainty about the actual application of the methodology, which also holds true for PO2. Moreover, its positive impacts occur mainly in the segment of urban buses, whereas it is estimated to lead to greater numbers of conventionally fuelled passenger cars and vans compared to PO3, PO4 and PO6.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lang w:eastAsia="en-GB"/>
        </w:rPr>
        <w:t xml:space="preserve">Against this background, PO3 and PO4 are more appropriate alternatives: they both have positive and sizable impacts, while uncertainty in the outcomes is lower. They also provide the necessary clarity in terms of the clean vehicle definition that should ensure a more consistent and coherent approach across the EU, even if different national thresholds apply. Both policy options also provide for a staged adoption of more demanding targets and simplify the implementation of the Clean Vehicles Directive by </w:t>
      </w:r>
      <w:r>
        <w:rPr>
          <w:rFonts w:ascii="Times New Roman" w:hAnsi="Times New Roman" w:cs="Times New Roman"/>
          <w:noProof/>
        </w:rPr>
        <w:t>abandoning the monetisation methodology. However, they also have their shortcomings. If a pure emission-based threshold is chosen as in PO3, there is currently no possibility to extend such an approach to the area of heavy-duty vehicles, where public procurement of clean vehicles is an important market driver. PO4, on the other hand, establishes an approach that is not fully in line with the emission-based approach to CO</w:t>
      </w:r>
      <w:r>
        <w:rPr>
          <w:rFonts w:ascii="Times New Roman" w:hAnsi="Times New Roman" w:cs="Times New Roman"/>
          <w:noProof/>
          <w:vertAlign w:val="subscript"/>
        </w:rPr>
        <w:t>2</w:t>
      </w:r>
      <w:r>
        <w:rPr>
          <w:rFonts w:ascii="Times New Roman" w:hAnsi="Times New Roman" w:cs="Times New Roman"/>
          <w:noProof/>
        </w:rPr>
        <w:t xml:space="preserve"> and pollutant emissions from vehicles that underpins other parts of the Acquis. Against this backdrop, PO6 appears as the most appropriate alternative as it has positive and sizeable impact, while uncertainty in outcome is lower compared to PO5 and in addition it improves policy coherence of clean vehicle legislation with other important EU legislation.</w:t>
      </w:r>
    </w:p>
    <w:p w:rsidR="002E508F" w:rsidRDefault="005D0A03">
      <w:pPr>
        <w:pStyle w:val="Heading2"/>
        <w:rPr>
          <w:noProof/>
        </w:rPr>
      </w:pPr>
      <w:bookmarkStart w:id="70" w:name="_Toc497141521"/>
      <w:r>
        <w:rPr>
          <w:noProof/>
        </w:rPr>
        <w:t>Efficiency</w:t>
      </w:r>
      <w:bookmarkEnd w:id="70"/>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Efficiency concerns "the extent to which objectives can be achieved for a given level of resource/at least cost". The major costs of the policy options come in the form of procurement cost. These can be balanced against operational cost savings and the wider cost savings related to the achievement of the broader environmental and climate objectives (outlined above). As noted in Table 7.3, the net costs (or benefits) to the authorities and suppliers of vehicles were considered for the comparison of options.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Overall net cost savings are estimated for all policy options (see table 7.3).</w:t>
      </w:r>
      <w:r>
        <w:rPr>
          <w:rStyle w:val="FootnoteReference"/>
          <w:rFonts w:ascii="Times New Roman" w:hAnsi="Times New Roman" w:cs="Times New Roman"/>
          <w:noProof/>
        </w:rPr>
        <w:footnoteReference w:id="95"/>
      </w:r>
      <w:r>
        <w:rPr>
          <w:rFonts w:ascii="Times New Roman" w:hAnsi="Times New Roman" w:cs="Times New Roman"/>
          <w:noProof/>
        </w:rPr>
        <w:t xml:space="preserve"> PO5 stands out from all other policy options in terms of its net cost savings (with the caveat of the use of the monetisation methodology mentioned above). Among the other options PO6 stands out in terms of net cost savings (approximately EUR 4.3 billion in 2020-2035). It is hence appropriate to qualify it as the most appropriate efficient option, even if it leads to relatively small decreases in the net cost for procurement authorities (approximately EUR 53 million in 2020-2035) and higher net procurement cost (approximately EUR 2.2 billion over 2020-2035). Among all options PO5, PO6 and PO4b deliver the biggest impact in terms of increased revenues for manufactures and vehicle suppliers (approximately EUR 11 billion over 2020-2035 in PO5 and around EUR 4 billion in PO6 and PO4b), because it leads to the biggest market take-up of vehicles.   </w:t>
      </w:r>
    </w:p>
    <w:p w:rsidR="002E508F" w:rsidRDefault="002E508F">
      <w:pPr>
        <w:rPr>
          <w:rFonts w:ascii="Times New Roman" w:hAnsi="Times New Roman" w:cs="Times New Roman"/>
          <w:b/>
          <w:noProof/>
          <w:sz w:val="20"/>
          <w:szCs w:val="20"/>
        </w:rPr>
        <w:sectPr w:rsidR="002E508F">
          <w:headerReference w:type="even" r:id="rId46"/>
          <w:headerReference w:type="default" r:id="rId47"/>
          <w:footerReference w:type="even" r:id="rId48"/>
          <w:footerReference w:type="default" r:id="rId49"/>
          <w:headerReference w:type="first" r:id="rId50"/>
          <w:footerReference w:type="first" r:id="rId51"/>
          <w:pgSz w:w="11906" w:h="16838"/>
          <w:pgMar w:top="1418" w:right="1418" w:bottom="1418" w:left="1418" w:header="709" w:footer="709" w:gutter="0"/>
          <w:cols w:space="708"/>
          <w:docGrid w:linePitch="360"/>
        </w:sectPr>
      </w:pPr>
    </w:p>
    <w:p w:rsidR="002E508F" w:rsidRDefault="005D0A03">
      <w:pPr>
        <w:spacing w:after="0" w:line="240" w:lineRule="auto"/>
        <w:jc w:val="both"/>
        <w:rPr>
          <w:rFonts w:ascii="Times New Roman" w:hAnsi="Times New Roman" w:cs="Times New Roman"/>
          <w:b/>
          <w:i/>
          <w:noProof/>
          <w:sz w:val="20"/>
          <w:szCs w:val="20"/>
        </w:rPr>
      </w:pPr>
      <w:r>
        <w:rPr>
          <w:rFonts w:ascii="Times New Roman" w:hAnsi="Times New Roman" w:cs="Times New Roman"/>
          <w:b/>
          <w:noProof/>
          <w:sz w:val="20"/>
          <w:szCs w:val="20"/>
        </w:rPr>
        <w:t xml:space="preserve">Table 7.3: Efficiency of policy options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3"/>
        <w:gridCol w:w="1442"/>
        <w:gridCol w:w="284"/>
        <w:gridCol w:w="1134"/>
        <w:gridCol w:w="1701"/>
        <w:gridCol w:w="1559"/>
        <w:gridCol w:w="1721"/>
        <w:gridCol w:w="1681"/>
        <w:gridCol w:w="1417"/>
        <w:gridCol w:w="1636"/>
      </w:tblGrid>
      <w:tr w:rsidR="002E508F">
        <w:trPr>
          <w:tblHeader/>
          <w:jc w:val="center"/>
        </w:trPr>
        <w:tc>
          <w:tcPr>
            <w:tcW w:w="14218" w:type="dxa"/>
            <w:gridSpan w:val="10"/>
            <w:tcBorders>
              <w:top w:val="single" w:sz="4" w:space="0" w:color="auto"/>
              <w:left w:val="single" w:sz="4" w:space="0" w:color="auto"/>
              <w:bottom w:val="single" w:sz="4" w:space="0" w:color="auto"/>
              <w:right w:val="single" w:sz="4" w:space="0" w:color="auto"/>
            </w:tcBorders>
            <w:hideMark/>
          </w:tcPr>
          <w:p w:rsidR="002E508F" w:rsidRDefault="005D0A03">
            <w:pPr>
              <w:keepNext/>
              <w:spacing w:after="0" w:line="254" w:lineRule="auto"/>
              <w:rPr>
                <w:rFonts w:ascii="Times New Roman" w:hAnsi="Times New Roman" w:cs="Times New Roman"/>
                <w:b/>
                <w:noProof/>
                <w:sz w:val="20"/>
                <w:szCs w:val="20"/>
              </w:rPr>
            </w:pPr>
            <w:r>
              <w:rPr>
                <w:rFonts w:ascii="Times New Roman" w:hAnsi="Times New Roman" w:cs="Times New Roman"/>
                <w:b/>
                <w:noProof/>
                <w:sz w:val="20"/>
                <w:szCs w:val="20"/>
              </w:rPr>
              <w:t>Key: Impacts expected</w:t>
            </w:r>
          </w:p>
        </w:tc>
      </w:tr>
      <w:tr w:rsidR="002E508F">
        <w:trPr>
          <w:tblHeader/>
          <w:jc w:val="center"/>
        </w:trPr>
        <w:tc>
          <w:tcPr>
            <w:tcW w:w="1643" w:type="dxa"/>
            <w:tcBorders>
              <w:top w:val="single" w:sz="4" w:space="0" w:color="auto"/>
              <w:left w:val="single" w:sz="4" w:space="0" w:color="auto"/>
              <w:bottom w:val="single" w:sz="4" w:space="0" w:color="auto"/>
              <w:right w:val="single" w:sz="4" w:space="0" w:color="auto"/>
            </w:tcBorders>
            <w:shd w:val="clear" w:color="auto" w:fill="FF0000"/>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B"/>
            </w:r>
            <w:r>
              <w:rPr>
                <w:rFonts w:ascii="Times New Roman" w:hAnsi="Times New Roman" w:cs="Times New Roman"/>
                <w:noProof/>
                <w:sz w:val="20"/>
                <w:szCs w:val="20"/>
              </w:rPr>
              <w:sym w:font="Wingdings" w:char="F0FB"/>
            </w:r>
          </w:p>
        </w:tc>
        <w:tc>
          <w:tcPr>
            <w:tcW w:w="1726"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B"/>
            </w:r>
          </w:p>
        </w:tc>
        <w:tc>
          <w:tcPr>
            <w:tcW w:w="28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E508F" w:rsidRDefault="005D0A03">
            <w:pPr>
              <w:keepNext/>
              <w:tabs>
                <w:tab w:val="left" w:pos="1245"/>
                <w:tab w:val="center" w:pos="1330"/>
              </w:tabs>
              <w:spacing w:after="0" w:line="254" w:lineRule="auto"/>
              <w:rPr>
                <w:rFonts w:ascii="Times New Roman" w:hAnsi="Times New Roman" w:cs="Times New Roman"/>
                <w:noProof/>
                <w:sz w:val="20"/>
                <w:szCs w:val="20"/>
              </w:rPr>
            </w:pPr>
            <w:r>
              <w:rPr>
                <w:rFonts w:ascii="Times New Roman" w:hAnsi="Times New Roman" w:cs="Times New Roman"/>
                <w:noProof/>
                <w:sz w:val="20"/>
                <w:szCs w:val="20"/>
              </w:rPr>
              <w:tab/>
            </w:r>
            <w:r>
              <w:rPr>
                <w:rFonts w:ascii="Times New Roman" w:hAnsi="Times New Roman" w:cs="Times New Roman"/>
                <w:noProof/>
                <w:sz w:val="20"/>
                <w:szCs w:val="20"/>
              </w:rPr>
              <w:tab/>
              <w:t>O</w:t>
            </w:r>
          </w:p>
        </w:tc>
        <w:tc>
          <w:tcPr>
            <w:tcW w:w="3280" w:type="dxa"/>
            <w:gridSpan w:val="2"/>
            <w:tcBorders>
              <w:top w:val="single" w:sz="4" w:space="0" w:color="auto"/>
              <w:left w:val="single" w:sz="4" w:space="0" w:color="auto"/>
              <w:bottom w:val="single" w:sz="4" w:space="0" w:color="auto"/>
              <w:right w:val="single" w:sz="4" w:space="0" w:color="auto"/>
            </w:tcBorders>
            <w:shd w:val="clear" w:color="auto" w:fill="92D050"/>
            <w:hideMark/>
          </w:tcPr>
          <w:p w:rsidR="002E508F" w:rsidRDefault="005D0A03">
            <w:pPr>
              <w:keepNext/>
              <w:tabs>
                <w:tab w:val="left" w:pos="469"/>
                <w:tab w:val="center" w:pos="671"/>
              </w:tabs>
              <w:spacing w:after="0" w:line="254" w:lineRule="auto"/>
              <w:rPr>
                <w:rFonts w:ascii="Times New Roman" w:hAnsi="Times New Roman" w:cs="Times New Roman"/>
                <w:noProof/>
                <w:sz w:val="20"/>
                <w:szCs w:val="20"/>
              </w:rPr>
            </w:pP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sym w:font="Wingdings" w:char="F0FC"/>
            </w:r>
          </w:p>
        </w:tc>
        <w:tc>
          <w:tcPr>
            <w:tcW w:w="3098" w:type="dxa"/>
            <w:gridSpan w:val="2"/>
            <w:tcBorders>
              <w:top w:val="single" w:sz="4" w:space="0" w:color="auto"/>
              <w:left w:val="single" w:sz="4" w:space="0" w:color="auto"/>
              <w:bottom w:val="single" w:sz="4" w:space="0" w:color="auto"/>
              <w:right w:val="single" w:sz="4" w:space="0" w:color="auto"/>
            </w:tcBorders>
            <w:shd w:val="clear" w:color="auto" w:fill="00B050"/>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sym w:font="Wingdings" w:char="F0FC"/>
            </w:r>
            <w:r>
              <w:rPr>
                <w:rFonts w:ascii="Times New Roman" w:hAnsi="Times New Roman" w:cs="Times New Roman"/>
                <w:noProof/>
                <w:sz w:val="20"/>
                <w:szCs w:val="20"/>
              </w:rPr>
              <w:sym w:font="Wingdings" w:char="F0FC"/>
            </w:r>
          </w:p>
        </w:tc>
        <w:tc>
          <w:tcPr>
            <w:tcW w:w="1636"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2E508F" w:rsidRDefault="002E508F">
            <w:pPr>
              <w:keepNext/>
              <w:spacing w:after="0" w:line="254" w:lineRule="auto"/>
              <w:jc w:val="center"/>
              <w:rPr>
                <w:rFonts w:ascii="Times New Roman" w:hAnsi="Times New Roman" w:cs="Times New Roman"/>
                <w:noProof/>
                <w:sz w:val="20"/>
                <w:szCs w:val="20"/>
              </w:rPr>
            </w:pPr>
          </w:p>
        </w:tc>
      </w:tr>
      <w:tr w:rsidR="002E508F">
        <w:trPr>
          <w:tblHeader/>
          <w:jc w:val="center"/>
        </w:trPr>
        <w:tc>
          <w:tcPr>
            <w:tcW w:w="1643" w:type="dxa"/>
            <w:tcBorders>
              <w:top w:val="single" w:sz="4" w:space="0" w:color="auto"/>
              <w:left w:val="single" w:sz="4" w:space="0" w:color="auto"/>
              <w:bottom w:val="single" w:sz="4" w:space="0" w:color="auto"/>
              <w:right w:val="single" w:sz="4" w:space="0" w:color="auto"/>
            </w:tcBorders>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t>Strongly negative</w:t>
            </w:r>
          </w:p>
        </w:tc>
        <w:tc>
          <w:tcPr>
            <w:tcW w:w="1726" w:type="dxa"/>
            <w:gridSpan w:val="2"/>
            <w:tcBorders>
              <w:top w:val="single" w:sz="4" w:space="0" w:color="auto"/>
              <w:left w:val="single" w:sz="4" w:space="0" w:color="auto"/>
              <w:bottom w:val="single" w:sz="4" w:space="0" w:color="auto"/>
              <w:right w:val="single" w:sz="4" w:space="0" w:color="auto"/>
            </w:tcBorders>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t>Weakly negative</w:t>
            </w:r>
          </w:p>
        </w:tc>
        <w:tc>
          <w:tcPr>
            <w:tcW w:w="2835" w:type="dxa"/>
            <w:gridSpan w:val="2"/>
            <w:tcBorders>
              <w:top w:val="single" w:sz="4" w:space="0" w:color="auto"/>
              <w:left w:val="single" w:sz="4" w:space="0" w:color="auto"/>
              <w:bottom w:val="single" w:sz="4" w:space="0" w:color="auto"/>
              <w:right w:val="single" w:sz="4" w:space="0" w:color="auto"/>
            </w:tcBorders>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t>No or negligible impact</w:t>
            </w:r>
          </w:p>
        </w:tc>
        <w:tc>
          <w:tcPr>
            <w:tcW w:w="3280" w:type="dxa"/>
            <w:gridSpan w:val="2"/>
            <w:tcBorders>
              <w:top w:val="single" w:sz="4" w:space="0" w:color="auto"/>
              <w:left w:val="single" w:sz="4" w:space="0" w:color="auto"/>
              <w:bottom w:val="single" w:sz="4" w:space="0" w:color="auto"/>
              <w:right w:val="single" w:sz="4" w:space="0" w:color="auto"/>
            </w:tcBorders>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t>Weakly positive</w:t>
            </w:r>
          </w:p>
        </w:tc>
        <w:tc>
          <w:tcPr>
            <w:tcW w:w="3098" w:type="dxa"/>
            <w:gridSpan w:val="2"/>
            <w:tcBorders>
              <w:top w:val="single" w:sz="4" w:space="0" w:color="auto"/>
              <w:left w:val="single" w:sz="4" w:space="0" w:color="auto"/>
              <w:bottom w:val="single" w:sz="4" w:space="0" w:color="auto"/>
              <w:right w:val="single" w:sz="4" w:space="0" w:color="auto"/>
            </w:tcBorders>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t>Strongly positive</w:t>
            </w:r>
          </w:p>
        </w:tc>
        <w:tc>
          <w:tcPr>
            <w:tcW w:w="1636" w:type="dxa"/>
            <w:tcBorders>
              <w:top w:val="single" w:sz="4" w:space="0" w:color="auto"/>
              <w:left w:val="single" w:sz="4" w:space="0" w:color="auto"/>
              <w:bottom w:val="single" w:sz="4" w:space="0" w:color="auto"/>
              <w:right w:val="single" w:sz="4" w:space="0" w:color="auto"/>
            </w:tcBorders>
            <w:hideMark/>
          </w:tcPr>
          <w:p w:rsidR="002E508F" w:rsidRDefault="005D0A03">
            <w:pPr>
              <w:keepNext/>
              <w:spacing w:after="0" w:line="254" w:lineRule="auto"/>
              <w:jc w:val="center"/>
              <w:rPr>
                <w:rFonts w:ascii="Times New Roman" w:hAnsi="Times New Roman" w:cs="Times New Roman"/>
                <w:noProof/>
                <w:sz w:val="20"/>
                <w:szCs w:val="20"/>
              </w:rPr>
            </w:pPr>
            <w:r>
              <w:rPr>
                <w:rFonts w:ascii="Times New Roman" w:hAnsi="Times New Roman" w:cs="Times New Roman"/>
                <w:noProof/>
                <w:sz w:val="20"/>
                <w:szCs w:val="20"/>
              </w:rPr>
              <w:t>Unclear</w:t>
            </w:r>
          </w:p>
        </w:tc>
      </w:tr>
      <w:tr w:rsidR="002E508F">
        <w:trPr>
          <w:trHeight w:val="398"/>
          <w:jc w:val="center"/>
        </w:trPr>
        <w:tc>
          <w:tcPr>
            <w:tcW w:w="14218" w:type="dxa"/>
            <w:gridSpan w:val="10"/>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hideMark/>
          </w:tcPr>
          <w:p w:rsidR="002E508F" w:rsidRDefault="005D0A03">
            <w:pPr>
              <w:spacing w:after="0" w:line="254" w:lineRule="auto"/>
              <w:rPr>
                <w:rFonts w:ascii="Times New Roman" w:hAnsi="Times New Roman" w:cs="Times New Roman"/>
                <w:b/>
                <w:noProof/>
                <w:sz w:val="20"/>
                <w:szCs w:val="20"/>
                <w:lang w:eastAsia="en-GB"/>
              </w:rPr>
            </w:pPr>
            <w:r>
              <w:rPr>
                <w:rFonts w:ascii="Times New Roman" w:hAnsi="Times New Roman" w:cs="Times New Roman"/>
                <w:b/>
                <w:noProof/>
                <w:sz w:val="20"/>
                <w:szCs w:val="20"/>
                <w:lang w:eastAsia="en-GB"/>
              </w:rPr>
              <w:t xml:space="preserve">Efficiency (values indicated represent present value over the reference period 2020-2035, in </w:t>
            </w:r>
            <w:r>
              <w:rPr>
                <w:rFonts w:ascii="Times New Roman" w:hAnsi="Times New Roman" w:cs="Times New Roman"/>
                <w:noProof/>
                <w:sz w:val="20"/>
                <w:szCs w:val="20"/>
                <w:lang w:eastAsia="en-GB"/>
              </w:rPr>
              <w:t xml:space="preserve">€ </w:t>
            </w:r>
            <w:r>
              <w:rPr>
                <w:rFonts w:ascii="Times New Roman" w:hAnsi="Times New Roman" w:cs="Times New Roman"/>
                <w:b/>
                <w:noProof/>
                <w:sz w:val="20"/>
                <w:szCs w:val="20"/>
                <w:lang w:eastAsia="en-GB"/>
              </w:rPr>
              <w:t xml:space="preserve">million) </w:t>
            </w:r>
          </w:p>
        </w:tc>
      </w:tr>
      <w:tr w:rsidR="002E508F">
        <w:trPr>
          <w:trHeight w:val="302"/>
          <w:jc w:val="center"/>
        </w:trPr>
        <w:tc>
          <w:tcPr>
            <w:tcW w:w="1643" w:type="dxa"/>
            <w:tcBorders>
              <w:top w:val="single" w:sz="4" w:space="0" w:color="auto"/>
              <w:left w:val="single" w:sz="4" w:space="0" w:color="auto"/>
              <w:bottom w:val="single" w:sz="4" w:space="0" w:color="auto"/>
              <w:right w:val="single" w:sz="4" w:space="0" w:color="auto"/>
            </w:tcBorders>
            <w:shd w:val="clear" w:color="auto" w:fill="00B0F0"/>
            <w:tcMar>
              <w:top w:w="0" w:type="dxa"/>
              <w:left w:w="0" w:type="dxa"/>
              <w:bottom w:w="0" w:type="dxa"/>
              <w:right w:w="0" w:type="dxa"/>
            </w:tcMar>
          </w:tcPr>
          <w:p w:rsidR="002E508F" w:rsidRDefault="002E508F">
            <w:pPr>
              <w:spacing w:after="0" w:line="254" w:lineRule="auto"/>
              <w:jc w:val="center"/>
              <w:rPr>
                <w:rFonts w:ascii="Times New Roman" w:hAnsi="Times New Roman" w:cs="Times New Roman"/>
                <w:b/>
                <w:noProof/>
                <w:color w:val="FFFFFF" w:themeColor="background1"/>
                <w:sz w:val="20"/>
                <w:szCs w:val="20"/>
                <w:lang w:eastAsia="en-GB"/>
              </w:rPr>
            </w:pPr>
          </w:p>
        </w:tc>
        <w:tc>
          <w:tcPr>
            <w:tcW w:w="1442" w:type="dxa"/>
            <w:tcBorders>
              <w:top w:val="single" w:sz="4" w:space="0" w:color="auto"/>
              <w:left w:val="single" w:sz="4" w:space="0" w:color="auto"/>
              <w:bottom w:val="single" w:sz="4" w:space="0" w:color="auto"/>
              <w:right w:val="single" w:sz="4" w:space="0" w:color="auto"/>
            </w:tcBorders>
            <w:shd w:val="clear" w:color="auto" w:fill="00B0F0"/>
            <w:tcMar>
              <w:top w:w="0" w:type="dxa"/>
              <w:left w:w="0" w:type="dxa"/>
              <w:bottom w:w="0" w:type="dxa"/>
              <w:right w:w="0" w:type="dxa"/>
            </w:tcMar>
          </w:tcPr>
          <w:p w:rsidR="002E508F" w:rsidRDefault="005D0A03">
            <w:pPr>
              <w:spacing w:after="0" w:line="254" w:lineRule="auto"/>
              <w:jc w:val="center"/>
              <w:rPr>
                <w:rFonts w:ascii="Times New Roman" w:hAnsi="Times New Roman" w:cs="Times New Roman"/>
                <w:b/>
                <w:noProof/>
                <w:color w:val="FFFFFF" w:themeColor="background1"/>
                <w:sz w:val="20"/>
                <w:szCs w:val="20"/>
                <w:lang w:eastAsia="en-GB"/>
              </w:rPr>
            </w:pPr>
            <w:r>
              <w:rPr>
                <w:rFonts w:ascii="Times New Roman" w:hAnsi="Times New Roman" w:cs="Times New Roman"/>
                <w:b/>
                <w:noProof/>
                <w:color w:val="FFFFFF" w:themeColor="background1"/>
                <w:sz w:val="20"/>
                <w:szCs w:val="20"/>
                <w:lang w:eastAsia="en-GB"/>
              </w:rPr>
              <w:t>PO1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F0"/>
            <w:tcMar>
              <w:top w:w="0" w:type="dxa"/>
              <w:left w:w="0" w:type="dxa"/>
              <w:bottom w:w="0" w:type="dxa"/>
              <w:right w:w="0" w:type="dxa"/>
            </w:tcMar>
          </w:tcPr>
          <w:p w:rsidR="002E508F" w:rsidRDefault="005D0A03">
            <w:pPr>
              <w:spacing w:after="0" w:line="254" w:lineRule="auto"/>
              <w:jc w:val="center"/>
              <w:rPr>
                <w:rFonts w:ascii="Times New Roman" w:hAnsi="Times New Roman" w:cs="Times New Roman"/>
                <w:b/>
                <w:noProof/>
                <w:color w:val="FFFFFF" w:themeColor="background1"/>
                <w:sz w:val="20"/>
                <w:szCs w:val="20"/>
                <w:lang w:eastAsia="en-GB"/>
              </w:rPr>
            </w:pPr>
            <w:r>
              <w:rPr>
                <w:rFonts w:ascii="Times New Roman" w:hAnsi="Times New Roman" w:cs="Times New Roman"/>
                <w:b/>
                <w:noProof/>
                <w:color w:val="FFFFFF" w:themeColor="background1"/>
                <w:sz w:val="20"/>
                <w:szCs w:val="20"/>
                <w:lang w:eastAsia="en-GB"/>
              </w:rPr>
              <w:t>PO2</w:t>
            </w:r>
          </w:p>
        </w:tc>
        <w:tc>
          <w:tcPr>
            <w:tcW w:w="3260" w:type="dxa"/>
            <w:gridSpan w:val="2"/>
            <w:tcBorders>
              <w:top w:val="single" w:sz="4" w:space="0" w:color="auto"/>
              <w:left w:val="single" w:sz="4" w:space="0" w:color="auto"/>
              <w:bottom w:val="single" w:sz="4" w:space="0" w:color="auto"/>
              <w:right w:val="single" w:sz="4" w:space="0" w:color="auto"/>
            </w:tcBorders>
            <w:shd w:val="clear" w:color="auto" w:fill="00B0F0"/>
            <w:tcMar>
              <w:top w:w="0" w:type="dxa"/>
              <w:left w:w="57" w:type="dxa"/>
              <w:bottom w:w="0" w:type="dxa"/>
              <w:right w:w="57" w:type="dxa"/>
            </w:tcMar>
          </w:tcPr>
          <w:p w:rsidR="002E508F" w:rsidRDefault="005D0A03">
            <w:pPr>
              <w:spacing w:after="0" w:line="254" w:lineRule="auto"/>
              <w:jc w:val="center"/>
              <w:rPr>
                <w:rFonts w:ascii="Times New Roman" w:hAnsi="Times New Roman" w:cs="Times New Roman"/>
                <w:b/>
                <w:noProof/>
                <w:color w:val="FFFFFF" w:themeColor="background1"/>
                <w:sz w:val="20"/>
                <w:szCs w:val="20"/>
                <w:lang w:eastAsia="en-GB"/>
              </w:rPr>
            </w:pPr>
            <w:r>
              <w:rPr>
                <w:rFonts w:ascii="Times New Roman" w:hAnsi="Times New Roman" w:cs="Times New Roman"/>
                <w:b/>
                <w:noProof/>
                <w:color w:val="FFFFFF" w:themeColor="background1"/>
                <w:sz w:val="20"/>
                <w:szCs w:val="20"/>
                <w:lang w:eastAsia="en-GB"/>
              </w:rPr>
              <w:t>PO3</w:t>
            </w:r>
          </w:p>
        </w:tc>
        <w:tc>
          <w:tcPr>
            <w:tcW w:w="3402" w:type="dxa"/>
            <w:gridSpan w:val="2"/>
            <w:tcBorders>
              <w:top w:val="single" w:sz="4" w:space="0" w:color="auto"/>
              <w:left w:val="single" w:sz="4" w:space="0" w:color="auto"/>
              <w:bottom w:val="single" w:sz="4" w:space="0" w:color="auto"/>
              <w:right w:val="single" w:sz="4" w:space="0" w:color="auto"/>
            </w:tcBorders>
            <w:shd w:val="clear" w:color="auto" w:fill="00B0F0"/>
            <w:tcMar>
              <w:top w:w="0" w:type="dxa"/>
              <w:left w:w="0" w:type="dxa"/>
              <w:bottom w:w="0" w:type="dxa"/>
              <w:right w:w="0" w:type="dxa"/>
            </w:tcMar>
          </w:tcPr>
          <w:p w:rsidR="002E508F" w:rsidRDefault="005D0A03">
            <w:pPr>
              <w:spacing w:after="0" w:line="254" w:lineRule="auto"/>
              <w:jc w:val="center"/>
              <w:rPr>
                <w:rFonts w:ascii="Times New Roman" w:hAnsi="Times New Roman" w:cs="Times New Roman"/>
                <w:b/>
                <w:noProof/>
                <w:color w:val="FFFFFF" w:themeColor="background1"/>
                <w:sz w:val="20"/>
                <w:szCs w:val="20"/>
                <w:lang w:eastAsia="en-GB"/>
              </w:rPr>
            </w:pPr>
            <w:r>
              <w:rPr>
                <w:rFonts w:ascii="Times New Roman" w:hAnsi="Times New Roman" w:cs="Times New Roman"/>
                <w:b/>
                <w:noProof/>
                <w:color w:val="FFFFFF" w:themeColor="background1"/>
                <w:sz w:val="20"/>
                <w:szCs w:val="20"/>
                <w:lang w:eastAsia="en-GB"/>
              </w:rPr>
              <w:t>PO4</w:t>
            </w:r>
          </w:p>
        </w:tc>
        <w:tc>
          <w:tcPr>
            <w:tcW w:w="1417" w:type="dxa"/>
            <w:vMerge w:val="restart"/>
            <w:tcBorders>
              <w:top w:val="single" w:sz="4" w:space="0" w:color="auto"/>
              <w:left w:val="single" w:sz="4" w:space="0" w:color="auto"/>
              <w:right w:val="single" w:sz="4" w:space="0" w:color="auto"/>
            </w:tcBorders>
            <w:shd w:val="clear" w:color="auto" w:fill="00B0F0"/>
            <w:tcMar>
              <w:top w:w="0" w:type="dxa"/>
              <w:left w:w="0" w:type="dxa"/>
              <w:bottom w:w="0" w:type="dxa"/>
              <w:right w:w="0" w:type="dxa"/>
            </w:tcMar>
          </w:tcPr>
          <w:p w:rsidR="002E508F" w:rsidRDefault="005D0A03">
            <w:pPr>
              <w:spacing w:after="0" w:line="254" w:lineRule="auto"/>
              <w:jc w:val="center"/>
              <w:rPr>
                <w:rFonts w:ascii="Times New Roman" w:hAnsi="Times New Roman" w:cs="Times New Roman"/>
                <w:b/>
                <w:noProof/>
                <w:color w:val="FFFFFF" w:themeColor="background1"/>
                <w:sz w:val="20"/>
                <w:szCs w:val="20"/>
                <w:lang w:eastAsia="en-GB"/>
              </w:rPr>
            </w:pPr>
            <w:r>
              <w:rPr>
                <w:rFonts w:ascii="Times New Roman" w:hAnsi="Times New Roman" w:cs="Times New Roman"/>
                <w:b/>
                <w:noProof/>
                <w:color w:val="FFFFFF" w:themeColor="background1"/>
                <w:sz w:val="20"/>
                <w:szCs w:val="20"/>
                <w:lang w:eastAsia="en-GB"/>
              </w:rPr>
              <w:t>PO5</w:t>
            </w:r>
          </w:p>
        </w:tc>
        <w:tc>
          <w:tcPr>
            <w:tcW w:w="1636" w:type="dxa"/>
            <w:vMerge w:val="restart"/>
            <w:tcBorders>
              <w:top w:val="single" w:sz="4" w:space="0" w:color="auto"/>
              <w:left w:val="single" w:sz="4" w:space="0" w:color="auto"/>
              <w:right w:val="single" w:sz="4" w:space="0" w:color="auto"/>
            </w:tcBorders>
            <w:shd w:val="clear" w:color="auto" w:fill="00B0F0"/>
          </w:tcPr>
          <w:p w:rsidR="002E508F" w:rsidRDefault="005D0A03">
            <w:pPr>
              <w:spacing w:after="0" w:line="254" w:lineRule="auto"/>
              <w:jc w:val="center"/>
              <w:rPr>
                <w:rFonts w:ascii="Times New Roman" w:hAnsi="Times New Roman" w:cs="Times New Roman"/>
                <w:b/>
                <w:noProof/>
                <w:color w:val="FFFFFF" w:themeColor="background1"/>
                <w:sz w:val="20"/>
                <w:szCs w:val="20"/>
                <w:lang w:eastAsia="en-GB"/>
              </w:rPr>
            </w:pPr>
            <w:r>
              <w:rPr>
                <w:rFonts w:ascii="Times New Roman" w:hAnsi="Times New Roman" w:cs="Times New Roman"/>
                <w:b/>
                <w:noProof/>
                <w:color w:val="FFFFFF" w:themeColor="background1"/>
                <w:sz w:val="20"/>
                <w:szCs w:val="20"/>
                <w:lang w:eastAsia="en-GB"/>
              </w:rPr>
              <w:t>PO6</w:t>
            </w:r>
          </w:p>
        </w:tc>
      </w:tr>
      <w:tr w:rsidR="002E508F">
        <w:trPr>
          <w:jc w:val="center"/>
        </w:trPr>
        <w:tc>
          <w:tcPr>
            <w:tcW w:w="1643" w:type="dxa"/>
            <w:tcBorders>
              <w:top w:val="single" w:sz="4" w:space="0" w:color="auto"/>
              <w:left w:val="single" w:sz="4" w:space="0" w:color="auto"/>
              <w:bottom w:val="single" w:sz="4" w:space="0" w:color="auto"/>
              <w:right w:val="single" w:sz="4" w:space="0" w:color="auto"/>
            </w:tcBorders>
            <w:shd w:val="clear" w:color="auto" w:fill="00B0F0"/>
            <w:tcMar>
              <w:top w:w="0" w:type="dxa"/>
              <w:left w:w="0" w:type="dxa"/>
              <w:bottom w:w="0" w:type="dxa"/>
              <w:right w:w="0" w:type="dxa"/>
            </w:tcMar>
          </w:tcPr>
          <w:p w:rsidR="002E508F" w:rsidRDefault="002E508F">
            <w:pPr>
              <w:spacing w:after="0" w:line="254" w:lineRule="auto"/>
              <w:jc w:val="center"/>
              <w:rPr>
                <w:rFonts w:ascii="Times New Roman" w:hAnsi="Times New Roman" w:cs="Times New Roman"/>
                <w:b/>
                <w:noProof/>
                <w:color w:val="FFFFFF" w:themeColor="background1"/>
                <w:sz w:val="20"/>
                <w:szCs w:val="20"/>
                <w:lang w:eastAsia="en-GB"/>
              </w:rPr>
            </w:pPr>
          </w:p>
        </w:tc>
        <w:tc>
          <w:tcPr>
            <w:tcW w:w="1442" w:type="dxa"/>
            <w:tcBorders>
              <w:top w:val="single" w:sz="4" w:space="0" w:color="auto"/>
              <w:left w:val="single" w:sz="4" w:space="0" w:color="auto"/>
              <w:bottom w:val="single" w:sz="4" w:space="0" w:color="auto"/>
              <w:right w:val="single" w:sz="4" w:space="0" w:color="auto"/>
            </w:tcBorders>
            <w:shd w:val="clear" w:color="auto" w:fill="00B0F0"/>
            <w:tcMar>
              <w:top w:w="0" w:type="dxa"/>
              <w:left w:w="0" w:type="dxa"/>
              <w:bottom w:w="0" w:type="dxa"/>
              <w:right w:w="0" w:type="dxa"/>
            </w:tcMar>
          </w:tcPr>
          <w:p w:rsidR="002E508F" w:rsidRDefault="002E508F">
            <w:pPr>
              <w:spacing w:after="0" w:line="254" w:lineRule="auto"/>
              <w:jc w:val="center"/>
              <w:rPr>
                <w:rFonts w:ascii="Times New Roman" w:hAnsi="Times New Roman" w:cs="Times New Roman"/>
                <w:b/>
                <w:noProof/>
                <w:color w:val="FFFFFF" w:themeColor="background1"/>
                <w:sz w:val="20"/>
                <w:szCs w:val="20"/>
                <w:lang w:eastAsia="en-GB"/>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00B0F0"/>
            <w:tcMar>
              <w:top w:w="0" w:type="dxa"/>
              <w:left w:w="0" w:type="dxa"/>
              <w:bottom w:w="0" w:type="dxa"/>
              <w:right w:w="0" w:type="dxa"/>
            </w:tcMar>
          </w:tcPr>
          <w:p w:rsidR="002E508F" w:rsidRDefault="002E508F">
            <w:pPr>
              <w:spacing w:after="0" w:line="254" w:lineRule="auto"/>
              <w:jc w:val="center"/>
              <w:rPr>
                <w:rFonts w:ascii="Times New Roman" w:hAnsi="Times New Roman" w:cs="Times New Roman"/>
                <w:b/>
                <w:noProof/>
                <w:color w:val="FFFFFF" w:themeColor="background1"/>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00B0F0"/>
            <w:tcMar>
              <w:top w:w="0" w:type="dxa"/>
              <w:left w:w="57" w:type="dxa"/>
              <w:bottom w:w="0" w:type="dxa"/>
              <w:right w:w="57" w:type="dxa"/>
            </w:tcMar>
          </w:tcPr>
          <w:p w:rsidR="002E508F" w:rsidRDefault="005D0A03">
            <w:pPr>
              <w:spacing w:after="0" w:line="254" w:lineRule="auto"/>
              <w:jc w:val="center"/>
              <w:rPr>
                <w:rFonts w:ascii="Times New Roman" w:hAnsi="Times New Roman" w:cs="Times New Roman"/>
                <w:b/>
                <w:noProof/>
                <w:color w:val="FFFFFF" w:themeColor="background1"/>
                <w:sz w:val="20"/>
                <w:szCs w:val="20"/>
                <w:lang w:eastAsia="en-GB"/>
              </w:rPr>
            </w:pPr>
            <w:r>
              <w:rPr>
                <w:rFonts w:ascii="Times New Roman" w:hAnsi="Times New Roman" w:cs="Times New Roman"/>
                <w:b/>
                <w:noProof/>
                <w:color w:val="FFFFFF" w:themeColor="background1"/>
                <w:sz w:val="20"/>
                <w:szCs w:val="20"/>
                <w:lang w:eastAsia="en-GB"/>
              </w:rPr>
              <w:t>PO3a</w:t>
            </w:r>
          </w:p>
        </w:tc>
        <w:tc>
          <w:tcPr>
            <w:tcW w:w="1559" w:type="dxa"/>
            <w:tcBorders>
              <w:top w:val="single" w:sz="4" w:space="0" w:color="auto"/>
              <w:left w:val="single" w:sz="4" w:space="0" w:color="auto"/>
              <w:bottom w:val="single" w:sz="4" w:space="0" w:color="auto"/>
              <w:right w:val="single" w:sz="4" w:space="0" w:color="auto"/>
            </w:tcBorders>
            <w:shd w:val="clear" w:color="auto" w:fill="00B0F0"/>
            <w:tcMar>
              <w:top w:w="0" w:type="dxa"/>
              <w:left w:w="57" w:type="dxa"/>
              <w:bottom w:w="0" w:type="dxa"/>
              <w:right w:w="57" w:type="dxa"/>
            </w:tcMar>
          </w:tcPr>
          <w:p w:rsidR="002E508F" w:rsidRDefault="005D0A03">
            <w:pPr>
              <w:spacing w:after="0" w:line="254" w:lineRule="auto"/>
              <w:jc w:val="center"/>
              <w:rPr>
                <w:rFonts w:ascii="Times New Roman" w:hAnsi="Times New Roman" w:cs="Times New Roman"/>
                <w:b/>
                <w:noProof/>
                <w:color w:val="FFFFFF" w:themeColor="background1"/>
                <w:sz w:val="20"/>
                <w:szCs w:val="20"/>
                <w:lang w:eastAsia="en-GB"/>
              </w:rPr>
            </w:pPr>
            <w:r>
              <w:rPr>
                <w:rFonts w:ascii="Times New Roman" w:hAnsi="Times New Roman" w:cs="Times New Roman"/>
                <w:b/>
                <w:noProof/>
                <w:color w:val="FFFFFF" w:themeColor="background1"/>
                <w:sz w:val="20"/>
                <w:szCs w:val="20"/>
                <w:lang w:eastAsia="en-GB"/>
              </w:rPr>
              <w:t>PO3b</w:t>
            </w:r>
          </w:p>
        </w:tc>
        <w:tc>
          <w:tcPr>
            <w:tcW w:w="1721" w:type="dxa"/>
            <w:tcBorders>
              <w:top w:val="single" w:sz="4" w:space="0" w:color="auto"/>
              <w:left w:val="single" w:sz="4" w:space="0" w:color="auto"/>
              <w:bottom w:val="single" w:sz="4" w:space="0" w:color="auto"/>
              <w:right w:val="single" w:sz="4" w:space="0" w:color="auto"/>
            </w:tcBorders>
            <w:shd w:val="clear" w:color="auto" w:fill="00B0F0"/>
            <w:tcMar>
              <w:top w:w="0" w:type="dxa"/>
              <w:left w:w="0" w:type="dxa"/>
              <w:bottom w:w="0" w:type="dxa"/>
              <w:right w:w="0" w:type="dxa"/>
            </w:tcMar>
          </w:tcPr>
          <w:p w:rsidR="002E508F" w:rsidRDefault="005D0A03">
            <w:pPr>
              <w:spacing w:after="0" w:line="254" w:lineRule="auto"/>
              <w:jc w:val="center"/>
              <w:rPr>
                <w:rFonts w:ascii="Times New Roman" w:hAnsi="Times New Roman" w:cs="Times New Roman"/>
                <w:b/>
                <w:noProof/>
                <w:color w:val="FFFFFF" w:themeColor="background1"/>
                <w:sz w:val="20"/>
                <w:szCs w:val="20"/>
                <w:lang w:eastAsia="en-GB"/>
              </w:rPr>
            </w:pPr>
            <w:r>
              <w:rPr>
                <w:rFonts w:ascii="Times New Roman" w:hAnsi="Times New Roman" w:cs="Times New Roman"/>
                <w:b/>
                <w:noProof/>
                <w:color w:val="FFFFFF" w:themeColor="background1"/>
                <w:sz w:val="20"/>
                <w:szCs w:val="20"/>
                <w:lang w:eastAsia="en-GB"/>
              </w:rPr>
              <w:t>PO4a</w:t>
            </w:r>
          </w:p>
        </w:tc>
        <w:tc>
          <w:tcPr>
            <w:tcW w:w="1681" w:type="dxa"/>
            <w:tcBorders>
              <w:top w:val="single" w:sz="4" w:space="0" w:color="auto"/>
              <w:left w:val="single" w:sz="4" w:space="0" w:color="auto"/>
              <w:bottom w:val="single" w:sz="4" w:space="0" w:color="auto"/>
              <w:right w:val="single" w:sz="4" w:space="0" w:color="auto"/>
            </w:tcBorders>
            <w:shd w:val="clear" w:color="auto" w:fill="00B0F0"/>
            <w:tcMar>
              <w:top w:w="0" w:type="dxa"/>
              <w:left w:w="0" w:type="dxa"/>
              <w:bottom w:w="0" w:type="dxa"/>
              <w:right w:w="0" w:type="dxa"/>
            </w:tcMar>
          </w:tcPr>
          <w:p w:rsidR="002E508F" w:rsidRDefault="005D0A03">
            <w:pPr>
              <w:spacing w:after="0" w:line="254" w:lineRule="auto"/>
              <w:jc w:val="center"/>
              <w:rPr>
                <w:rFonts w:ascii="Times New Roman" w:hAnsi="Times New Roman" w:cs="Times New Roman"/>
                <w:b/>
                <w:noProof/>
                <w:color w:val="FFFFFF" w:themeColor="background1"/>
                <w:sz w:val="20"/>
                <w:szCs w:val="20"/>
                <w:lang w:eastAsia="en-GB"/>
              </w:rPr>
            </w:pPr>
            <w:r>
              <w:rPr>
                <w:rFonts w:ascii="Times New Roman" w:hAnsi="Times New Roman" w:cs="Times New Roman"/>
                <w:b/>
                <w:noProof/>
                <w:color w:val="FFFFFF" w:themeColor="background1"/>
                <w:sz w:val="20"/>
                <w:szCs w:val="20"/>
                <w:lang w:eastAsia="en-GB"/>
              </w:rPr>
              <w:t>PO4b</w:t>
            </w:r>
          </w:p>
        </w:tc>
        <w:tc>
          <w:tcPr>
            <w:tcW w:w="1417" w:type="dxa"/>
            <w:vMerge/>
            <w:tcBorders>
              <w:left w:val="single" w:sz="4" w:space="0" w:color="auto"/>
              <w:bottom w:val="single" w:sz="4" w:space="0" w:color="auto"/>
              <w:right w:val="single" w:sz="4" w:space="0" w:color="auto"/>
            </w:tcBorders>
            <w:shd w:val="clear" w:color="auto" w:fill="00B0F0"/>
            <w:tcMar>
              <w:top w:w="0" w:type="dxa"/>
              <w:left w:w="0" w:type="dxa"/>
              <w:bottom w:w="0" w:type="dxa"/>
              <w:right w:w="0" w:type="dxa"/>
            </w:tcMar>
          </w:tcPr>
          <w:p w:rsidR="002E508F" w:rsidRDefault="002E508F">
            <w:pPr>
              <w:spacing w:after="0" w:line="254" w:lineRule="auto"/>
              <w:jc w:val="center"/>
              <w:rPr>
                <w:rFonts w:ascii="Times New Roman" w:hAnsi="Times New Roman" w:cs="Times New Roman"/>
                <w:b/>
                <w:noProof/>
                <w:color w:val="FFFFFF" w:themeColor="background1"/>
                <w:sz w:val="20"/>
                <w:szCs w:val="20"/>
                <w:lang w:eastAsia="en-GB"/>
              </w:rPr>
            </w:pPr>
          </w:p>
        </w:tc>
        <w:tc>
          <w:tcPr>
            <w:tcW w:w="1636" w:type="dxa"/>
            <w:vMerge/>
            <w:tcBorders>
              <w:left w:val="single" w:sz="4" w:space="0" w:color="auto"/>
              <w:bottom w:val="single" w:sz="4" w:space="0" w:color="auto"/>
              <w:right w:val="single" w:sz="4" w:space="0" w:color="auto"/>
            </w:tcBorders>
            <w:shd w:val="clear" w:color="auto" w:fill="00B0F0"/>
          </w:tcPr>
          <w:p w:rsidR="002E508F" w:rsidRDefault="002E508F">
            <w:pPr>
              <w:spacing w:after="0" w:line="254" w:lineRule="auto"/>
              <w:jc w:val="center"/>
              <w:rPr>
                <w:rFonts w:ascii="Times New Roman" w:hAnsi="Times New Roman" w:cs="Times New Roman"/>
                <w:b/>
                <w:noProof/>
                <w:color w:val="FFFFFF" w:themeColor="background1"/>
                <w:sz w:val="20"/>
                <w:szCs w:val="20"/>
                <w:lang w:eastAsia="en-GB"/>
              </w:rPr>
            </w:pPr>
          </w:p>
        </w:tc>
      </w:tr>
      <w:tr w:rsidR="002E508F">
        <w:trPr>
          <w:jc w:val="center"/>
        </w:trPr>
        <w:tc>
          <w:tcPr>
            <w:tcW w:w="1643"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a) Impact on procurement authorities for 2020-2035</w:t>
            </w:r>
          </w:p>
        </w:tc>
        <w:tc>
          <w:tcPr>
            <w:tcW w:w="1442"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Small cost savings associated with elimination of existing administrative costs (€3.7 million)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C000"/>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Net costs: €309</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Procurement cost: €1,300</w:t>
            </w: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br/>
              <w:t xml:space="preserve">Operational cost savings: €990 </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Admin cost </w:t>
            </w:r>
            <w:r>
              <w:rPr>
                <w:rFonts w:ascii="Times New Roman" w:hAnsi="Times New Roman" w:cs="Times New Roman"/>
                <w:noProof/>
                <w:sz w:val="20"/>
                <w:szCs w:val="20"/>
                <w:lang w:eastAsia="en-GB"/>
              </w:rPr>
              <w:br/>
              <w:t xml:space="preserve">savings: €1.5 </w:t>
            </w:r>
          </w:p>
        </w:tc>
        <w:tc>
          <w:tcPr>
            <w:tcW w:w="1701" w:type="dxa"/>
            <w:tcBorders>
              <w:top w:val="single" w:sz="4" w:space="0" w:color="auto"/>
              <w:left w:val="single" w:sz="4" w:space="0" w:color="auto"/>
              <w:bottom w:val="single" w:sz="4" w:space="0" w:color="auto"/>
              <w:right w:val="single" w:sz="4" w:space="0" w:color="auto"/>
            </w:tcBorders>
            <w:shd w:val="clear" w:color="auto" w:fill="FFC000"/>
            <w:tcMar>
              <w:top w:w="0" w:type="dxa"/>
              <w:left w:w="57" w:type="dxa"/>
              <w:bottom w:w="0" w:type="dxa"/>
              <w:right w:w="57"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Net costs: €938</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Procurement costs € 1,960 </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Operational cost savings: €1,020 </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lang w:eastAsia="en-GB"/>
              </w:rPr>
              <w:t xml:space="preserve">Admin cost </w:t>
            </w:r>
            <w:r>
              <w:rPr>
                <w:rFonts w:ascii="Times New Roman" w:hAnsi="Times New Roman" w:cs="Times New Roman"/>
                <w:noProof/>
                <w:sz w:val="20"/>
                <w:szCs w:val="20"/>
                <w:lang w:eastAsia="en-GB"/>
              </w:rPr>
              <w:br/>
              <w:t>savings: €2.5</w:t>
            </w:r>
          </w:p>
        </w:tc>
        <w:tc>
          <w:tcPr>
            <w:tcW w:w="1559" w:type="dxa"/>
            <w:tcBorders>
              <w:top w:val="single" w:sz="4" w:space="0" w:color="auto"/>
              <w:left w:val="single" w:sz="4" w:space="0" w:color="auto"/>
              <w:bottom w:val="single" w:sz="4" w:space="0" w:color="auto"/>
              <w:right w:val="single" w:sz="4" w:space="0" w:color="auto"/>
            </w:tcBorders>
            <w:shd w:val="clear" w:color="auto" w:fill="FFC000"/>
            <w:tcMar>
              <w:top w:w="0" w:type="dxa"/>
              <w:left w:w="57" w:type="dxa"/>
              <w:bottom w:w="0" w:type="dxa"/>
              <w:right w:w="57"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Net costs: €818</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Procurement costs  €1,790</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Operational cost savings €970</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lang w:eastAsia="en-GB"/>
              </w:rPr>
              <w:t>Admin cost savings: €2.5</w:t>
            </w:r>
          </w:p>
        </w:tc>
        <w:tc>
          <w:tcPr>
            <w:tcW w:w="1721" w:type="dxa"/>
            <w:tcBorders>
              <w:top w:val="single" w:sz="4" w:space="0" w:color="auto"/>
              <w:left w:val="single" w:sz="4" w:space="0" w:color="auto"/>
              <w:bottom w:val="single" w:sz="4" w:space="0" w:color="auto"/>
              <w:right w:val="single" w:sz="4" w:space="0" w:color="auto"/>
            </w:tcBorders>
            <w:shd w:val="clear" w:color="auto" w:fill="FFC000"/>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Net costs: € 1,538 </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Procurement costs  €2,550  </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Operational cost savings of €1,010</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Admin cost savings: €2.5</w:t>
            </w:r>
          </w:p>
        </w:tc>
        <w:tc>
          <w:tcPr>
            <w:tcW w:w="1681" w:type="dxa"/>
            <w:tcBorders>
              <w:top w:val="single" w:sz="4" w:space="0" w:color="auto"/>
              <w:left w:val="single" w:sz="4" w:space="0" w:color="auto"/>
              <w:bottom w:val="single" w:sz="4" w:space="0" w:color="auto"/>
              <w:right w:val="single" w:sz="4" w:space="0" w:color="auto"/>
            </w:tcBorders>
            <w:shd w:val="clear" w:color="auto" w:fill="FFC000"/>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Net costs: € 2,228</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Procurement costs  </w:t>
            </w:r>
            <w:r>
              <w:rPr>
                <w:rFonts w:ascii="Times New Roman" w:hAnsi="Times New Roman" w:cs="Times New Roman"/>
                <w:noProof/>
                <w:sz w:val="20"/>
                <w:szCs w:val="20"/>
                <w:lang w:eastAsia="en-GB"/>
              </w:rPr>
              <w:br/>
              <w:t xml:space="preserve">€ 4,090 </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Operational cost savings  €1,860</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lang w:eastAsia="en-GB"/>
              </w:rPr>
              <w:t>Admin cost savings: €2.5</w:t>
            </w:r>
          </w:p>
        </w:tc>
        <w:tc>
          <w:tcPr>
            <w:tcW w:w="1417" w:type="dxa"/>
            <w:tcBorders>
              <w:top w:val="single" w:sz="4" w:space="0" w:color="auto"/>
              <w:left w:val="single" w:sz="4" w:space="0" w:color="auto"/>
              <w:bottom w:val="single" w:sz="4" w:space="0" w:color="auto"/>
              <w:right w:val="single" w:sz="4" w:space="0" w:color="auto"/>
            </w:tcBorders>
            <w:shd w:val="clear" w:color="auto" w:fill="FFC000"/>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Net costs € 731</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shd w:val="clear" w:color="auto" w:fill="FFC000"/>
                <w:lang w:eastAsia="en-GB"/>
              </w:rPr>
            </w:pPr>
            <w:r>
              <w:rPr>
                <w:rFonts w:ascii="Times New Roman" w:hAnsi="Times New Roman" w:cs="Times New Roman"/>
                <w:noProof/>
                <w:sz w:val="20"/>
                <w:szCs w:val="20"/>
                <w:lang w:eastAsia="en-GB"/>
              </w:rPr>
              <w:t>P</w:t>
            </w:r>
            <w:r>
              <w:rPr>
                <w:rFonts w:ascii="Times New Roman" w:hAnsi="Times New Roman" w:cs="Times New Roman"/>
                <w:noProof/>
                <w:sz w:val="20"/>
                <w:szCs w:val="20"/>
                <w:shd w:val="clear" w:color="auto" w:fill="FFC000"/>
                <w:lang w:eastAsia="en-GB"/>
              </w:rPr>
              <w:t xml:space="preserve">rocurement costs:   €11,030 </w:t>
            </w:r>
          </w:p>
          <w:p w:rsidR="002E508F" w:rsidRDefault="002E508F">
            <w:pPr>
              <w:spacing w:after="0" w:line="254" w:lineRule="auto"/>
              <w:rPr>
                <w:rFonts w:ascii="Times New Roman" w:hAnsi="Times New Roman" w:cs="Times New Roman"/>
                <w:noProof/>
                <w:sz w:val="20"/>
                <w:szCs w:val="20"/>
                <w:shd w:val="clear" w:color="auto" w:fill="FFC000"/>
                <w:lang w:eastAsia="en-GB"/>
              </w:rPr>
            </w:pPr>
          </w:p>
          <w:p w:rsidR="002E508F" w:rsidRDefault="005D0A03">
            <w:pPr>
              <w:spacing w:after="0" w:line="254" w:lineRule="auto"/>
              <w:rPr>
                <w:rFonts w:ascii="Times New Roman" w:hAnsi="Times New Roman" w:cs="Times New Roman"/>
                <w:noProof/>
                <w:sz w:val="20"/>
                <w:szCs w:val="20"/>
                <w:shd w:val="clear" w:color="auto" w:fill="FFC000"/>
                <w:lang w:eastAsia="en-GB"/>
              </w:rPr>
            </w:pPr>
            <w:r>
              <w:rPr>
                <w:rFonts w:ascii="Times New Roman" w:hAnsi="Times New Roman" w:cs="Times New Roman"/>
                <w:noProof/>
                <w:sz w:val="20"/>
                <w:szCs w:val="20"/>
                <w:shd w:val="clear" w:color="auto" w:fill="FFC000"/>
                <w:lang w:eastAsia="en-GB"/>
              </w:rPr>
              <w:t>Operational cost savings:  €10,300</w:t>
            </w:r>
          </w:p>
          <w:p w:rsidR="002E508F" w:rsidRDefault="002E508F">
            <w:pPr>
              <w:spacing w:after="0" w:line="254" w:lineRule="auto"/>
              <w:rPr>
                <w:rFonts w:ascii="Times New Roman" w:hAnsi="Times New Roman" w:cs="Times New Roman"/>
                <w:noProof/>
                <w:sz w:val="20"/>
                <w:szCs w:val="20"/>
                <w:shd w:val="clear" w:color="auto" w:fill="FFC000"/>
                <w:lang w:eastAsia="en-GB"/>
              </w:rPr>
            </w:pPr>
          </w:p>
          <w:p w:rsidR="002E508F" w:rsidRDefault="005D0A03">
            <w:pPr>
              <w:spacing w:after="0" w:line="254" w:lineRule="auto"/>
              <w:rPr>
                <w:rFonts w:ascii="Times New Roman" w:hAnsi="Times New Roman" w:cs="Times New Roman"/>
                <w:noProof/>
                <w:sz w:val="20"/>
                <w:szCs w:val="20"/>
              </w:rPr>
            </w:pPr>
            <w:r>
              <w:rPr>
                <w:rFonts w:ascii="Times New Roman" w:hAnsi="Times New Roman" w:cs="Times New Roman"/>
                <w:noProof/>
                <w:sz w:val="20"/>
                <w:szCs w:val="20"/>
                <w:lang w:eastAsia="en-GB"/>
              </w:rPr>
              <w:t>Admin cost: €1.3</w:t>
            </w:r>
          </w:p>
        </w:tc>
        <w:tc>
          <w:tcPr>
            <w:tcW w:w="1636" w:type="dxa"/>
            <w:tcBorders>
              <w:top w:val="single" w:sz="4" w:space="0" w:color="auto"/>
              <w:left w:val="single" w:sz="4" w:space="0" w:color="auto"/>
              <w:bottom w:val="single" w:sz="4" w:space="0" w:color="auto"/>
              <w:right w:val="single" w:sz="4" w:space="0" w:color="auto"/>
            </w:tcBorders>
            <w:shd w:val="clear" w:color="auto" w:fill="FFC000"/>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Net costs: € 2,188</w:t>
            </w: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Procurement costs  </w:t>
            </w:r>
            <w:r>
              <w:rPr>
                <w:rFonts w:ascii="Times New Roman" w:hAnsi="Times New Roman" w:cs="Times New Roman"/>
                <w:noProof/>
                <w:sz w:val="20"/>
                <w:szCs w:val="20"/>
                <w:lang w:eastAsia="en-GB"/>
              </w:rPr>
              <w:br/>
              <w:t xml:space="preserve">€ 4,190 </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Operational cost savings  €2,000</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Admin cost savings: €2.5</w:t>
            </w:r>
          </w:p>
        </w:tc>
      </w:tr>
      <w:tr w:rsidR="002E508F">
        <w:trPr>
          <w:jc w:val="center"/>
        </w:trPr>
        <w:tc>
          <w:tcPr>
            <w:tcW w:w="1643"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b) Impact on businesses for 2020-2035 (increase of revenue and admin cost)</w:t>
            </w:r>
          </w:p>
        </w:tc>
        <w:tc>
          <w:tcPr>
            <w:tcW w:w="14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Admin costs savings: €18.2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Increase in revenues: €1,300 million </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Admin costs savings: €7.3 </w:t>
            </w:r>
          </w:p>
        </w:tc>
        <w:tc>
          <w:tcPr>
            <w:tcW w:w="1701" w:type="dxa"/>
            <w:tcBorders>
              <w:top w:val="single" w:sz="4" w:space="0" w:color="auto"/>
              <w:left w:val="single" w:sz="4" w:space="0" w:color="auto"/>
              <w:bottom w:val="single" w:sz="4" w:space="0" w:color="auto"/>
              <w:right w:val="single" w:sz="4" w:space="0" w:color="auto"/>
            </w:tcBorders>
            <w:shd w:val="clear" w:color="auto" w:fill="92D050"/>
            <w:tcMar>
              <w:top w:w="0" w:type="dxa"/>
              <w:left w:w="57" w:type="dxa"/>
              <w:bottom w:w="0" w:type="dxa"/>
              <w:right w:w="57"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Increase in revenues: €1,960 </w:t>
            </w:r>
          </w:p>
          <w:p w:rsidR="002E508F" w:rsidRDefault="002E508F">
            <w:pPr>
              <w:spacing w:after="0" w:line="254" w:lineRule="auto"/>
              <w:rPr>
                <w:rFonts w:ascii="Times New Roman" w:hAnsi="Times New Roman" w:cs="Times New Roman"/>
                <w:noProof/>
                <w:sz w:val="20"/>
                <w:szCs w:val="20"/>
                <w:lang w:eastAsia="en-GB"/>
              </w:rPr>
            </w:pP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Admin costs savings: </w:t>
            </w: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€12.4</w:t>
            </w:r>
          </w:p>
        </w:tc>
        <w:tc>
          <w:tcPr>
            <w:tcW w:w="1559" w:type="dxa"/>
            <w:tcBorders>
              <w:top w:val="single" w:sz="4" w:space="0" w:color="auto"/>
              <w:left w:val="single" w:sz="4" w:space="0" w:color="auto"/>
              <w:bottom w:val="single" w:sz="4" w:space="0" w:color="auto"/>
              <w:right w:val="single" w:sz="4" w:space="0" w:color="auto"/>
            </w:tcBorders>
            <w:shd w:val="clear" w:color="auto" w:fill="92D050"/>
            <w:tcMar>
              <w:top w:w="0" w:type="dxa"/>
              <w:left w:w="57" w:type="dxa"/>
              <w:bottom w:w="0" w:type="dxa"/>
              <w:right w:w="57"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Increase in revenues: €1,790</w:t>
            </w:r>
          </w:p>
          <w:p w:rsidR="002E508F" w:rsidRDefault="002E508F">
            <w:pPr>
              <w:spacing w:after="0" w:line="254" w:lineRule="auto"/>
              <w:rPr>
                <w:rFonts w:ascii="Times New Roman" w:hAnsi="Times New Roman" w:cs="Times New Roman"/>
                <w:noProof/>
                <w:sz w:val="20"/>
                <w:szCs w:val="20"/>
                <w:lang w:eastAsia="en-GB"/>
              </w:rPr>
            </w:pP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Admin costs savings: </w:t>
            </w: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€12.4</w:t>
            </w:r>
          </w:p>
        </w:tc>
        <w:tc>
          <w:tcPr>
            <w:tcW w:w="1721"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Increase in revenues: €2,550</w:t>
            </w:r>
          </w:p>
          <w:p w:rsidR="002E508F" w:rsidRDefault="002E508F">
            <w:pPr>
              <w:spacing w:after="0" w:line="254" w:lineRule="auto"/>
              <w:rPr>
                <w:rFonts w:ascii="Times New Roman" w:hAnsi="Times New Roman" w:cs="Times New Roman"/>
                <w:noProof/>
                <w:sz w:val="20"/>
                <w:szCs w:val="20"/>
                <w:lang w:eastAsia="en-GB"/>
              </w:rPr>
            </w:pP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Admin costs savings: €12.4</w:t>
            </w:r>
          </w:p>
        </w:tc>
        <w:tc>
          <w:tcPr>
            <w:tcW w:w="1681" w:type="dxa"/>
            <w:tcBorders>
              <w:top w:val="single" w:sz="4" w:space="0" w:color="auto"/>
              <w:left w:val="single" w:sz="4" w:space="0" w:color="auto"/>
              <w:bottom w:val="single" w:sz="4" w:space="0" w:color="auto"/>
              <w:right w:val="single" w:sz="4" w:space="0" w:color="auto"/>
            </w:tcBorders>
            <w:shd w:val="clear" w:color="auto" w:fill="00B050"/>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Increase in revenues: €4,090 </w:t>
            </w:r>
          </w:p>
          <w:p w:rsidR="002E508F" w:rsidRDefault="002E508F">
            <w:pPr>
              <w:spacing w:after="0" w:line="254" w:lineRule="auto"/>
              <w:rPr>
                <w:rFonts w:ascii="Times New Roman" w:hAnsi="Times New Roman" w:cs="Times New Roman"/>
                <w:noProof/>
                <w:sz w:val="20"/>
                <w:szCs w:val="20"/>
                <w:lang w:eastAsia="en-GB"/>
              </w:rPr>
            </w:pP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Admin costs savings: </w:t>
            </w: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€12.4</w:t>
            </w:r>
          </w:p>
        </w:tc>
        <w:tc>
          <w:tcPr>
            <w:tcW w:w="1417" w:type="dxa"/>
            <w:tcBorders>
              <w:top w:val="single" w:sz="4" w:space="0" w:color="auto"/>
              <w:left w:val="single" w:sz="4" w:space="0" w:color="auto"/>
              <w:bottom w:val="single" w:sz="4" w:space="0" w:color="auto"/>
              <w:right w:val="single" w:sz="4" w:space="0" w:color="auto"/>
            </w:tcBorders>
            <w:shd w:val="clear" w:color="auto" w:fill="00B050"/>
            <w:tcMar>
              <w:top w:w="0" w:type="dxa"/>
              <w:left w:w="0" w:type="dxa"/>
              <w:bottom w:w="0" w:type="dxa"/>
              <w:right w:w="0" w:type="dxa"/>
            </w:tcMar>
            <w:hideMark/>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Increase in revenues: </w:t>
            </w: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€ 11,030</w:t>
            </w: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Admin costs: </w:t>
            </w: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€6.7</w:t>
            </w:r>
          </w:p>
        </w:tc>
        <w:tc>
          <w:tcPr>
            <w:tcW w:w="1636" w:type="dxa"/>
            <w:tcBorders>
              <w:top w:val="single" w:sz="4" w:space="0" w:color="auto"/>
              <w:left w:val="single" w:sz="4" w:space="0" w:color="auto"/>
              <w:bottom w:val="single" w:sz="4" w:space="0" w:color="auto"/>
              <w:right w:val="single" w:sz="4" w:space="0" w:color="auto"/>
            </w:tcBorders>
            <w:shd w:val="clear" w:color="auto" w:fill="00B050"/>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Increase in revenues: €4,190 </w:t>
            </w:r>
          </w:p>
          <w:p w:rsidR="002E508F" w:rsidRDefault="002E508F">
            <w:pPr>
              <w:spacing w:after="0" w:line="254" w:lineRule="auto"/>
              <w:rPr>
                <w:rFonts w:ascii="Times New Roman" w:hAnsi="Times New Roman" w:cs="Times New Roman"/>
                <w:noProof/>
                <w:sz w:val="20"/>
                <w:szCs w:val="20"/>
                <w:lang w:eastAsia="en-GB"/>
              </w:rPr>
            </w:pPr>
          </w:p>
          <w:p w:rsidR="002E508F" w:rsidRDefault="002E508F">
            <w:pPr>
              <w:spacing w:after="0" w:line="254" w:lineRule="auto"/>
              <w:rPr>
                <w:rFonts w:ascii="Times New Roman" w:hAnsi="Times New Roman" w:cs="Times New Roman"/>
                <w:noProof/>
                <w:sz w:val="20"/>
                <w:szCs w:val="20"/>
                <w:lang w:eastAsia="en-GB"/>
              </w:rPr>
            </w:pP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Admin costs savings: </w:t>
            </w: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€12.4</w:t>
            </w:r>
          </w:p>
        </w:tc>
      </w:tr>
      <w:tr w:rsidR="002E508F">
        <w:trPr>
          <w:jc w:val="center"/>
        </w:trPr>
        <w:tc>
          <w:tcPr>
            <w:tcW w:w="1643"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c) Impact on total environmental costs </w:t>
            </w: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over the lifetime of vehicles procured (2020-2035)</w:t>
            </w:r>
          </w:p>
        </w:tc>
        <w:tc>
          <w:tcPr>
            <w:tcW w:w="14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No impact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tcPr>
          <w:p w:rsidR="002E508F" w:rsidRDefault="005D0A03">
            <w:pPr>
              <w:tabs>
                <w:tab w:val="left" w:pos="2191"/>
              </w:tabs>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Cost savings: </w:t>
            </w:r>
          </w:p>
          <w:p w:rsidR="002E508F" w:rsidRDefault="005D0A03">
            <w:pPr>
              <w:tabs>
                <w:tab w:val="left" w:pos="2191"/>
              </w:tabs>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€ 850                    </w:t>
            </w:r>
          </w:p>
        </w:tc>
        <w:tc>
          <w:tcPr>
            <w:tcW w:w="1701" w:type="dxa"/>
            <w:tcBorders>
              <w:top w:val="single" w:sz="4" w:space="0" w:color="auto"/>
              <w:left w:val="single" w:sz="4" w:space="0" w:color="auto"/>
              <w:bottom w:val="single" w:sz="4" w:space="0" w:color="auto"/>
              <w:right w:val="single" w:sz="4" w:space="0" w:color="auto"/>
            </w:tcBorders>
            <w:shd w:val="clear" w:color="auto" w:fill="92D050"/>
            <w:tcMar>
              <w:top w:w="0" w:type="dxa"/>
              <w:left w:w="57" w:type="dxa"/>
              <w:bottom w:w="0" w:type="dxa"/>
              <w:right w:w="57" w:type="dxa"/>
            </w:tcMar>
          </w:tcPr>
          <w:p w:rsidR="002E508F" w:rsidRDefault="005D0A03">
            <w:pPr>
              <w:tabs>
                <w:tab w:val="left" w:pos="2191"/>
              </w:tabs>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Cost savings: </w:t>
            </w: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€ 640                         </w:t>
            </w:r>
          </w:p>
        </w:tc>
        <w:tc>
          <w:tcPr>
            <w:tcW w:w="1559" w:type="dxa"/>
            <w:tcBorders>
              <w:top w:val="single" w:sz="4" w:space="0" w:color="auto"/>
              <w:left w:val="single" w:sz="4" w:space="0" w:color="auto"/>
              <w:bottom w:val="single" w:sz="4" w:space="0" w:color="auto"/>
              <w:right w:val="single" w:sz="4" w:space="0" w:color="auto"/>
            </w:tcBorders>
            <w:shd w:val="clear" w:color="auto" w:fill="92D050"/>
            <w:tcMar>
              <w:top w:w="0" w:type="dxa"/>
              <w:left w:w="57" w:type="dxa"/>
              <w:bottom w:w="0" w:type="dxa"/>
              <w:right w:w="57" w:type="dxa"/>
            </w:tcMar>
          </w:tcPr>
          <w:p w:rsidR="002E508F" w:rsidRDefault="005D0A03">
            <w:pPr>
              <w:tabs>
                <w:tab w:val="left" w:pos="2191"/>
              </w:tabs>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Cost savings: </w:t>
            </w: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€ 650                        </w:t>
            </w:r>
          </w:p>
        </w:tc>
        <w:tc>
          <w:tcPr>
            <w:tcW w:w="1721"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tcPr>
          <w:p w:rsidR="002E508F" w:rsidRDefault="005D0A03">
            <w:pPr>
              <w:tabs>
                <w:tab w:val="left" w:pos="2191"/>
              </w:tabs>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Cost savings: </w:t>
            </w: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€ 1,310                       </w:t>
            </w:r>
          </w:p>
        </w:tc>
        <w:tc>
          <w:tcPr>
            <w:tcW w:w="1681"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tcPr>
          <w:p w:rsidR="002E508F" w:rsidRDefault="005D0A03">
            <w:pPr>
              <w:tabs>
                <w:tab w:val="left" w:pos="2191"/>
              </w:tabs>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Cost savings: </w:t>
            </w: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€ 2,190                        </w:t>
            </w:r>
          </w:p>
        </w:tc>
        <w:tc>
          <w:tcPr>
            <w:tcW w:w="1417" w:type="dxa"/>
            <w:tcBorders>
              <w:top w:val="single" w:sz="4" w:space="0" w:color="auto"/>
              <w:left w:val="single" w:sz="4" w:space="0" w:color="auto"/>
              <w:bottom w:val="single" w:sz="4" w:space="0" w:color="auto"/>
              <w:right w:val="single" w:sz="4" w:space="0" w:color="auto"/>
            </w:tcBorders>
            <w:shd w:val="clear" w:color="auto" w:fill="00B050"/>
            <w:tcMar>
              <w:top w:w="0" w:type="dxa"/>
              <w:left w:w="0" w:type="dxa"/>
              <w:bottom w:w="0" w:type="dxa"/>
              <w:right w:w="0" w:type="dxa"/>
            </w:tcMar>
          </w:tcPr>
          <w:p w:rsidR="002E508F" w:rsidRDefault="005D0A03">
            <w:pPr>
              <w:tabs>
                <w:tab w:val="left" w:pos="2191"/>
              </w:tabs>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Cost savings: </w:t>
            </w:r>
          </w:p>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€ 8,870 </w:t>
            </w:r>
          </w:p>
        </w:tc>
        <w:tc>
          <w:tcPr>
            <w:tcW w:w="1636" w:type="dxa"/>
            <w:tcBorders>
              <w:top w:val="single" w:sz="4" w:space="0" w:color="auto"/>
              <w:left w:val="single" w:sz="4" w:space="0" w:color="auto"/>
              <w:bottom w:val="single" w:sz="4" w:space="0" w:color="auto"/>
              <w:right w:val="single" w:sz="4" w:space="0" w:color="auto"/>
            </w:tcBorders>
            <w:shd w:val="clear" w:color="auto" w:fill="92D050"/>
          </w:tcPr>
          <w:p w:rsidR="002E508F" w:rsidRDefault="005D0A03">
            <w:pPr>
              <w:tabs>
                <w:tab w:val="left" w:pos="2191"/>
              </w:tabs>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Cost savings: </w:t>
            </w:r>
          </w:p>
          <w:p w:rsidR="002E508F" w:rsidRDefault="005D0A03">
            <w:pPr>
              <w:tabs>
                <w:tab w:val="left" w:pos="2191"/>
              </w:tabs>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€ 2,240</w:t>
            </w:r>
          </w:p>
        </w:tc>
      </w:tr>
      <w:tr w:rsidR="002E508F">
        <w:trPr>
          <w:jc w:val="center"/>
        </w:trPr>
        <w:tc>
          <w:tcPr>
            <w:tcW w:w="164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Net cost for procurement authorities (a+c)</w:t>
            </w:r>
          </w:p>
        </w:tc>
        <w:tc>
          <w:tcPr>
            <w:tcW w:w="14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€3.7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tcPr>
          <w:p w:rsidR="002E508F" w:rsidRDefault="005D0A03">
            <w:pPr>
              <w:tabs>
                <w:tab w:val="left" w:pos="2191"/>
              </w:tabs>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r>
              <w:rPr>
                <w:rFonts w:ascii="Times New Roman" w:hAnsi="Times New Roman" w:cs="Times New Roman"/>
                <w:noProof/>
                <w:sz w:val="20"/>
                <w:szCs w:val="20"/>
                <w:shd w:val="clear" w:color="auto" w:fill="92D050"/>
                <w:lang w:eastAsia="en-GB"/>
              </w:rPr>
              <w:t xml:space="preserve">542                                </w:t>
            </w:r>
          </w:p>
        </w:tc>
        <w:tc>
          <w:tcPr>
            <w:tcW w:w="1701" w:type="dxa"/>
            <w:tcBorders>
              <w:top w:val="single" w:sz="4" w:space="0" w:color="auto"/>
              <w:left w:val="single" w:sz="4" w:space="0" w:color="auto"/>
              <w:bottom w:val="single" w:sz="4" w:space="0" w:color="auto"/>
              <w:right w:val="single" w:sz="4" w:space="0" w:color="auto"/>
            </w:tcBorders>
            <w:shd w:val="clear" w:color="auto" w:fill="FFC000"/>
            <w:tcMar>
              <w:top w:w="0" w:type="dxa"/>
              <w:left w:w="57" w:type="dxa"/>
              <w:bottom w:w="0" w:type="dxa"/>
              <w:right w:w="57"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€298</w:t>
            </w:r>
          </w:p>
        </w:tc>
        <w:tc>
          <w:tcPr>
            <w:tcW w:w="1559" w:type="dxa"/>
            <w:tcBorders>
              <w:top w:val="single" w:sz="4" w:space="0" w:color="auto"/>
              <w:left w:val="single" w:sz="4" w:space="0" w:color="auto"/>
              <w:bottom w:val="single" w:sz="4" w:space="0" w:color="auto"/>
              <w:right w:val="single" w:sz="4" w:space="0" w:color="auto"/>
            </w:tcBorders>
            <w:shd w:val="clear" w:color="auto" w:fill="FFC000"/>
            <w:tcMar>
              <w:top w:w="0" w:type="dxa"/>
              <w:left w:w="57" w:type="dxa"/>
              <w:bottom w:w="0" w:type="dxa"/>
              <w:right w:w="57"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€168</w:t>
            </w:r>
          </w:p>
        </w:tc>
        <w:tc>
          <w:tcPr>
            <w:tcW w:w="1721" w:type="dxa"/>
            <w:tcBorders>
              <w:top w:val="single" w:sz="4" w:space="0" w:color="auto"/>
              <w:left w:val="single" w:sz="4" w:space="0" w:color="auto"/>
              <w:bottom w:val="single" w:sz="4" w:space="0" w:color="auto"/>
              <w:right w:val="single" w:sz="4" w:space="0" w:color="auto"/>
            </w:tcBorders>
            <w:shd w:val="clear" w:color="auto" w:fill="FFC000"/>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€228</w:t>
            </w: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€38</w:t>
            </w:r>
          </w:p>
        </w:tc>
        <w:tc>
          <w:tcPr>
            <w:tcW w:w="1417" w:type="dxa"/>
            <w:tcBorders>
              <w:top w:val="single" w:sz="4" w:space="0" w:color="auto"/>
              <w:left w:val="single" w:sz="4" w:space="0" w:color="auto"/>
              <w:bottom w:val="single" w:sz="4" w:space="0" w:color="auto"/>
              <w:right w:val="single" w:sz="4" w:space="0" w:color="auto"/>
            </w:tcBorders>
            <w:shd w:val="clear" w:color="auto" w:fill="00B050"/>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-€8,139</w:t>
            </w:r>
          </w:p>
        </w:tc>
        <w:tc>
          <w:tcPr>
            <w:tcW w:w="1636" w:type="dxa"/>
            <w:tcBorders>
              <w:top w:val="single" w:sz="4" w:space="0" w:color="auto"/>
              <w:left w:val="single" w:sz="4" w:space="0" w:color="auto"/>
              <w:bottom w:val="single" w:sz="4" w:space="0" w:color="auto"/>
              <w:right w:val="single" w:sz="4" w:space="0" w:color="auto"/>
            </w:tcBorders>
            <w:shd w:val="clear" w:color="auto" w:fill="FFFFFF" w:themeFill="background1"/>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-€53</w:t>
            </w:r>
            <w:r>
              <w:rPr>
                <w:rFonts w:ascii="Times New Roman" w:hAnsi="Times New Roman" w:cs="Times New Roman"/>
                <w:noProof/>
                <w:sz w:val="20"/>
                <w:szCs w:val="20"/>
                <w:shd w:val="clear" w:color="auto" w:fill="92D050"/>
                <w:lang w:eastAsia="en-GB"/>
              </w:rPr>
              <w:t xml:space="preserve">                                </w:t>
            </w:r>
          </w:p>
        </w:tc>
      </w:tr>
      <w:tr w:rsidR="002E508F">
        <w:trPr>
          <w:jc w:val="center"/>
        </w:trPr>
        <w:tc>
          <w:tcPr>
            <w:tcW w:w="164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Net cost </w:t>
            </w:r>
          </w:p>
        </w:tc>
        <w:tc>
          <w:tcPr>
            <w:tcW w:w="14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r>
              <w:rPr>
                <w:rFonts w:ascii="Times New Roman" w:hAnsi="Times New Roman" w:cs="Times New Roman"/>
                <w:noProof/>
                <w:sz w:val="20"/>
                <w:szCs w:val="20"/>
                <w:shd w:val="clear" w:color="auto" w:fill="FFFFFF" w:themeFill="background1"/>
                <w:lang w:eastAsia="en-GB"/>
              </w:rPr>
              <w:t>21.9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tcPr>
          <w:p w:rsidR="002E508F" w:rsidRDefault="005D0A03">
            <w:pPr>
              <w:tabs>
                <w:tab w:val="left" w:pos="2191"/>
              </w:tabs>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r>
              <w:rPr>
                <w:rFonts w:ascii="Times New Roman" w:hAnsi="Times New Roman" w:cs="Times New Roman"/>
                <w:noProof/>
                <w:sz w:val="20"/>
                <w:szCs w:val="20"/>
                <w:shd w:val="clear" w:color="auto" w:fill="92D050"/>
                <w:lang w:eastAsia="en-GB"/>
              </w:rPr>
              <w:t xml:space="preserve">1,849   </w:t>
            </w:r>
            <w:r>
              <w:rPr>
                <w:rFonts w:ascii="Times New Roman" w:hAnsi="Times New Roman" w:cs="Times New Roman"/>
                <w:noProof/>
                <w:sz w:val="20"/>
                <w:szCs w:val="20"/>
                <w:lang w:eastAsia="en-GB"/>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92D050"/>
            <w:tcMar>
              <w:top w:w="0" w:type="dxa"/>
              <w:left w:w="57" w:type="dxa"/>
              <w:bottom w:w="0" w:type="dxa"/>
              <w:right w:w="57"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-€1,675</w:t>
            </w:r>
          </w:p>
        </w:tc>
        <w:tc>
          <w:tcPr>
            <w:tcW w:w="1559" w:type="dxa"/>
            <w:tcBorders>
              <w:top w:val="single" w:sz="4" w:space="0" w:color="auto"/>
              <w:left w:val="single" w:sz="4" w:space="0" w:color="auto"/>
              <w:bottom w:val="single" w:sz="4" w:space="0" w:color="auto"/>
              <w:right w:val="single" w:sz="4" w:space="0" w:color="auto"/>
            </w:tcBorders>
            <w:shd w:val="clear" w:color="auto" w:fill="92D050"/>
            <w:tcMar>
              <w:top w:w="0" w:type="dxa"/>
              <w:left w:w="57" w:type="dxa"/>
              <w:bottom w:w="0" w:type="dxa"/>
              <w:right w:w="57"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-€1,635</w:t>
            </w:r>
          </w:p>
        </w:tc>
        <w:tc>
          <w:tcPr>
            <w:tcW w:w="1721"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-€2,335</w:t>
            </w:r>
          </w:p>
        </w:tc>
        <w:tc>
          <w:tcPr>
            <w:tcW w:w="1681" w:type="dxa"/>
            <w:tcBorders>
              <w:top w:val="single" w:sz="4" w:space="0" w:color="auto"/>
              <w:left w:val="single" w:sz="4" w:space="0" w:color="auto"/>
              <w:bottom w:val="single" w:sz="4" w:space="0" w:color="auto"/>
              <w:right w:val="single" w:sz="4" w:space="0" w:color="auto"/>
            </w:tcBorders>
            <w:shd w:val="clear" w:color="auto" w:fill="00B050"/>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-€4,065</w:t>
            </w:r>
          </w:p>
        </w:tc>
        <w:tc>
          <w:tcPr>
            <w:tcW w:w="1417" w:type="dxa"/>
            <w:tcBorders>
              <w:top w:val="single" w:sz="4" w:space="0" w:color="auto"/>
              <w:left w:val="single" w:sz="4" w:space="0" w:color="auto"/>
              <w:bottom w:val="single" w:sz="4" w:space="0" w:color="auto"/>
              <w:right w:val="single" w:sz="4" w:space="0" w:color="auto"/>
            </w:tcBorders>
            <w:shd w:val="clear" w:color="auto" w:fill="00B050"/>
            <w:tcMar>
              <w:top w:w="0" w:type="dxa"/>
              <w:left w:w="0" w:type="dxa"/>
              <w:bottom w:w="0" w:type="dxa"/>
              <w:right w:w="0" w:type="dxa"/>
            </w:tcMar>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-€19,162</w:t>
            </w:r>
          </w:p>
        </w:tc>
        <w:tc>
          <w:tcPr>
            <w:tcW w:w="1636" w:type="dxa"/>
            <w:tcBorders>
              <w:top w:val="single" w:sz="4" w:space="0" w:color="auto"/>
              <w:left w:val="single" w:sz="4" w:space="0" w:color="auto"/>
              <w:bottom w:val="single" w:sz="4" w:space="0" w:color="auto"/>
              <w:right w:val="single" w:sz="4" w:space="0" w:color="auto"/>
            </w:tcBorders>
            <w:shd w:val="clear" w:color="auto" w:fill="00B050"/>
          </w:tcPr>
          <w:p w:rsidR="002E508F" w:rsidRDefault="005D0A03">
            <w:pPr>
              <w:spacing w:after="0" w:line="254"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-€4,255</w:t>
            </w:r>
          </w:p>
        </w:tc>
      </w:tr>
    </w:tbl>
    <w:p w:rsidR="002E508F" w:rsidRDefault="002E508F">
      <w:pPr>
        <w:spacing w:line="240" w:lineRule="auto"/>
        <w:jc w:val="both"/>
        <w:rPr>
          <w:rFonts w:ascii="Times New Roman" w:hAnsi="Times New Roman" w:cs="Times New Roman"/>
          <w:b/>
          <w:noProof/>
        </w:rPr>
      </w:pPr>
    </w:p>
    <w:p w:rsidR="002E508F" w:rsidRDefault="002E508F">
      <w:pPr>
        <w:rPr>
          <w:rFonts w:ascii="Times New Roman" w:hAnsi="Times New Roman" w:cs="Times New Roman"/>
          <w:b/>
          <w:noProof/>
        </w:rPr>
        <w:sectPr w:rsidR="002E508F">
          <w:headerReference w:type="even" r:id="rId52"/>
          <w:headerReference w:type="default" r:id="rId53"/>
          <w:footerReference w:type="even" r:id="rId54"/>
          <w:footerReference w:type="default" r:id="rId55"/>
          <w:headerReference w:type="first" r:id="rId56"/>
          <w:footerReference w:type="first" r:id="rId57"/>
          <w:pgSz w:w="16838" w:h="11906" w:orient="landscape"/>
          <w:pgMar w:top="1418" w:right="1418" w:bottom="1418" w:left="1418" w:header="709" w:footer="709" w:gutter="0"/>
          <w:cols w:space="708"/>
          <w:docGrid w:linePitch="360"/>
        </w:sectPr>
      </w:pPr>
    </w:p>
    <w:p w:rsidR="002E508F" w:rsidRDefault="005D0A03">
      <w:pPr>
        <w:pStyle w:val="Heading2"/>
        <w:rPr>
          <w:noProof/>
        </w:rPr>
      </w:pPr>
      <w:bookmarkStart w:id="71" w:name="_Toc497141522"/>
      <w:r>
        <w:rPr>
          <w:noProof/>
        </w:rPr>
        <w:t>Coherence</w:t>
      </w:r>
      <w:bookmarkEnd w:id="71"/>
      <w:r>
        <w:rPr>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objectives of this initiative are in line with the Charter for Fundamental Rights and relevant EU policies in the field of vehicle emission control. The policy options are also principally in line with these, as they lead to better supporting the uptake of low- and zero-emission vehicles. By setting clearer objectives and measures, which simplify the implementation of the Clean Vehicles compared to the status quo, all POs except PO1 contribute to different degree to the actions aiming at creating a </w:t>
      </w:r>
      <w:r>
        <w:rPr>
          <w:rFonts w:ascii="Times New Roman" w:hAnsi="Times New Roman" w:cs="Times New Roman"/>
          <w:i/>
          <w:noProof/>
        </w:rPr>
        <w:t>Resilient Energy Union with a Forward-Looking Climate Change Policy.</w:t>
      </w:r>
      <w:r>
        <w:rPr>
          <w:rFonts w:ascii="Times New Roman" w:hAnsi="Times New Roman" w:cs="Times New Roman"/>
          <w:noProof/>
        </w:rPr>
        <w:t xml:space="preserve"> Through better alignment of procurement procedures in Member States they also contribute to the actions aiming at achieving a </w:t>
      </w:r>
      <w:r>
        <w:rPr>
          <w:rFonts w:ascii="Times New Roman" w:hAnsi="Times New Roman" w:cs="Times New Roman"/>
          <w:i/>
          <w:noProof/>
        </w:rPr>
        <w:t xml:space="preserve">Deeper and Fairer Internal Market. </w:t>
      </w:r>
      <w:r>
        <w:rPr>
          <w:rFonts w:ascii="Times New Roman" w:hAnsi="Times New Roman" w:cs="Times New Roman"/>
          <w:noProof/>
        </w:rPr>
        <w:t xml:space="preserve">PO5, even though it does not provide a step-wise and proportionate directional alignment of public procurement practice, but a more far-reaching direct and binding harmonisation of procurement practice, contributes in this sense.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The different POs align with other relevant policy initiatives to differing degrees. For example, PO2 and PO3 (a &amp; b) have a direct link with the policy framework regulating CO</w:t>
      </w:r>
      <w:r>
        <w:rPr>
          <w:rFonts w:ascii="Times New Roman" w:hAnsi="Times New Roman" w:cs="Times New Roman"/>
          <w:noProof/>
          <w:vertAlign w:val="subscript"/>
        </w:rPr>
        <w:t>2</w:t>
      </w:r>
      <w:r>
        <w:rPr>
          <w:rFonts w:ascii="Times New Roman" w:hAnsi="Times New Roman" w:cs="Times New Roman"/>
          <w:noProof/>
        </w:rPr>
        <w:t xml:space="preserve"> emissions from passenger cars and vans, as it is based on an emission-based threshold approach. Similarly, PO4 (a &amp; b) links closely to the implementation of Directive 2014/94/EU on alternative fuels infrastructure, where it ensures additional security of demand for the installed recharging and recharging infrastructure. PO6 links to both emission-control and alternative fuels legislation. However, the POs are more or less coherent as they all promote clean vehicles, just coming from a different starting point.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Compared to PO2 and PO3a and PO3b, PO4 &amp; b performs better in terms of internal coherence, as it covers all market segments of passenger cars, vans, trucks and buses, which are rolled out over a predictable long timeframe. PO5 is not fully coherent in this regard, as it incentivises petrol cars first and then assumes a rather strict and swift change to full-scale electric cars with little predictability over time, whereas it leaves public authorities no flexibility for different technology solutions in the heavy duty sector.  PO6, again, offers the best approach to policy coherence as it covers both light- and heavy-duty vehicles and links to CO2 and air pollutant emissions from vehicle legislation, while establishing a clear pathway for addressing heavy-duty vehicles on the basis of alternative fuels until the conditions are given for addressing these vehicles through an emission-based approach. </w:t>
      </w:r>
    </w:p>
    <w:p w:rsidR="002E508F" w:rsidRDefault="005D0A03">
      <w:pPr>
        <w:pStyle w:val="Heading2"/>
        <w:rPr>
          <w:noProof/>
        </w:rPr>
      </w:pPr>
      <w:bookmarkStart w:id="72" w:name="_Toc497141523"/>
      <w:r>
        <w:rPr>
          <w:noProof/>
        </w:rPr>
        <w:t>Proportionality and subsidiarity</w:t>
      </w:r>
      <w:bookmarkEnd w:id="72"/>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None of the options goes beyond what is necessary to achieve the objectives. However, one needs to note that PO5 could cause proportionality and subsidiarity concerns as it mandates the use of one methodology to underpin all procurements. Still, it will be the input from public authorities into the monetisation methodology that will determine the main outcomes. All other POs contribute only to some, but varying extent to the market uptake of low- and zero-emission vehicles. They all leave scope for Member States to define a trajectory for the implementation of the minimum targets through a technological-neutral low- and zero-emission and other alternative fuels mobility approach in full collaboration with their local and regional authorities while leaving the full choice of measures to upgrade the remainder of the fleet with efficient conventionally fuelled vehicles or other vehicles. Through this approach, Member States can effectively programme actions, and also better coordinate actions, which can make an effective contribution to the overall action needed for the implementation of the Paris Climate Summit agreements.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application of the target at national levels gives national, regional and local authorities flexibility to adjust the implementation of the target to their particular circumstances. This can include taking into account specific domestic circumstances such as a strong focus on areas with high exposure to air pollution or areas which are characterised by an already sufficiently develop capacity for the implementation of such technologies. In total and as seen over the time period of implementation covered in this Impact Assessment, the additional costs are considered proportionate.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choice of the legal instrument of a Directive appears appropriate for achieving the objectives. Repeal of the Directive and its replacement with soft legislative measures is not regarded to be able to achieve the objectives. The use of Regulation shows strong potential impacts, however stakeholders in the targeted interviews were on average reluctant to this option. It is clear that a Directive provides the flexibility needed to combine directional steer with adjustment to domestic circumstances.     </w:t>
      </w:r>
    </w:p>
    <w:p w:rsidR="002E508F" w:rsidRDefault="005D0A03">
      <w:pPr>
        <w:pStyle w:val="Heading2"/>
        <w:rPr>
          <w:noProof/>
        </w:rPr>
      </w:pPr>
      <w:bookmarkStart w:id="73" w:name="_Toc497141524"/>
      <w:r>
        <w:rPr>
          <w:noProof/>
        </w:rPr>
        <w:t>Preferred option</w:t>
      </w:r>
      <w:bookmarkEnd w:id="73"/>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Based on the assessment above, PO5 stands out in terms of overall impact, but also overall costs in view of reaching all specific objectives, and with a likely asymmetrical abrupt impact on the procurement of light and heavy duty transport vehicles. It constrains flexibility of public bodies, as it constraints vehicle purchase choice and creates additional information need, while not providing a clear long-term market orientation. At the other end of the spectrum PO1 does not contribute enough to the achievement of specific policy objectives, though certain market-driven action could be assumed.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PO2, PO3a and PO3b, PO4a and PO4b and PO6 are better balanced. The costs of reaching objectives are reasonable over the time frame of 2020-2035. Moreover, in comparison to PO5, these options – and here particularly PO3, PO4 and PO6 – deliver a better balance of medium (2025) and longer-term (2030) impact on the vehicle uptake and related positive benefits for citizens and companies alike. Again, PO6 stands out here in terms of delivering the strongest impact upfront (by 2025) and longer-term (2030) on zero-emission vehicles, which are key for making substantial deliveries on key citizens benefits (health, quality of life) and future growth and competitiveness of the sector, while leaving a principal choice pf technology to contracting authorities, entities and operators.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In terms of effectiveness of delivery on all specific objectives, PO4b has a strong and immediate impact on the heavy-duty segment, whereas PO2 and PO3 lack this impact. In terms of contributing to the stated European policy priorities of advancing the use of low-emission, alternative fuels and of accelerated uptake of zero-emission vehicles, PO4b performs better than PO4a. While it is more ambitious and has higher costs, it also ensures a better contribution to the needed overall market uptake of these vehicles, to strengthening of global competitiveness of the sector (particularly in the area of urban buses) and to reductions in CO2 and air pollutant emissions. However, PO4b lacks the full coherence of PO3 with other legislative requirements on reduction of pollutant emissions from vehicles.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Hence PO6 qualifies as the preferred option. It combines the strengths of PO3b for light-duty vehicles with the strengths of PO4b for heavy-duty vehicles. It sets up a clean vehicles definition and minimum procurement target for light-duty vehicles using an emissions-based threshold and combines it with a requirement to purchase a minimum share of alternatively heavy-duty vehicles until the regulatory conditions for an emission-based approach in the heavy-duty transport sector are in place. The Clean Vehicles Directive then would need to include the option to adopt a delegated act on setting an emission-based approach in the heavy-duty sector at a later stage. This combined preferred option best ensures a consistency with the current and upcoming proposal on CO</w:t>
      </w:r>
      <w:r>
        <w:rPr>
          <w:rFonts w:ascii="Times New Roman" w:hAnsi="Times New Roman" w:cs="Times New Roman"/>
          <w:noProof/>
          <w:vertAlign w:val="subscript"/>
        </w:rPr>
        <w:t>2</w:t>
      </w:r>
      <w:r>
        <w:rPr>
          <w:rFonts w:ascii="Times New Roman" w:hAnsi="Times New Roman" w:cs="Times New Roman"/>
          <w:noProof/>
        </w:rPr>
        <w:t xml:space="preserve"> emissions from cars and vans. This means in particular that incentivises would be provided to the same type of low- and zero emission vehicles through both policy initiatives.</w:t>
      </w:r>
    </w:p>
    <w:p w:rsidR="002E508F" w:rsidRDefault="005D0A03">
      <w:pPr>
        <w:pStyle w:val="Heading2"/>
        <w:rPr>
          <w:noProof/>
        </w:rPr>
      </w:pPr>
      <w:bookmarkStart w:id="74" w:name="_Toc497141525"/>
      <w:r>
        <w:rPr>
          <w:noProof/>
        </w:rPr>
        <w:t>Effectiveness in achieving the objectives to reduce regulatory burden</w:t>
      </w:r>
      <w:bookmarkEnd w:id="74"/>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It is evident from the above assessment that the regulatory compliance cost related to this initiative would initially increase with the change to an approach of setting up a clean vehicles definition and related differentiated minimum procurement targets for the Member States. However, it is relevant to point out that there is wide agreement among representatives of key target groups of this initiative that a definition of clean vehicles would also provide clearer orientation and hence reduce administrative cost in the medium-to-long term, as there is no longer non-clarity about the choice between the current two implementation mechanisms of the Directive and in addition complexity is reduced by giving up on the mandatory use of a specific methodology, if monetisation was to be used. It will enable public bodies to use approaches to monetisation which can be more flexibly aligned to their local circumstances.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Moreover, social benefits are expected to increase under this initiative. While these impacts are moderate compared to some other policy initiatives, the Commission's Low Emission Mobility Strategy and the more recent Communication on "Europe on the Move: an agenda for a socially fair transition towards clean, competitive and connected mobility for all"</w:t>
      </w:r>
      <w:r>
        <w:rPr>
          <w:rStyle w:val="FootnoteReference"/>
          <w:rFonts w:ascii="Times New Roman" w:hAnsi="Times New Roman" w:cs="Times New Roman"/>
          <w:noProof/>
        </w:rPr>
        <w:footnoteReference w:id="96"/>
      </w:r>
      <w:r>
        <w:rPr>
          <w:rFonts w:ascii="Times New Roman" w:hAnsi="Times New Roman" w:cs="Times New Roman"/>
          <w:noProof/>
        </w:rPr>
        <w:t xml:space="preserve"> make clear that all available policy levers are needed to reinvigorate the needed transition to a low-emission mobility in the Union.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Moreover, this initiative has a REFIT dimension in terms of simplifying and updating the current requirements for public procurement of clean and energy-efficient road vehicles  so that they are fit for purpose including:</w:t>
      </w:r>
    </w:p>
    <w:p w:rsidR="002E508F" w:rsidRDefault="005D0A03">
      <w:pPr>
        <w:pStyle w:val="ListParagraph"/>
        <w:numPr>
          <w:ilvl w:val="0"/>
          <w:numId w:val="29"/>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Replacing the current choice of implementation mechanisms with a clear approach that provides long-term target-led policy orientation, while leaving flexibility for designing the concrete implementation at Member State level - this can lead to a much better awareness about procurement plans, about possibilities for synergies and related market impact and in the end cooperation that can help lower prices, also across borders. In the medium term this will facilitate more effective, better aligned procurement policies which are simpler to organise.;</w:t>
      </w:r>
    </w:p>
    <w:p w:rsidR="002E508F" w:rsidRDefault="005D0A03">
      <w:pPr>
        <w:pStyle w:val="ListParagraph"/>
        <w:numPr>
          <w:ilvl w:val="0"/>
          <w:numId w:val="29"/>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Simplification of the current purchase provisions for road transport vehicles through providing a clear and simple definition of the vehicles and related minimum targets for procurement action that provide market actors with certainty;</w:t>
      </w:r>
    </w:p>
    <w:p w:rsidR="002E508F" w:rsidRDefault="005D0A03">
      <w:pPr>
        <w:pStyle w:val="ListParagraph"/>
        <w:numPr>
          <w:ilvl w:val="0"/>
          <w:numId w:val="29"/>
        </w:numPr>
        <w:spacing w:line="240" w:lineRule="auto"/>
        <w:jc w:val="both"/>
        <w:rPr>
          <w:rFonts w:ascii="Times New Roman" w:hAnsi="Times New Roman" w:cs="Times New Roman"/>
          <w:noProof/>
        </w:rPr>
      </w:pPr>
      <w:r>
        <w:rPr>
          <w:rFonts w:ascii="Times New Roman" w:hAnsi="Times New Roman" w:cs="Times New Roman"/>
          <w:noProof/>
        </w:rPr>
        <w:t>Simplification of the current purchase provisions through discarding the need to use complex monetisation methodology when wishing to monetise impacts.</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This simplification primarily affects national, regional and local authorities, but also has important implication for vehicle manufacturers and suppliers.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Further expanding and completing the Common Procurement Vocabulary to fully cover all relevant low- and zero-emission and other alternative fuels vehicles and </w:t>
      </w:r>
      <w:r>
        <w:rPr>
          <w:rFonts w:ascii="EUAlbertina" w:hAnsi="EUAlbertina"/>
          <w:noProof/>
        </w:rPr>
        <w:t xml:space="preserve">further revising procurement notices under the Tender Electronic Daily (TED) database for low- and zero-emission and other alternative fuels road transport vehicles for both light and heavy duty transport </w:t>
      </w:r>
      <w:r>
        <w:rPr>
          <w:rFonts w:ascii="Times New Roman" w:hAnsi="Times New Roman" w:cs="Times New Roman"/>
          <w:noProof/>
        </w:rPr>
        <w:t xml:space="preserve">will support an effective reporting on clean vehicle procurements under the amended Directive. Moreover, it can be assisted through information exchange and coordination under the Sustainable Transport Forum of the European Commission.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While regular reporting by Member States is expected to increase administrative costs, these are not expected to be significant. In some Member States, such reporting already exists and would only need to be slightly adapted. In other Member States, this reporting will have the benefit of creating a better understanding of actual efforts of public bodies to procure low- and zero-emission vehicles, which will increase market certainty and better exchange of information and good practice among public authorities that will help improve the transition to low-emission mobility. Monitoring and reporting on the implementation of the target will be facilitated through a much more coherent use of the TED database.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Public authorities at national, regional and local levels will have to discuss, within the realm of the specific set of responsibilities in the Member State, about the implementation of the minimum procurement target for the Member State. This will require an increased effort of discussion and coordination in the beginning, but implementation should be facilitated by the initial agreement and more importantly will enable much better conditions of aligned or joined up procurement. In the end, public bodies will benefit from a better market response as there is a long-term, European policy framework in place.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Thus, from a REFIT perspective of clear, simple and effective regulation, it can be considered that PO2, PO3a and PO3b as well as PO4a and PO4b and PO6 perform better compared to the baseline. </w:t>
      </w:r>
    </w:p>
    <w:p w:rsidR="002E508F" w:rsidRDefault="005D0A03">
      <w:pPr>
        <w:pStyle w:val="Heading1"/>
        <w:rPr>
          <w:noProof/>
        </w:rPr>
      </w:pPr>
      <w:bookmarkStart w:id="75" w:name="_Toc497141526"/>
      <w:r>
        <w:rPr>
          <w:noProof/>
        </w:rPr>
        <w:t>How would impacts be monitored and evaluated?</w:t>
      </w:r>
      <w:bookmarkEnd w:id="75"/>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Monitoring and evaluating a revised Clean Vehicles Directive should build on a simple approach that is transparent and easy accessible. It is not the intention to create a very complex and complicated system of key performance indicators.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The monitoring of specific policy objective 1 is rather straightforward. The monitoring will amount to checking the registration of public procurement contracts in the TED database, if specific code for low- and zero-emission road transport vehicles and transport services would be complemented in the Common Procurement Vocabulary (CPV) of the EU.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Along the same line, monitoring of specific policy objective 2 would be informed through the TED data base, with the benefit of simplification by adding a specific code for low- and zero-emission road transport vehicles. Reporting by Member States is important for monitoring the achievements of specific policy objective 3.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Significant impacts of the revised legislation are expected to materialise from 2025 onwards, following the preferred policy option. By that time Member States would be required to report on a three-yearly basis. In order to assess how the real-world effects of implementation correspond to the expected impacts the Commission, an ex-post evaluation of the effects of the legislation could be carried out in 2027. This would ensure a timely input into discussions about the need to adjust the requirements for 2030 on the basis of achievements so far. </w:t>
      </w:r>
    </w:p>
    <w:p w:rsidR="002E508F" w:rsidRDefault="005D0A03">
      <w:pPr>
        <w:pStyle w:val="Heading2"/>
        <w:rPr>
          <w:noProof/>
        </w:rPr>
      </w:pPr>
      <w:bookmarkStart w:id="76" w:name="_Toc497141527"/>
      <w:r>
        <w:rPr>
          <w:noProof/>
        </w:rPr>
        <w:t>Indicators</w:t>
      </w:r>
      <w:bookmarkEnd w:id="76"/>
      <w:r>
        <w:rPr>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 For the main specific policy objectives, the following monitoring indicators have been identified: </w:t>
      </w:r>
    </w:p>
    <w:p w:rsidR="002E508F" w:rsidRDefault="005D0A03">
      <w:pPr>
        <w:pStyle w:val="ListParagraph"/>
        <w:numPr>
          <w:ilvl w:val="0"/>
          <w:numId w:val="30"/>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Ensure that the Directive covers all relevant procurement practices:</w:t>
      </w:r>
    </w:p>
    <w:p w:rsidR="002E508F" w:rsidRDefault="005D0A03">
      <w:pPr>
        <w:pStyle w:val="ListParagraph"/>
        <w:numPr>
          <w:ilvl w:val="1"/>
          <w:numId w:val="30"/>
        </w:numPr>
        <w:spacing w:line="240" w:lineRule="auto"/>
        <w:ind w:left="1434" w:hanging="357"/>
        <w:contextualSpacing w:val="0"/>
        <w:jc w:val="both"/>
        <w:rPr>
          <w:rFonts w:ascii="Times New Roman" w:hAnsi="Times New Roman" w:cs="Times New Roman"/>
          <w:noProof/>
        </w:rPr>
      </w:pPr>
      <w:r>
        <w:rPr>
          <w:rFonts w:ascii="Times New Roman" w:hAnsi="Times New Roman" w:cs="Times New Roman"/>
          <w:noProof/>
        </w:rPr>
        <w:t xml:space="preserve">The increase of number of overall contracts and of contracts addressing rental, lease or hire-purchase of vehicles as well as contracts covering specific transport services falling under the scope of the Clean Vehicles Directive will be monitored using the Tender Electronic Database of the European Commission.  </w:t>
      </w:r>
    </w:p>
    <w:p w:rsidR="002E508F" w:rsidRDefault="005D0A03">
      <w:pPr>
        <w:pStyle w:val="ListParagraph"/>
        <w:numPr>
          <w:ilvl w:val="1"/>
          <w:numId w:val="30"/>
        </w:numPr>
        <w:spacing w:line="240" w:lineRule="auto"/>
        <w:ind w:left="1434" w:hanging="357"/>
        <w:contextualSpacing w:val="0"/>
        <w:jc w:val="both"/>
        <w:rPr>
          <w:rFonts w:ascii="Times New Roman" w:hAnsi="Times New Roman" w:cs="Times New Roman"/>
          <w:noProof/>
        </w:rPr>
      </w:pPr>
      <w:r>
        <w:rPr>
          <w:rFonts w:ascii="Times New Roman" w:hAnsi="Times New Roman" w:cs="Times New Roman"/>
          <w:noProof/>
        </w:rPr>
        <w:t>Information received through the reporting by Member States will be used to cross-check and verify the data</w:t>
      </w:r>
    </w:p>
    <w:p w:rsidR="002E508F" w:rsidRDefault="005D0A03">
      <w:pPr>
        <w:pStyle w:val="ListParagraph"/>
        <w:numPr>
          <w:ilvl w:val="0"/>
          <w:numId w:val="30"/>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 xml:space="preserve">Ensure that the Directive supports clear, long-term market signals </w:t>
      </w:r>
    </w:p>
    <w:p w:rsidR="002E508F" w:rsidRDefault="005D0A03">
      <w:pPr>
        <w:pStyle w:val="ListParagraph"/>
        <w:numPr>
          <w:ilvl w:val="1"/>
          <w:numId w:val="30"/>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The increase of numbers of publicly procured low- and zero-emission vehicles under contracts that fall under the realm of responsibility of the Clean Vehicles Directive. It will be monitoring through using the Tender Electronic Database of the European Commission. It will be investigated to what extent the Common Procurement Vocabulary can be updated with relevant codes for light- and heavy-duty low- and zero-emission vehicles to facilitate this assessment step. The benchmark will be the distance to target to the values for the target years of 2025 and 2030. </w:t>
      </w:r>
    </w:p>
    <w:p w:rsidR="002E508F" w:rsidRDefault="005D0A03">
      <w:pPr>
        <w:pStyle w:val="ListParagraph"/>
        <w:numPr>
          <w:ilvl w:val="1"/>
          <w:numId w:val="30"/>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The overall market uptake of low- and zero-emission vehicles. This will be monitored on the basis of relevant Commission sources of information, such as through the regular updates of the European Alternative Fuels Observatory. </w:t>
      </w:r>
      <w:r>
        <w:rPr>
          <w:rStyle w:val="FootnoteReference"/>
          <w:rFonts w:ascii="Times New Roman" w:hAnsi="Times New Roman" w:cs="Times New Roman"/>
          <w:noProof/>
        </w:rPr>
        <w:footnoteReference w:id="97"/>
      </w:r>
    </w:p>
    <w:p w:rsidR="002E508F" w:rsidRDefault="005D0A03">
      <w:pPr>
        <w:pStyle w:val="ListParagraph"/>
        <w:numPr>
          <w:ilvl w:val="0"/>
          <w:numId w:val="30"/>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Ensure that the Directive's provisions are simplified and effective to use</w:t>
      </w:r>
    </w:p>
    <w:p w:rsidR="002E508F" w:rsidRDefault="005D0A03">
      <w:pPr>
        <w:pStyle w:val="ListParagraph"/>
        <w:numPr>
          <w:ilvl w:val="1"/>
          <w:numId w:val="30"/>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In terms of assessing the level of alignment of provisions, the level of implementation of the revised Directive will be monitored, with the number of infringement cases being a central indicator. </w:t>
      </w:r>
    </w:p>
    <w:p w:rsidR="002E508F" w:rsidRDefault="005D0A03">
      <w:pPr>
        <w:pStyle w:val="ListParagraph"/>
        <w:numPr>
          <w:ilvl w:val="1"/>
          <w:numId w:val="30"/>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In addition, the Commission will closely monitor on the basis of available public and private information the development of the overall procurement market and here the increase of number of public procurement that are either joined up or at least aligned in terms of their functional specifications. </w:t>
      </w:r>
    </w:p>
    <w:p w:rsidR="002E508F" w:rsidRDefault="005D0A03">
      <w:pPr>
        <w:pStyle w:val="Heading2"/>
        <w:rPr>
          <w:noProof/>
        </w:rPr>
      </w:pPr>
      <w:bookmarkStart w:id="77" w:name="_Toc497141528"/>
      <w:r>
        <w:rPr>
          <w:noProof/>
        </w:rPr>
        <w:t>Operational objectives</w:t>
      </w:r>
      <w:bookmarkEnd w:id="77"/>
      <w:r>
        <w:rPr>
          <w:noProof/>
        </w:rPr>
        <w:t xml:space="preserve"> </w:t>
      </w:r>
    </w:p>
    <w:p w:rsidR="002E508F" w:rsidRDefault="005D0A03">
      <w:pPr>
        <w:spacing w:line="240" w:lineRule="auto"/>
        <w:jc w:val="both"/>
        <w:rPr>
          <w:rFonts w:ascii="Times New Roman" w:hAnsi="Times New Roman" w:cs="Times New Roman"/>
          <w:noProof/>
        </w:rPr>
      </w:pPr>
      <w:r>
        <w:rPr>
          <w:rFonts w:ascii="Times New Roman" w:hAnsi="Times New Roman" w:cs="Times New Roman"/>
          <w:noProof/>
        </w:rPr>
        <w:t xml:space="preserve">Based on the preferred options, the following operational objectives have been identified. </w:t>
      </w:r>
    </w:p>
    <w:tbl>
      <w:tblPr>
        <w:tblStyle w:val="TableGrid"/>
        <w:tblW w:w="0" w:type="auto"/>
        <w:tblLook w:val="04A0" w:firstRow="1" w:lastRow="0" w:firstColumn="1" w:lastColumn="0" w:noHBand="0" w:noVBand="1"/>
      </w:tblPr>
      <w:tblGrid>
        <w:gridCol w:w="4643"/>
        <w:gridCol w:w="4643"/>
      </w:tblGrid>
      <w:tr w:rsidR="002E508F">
        <w:tc>
          <w:tcPr>
            <w:tcW w:w="4643" w:type="dxa"/>
          </w:tcPr>
          <w:p w:rsidR="002E508F" w:rsidRDefault="005D0A03">
            <w:pPr>
              <w:jc w:val="both"/>
              <w:rPr>
                <w:rFonts w:ascii="Times New Roman" w:hAnsi="Times New Roman" w:cs="Times New Roman"/>
                <w:b/>
                <w:noProof/>
              </w:rPr>
            </w:pPr>
            <w:r>
              <w:rPr>
                <w:rFonts w:ascii="Times New Roman" w:hAnsi="Times New Roman" w:cs="Times New Roman"/>
                <w:b/>
                <w:noProof/>
              </w:rPr>
              <w:t>Operational objectives</w:t>
            </w:r>
          </w:p>
        </w:tc>
        <w:tc>
          <w:tcPr>
            <w:tcW w:w="4643" w:type="dxa"/>
          </w:tcPr>
          <w:p w:rsidR="002E508F" w:rsidRDefault="005D0A03">
            <w:pPr>
              <w:jc w:val="both"/>
              <w:rPr>
                <w:rFonts w:ascii="Times New Roman" w:hAnsi="Times New Roman" w:cs="Times New Roman"/>
                <w:b/>
                <w:noProof/>
              </w:rPr>
            </w:pPr>
            <w:r>
              <w:rPr>
                <w:rFonts w:ascii="Times New Roman" w:hAnsi="Times New Roman" w:cs="Times New Roman"/>
                <w:b/>
                <w:noProof/>
              </w:rPr>
              <w:t>Indicators</w:t>
            </w:r>
          </w:p>
        </w:tc>
      </w:tr>
      <w:tr w:rsidR="002E508F">
        <w:tc>
          <w:tcPr>
            <w:tcW w:w="4643" w:type="dxa"/>
          </w:tcPr>
          <w:p w:rsidR="002E508F" w:rsidRDefault="005D0A03">
            <w:pPr>
              <w:jc w:val="both"/>
              <w:rPr>
                <w:rFonts w:ascii="Times New Roman" w:hAnsi="Times New Roman" w:cs="Times New Roman"/>
                <w:noProof/>
              </w:rPr>
            </w:pPr>
            <w:r>
              <w:rPr>
                <w:rFonts w:ascii="Times New Roman" w:hAnsi="Times New Roman" w:cs="Times New Roman"/>
                <w:noProof/>
              </w:rPr>
              <w:t>Bring contracts for lease, rental and hire-purchase of vehicles by public bodies under the responsibility of the Clean Vehicles Directive</w:t>
            </w:r>
          </w:p>
        </w:tc>
        <w:tc>
          <w:tcPr>
            <w:tcW w:w="4643" w:type="dxa"/>
          </w:tcPr>
          <w:p w:rsidR="002E508F" w:rsidRDefault="005D0A03">
            <w:pPr>
              <w:jc w:val="both"/>
              <w:rPr>
                <w:rFonts w:ascii="Times New Roman" w:hAnsi="Times New Roman" w:cs="Times New Roman"/>
                <w:noProof/>
              </w:rPr>
            </w:pPr>
            <w:r>
              <w:rPr>
                <w:rFonts w:ascii="Times New Roman" w:hAnsi="Times New Roman" w:cs="Times New Roman"/>
                <w:noProof/>
              </w:rPr>
              <w:t>Level of implementation of the provision by Member States (number of infringement cases)</w:t>
            </w:r>
          </w:p>
        </w:tc>
      </w:tr>
      <w:tr w:rsidR="002E508F">
        <w:tc>
          <w:tcPr>
            <w:tcW w:w="4643" w:type="dxa"/>
          </w:tcPr>
          <w:p w:rsidR="002E508F" w:rsidRDefault="005D0A03">
            <w:pPr>
              <w:jc w:val="both"/>
              <w:rPr>
                <w:rFonts w:ascii="Times New Roman" w:hAnsi="Times New Roman" w:cs="Times New Roman"/>
                <w:noProof/>
              </w:rPr>
            </w:pPr>
            <w:r>
              <w:rPr>
                <w:rFonts w:ascii="Times New Roman" w:hAnsi="Times New Roman" w:cs="Times New Roman"/>
                <w:noProof/>
              </w:rPr>
              <w:t>Bring contracts for transport services (other than public passenger transport) by public bodies under the responsibility of the Clean Vehicles Directive</w:t>
            </w:r>
          </w:p>
        </w:tc>
        <w:tc>
          <w:tcPr>
            <w:tcW w:w="4643" w:type="dxa"/>
          </w:tcPr>
          <w:p w:rsidR="002E508F" w:rsidRDefault="005D0A03">
            <w:pPr>
              <w:jc w:val="both"/>
              <w:rPr>
                <w:rFonts w:ascii="Times New Roman" w:hAnsi="Times New Roman" w:cs="Times New Roman"/>
                <w:noProof/>
              </w:rPr>
            </w:pPr>
            <w:r>
              <w:rPr>
                <w:rFonts w:ascii="Times New Roman" w:hAnsi="Times New Roman" w:cs="Times New Roman"/>
                <w:noProof/>
              </w:rPr>
              <w:t>Level of implementation of the provision by Member States (number of infringement cases)</w:t>
            </w:r>
          </w:p>
        </w:tc>
      </w:tr>
      <w:tr w:rsidR="002E508F">
        <w:tc>
          <w:tcPr>
            <w:tcW w:w="4643" w:type="dxa"/>
          </w:tcPr>
          <w:p w:rsidR="002E508F" w:rsidRDefault="005D0A03">
            <w:pPr>
              <w:jc w:val="both"/>
              <w:rPr>
                <w:rFonts w:ascii="Times New Roman" w:hAnsi="Times New Roman" w:cs="Times New Roman"/>
                <w:noProof/>
              </w:rPr>
            </w:pPr>
            <w:r>
              <w:rPr>
                <w:rFonts w:ascii="Times New Roman" w:hAnsi="Times New Roman" w:cs="Times New Roman"/>
                <w:noProof/>
              </w:rPr>
              <w:t>Introduce requirement to follow the definition and minimum procurement targets of the Directive for both light-duty and heavy-duty road transport vehicles</w:t>
            </w:r>
          </w:p>
        </w:tc>
        <w:tc>
          <w:tcPr>
            <w:tcW w:w="4643" w:type="dxa"/>
          </w:tcPr>
          <w:p w:rsidR="002E508F" w:rsidRDefault="005D0A03">
            <w:pPr>
              <w:jc w:val="both"/>
              <w:rPr>
                <w:rFonts w:ascii="Times New Roman" w:hAnsi="Times New Roman" w:cs="Times New Roman"/>
                <w:noProof/>
              </w:rPr>
            </w:pPr>
            <w:r>
              <w:rPr>
                <w:rFonts w:ascii="Times New Roman" w:hAnsi="Times New Roman" w:cs="Times New Roman"/>
                <w:noProof/>
              </w:rPr>
              <w:t>Number and extent of public contracts</w:t>
            </w:r>
          </w:p>
          <w:p w:rsidR="002E508F" w:rsidRDefault="005D0A03">
            <w:pPr>
              <w:jc w:val="both"/>
              <w:rPr>
                <w:rFonts w:ascii="Times New Roman" w:hAnsi="Times New Roman" w:cs="Times New Roman"/>
                <w:noProof/>
              </w:rPr>
            </w:pPr>
            <w:r>
              <w:rPr>
                <w:rFonts w:ascii="Times New Roman" w:hAnsi="Times New Roman" w:cs="Times New Roman"/>
                <w:noProof/>
              </w:rPr>
              <w:t>Level of implementation of the provision by Member States (number of infringement cases</w:t>
            </w:r>
          </w:p>
        </w:tc>
      </w:tr>
      <w:tr w:rsidR="002E508F">
        <w:tc>
          <w:tcPr>
            <w:tcW w:w="4643" w:type="dxa"/>
          </w:tcPr>
          <w:p w:rsidR="002E508F" w:rsidRDefault="005D0A03">
            <w:pPr>
              <w:jc w:val="both"/>
              <w:rPr>
                <w:rFonts w:ascii="Times New Roman" w:hAnsi="Times New Roman" w:cs="Times New Roman"/>
                <w:noProof/>
              </w:rPr>
            </w:pPr>
            <w:r>
              <w:rPr>
                <w:rFonts w:ascii="Times New Roman" w:hAnsi="Times New Roman" w:cs="Times New Roman"/>
                <w:noProof/>
              </w:rPr>
              <w:t>Introduce a requirement to monitor and report on public procurement of clean vehicles</w:t>
            </w:r>
          </w:p>
        </w:tc>
        <w:tc>
          <w:tcPr>
            <w:tcW w:w="4643" w:type="dxa"/>
          </w:tcPr>
          <w:p w:rsidR="002E508F" w:rsidRDefault="005D0A03">
            <w:pPr>
              <w:jc w:val="both"/>
              <w:rPr>
                <w:rFonts w:ascii="Times New Roman" w:hAnsi="Times New Roman" w:cs="Times New Roman"/>
                <w:noProof/>
              </w:rPr>
            </w:pPr>
            <w:r>
              <w:rPr>
                <w:rFonts w:ascii="Times New Roman" w:hAnsi="Times New Roman" w:cs="Times New Roman"/>
                <w:noProof/>
              </w:rPr>
              <w:t xml:space="preserve">Level of compliance: number and quality of reports received by the European Commission. </w:t>
            </w:r>
          </w:p>
        </w:tc>
      </w:tr>
    </w:tbl>
    <w:p w:rsidR="002E508F" w:rsidRDefault="002E508F">
      <w:pPr>
        <w:pStyle w:val="Heading1"/>
        <w:numPr>
          <w:ilvl w:val="0"/>
          <w:numId w:val="0"/>
        </w:numPr>
        <w:ind w:left="480"/>
        <w:rPr>
          <w:noProof/>
        </w:rPr>
      </w:pPr>
      <w:bookmarkStart w:id="78" w:name="_Toc496612148"/>
    </w:p>
    <w:bookmarkEnd w:id="78"/>
    <w:p w:rsidR="002E508F" w:rsidRDefault="002E508F">
      <w:pPr>
        <w:spacing w:after="0" w:line="240" w:lineRule="auto"/>
        <w:rPr>
          <w:rFonts w:ascii="Times New Roman" w:hAnsi="Times New Roman" w:cs="Times New Roman"/>
          <w:b/>
          <w:smallCaps/>
          <w:noProof/>
        </w:rPr>
      </w:pPr>
    </w:p>
    <w:sectPr w:rsidR="002E508F">
      <w:headerReference w:type="even" r:id="rId58"/>
      <w:headerReference w:type="default" r:id="rId59"/>
      <w:footerReference w:type="even" r:id="rId60"/>
      <w:footerReference w:type="default" r:id="rId61"/>
      <w:headerReference w:type="first" r:id="rId62"/>
      <w:footerReference w:type="first" r:id="rId63"/>
      <w:pgSz w:w="11906" w:h="16838"/>
      <w:pgMar w:top="1418" w:right="1418" w:bottom="1418" w:left="1418" w:header="709" w:footer="709"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5CF9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5CF9D8" w16cid:durableId="1D73FA1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A03" w:rsidRDefault="005D0A03">
      <w:pPr>
        <w:spacing w:after="0" w:line="240" w:lineRule="auto"/>
      </w:pPr>
      <w:r>
        <w:separator/>
      </w:r>
    </w:p>
  </w:endnote>
  <w:endnote w:type="continuationSeparator" w:id="0">
    <w:p w:rsidR="005D0A03" w:rsidRDefault="005D0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Humnst777 Lt BT">
    <w:charset w:val="00"/>
    <w:family w:val="swiss"/>
    <w:pitch w:val="variable"/>
    <w:sig w:usb0="800000AF" w:usb1="1000204A" w:usb2="00000000" w:usb3="00000000" w:csb0="00000011" w:csb1="00000000"/>
  </w:font>
  <w:font w:name="Times New Roman Bold">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OpenSans">
    <w:altName w:val="Times New Roman"/>
    <w:charset w:val="00"/>
    <w:family w:val="roman"/>
    <w:pitch w:val="variable"/>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A5" w:rsidRPr="00A57FA5" w:rsidRDefault="00A57FA5" w:rsidP="00A57FA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150322"/>
      <w:docPartObj>
        <w:docPartGallery w:val="Page Numbers (Bottom of Page)"/>
        <w:docPartUnique/>
      </w:docPartObj>
    </w:sdtPr>
    <w:sdtEndPr>
      <w:rPr>
        <w:noProof/>
      </w:rPr>
    </w:sdtEndPr>
    <w:sdtContent>
      <w:p w:rsidR="005D0A03" w:rsidRDefault="005D0A03">
        <w:pPr>
          <w:pStyle w:val="Footer"/>
          <w:jc w:val="right"/>
        </w:pPr>
        <w:r>
          <w:fldChar w:fldCharType="begin"/>
        </w:r>
        <w:r>
          <w:instrText xml:space="preserve"> PAGE   \* MERGEFORMAT </w:instrText>
        </w:r>
        <w:r>
          <w:fldChar w:fldCharType="separate"/>
        </w:r>
        <w:r w:rsidR="00A57FA5">
          <w:rPr>
            <w:noProof/>
          </w:rPr>
          <w:t>64</w:t>
        </w:r>
        <w:r>
          <w:rPr>
            <w:noProof/>
          </w:rPr>
          <w:fldChar w:fldCharType="end"/>
        </w:r>
      </w:p>
    </w:sdtContent>
  </w:sdt>
  <w:p w:rsidR="005D0A03" w:rsidRDefault="005D0A0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305360"/>
      <w:docPartObj>
        <w:docPartGallery w:val="Page Numbers (Bottom of Page)"/>
        <w:docPartUnique/>
      </w:docPartObj>
    </w:sdtPr>
    <w:sdtEndPr>
      <w:rPr>
        <w:noProof/>
      </w:rPr>
    </w:sdtEndPr>
    <w:sdtContent>
      <w:p w:rsidR="005D0A03" w:rsidRDefault="005D0A03">
        <w:pPr>
          <w:pStyle w:val="Footer"/>
          <w:jc w:val="right"/>
        </w:pPr>
        <w:r>
          <w:fldChar w:fldCharType="begin"/>
        </w:r>
        <w:r>
          <w:instrText xml:space="preserve"> PAGE   \* MERGEFORMAT </w:instrText>
        </w:r>
        <w:r>
          <w:fldChar w:fldCharType="separate"/>
        </w:r>
        <w:r w:rsidR="00A57FA5">
          <w:rPr>
            <w:noProof/>
          </w:rPr>
          <w:t>67</w:t>
        </w:r>
        <w:r>
          <w:rPr>
            <w:noProof/>
          </w:rPr>
          <w:fldChar w:fldCharType="end"/>
        </w:r>
      </w:p>
    </w:sdtContent>
  </w:sdt>
  <w:p w:rsidR="005D0A03" w:rsidRDefault="005D0A0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539710"/>
      <w:docPartObj>
        <w:docPartGallery w:val="Page Numbers (Bottom of Page)"/>
        <w:docPartUnique/>
      </w:docPartObj>
    </w:sdtPr>
    <w:sdtEndPr>
      <w:rPr>
        <w:noProof/>
      </w:rPr>
    </w:sdtEndPr>
    <w:sdtContent>
      <w:p w:rsidR="005D0A03" w:rsidRDefault="005D0A03">
        <w:pPr>
          <w:pStyle w:val="Footer"/>
          <w:jc w:val="right"/>
        </w:pPr>
        <w:r>
          <w:fldChar w:fldCharType="begin"/>
        </w:r>
        <w:r>
          <w:instrText xml:space="preserve"> PAGE   \* MERGEFORMAT </w:instrText>
        </w:r>
        <w:r>
          <w:fldChar w:fldCharType="separate"/>
        </w:r>
        <w:r w:rsidR="00A57FA5">
          <w:rPr>
            <w:noProof/>
          </w:rPr>
          <w:t>69</w:t>
        </w:r>
        <w:r>
          <w:rPr>
            <w:noProof/>
          </w:rPr>
          <w:fldChar w:fldCharType="end"/>
        </w:r>
      </w:p>
    </w:sdtContent>
  </w:sdt>
  <w:p w:rsidR="005D0A03" w:rsidRDefault="005D0A03">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A5" w:rsidRPr="00A57FA5" w:rsidRDefault="00A57FA5" w:rsidP="00A57FA5">
    <w:pPr>
      <w:pStyle w:val="FooterCoverPage"/>
      <w:rPr>
        <w:rFonts w:ascii="Arial" w:hAnsi="Arial" w:cs="Arial"/>
        <w:b/>
        <w:sz w:val="48"/>
      </w:rPr>
    </w:pPr>
    <w:r w:rsidRPr="00A57FA5">
      <w:rPr>
        <w:rFonts w:ascii="Arial" w:hAnsi="Arial" w:cs="Arial"/>
        <w:b/>
        <w:sz w:val="48"/>
      </w:rPr>
      <w:t>EN</w:t>
    </w:r>
    <w:r w:rsidRPr="00A57FA5">
      <w:rPr>
        <w:rFonts w:ascii="Arial" w:hAnsi="Arial" w:cs="Arial"/>
        <w:b/>
        <w:sz w:val="48"/>
      </w:rPr>
      <w:tab/>
    </w:r>
    <w:r w:rsidRPr="00A57FA5">
      <w:rPr>
        <w:rFonts w:ascii="Arial" w:hAnsi="Arial" w:cs="Arial"/>
        <w:b/>
        <w:sz w:val="48"/>
      </w:rPr>
      <w:tab/>
    </w:r>
    <w:r w:rsidRPr="00A57FA5">
      <w:tab/>
    </w:r>
    <w:r w:rsidRPr="00A57FA5">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395646"/>
      <w:docPartObj>
        <w:docPartGallery w:val="Page Numbers (Bottom of Page)"/>
        <w:docPartUnique/>
      </w:docPartObj>
    </w:sdtPr>
    <w:sdtEndPr>
      <w:rPr>
        <w:noProof/>
      </w:rPr>
    </w:sdtEndPr>
    <w:sdtContent>
      <w:p w:rsidR="005D0A03" w:rsidRDefault="005D0A03">
        <w:pPr>
          <w:pStyle w:val="Footer"/>
          <w:jc w:val="right"/>
        </w:pPr>
        <w:r>
          <w:fldChar w:fldCharType="begin"/>
        </w:r>
        <w:r>
          <w:instrText xml:space="preserve"> PAGE   \* MERGEFORMAT </w:instrText>
        </w:r>
        <w:r>
          <w:fldChar w:fldCharType="separate"/>
        </w:r>
        <w:r w:rsidR="00A57FA5">
          <w:rPr>
            <w:noProof/>
          </w:rPr>
          <w:t>71</w:t>
        </w:r>
        <w:r>
          <w:rPr>
            <w:noProof/>
          </w:rPr>
          <w:fldChar w:fldCharType="end"/>
        </w:r>
      </w:p>
    </w:sdtContent>
  </w:sdt>
  <w:p w:rsidR="005D0A03" w:rsidRDefault="005D0A0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820331"/>
      <w:docPartObj>
        <w:docPartGallery w:val="Page Numbers (Bottom of Page)"/>
        <w:docPartUnique/>
      </w:docPartObj>
    </w:sdtPr>
    <w:sdtEndPr>
      <w:rPr>
        <w:noProof/>
      </w:rPr>
    </w:sdtEndPr>
    <w:sdtContent>
      <w:p w:rsidR="005D0A03" w:rsidRDefault="005D0A03">
        <w:pPr>
          <w:pStyle w:val="Footer"/>
          <w:jc w:val="right"/>
        </w:pPr>
        <w:r>
          <w:fldChar w:fldCharType="begin"/>
        </w:r>
        <w:r>
          <w:instrText xml:space="preserve"> PAGE   \* MERGEFORMAT </w:instrText>
        </w:r>
        <w:r>
          <w:fldChar w:fldCharType="separate"/>
        </w:r>
        <w:r w:rsidR="00A57FA5">
          <w:rPr>
            <w:noProof/>
          </w:rPr>
          <w:t>76</w:t>
        </w:r>
        <w:r>
          <w:rPr>
            <w:noProof/>
          </w:rPr>
          <w:fldChar w:fldCharType="end"/>
        </w:r>
      </w:p>
    </w:sdtContent>
  </w:sdt>
  <w:p w:rsidR="005D0A03" w:rsidRDefault="005D0A0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A5" w:rsidRPr="00A57FA5" w:rsidRDefault="00A57FA5" w:rsidP="00A57FA5">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733750"/>
      <w:docPartObj>
        <w:docPartGallery w:val="Page Numbers (Bottom of Page)"/>
        <w:docPartUnique/>
      </w:docPartObj>
    </w:sdtPr>
    <w:sdtEndPr>
      <w:rPr>
        <w:noProof/>
      </w:rPr>
    </w:sdtEndPr>
    <w:sdtContent>
      <w:p w:rsidR="005D0A03" w:rsidRDefault="005D0A03">
        <w:pPr>
          <w:pStyle w:val="Footer"/>
          <w:jc w:val="right"/>
        </w:pPr>
        <w:r>
          <w:fldChar w:fldCharType="begin"/>
        </w:r>
        <w:r>
          <w:instrText xml:space="preserve"> PAGE   \* MERGEFORMAT </w:instrText>
        </w:r>
        <w:r>
          <w:fldChar w:fldCharType="separate"/>
        </w:r>
        <w:r w:rsidR="00A57FA5">
          <w:rPr>
            <w:noProof/>
          </w:rPr>
          <w:t>6</w:t>
        </w:r>
        <w:r>
          <w:rPr>
            <w:noProof/>
          </w:rPr>
          <w:fldChar w:fldCharType="end"/>
        </w:r>
      </w:p>
    </w:sdtContent>
  </w:sdt>
  <w:p w:rsidR="005D0A03" w:rsidRDefault="005D0A0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836723"/>
      <w:docPartObj>
        <w:docPartGallery w:val="Page Numbers (Bottom of Page)"/>
        <w:docPartUnique/>
      </w:docPartObj>
    </w:sdtPr>
    <w:sdtEndPr>
      <w:rPr>
        <w:noProof/>
      </w:rPr>
    </w:sdtEndPr>
    <w:sdtContent>
      <w:p w:rsidR="005D0A03" w:rsidRDefault="005D0A03">
        <w:pPr>
          <w:pStyle w:val="Footer"/>
          <w:jc w:val="right"/>
        </w:pPr>
        <w:r>
          <w:fldChar w:fldCharType="begin"/>
        </w:r>
        <w:r>
          <w:instrText xml:space="preserve"> PAGE   \* MERGEFORMAT </w:instrText>
        </w:r>
        <w:r>
          <w:fldChar w:fldCharType="separate"/>
        </w:r>
        <w:r w:rsidR="00A57FA5">
          <w:rPr>
            <w:noProof/>
          </w:rPr>
          <w:t>17</w:t>
        </w:r>
        <w:r>
          <w:rPr>
            <w:noProof/>
          </w:rPr>
          <w:fldChar w:fldCharType="end"/>
        </w:r>
      </w:p>
    </w:sdtContent>
  </w:sdt>
  <w:p w:rsidR="005D0A03" w:rsidRDefault="005D0A0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A03" w:rsidRDefault="005D0A03">
      <w:pPr>
        <w:spacing w:after="0" w:line="240" w:lineRule="auto"/>
      </w:pPr>
      <w:r>
        <w:separator/>
      </w:r>
    </w:p>
  </w:footnote>
  <w:footnote w:type="continuationSeparator" w:id="0">
    <w:p w:rsidR="005D0A03" w:rsidRDefault="005D0A03">
      <w:pPr>
        <w:spacing w:after="0" w:line="240" w:lineRule="auto"/>
      </w:pPr>
      <w:r>
        <w:continuationSeparator/>
      </w:r>
    </w:p>
  </w:footnote>
  <w:footnote w:id="1">
    <w:p w:rsidR="005D0A03" w:rsidRDefault="005D0A03">
      <w:pPr>
        <w:pStyle w:val="FootnoteText"/>
        <w:spacing w:after="0" w:line="240" w:lineRule="auto"/>
        <w:ind w:left="284" w:hanging="284"/>
        <w:jc w:val="both"/>
        <w:rPr>
          <w:rFonts w:ascii="Times New Roman" w:hAnsi="Times New Roman" w:cs="Times New Roman"/>
          <w:sz w:val="18"/>
          <w:szCs w:val="18"/>
          <w:lang w:val="pt-PT"/>
        </w:rPr>
      </w:pPr>
      <w:r>
        <w:rPr>
          <w:rStyle w:val="FootnoteReference"/>
          <w:rFonts w:ascii="Times New Roman" w:hAnsi="Times New Roman" w:cs="Times New Roman"/>
          <w:sz w:val="18"/>
          <w:szCs w:val="18"/>
        </w:rPr>
        <w:footnoteRef/>
      </w:r>
      <w:r>
        <w:rPr>
          <w:rFonts w:ascii="Times New Roman" w:hAnsi="Times New Roman" w:cs="Times New Roman"/>
          <w:sz w:val="18"/>
          <w:szCs w:val="18"/>
          <w:lang w:val="pt-PT"/>
        </w:rPr>
        <w:t xml:space="preserve"> </w:t>
      </w:r>
      <w:r>
        <w:rPr>
          <w:rFonts w:ascii="Times New Roman" w:hAnsi="Times New Roman" w:cs="Times New Roman"/>
          <w:sz w:val="18"/>
          <w:szCs w:val="18"/>
          <w:lang w:val="pt-PT"/>
        </w:rPr>
        <w:tab/>
      </w:r>
      <w:r>
        <w:rPr>
          <w:rFonts w:ascii="Times New Roman" w:hAnsi="Times New Roman" w:cs="Times New Roman"/>
          <w:sz w:val="18"/>
          <w:szCs w:val="18"/>
          <w:lang w:val="pt-PT" w:eastAsia="en-GB"/>
        </w:rPr>
        <w:t>COM (2016) 501 final</w:t>
      </w:r>
    </w:p>
  </w:footnote>
  <w:footnote w:id="2">
    <w:p w:rsidR="005D0A03" w:rsidRDefault="005D0A03">
      <w:pPr>
        <w:pStyle w:val="FootnoteText"/>
        <w:spacing w:after="0" w:line="240" w:lineRule="auto"/>
        <w:ind w:left="284" w:hanging="284"/>
        <w:jc w:val="both"/>
        <w:rPr>
          <w:rFonts w:ascii="Times New Roman" w:hAnsi="Times New Roman" w:cs="Times New Roman"/>
          <w:sz w:val="18"/>
          <w:szCs w:val="18"/>
          <w:lang w:val="pt-PT"/>
        </w:rPr>
      </w:pPr>
      <w:r>
        <w:rPr>
          <w:rStyle w:val="FootnoteReference"/>
          <w:rFonts w:ascii="Times New Roman" w:hAnsi="Times New Roman" w:cs="Times New Roman"/>
          <w:sz w:val="18"/>
          <w:szCs w:val="18"/>
        </w:rPr>
        <w:footnoteRef/>
      </w:r>
      <w:r>
        <w:rPr>
          <w:rFonts w:ascii="Times New Roman" w:hAnsi="Times New Roman" w:cs="Times New Roman"/>
          <w:sz w:val="18"/>
          <w:szCs w:val="18"/>
          <w:lang w:val="pt-PT"/>
        </w:rPr>
        <w:t xml:space="preserve"> </w:t>
      </w:r>
      <w:r>
        <w:rPr>
          <w:rFonts w:ascii="Times New Roman" w:hAnsi="Times New Roman" w:cs="Times New Roman"/>
          <w:sz w:val="18"/>
          <w:szCs w:val="18"/>
          <w:lang w:val="pt-PT"/>
        </w:rPr>
        <w:tab/>
        <w:t>COM (2017) 283 final</w:t>
      </w:r>
    </w:p>
  </w:footnote>
  <w:footnote w:id="3">
    <w:p w:rsidR="005D0A03" w:rsidRDefault="005D0A03">
      <w:pPr>
        <w:pStyle w:val="FootnoteText"/>
        <w:spacing w:after="0" w:line="240" w:lineRule="auto"/>
        <w:ind w:left="284" w:hanging="284"/>
        <w:jc w:val="both"/>
        <w:rPr>
          <w:rFonts w:ascii="Times New Roman" w:hAnsi="Times New Roman" w:cs="Times New Roman"/>
          <w:sz w:val="18"/>
          <w:szCs w:val="18"/>
          <w:lang w:val="pt-PT"/>
        </w:rPr>
      </w:pPr>
      <w:r>
        <w:rPr>
          <w:rStyle w:val="FootnoteReference"/>
          <w:rFonts w:ascii="Times New Roman" w:hAnsi="Times New Roman" w:cs="Times New Roman"/>
          <w:sz w:val="18"/>
          <w:szCs w:val="18"/>
        </w:rPr>
        <w:footnoteRef/>
      </w:r>
      <w:r>
        <w:rPr>
          <w:rFonts w:ascii="Times New Roman" w:hAnsi="Times New Roman" w:cs="Times New Roman"/>
          <w:sz w:val="18"/>
          <w:szCs w:val="18"/>
          <w:lang w:val="pt-PT"/>
        </w:rPr>
        <w:t xml:space="preserve"> </w:t>
      </w:r>
      <w:r>
        <w:rPr>
          <w:rFonts w:ascii="Times New Roman" w:hAnsi="Times New Roman" w:cs="Times New Roman"/>
          <w:sz w:val="18"/>
          <w:szCs w:val="18"/>
          <w:lang w:val="pt-PT"/>
        </w:rPr>
        <w:tab/>
      </w:r>
      <w:r>
        <w:rPr>
          <w:rFonts w:ascii="Times New Roman" w:hAnsi="Times New Roman" w:cs="Times New Roman"/>
          <w:sz w:val="18"/>
          <w:szCs w:val="18"/>
          <w:lang w:val="pt-PT" w:eastAsia="en-GB"/>
        </w:rPr>
        <w:t>COM (2016) 501 final</w:t>
      </w:r>
    </w:p>
  </w:footnote>
  <w:footnote w:id="4">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sz w:val="18"/>
          <w:szCs w:val="18"/>
        </w:rPr>
        <w:footnoteRef/>
      </w:r>
      <w:r>
        <w:rPr>
          <w:sz w:val="18"/>
          <w:szCs w:val="18"/>
        </w:rPr>
        <w:t xml:space="preserve"> </w:t>
      </w:r>
      <w:r>
        <w:rPr>
          <w:rFonts w:ascii="Times New Roman" w:hAnsi="Times New Roman" w:cs="Times New Roman"/>
          <w:sz w:val="18"/>
          <w:szCs w:val="18"/>
        </w:rPr>
        <w:tab/>
        <w:t xml:space="preserve">Operators within the meaning of Regulation (EC) No 1370/2007. </w:t>
      </w:r>
    </w:p>
  </w:footnote>
  <w:footnote w:id="5">
    <w:p w:rsidR="005D0A03" w:rsidRDefault="005D0A03">
      <w:pPr>
        <w:pStyle w:val="FootnoteText"/>
        <w:spacing w:after="0" w:line="240" w:lineRule="auto"/>
        <w:ind w:left="284" w:hanging="284"/>
        <w:jc w:val="both"/>
        <w:rPr>
          <w:sz w:val="18"/>
          <w:szCs w:val="18"/>
        </w:rPr>
      </w:pPr>
      <w:r>
        <w:rPr>
          <w:rStyle w:val="FootnoteReference"/>
          <w:sz w:val="18"/>
          <w:szCs w:val="18"/>
        </w:rPr>
        <w:footnoteRef/>
      </w:r>
      <w:r>
        <w:rPr>
          <w:sz w:val="18"/>
          <w:szCs w:val="18"/>
        </w:rPr>
        <w:t xml:space="preserve"> </w:t>
      </w:r>
      <w:r>
        <w:rPr>
          <w:sz w:val="18"/>
          <w:szCs w:val="18"/>
        </w:rPr>
        <w:tab/>
      </w:r>
      <w:r>
        <w:rPr>
          <w:rFonts w:ascii="Times New Roman" w:hAnsi="Times New Roman" w:cs="Times New Roman"/>
          <w:sz w:val="18"/>
          <w:szCs w:val="18"/>
        </w:rPr>
        <w:t>T</w:t>
      </w:r>
      <w:r>
        <w:rPr>
          <w:rFonts w:ascii="Times New Roman" w:hAnsi="Times New Roman" w:cs="Times New Roman"/>
          <w:sz w:val="18"/>
          <w:szCs w:val="18"/>
          <w:lang w:val="en-US"/>
        </w:rPr>
        <w:t xml:space="preserve">hresholds for supply and service contracts of central government are </w:t>
      </w:r>
      <w:r>
        <w:rPr>
          <w:rFonts w:ascii="Times New Roman" w:hAnsi="Times New Roman" w:cs="Times New Roman"/>
          <w:noProof/>
          <w:sz w:val="18"/>
          <w:szCs w:val="18"/>
        </w:rPr>
        <w:t>€</w:t>
      </w:r>
      <w:r>
        <w:rPr>
          <w:rFonts w:ascii="Times New Roman" w:hAnsi="Times New Roman" w:cs="Times New Roman"/>
          <w:sz w:val="18"/>
          <w:szCs w:val="18"/>
          <w:lang w:val="en-US"/>
        </w:rPr>
        <w:t xml:space="preserve">135.000, for other contracting authorities </w:t>
      </w:r>
      <w:r>
        <w:rPr>
          <w:rFonts w:ascii="Times New Roman" w:hAnsi="Times New Roman" w:cs="Times New Roman"/>
          <w:noProof/>
          <w:sz w:val="18"/>
          <w:szCs w:val="18"/>
        </w:rPr>
        <w:t>€</w:t>
      </w:r>
      <w:r>
        <w:rPr>
          <w:rFonts w:ascii="Times New Roman" w:hAnsi="Times New Roman" w:cs="Times New Roman"/>
          <w:sz w:val="18"/>
          <w:szCs w:val="18"/>
          <w:lang w:val="en-US"/>
        </w:rPr>
        <w:t xml:space="preserve">209.000 and </w:t>
      </w:r>
      <w:r>
        <w:rPr>
          <w:rFonts w:ascii="Times New Roman" w:hAnsi="Times New Roman" w:cs="Times New Roman"/>
          <w:noProof/>
          <w:sz w:val="18"/>
          <w:szCs w:val="18"/>
        </w:rPr>
        <w:t>€</w:t>
      </w:r>
      <w:r>
        <w:rPr>
          <w:rFonts w:ascii="Times New Roman" w:hAnsi="Times New Roman" w:cs="Times New Roman"/>
          <w:sz w:val="18"/>
          <w:szCs w:val="18"/>
          <w:lang w:val="en-US"/>
        </w:rPr>
        <w:t>418.000 for utilities. Other thresholds apply to works contracts and to social and other specific services.</w:t>
      </w:r>
    </w:p>
  </w:footnote>
  <w:footnote w:id="6">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The Commission has to report on the implementation of the Directive. The first report was released in 2013 (COM (2013)214 final. In 2015, the Commission published the ex-post evaluation of the Directive.</w:t>
      </w:r>
    </w:p>
  </w:footnote>
  <w:footnote w:id="7">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See http://ec.europa.eu/environment/gpp/pdf/criteria/transport.pdf</w:t>
      </w:r>
    </w:p>
  </w:footnote>
  <w:footnote w:id="8">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Brannigan, C. et al (2015): Ex-post evaluation of Directive 2009/33/EC on the promotion of clean and energy-efficient road transport vehicles, Final report, study contract no. MOVE/A3/119-2013, European Commission, Brussels.</w:t>
      </w:r>
    </w:p>
  </w:footnote>
  <w:footnote w:id="9">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In the absence of emission data for buses and trucks, these were not assessed. </w:t>
      </w:r>
      <w:r>
        <w:rPr>
          <w:rFonts w:ascii="Times New Roman" w:hAnsi="Times New Roman" w:cs="Times New Roman"/>
          <w:sz w:val="18"/>
          <w:szCs w:val="18"/>
        </w:rPr>
        <w:tab/>
      </w:r>
    </w:p>
  </w:footnote>
  <w:footnote w:id="10">
    <w:p w:rsidR="005D0A03" w:rsidRDefault="005D0A03">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Market volumes were calculated on the basis of information contained in the Tender Electronic Daily Database </w:t>
      </w:r>
      <w:hyperlink r:id="rId1" w:history="1">
        <w:r>
          <w:rPr>
            <w:rStyle w:val="Hyperlink"/>
            <w:rFonts w:ascii="Times New Roman" w:hAnsi="Times New Roman" w:cs="Times New Roman"/>
            <w:sz w:val="18"/>
            <w:szCs w:val="18"/>
          </w:rPr>
          <w:t>http://ted.europa.eu/TED/main/HomePage.do</w:t>
        </w:r>
      </w:hyperlink>
      <w:r>
        <w:rPr>
          <w:rFonts w:ascii="Times New Roman" w:hAnsi="Times New Roman" w:cs="Times New Roman"/>
          <w:sz w:val="18"/>
          <w:szCs w:val="18"/>
        </w:rPr>
        <w:t xml:space="preserve">  </w:t>
      </w:r>
    </w:p>
  </w:footnote>
  <w:footnote w:id="11">
    <w:p w:rsidR="005D0A03" w:rsidRDefault="005D0A03">
      <w:pPr>
        <w:pStyle w:val="FootnoteText"/>
        <w:spacing w:after="0" w:line="240" w:lineRule="auto"/>
        <w:ind w:left="284" w:hanging="284"/>
        <w:jc w:val="both"/>
      </w:pPr>
      <w:r>
        <w:rPr>
          <w:rStyle w:val="FootnoteReference"/>
        </w:rPr>
        <w:footnoteRef/>
      </w:r>
      <w:r>
        <w:t xml:space="preserve"> </w:t>
      </w:r>
      <w:r>
        <w:tab/>
      </w:r>
      <w:r>
        <w:rPr>
          <w:rFonts w:ascii="Times New Roman" w:hAnsi="Times New Roman" w:cs="Times New Roman"/>
          <w:sz w:val="18"/>
          <w:szCs w:val="18"/>
        </w:rPr>
        <w:t>International Energy Agency (2016): Global EV outlook 2016, Paris, IEA.</w:t>
      </w:r>
    </w:p>
  </w:footnote>
  <w:footnote w:id="12">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In the absence of a clear definition of clean vehicles, the analysis included all vehicles defined by Art. 2 of Directive 2014/94/EU on alternative fuels infrastructure. These alternatively fuelled vehicles are expected to have low- or zero-emissions at the tailpipe. See Impact Assessment Support Study for further details on the approach. </w:t>
      </w:r>
    </w:p>
  </w:footnote>
  <w:footnote w:id="13">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sz w:val="18"/>
          <w:szCs w:val="18"/>
          <w:lang w:eastAsia="en-GB"/>
        </w:rPr>
        <w:t>All procurements</w:t>
      </w:r>
      <w:r>
        <w:rPr>
          <w:rFonts w:ascii="Times New Roman" w:hAnsi="Times New Roman" w:cs="Times New Roman"/>
          <w:sz w:val="18"/>
          <w:szCs w:val="18"/>
        </w:rPr>
        <w:t xml:space="preserve"> that fall under the procurement procedures set out in Directives 2014/24/EU and 2014/25/EU are required to be published in TED. These criteria are applied for vehicle procurement contracts under the Directive. </w:t>
      </w:r>
    </w:p>
  </w:footnote>
  <w:footnote w:id="14">
    <w:p w:rsidR="005D0A03" w:rsidRDefault="005D0A03">
      <w:pPr>
        <w:pStyle w:val="FootnoteText"/>
        <w:spacing w:after="0" w:line="240" w:lineRule="auto"/>
        <w:ind w:left="284" w:hanging="284"/>
        <w:jc w:val="both"/>
      </w:pPr>
      <w:r>
        <w:rPr>
          <w:rStyle w:val="FootnoteReference"/>
        </w:rPr>
        <w:footnoteRef/>
      </w:r>
      <w:r>
        <w:t xml:space="preserve"> </w:t>
      </w:r>
      <w:r>
        <w:tab/>
      </w:r>
      <w:r>
        <w:rPr>
          <w:rFonts w:ascii="Times New Roman" w:hAnsi="Times New Roman" w:cs="Times New Roman"/>
          <w:sz w:val="18"/>
          <w:szCs w:val="18"/>
        </w:rPr>
        <w:t>European Commission (2016) European Semester Thematic Factsheet: Public Procurement, https://ec.europa.eu/info/sites/info/files/european-semester_thematic-factsheet_public-procurement_en.pdf</w:t>
      </w:r>
    </w:p>
  </w:footnote>
  <w:footnote w:id="15">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European Alternative Fuels Observatory, April 2017, </w:t>
      </w:r>
      <w:hyperlink r:id="rId2" w:history="1">
        <w:r>
          <w:rPr>
            <w:rStyle w:val="Hyperlink"/>
            <w:rFonts w:ascii="Times New Roman" w:hAnsi="Times New Roman" w:cs="Times New Roman"/>
            <w:sz w:val="18"/>
            <w:szCs w:val="18"/>
          </w:rPr>
          <w:t>www.eafo.eu</w:t>
        </w:r>
      </w:hyperlink>
      <w:r>
        <w:rPr>
          <w:rFonts w:ascii="Times New Roman" w:hAnsi="Times New Roman" w:cs="Times New Roman"/>
          <w:sz w:val="18"/>
          <w:szCs w:val="18"/>
        </w:rPr>
        <w:t xml:space="preserve"> </w:t>
      </w:r>
    </w:p>
  </w:footnote>
  <w:footnote w:id="16">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3IBS survey, as reported in the ZEeUS Ebus report, a.a.o.</w:t>
      </w:r>
    </w:p>
  </w:footnote>
  <w:footnote w:id="17">
    <w:p w:rsidR="005D0A03" w:rsidRDefault="005D0A03">
      <w:pPr>
        <w:pStyle w:val="FootnoteText"/>
        <w:spacing w:after="0" w:line="240" w:lineRule="auto"/>
        <w:ind w:left="284" w:hanging="284"/>
        <w:jc w:val="both"/>
      </w:pPr>
      <w:r>
        <w:rPr>
          <w:rStyle w:val="FootnoteReference"/>
        </w:rPr>
        <w:footnoteRef/>
      </w:r>
      <w:r>
        <w:t xml:space="preserve"> </w:t>
      </w:r>
      <w:r>
        <w:tab/>
        <w:t>[</w:t>
      </w:r>
      <w:r>
        <w:rPr>
          <w:rFonts w:ascii="Times New Roman" w:hAnsi="Times New Roman" w:cs="Times New Roman"/>
          <w:sz w:val="18"/>
          <w:szCs w:val="18"/>
        </w:rPr>
        <w:t>Add Communication on Alternative Fuels Infrastructure Action Plan once adopted]</w:t>
      </w:r>
    </w:p>
  </w:footnote>
  <w:footnote w:id="18">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The contracting authorities' survey showed: 75% of responding public authorities using environmental impacts as award criteria noted that they put the majority weight on price. Moreover, a large majority of those using technical specifications noted that they looked at price and compliance with existing Euro norms.</w:t>
      </w:r>
    </w:p>
  </w:footnote>
  <w:footnote w:id="19">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ZEeUS Ebus report, a.a.o.</w:t>
      </w:r>
    </w:p>
  </w:footnote>
  <w:footnote w:id="20">
    <w:p w:rsidR="005D0A03" w:rsidRDefault="005D0A03">
      <w:pPr>
        <w:pStyle w:val="FootnoteText"/>
        <w:spacing w:after="0" w:line="240" w:lineRule="auto"/>
        <w:ind w:left="284" w:hanging="284"/>
      </w:pPr>
      <w:r>
        <w:rPr>
          <w:rStyle w:val="FootnoteReference"/>
        </w:rPr>
        <w:footnoteRef/>
      </w:r>
      <w:r>
        <w:t xml:space="preserve"> </w:t>
      </w:r>
      <w:r>
        <w:tab/>
      </w:r>
      <w:r>
        <w:rPr>
          <w:rFonts w:ascii="Times New Roman" w:hAnsi="Times New Roman" w:cs="Times New Roman"/>
          <w:sz w:val="18"/>
          <w:szCs w:val="18"/>
        </w:rPr>
        <w:t>This share does not cover emissions from international shipping (not part of the 2020 and 2030 climate &amp; energy targets).</w:t>
      </w:r>
    </w:p>
  </w:footnote>
  <w:footnote w:id="21">
    <w:p w:rsidR="005D0A03" w:rsidRDefault="005D0A03">
      <w:pPr>
        <w:pStyle w:val="FootnoteText"/>
        <w:spacing w:after="0" w:line="240" w:lineRule="auto"/>
        <w:rPr>
          <w:rFonts w:ascii="Times New Roman" w:hAnsi="Times New Roman" w:cs="Times New Roman"/>
        </w:rPr>
      </w:pPr>
      <w:r>
        <w:rPr>
          <w:rStyle w:val="FootnoteReference"/>
        </w:rPr>
        <w:footnoteRef/>
      </w:r>
      <w:r>
        <w:t xml:space="preserve"> </w:t>
      </w:r>
      <w:r>
        <w:tab/>
      </w:r>
      <w:r>
        <w:rPr>
          <w:rFonts w:ascii="Times New Roman" w:hAnsi="Times New Roman" w:cs="Times New Roman"/>
          <w:sz w:val="18"/>
          <w:szCs w:val="18"/>
        </w:rPr>
        <w:t>European Environment Agency  (2017): GHG data viewer available at</w:t>
      </w:r>
      <w:r>
        <w:rPr>
          <w:rFonts w:ascii="Times New Roman" w:hAnsi="Times New Roman"/>
          <w:color w:val="FF0000"/>
          <w:sz w:val="18"/>
          <w:szCs w:val="18"/>
        </w:rPr>
        <w:t xml:space="preserve"> </w:t>
      </w:r>
      <w:hyperlink r:id="rId3" w:history="1">
        <w:r>
          <w:rPr>
            <w:rStyle w:val="Hyperlink"/>
            <w:rFonts w:ascii="Times New Roman" w:hAnsi="Times New Roman"/>
            <w:sz w:val="18"/>
            <w:szCs w:val="18"/>
          </w:rPr>
          <w:t>http://www.eea.europa.eu/data-and-maps/data/data-viewers/greenhouse-gases-viewer</w:t>
        </w:r>
      </w:hyperlink>
    </w:p>
  </w:footnote>
  <w:footnote w:id="22">
    <w:p w:rsidR="005D0A03" w:rsidRDefault="005D0A03">
      <w:pPr>
        <w:pStyle w:val="FootnoteText"/>
        <w:spacing w:after="0" w:line="240" w:lineRule="auto"/>
        <w:ind w:left="284" w:hanging="284"/>
        <w:jc w:val="both"/>
        <w:rPr>
          <w:sz w:val="18"/>
          <w:szCs w:val="18"/>
        </w:rPr>
      </w:pPr>
      <w:r>
        <w:rPr>
          <w:rStyle w:val="FootnoteReference"/>
        </w:rPr>
        <w:footnoteRef/>
      </w:r>
      <w:r>
        <w:t xml:space="preserve"> </w:t>
      </w:r>
      <w:r>
        <w:tab/>
      </w:r>
      <w:r>
        <w:rPr>
          <w:rFonts w:ascii="Times New Roman" w:hAnsi="Times New Roman" w:cs="Times New Roman"/>
          <w:sz w:val="18"/>
          <w:szCs w:val="18"/>
        </w:rPr>
        <w:t>For passenger cars/vans, the analysis is based on a cross-sectional comparison of the CO</w:t>
      </w:r>
      <w:r>
        <w:rPr>
          <w:rFonts w:ascii="Times New Roman" w:hAnsi="Times New Roman" w:cs="Times New Roman"/>
          <w:sz w:val="18"/>
          <w:szCs w:val="18"/>
          <w:vertAlign w:val="subscript"/>
        </w:rPr>
        <w:t>2</w:t>
      </w:r>
      <w:r>
        <w:rPr>
          <w:rFonts w:ascii="Times New Roman" w:hAnsi="Times New Roman" w:cs="Times New Roman"/>
          <w:sz w:val="18"/>
          <w:szCs w:val="18"/>
        </w:rPr>
        <w:t xml:space="preserve"> performance of vehicles purchased by public authorities under the Directive, and the typical CO</w:t>
      </w:r>
      <w:r>
        <w:rPr>
          <w:rFonts w:ascii="Times New Roman" w:hAnsi="Times New Roman" w:cs="Times New Roman"/>
          <w:sz w:val="18"/>
          <w:szCs w:val="18"/>
          <w:vertAlign w:val="subscript"/>
        </w:rPr>
        <w:t>2</w:t>
      </w:r>
      <w:r>
        <w:rPr>
          <w:rFonts w:ascii="Times New Roman" w:hAnsi="Times New Roman" w:cs="Times New Roman"/>
          <w:sz w:val="18"/>
          <w:szCs w:val="18"/>
        </w:rPr>
        <w:t xml:space="preserve"> performance of similarly-sized vehicles purchased in the wider market at the same time. </w:t>
      </w:r>
    </w:p>
  </w:footnote>
  <w:footnote w:id="23">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Only a marginal number of procurers moved to Euro VI/6 standards before they became obligatory. Accordingly, it was modelled that Euro standards were introduced six months early for 1% of all procured vehicles. </w:t>
      </w:r>
    </w:p>
  </w:footnote>
  <w:footnote w:id="24">
    <w:p w:rsidR="005D0A03" w:rsidRDefault="005D0A03">
      <w:pPr>
        <w:pStyle w:val="FootnoteText"/>
        <w:tabs>
          <w:tab w:val="left" w:pos="1134"/>
        </w:tabs>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Diesel vehicles have a higher energy efficiency compared to petrol vehicles. However, because of higher NOx emissions diesel vehicles also have a higher negative impact on air pollution. 13% of procurers in the survey of the ex-post evaluation noted that they use the monetisation methodology. Comparing their procurement practice to the procurement practice of survey respondents for the two other options (technical specifications and award criteria) showed that the share of diesel vehicles is also 13% higher, eliminating all marginal air pollution improvements.  </w:t>
      </w:r>
    </w:p>
  </w:footnote>
  <w:footnote w:id="25">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sz w:val="18"/>
          <w:szCs w:val="18"/>
        </w:rPr>
        <w:footnoteRef/>
      </w:r>
      <w:r>
        <w:rPr>
          <w:sz w:val="18"/>
          <w:szCs w:val="18"/>
        </w:rPr>
        <w:t xml:space="preserve"> </w:t>
      </w:r>
      <w:r>
        <w:rPr>
          <w:sz w:val="18"/>
          <w:szCs w:val="18"/>
        </w:rPr>
        <w:tab/>
      </w:r>
      <w:r>
        <w:rPr>
          <w:rFonts w:ascii="Times New Roman" w:hAnsi="Times New Roman" w:cs="Times New Roman"/>
          <w:sz w:val="18"/>
          <w:szCs w:val="18"/>
        </w:rPr>
        <w:t xml:space="preserve">Based on the analysis of the Tender Electronic Daily database (TED). </w:t>
      </w:r>
    </w:p>
  </w:footnote>
  <w:footnote w:id="26">
    <w:p w:rsidR="005D0A03" w:rsidRDefault="005D0A03">
      <w:pPr>
        <w:pStyle w:val="FootnoteText"/>
        <w:spacing w:after="0" w:line="240" w:lineRule="auto"/>
        <w:ind w:left="284" w:hanging="284"/>
        <w:jc w:val="both"/>
      </w:pPr>
      <w:r>
        <w:rPr>
          <w:rStyle w:val="FootnoteReference"/>
        </w:rPr>
        <w:footnoteRef/>
      </w:r>
      <w:r>
        <w:t xml:space="preserve"> </w:t>
      </w:r>
      <w:r>
        <w:tab/>
      </w:r>
      <w:r>
        <w:rPr>
          <w:rFonts w:ascii="Times New Roman" w:hAnsi="Times New Roman" w:cs="Times New Roman"/>
          <w:sz w:val="18"/>
          <w:szCs w:val="18"/>
        </w:rPr>
        <w:t>JRC (2015) Electric vehicles in the EU from 2010 to 2014 – is full scale commercialisation near? JRC: Ispra. While five years ago most of the EVs sold on the EU market were imported from other regions of the world, from 2014 the EVs produced within the EU as share of total EU registered EVs neared 70%. Most of the important players with respect to EV related components (e.g. battery cells and packs, electric motors, control systems) are headquartered outside the EU.</w:t>
      </w:r>
    </w:p>
  </w:footnote>
  <w:footnote w:id="27">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Pr>
        <w:footnoteRef/>
      </w:r>
      <w:r>
        <w:t xml:space="preserve"> </w:t>
      </w:r>
      <w:r>
        <w:tab/>
      </w:r>
      <w:r>
        <w:rPr>
          <w:rFonts w:ascii="Times New Roman" w:hAnsi="Times New Roman" w:cs="Times New Roman"/>
          <w:sz w:val="18"/>
          <w:szCs w:val="18"/>
        </w:rPr>
        <w:t>France, Germany, Italy, Netherlands, Norway, Portugal, Spain, Sweden and United Kingdom</w:t>
      </w:r>
    </w:p>
  </w:footnote>
  <w:footnote w:id="28">
    <w:p w:rsidR="005D0A03" w:rsidRDefault="005D0A03">
      <w:pPr>
        <w:pStyle w:val="FootnoteText"/>
        <w:spacing w:after="0" w:line="240" w:lineRule="auto"/>
        <w:ind w:left="284" w:hanging="284"/>
        <w:jc w:val="both"/>
        <w:rPr>
          <w:sz w:val="18"/>
          <w:szCs w:val="18"/>
        </w:rPr>
      </w:pPr>
      <w:r>
        <w:rPr>
          <w:rStyle w:val="FootnoteReference"/>
          <w:sz w:val="18"/>
          <w:szCs w:val="18"/>
        </w:rPr>
        <w:footnoteRef/>
      </w:r>
      <w:r>
        <w:rPr>
          <w:sz w:val="18"/>
          <w:szCs w:val="18"/>
        </w:rPr>
        <w:t xml:space="preserve"> </w:t>
      </w:r>
      <w:r>
        <w:rPr>
          <w:sz w:val="18"/>
          <w:szCs w:val="18"/>
        </w:rPr>
        <w:tab/>
      </w:r>
      <w:r>
        <w:rPr>
          <w:rFonts w:ascii="Times New Roman" w:hAnsi="Times New Roman" w:cs="Times New Roman"/>
          <w:sz w:val="18"/>
          <w:szCs w:val="18"/>
        </w:rPr>
        <w:t xml:space="preserve">See </w:t>
      </w:r>
      <w:hyperlink r:id="rId4" w:history="1">
        <w:r>
          <w:rPr>
            <w:rStyle w:val="Hyperlink"/>
            <w:rFonts w:ascii="Times New Roman" w:hAnsi="Times New Roman" w:cs="Times New Roman"/>
            <w:sz w:val="18"/>
            <w:szCs w:val="18"/>
          </w:rPr>
          <w:t>http://www.eafo.eu/vehicle-statistics/buses/top-10</w:t>
        </w:r>
      </w:hyperlink>
      <w:r>
        <w:rPr>
          <w:rFonts w:ascii="Times New Roman" w:hAnsi="Times New Roman" w:cs="Times New Roman"/>
          <w:sz w:val="18"/>
          <w:szCs w:val="18"/>
        </w:rPr>
        <w:t xml:space="preserve"> (access 16.06.2017).</w:t>
      </w:r>
    </w:p>
  </w:footnote>
  <w:footnote w:id="29">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ZEeUS eBus project report, a.a.o.</w:t>
      </w:r>
    </w:p>
  </w:footnote>
  <w:footnote w:id="30">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International Energy Agency (2016) Global EV Outlook 2016, Paris, IEA; ZEeUs eBus project report, a.a.o.</w:t>
      </w:r>
    </w:p>
  </w:footnote>
  <w:footnote w:id="31">
    <w:p w:rsidR="005D0A03" w:rsidRDefault="005D0A03">
      <w:pPr>
        <w:pStyle w:val="FootnoteText"/>
        <w:spacing w:after="0" w:line="240" w:lineRule="auto"/>
        <w:ind w:left="284" w:hanging="284"/>
        <w:jc w:val="both"/>
        <w:rPr>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ab/>
        <w:t>Directive 2014/24/EU (repealing Directive 2004/18/EC) and Directive 2014/25/EU on procurement by entities operating in the water, energy, transport and postal services sectors (repealing Directive 2004/17/EC). In addition to the sub-central and central public sector thresholds, utilities have a threshold of EUR 418.000 for supplies and services contracts.</w:t>
      </w:r>
    </w:p>
  </w:footnote>
  <w:footnote w:id="32">
    <w:p w:rsidR="005D0A03" w:rsidRDefault="005D0A03">
      <w:pPr>
        <w:pStyle w:val="FootnoteText"/>
        <w:spacing w:after="0" w:line="240" w:lineRule="auto"/>
        <w:jc w:val="both"/>
        <w:rPr>
          <w:rFonts w:ascii="Times New Roman" w:hAnsi="Times New Roman" w:cs="Times New Roman"/>
          <w:sz w:val="18"/>
          <w:szCs w:val="18"/>
        </w:rPr>
      </w:pPr>
      <w:r>
        <w:rPr>
          <w:rStyle w:val="FootnoteReference"/>
          <w:sz w:val="18"/>
          <w:szCs w:val="18"/>
        </w:rPr>
        <w:footnoteRef/>
      </w:r>
      <w:r>
        <w:rPr>
          <w:sz w:val="18"/>
          <w:szCs w:val="18"/>
        </w:rPr>
        <w:t xml:space="preserve"> </w:t>
      </w:r>
      <w:r>
        <w:rPr>
          <w:rFonts w:ascii="Times New Roman" w:hAnsi="Times New Roman" w:cs="Times New Roman"/>
          <w:sz w:val="18"/>
          <w:szCs w:val="18"/>
        </w:rPr>
        <w:t>Defines a clean vehicle as one that uses alternative fuels, as defined in Article 2(1) of Directive 2014/94 and qualified in policy option 4 of this Impact Assessment.</w:t>
      </w:r>
    </w:p>
  </w:footnote>
  <w:footnote w:id="33">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14% of survey respondents noted that they used quantification methods (Brannigan et al, a.a.o.).</w:t>
      </w:r>
    </w:p>
  </w:footnote>
  <w:footnote w:id="34">
    <w:p w:rsidR="005D0A03" w:rsidRDefault="005D0A03">
      <w:pPr>
        <w:pStyle w:val="FootnoteText"/>
        <w:spacing w:after="0" w:line="240" w:lineRule="auto"/>
        <w:ind w:left="284" w:hanging="284"/>
        <w:jc w:val="both"/>
      </w:pPr>
      <w:r>
        <w:rPr>
          <w:rStyle w:val="FootnoteReference"/>
          <w:sz w:val="18"/>
          <w:szCs w:val="18"/>
        </w:rPr>
        <w:footnoteRef/>
      </w:r>
      <w:r>
        <w:rPr>
          <w:sz w:val="18"/>
          <w:szCs w:val="18"/>
        </w:rPr>
        <w:t xml:space="preserve"> </w:t>
      </w:r>
      <w:r>
        <w:rPr>
          <w:sz w:val="18"/>
          <w:szCs w:val="18"/>
        </w:rPr>
        <w:tab/>
      </w:r>
      <w:r>
        <w:rPr>
          <w:rFonts w:ascii="Times New Roman" w:hAnsi="Times New Roman" w:cs="Times New Roman"/>
          <w:sz w:val="18"/>
          <w:szCs w:val="18"/>
          <w:lang w:eastAsia="en-GB"/>
        </w:rPr>
        <w:t xml:space="preserve">As noted this includes a) setting technical specifications, b) establishing relevant award criteria, c) monetising the operational costs as an award criterion or d) any combination of the above. </w:t>
      </w:r>
    </w:p>
  </w:footnote>
  <w:footnote w:id="35">
    <w:p w:rsidR="005D0A03" w:rsidRDefault="005D0A03">
      <w:pPr>
        <w:pStyle w:val="FootnoteText"/>
        <w:spacing w:after="0" w:line="240" w:lineRule="auto"/>
        <w:ind w:left="284" w:hanging="284"/>
        <w:jc w:val="both"/>
      </w:pPr>
      <w:r>
        <w:rPr>
          <w:rStyle w:val="FootnoteReference"/>
        </w:rPr>
        <w:footnoteRef/>
      </w:r>
      <w:r>
        <w:t xml:space="preserve"> </w:t>
      </w:r>
      <w:r>
        <w:tab/>
      </w:r>
      <w:r>
        <w:rPr>
          <w:rFonts w:ascii="Times New Roman" w:hAnsi="Times New Roman" w:cs="Times New Roman"/>
          <w:sz w:val="18"/>
          <w:szCs w:val="18"/>
        </w:rPr>
        <w:t xml:space="preserve">An overview of the transpositions is available in the ex-post evaluation study annexed to this Impact Assessment. Since the evaluation, also Slovenia and Czech Republic have changed their national acts and cover all options. </w:t>
      </w:r>
    </w:p>
  </w:footnote>
  <w:footnote w:id="36">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See stakeholder consultation synopsis report in Annex</w:t>
      </w:r>
    </w:p>
  </w:footnote>
  <w:footnote w:id="37">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European Environment Agency (2016): Air quality in Europe – 2016 report, Copenhagen. </w:t>
      </w:r>
    </w:p>
  </w:footnote>
  <w:footnote w:id="38">
    <w:p w:rsidR="005D0A03" w:rsidRDefault="005D0A03">
      <w:pPr>
        <w:autoSpaceDE w:val="0"/>
        <w:autoSpaceDN w:val="0"/>
        <w:adjustRightInd w:val="0"/>
        <w:spacing w:after="0" w:line="240" w:lineRule="auto"/>
        <w:ind w:left="284" w:hanging="284"/>
        <w:jc w:val="both"/>
        <w:rPr>
          <w:rFonts w:ascii="OpenSans" w:hAnsi="OpenSans" w:cs="OpenSans"/>
          <w:sz w:val="18"/>
          <w:szCs w:val="18"/>
        </w:rPr>
      </w:pPr>
      <w:r>
        <w:rPr>
          <w:rStyle w:val="FootnoteReference"/>
        </w:rPr>
        <w:footnoteRef/>
      </w:r>
      <w:r>
        <w:t xml:space="preserve"> </w:t>
      </w:r>
      <w:r>
        <w:rPr>
          <w:rFonts w:ascii="Times New Roman" w:hAnsi="Times New Roman" w:cs="Times New Roman"/>
          <w:sz w:val="18"/>
          <w:szCs w:val="18"/>
        </w:rPr>
        <w:tab/>
        <w:t xml:space="preserve">European Environment Agency (2016): Urban adaptation to climate change in Europe, Copenhagen. </w:t>
      </w:r>
    </w:p>
  </w:footnote>
  <w:footnote w:id="39">
    <w:p w:rsidR="005D0A03" w:rsidRDefault="005D0A03">
      <w:pPr>
        <w:pStyle w:val="FootnoteText"/>
        <w:spacing w:after="0" w:line="240" w:lineRule="auto"/>
        <w:ind w:left="284" w:hanging="284"/>
        <w:jc w:val="both"/>
      </w:pPr>
      <w:r>
        <w:rPr>
          <w:rStyle w:val="FootnoteReference"/>
          <w:sz w:val="18"/>
          <w:szCs w:val="18"/>
        </w:rPr>
        <w:footnoteRef/>
      </w:r>
      <w:r>
        <w:rPr>
          <w:sz w:val="18"/>
          <w:szCs w:val="18"/>
        </w:rPr>
        <w:t xml:space="preserve"> </w:t>
      </w:r>
      <w:r>
        <w:rPr>
          <w:rFonts w:ascii="Times New Roman" w:hAnsi="Times New Roman" w:cs="Times New Roman"/>
          <w:sz w:val="18"/>
          <w:szCs w:val="18"/>
        </w:rPr>
        <w:tab/>
        <w:t xml:space="preserve">The European Court of Justice established the "right to clean air" for EU citizens in 2008. In UK, the Supreme Court ruled in 2013 that the government is failing in its duty to protect people from harmful effects of air pollution, concerning cases from 16 UK cities.  In Germany, lawsuits and court sentences have applied in an increasing number of cities, including Berlin, Bonn, Aachen, Darmstadt, Cologne, Dusseldorf, Essen, Gelsenkirchen, Frankfurt/Main or Stuttgart. An overview of relevant lawsuits can be found at </w:t>
      </w:r>
      <w:hyperlink r:id="rId5" w:history="1">
        <w:r>
          <w:rPr>
            <w:rStyle w:val="Hyperlink"/>
            <w:rFonts w:ascii="Times New Roman" w:hAnsi="Times New Roman" w:cs="Times New Roman"/>
            <w:sz w:val="18"/>
            <w:szCs w:val="18"/>
          </w:rPr>
          <w:t>http://legal.cleanair-europe.org/en/legal/eu/</w:t>
        </w:r>
      </w:hyperlink>
      <w:r>
        <w:rPr>
          <w:rFonts w:ascii="Times New Roman" w:hAnsi="Times New Roman" w:cs="Times New Roman"/>
          <w:sz w:val="18"/>
          <w:szCs w:val="18"/>
        </w:rPr>
        <w:t xml:space="preserve"> </w:t>
      </w:r>
    </w:p>
  </w:footnote>
  <w:footnote w:id="40">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sz w:val="18"/>
          <w:szCs w:val="18"/>
        </w:rPr>
        <w:t>Publicly procured vehicles cover passenger cars, light commercial vehicles, buses and heavy goods vehicles.</w:t>
      </w:r>
    </w:p>
  </w:footnote>
  <w:footnote w:id="41">
    <w:p w:rsidR="005D0A03" w:rsidRDefault="005D0A03">
      <w:pPr>
        <w:pStyle w:val="FootnoteText"/>
        <w:spacing w:after="0" w:line="240" w:lineRule="auto"/>
        <w:ind w:left="284" w:hanging="284"/>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Technology costs assumptions draw on an update of the EU Reference scenario 2016. This update (i.e. Baseline scenario) </w:t>
      </w:r>
      <w:r>
        <w:rPr>
          <w:rFonts w:ascii="Times New Roman" w:eastAsia="Calibri" w:hAnsi="Times New Roman" w:cs="Times New Roman"/>
          <w:sz w:val="18"/>
          <w:szCs w:val="18"/>
        </w:rPr>
        <w:t xml:space="preserve">builds on the EU Reference scenario 2016 but additionally includes some updates in the technology costs assumptions (i.e. for light duty vehicles) and few policy measures adopted after its cut-off date (end of 2014) like the Directive on Weights and Dimensions, the 4th Railways Package, the NAIADES II Package, the Ports Package, the replacement of the New European Driving Cycle (NEDC) test cycle by the new Worldwide harmonized Light-vehicles Test Procedure (WLTP). It has been developed with the PRIMES-TREMOVE model (i.e. the same model used for the EU Reference scenario 2016) by ICCS-E3MLab. </w:t>
      </w:r>
      <w:r>
        <w:rPr>
          <w:rFonts w:ascii="Times New Roman" w:hAnsi="Times New Roman" w:cs="Times New Roman"/>
          <w:sz w:val="18"/>
          <w:szCs w:val="18"/>
        </w:rPr>
        <w:t>A detailed description of the this scenario is available in the Impact Assessment accompanying the Proposal for a Directive amending Directive 1999/62/EC on the charging of heavy goods vehicles for the use of certain infrastructures, SWD (2017) 180.</w:t>
      </w:r>
    </w:p>
  </w:footnote>
  <w:footnote w:id="42">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Regulation (EC) No 443/2009, amended by Regulation (EU) No 333/2014 and Regulation (EU) No 510/2011, amended by Regulation (EU) No 253/2014; CO2 standards for cars are assumed to be 95gCO2/km as of 2021 and for vans 147gCO2/km as of 2020, based on the New European Driving Cycle (NEDC) test cycle, in line with current legislation.</w:t>
      </w:r>
    </w:p>
  </w:footnote>
  <w:footnote w:id="43">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A quantification of the combined effects of such types of policy measures has been presented in the Staff Working Document accompanying the EU strategy on low-emission mobility (SWD(2016) 244 final). </w:t>
      </w:r>
    </w:p>
  </w:footnote>
  <w:footnote w:id="44">
    <w:p w:rsidR="005D0A03" w:rsidRDefault="005D0A03">
      <w:pPr>
        <w:pStyle w:val="FootnoteText"/>
        <w:spacing w:after="0" w:line="240" w:lineRule="auto"/>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Mc Kinsey (2017) Electrifying insights. How automakers can drive electrified vehicle sales and profitability.  </w:t>
      </w:r>
    </w:p>
  </w:footnote>
  <w:footnote w:id="45">
    <w:p w:rsidR="005D0A03" w:rsidRDefault="005D0A03">
      <w:pPr>
        <w:pStyle w:val="FootnoteText"/>
        <w:spacing w:after="0" w:line="240" w:lineRule="auto"/>
        <w:rPr>
          <w:sz w:val="18"/>
          <w:szCs w:val="18"/>
        </w:rPr>
      </w:pPr>
      <w:r>
        <w:rPr>
          <w:rStyle w:val="FootnoteReference"/>
          <w:sz w:val="18"/>
          <w:szCs w:val="18"/>
        </w:rPr>
        <w:footnoteRef/>
      </w:r>
      <w:r>
        <w:rPr>
          <w:sz w:val="18"/>
          <w:szCs w:val="18"/>
        </w:rPr>
        <w:t xml:space="preserve"> </w:t>
      </w:r>
      <w:r>
        <w:rPr>
          <w:sz w:val="18"/>
          <w:szCs w:val="18"/>
        </w:rPr>
        <w:tab/>
      </w:r>
      <w:r>
        <w:rPr>
          <w:rFonts w:ascii="Times New Roman" w:hAnsi="Times New Roman" w:cs="Times New Roman"/>
          <w:sz w:val="18"/>
          <w:szCs w:val="18"/>
          <w:lang w:val="en"/>
        </w:rPr>
        <w:t>Transportation Research Board and National Research Council. 2015</w:t>
      </w:r>
      <w:r>
        <w:rPr>
          <w:rFonts w:ascii="Times New Roman" w:hAnsi="Times New Roman" w:cs="Times New Roman"/>
          <w:i/>
          <w:sz w:val="18"/>
          <w:szCs w:val="18"/>
          <w:lang w:val="en"/>
        </w:rPr>
        <w:t xml:space="preserve">. </w:t>
      </w:r>
      <w:r>
        <w:rPr>
          <w:rStyle w:val="Emphasis"/>
          <w:rFonts w:ascii="Times New Roman" w:hAnsi="Times New Roman" w:cs="Times New Roman"/>
          <w:i w:val="0"/>
          <w:sz w:val="18"/>
          <w:szCs w:val="18"/>
          <w:lang w:val="en"/>
        </w:rPr>
        <w:t>Overcoming Barriers to Deployment of Plug-in Electric Vehicles</w:t>
      </w:r>
      <w:r>
        <w:rPr>
          <w:rFonts w:ascii="Times New Roman" w:hAnsi="Times New Roman" w:cs="Times New Roman"/>
          <w:i/>
          <w:sz w:val="18"/>
          <w:szCs w:val="18"/>
          <w:lang w:val="en"/>
        </w:rPr>
        <w:t>.</w:t>
      </w:r>
      <w:r>
        <w:rPr>
          <w:rFonts w:ascii="Times New Roman" w:hAnsi="Times New Roman" w:cs="Times New Roman"/>
          <w:sz w:val="18"/>
          <w:szCs w:val="18"/>
          <w:lang w:val="en"/>
        </w:rPr>
        <w:t xml:space="preserve"> Washington, DC: The National Academies Press. </w:t>
      </w:r>
    </w:p>
  </w:footnote>
  <w:footnote w:id="46">
    <w:p w:rsidR="005D0A03" w:rsidRDefault="005D0A03">
      <w:pPr>
        <w:pStyle w:val="FootnoteText"/>
        <w:spacing w:after="0" w:line="240" w:lineRule="auto"/>
        <w:rPr>
          <w:rFonts w:ascii="Times New Roman" w:hAnsi="Times New Roman" w:cs="Times New Roman"/>
          <w:sz w:val="18"/>
          <w:szCs w:val="18"/>
        </w:rPr>
      </w:pPr>
      <w:r>
        <w:rPr>
          <w:rStyle w:val="FootnoteReference"/>
        </w:rPr>
        <w:footnoteRef/>
      </w:r>
      <w:r>
        <w:t xml:space="preserve"> </w:t>
      </w:r>
      <w:r>
        <w:tab/>
      </w:r>
      <w:r>
        <w:rPr>
          <w:rFonts w:ascii="Times New Roman" w:hAnsi="Times New Roman" w:cs="Times New Roman"/>
          <w:sz w:val="18"/>
          <w:szCs w:val="18"/>
        </w:rPr>
        <w:t>For example, in London multi-purpose public rapid charging hubs will also be used for all newly licensed taxis that have to be zero-emission capable as of 2018.</w:t>
      </w:r>
    </w:p>
  </w:footnote>
  <w:footnote w:id="47">
    <w:p w:rsidR="005D0A03" w:rsidRDefault="005D0A03">
      <w:pPr>
        <w:pStyle w:val="FootnoteText"/>
        <w:spacing w:after="0" w:line="240" w:lineRule="auto"/>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Mc Kinsey (without year): Evolution: electric vehicles in Europe: gearing up for a new phase?</w:t>
      </w:r>
    </w:p>
  </w:footnote>
  <w:footnote w:id="48">
    <w:p w:rsidR="005D0A03" w:rsidRDefault="005D0A03">
      <w:pPr>
        <w:pStyle w:val="FootnoteText"/>
        <w:spacing w:after="0" w:line="240" w:lineRule="auto"/>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COM(2017)283 final. </w:t>
      </w:r>
    </w:p>
  </w:footnote>
  <w:footnote w:id="49">
    <w:p w:rsidR="005D0A03" w:rsidRDefault="005D0A03">
      <w:pPr>
        <w:pStyle w:val="FootnoteText"/>
        <w:spacing w:after="0" w:line="240" w:lineRule="auto"/>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sidRPr="005D0A03">
        <w:rPr>
          <w:rFonts w:ascii="Times New Roman" w:hAnsi="Times New Roman" w:cs="Times New Roman"/>
          <w:sz w:val="18"/>
          <w:szCs w:val="18"/>
        </w:rPr>
        <w:t>Add reference when available</w:t>
      </w:r>
    </w:p>
  </w:footnote>
  <w:footnote w:id="50">
    <w:p w:rsidR="005D0A03" w:rsidRDefault="005D0A03">
      <w:pPr>
        <w:pStyle w:val="FootnoteText"/>
        <w:spacing w:after="0" w:line="240" w:lineRule="auto"/>
        <w:jc w:val="both"/>
      </w:pPr>
      <w:r>
        <w:rPr>
          <w:rStyle w:val="FootnoteReference"/>
        </w:rPr>
        <w:footnoteRef/>
      </w:r>
      <w:r>
        <w:t xml:space="preserve"> </w:t>
      </w:r>
      <w:r>
        <w:tab/>
      </w:r>
      <w:r>
        <w:rPr>
          <w:rFonts w:ascii="Times New Roman" w:hAnsi="Times New Roman" w:cs="Times New Roman"/>
          <w:sz w:val="18"/>
          <w:szCs w:val="18"/>
        </w:rPr>
        <w:t>International Energy Agency (2017): Global EV outlook 2017: two million and counting, IEA: Paris</w:t>
      </w:r>
    </w:p>
  </w:footnote>
  <w:footnote w:id="51">
    <w:p w:rsidR="005D0A03" w:rsidRDefault="005D0A03">
      <w:pPr>
        <w:pStyle w:val="FootnoteText"/>
        <w:spacing w:after="0" w:line="240" w:lineRule="auto"/>
      </w:pPr>
      <w:r>
        <w:rPr>
          <w:rStyle w:val="FootnoteReference"/>
        </w:rPr>
        <w:footnoteRef/>
      </w:r>
      <w:r>
        <w:t xml:space="preserve"> </w:t>
      </w:r>
      <w:r>
        <w:rPr>
          <w:rFonts w:ascii="Times New Roman" w:hAnsi="Times New Roman" w:cs="Times New Roman"/>
        </w:rPr>
        <w:tab/>
      </w:r>
      <w:hyperlink r:id="rId6" w:history="1">
        <w:r>
          <w:rPr>
            <w:rStyle w:val="Hyperlink"/>
            <w:rFonts w:ascii="Times New Roman" w:hAnsi="Times New Roman" w:cs="Times New Roman"/>
          </w:rPr>
          <w:t>https://www.bloomberg.com/news/articles/2017-09-28/china-to-start-new-energy-vehicle-production-quota-from-2019</w:t>
        </w:r>
      </w:hyperlink>
      <w:r>
        <w:rPr>
          <w:rFonts w:ascii="Times New Roman" w:hAnsi="Times New Roman" w:cs="Times New Roman"/>
        </w:rPr>
        <w:t xml:space="preserve">  (access 20/10/2017). </w:t>
      </w:r>
    </w:p>
  </w:footnote>
  <w:footnote w:id="52">
    <w:p w:rsidR="005D0A03" w:rsidRDefault="005D0A03">
      <w:pPr>
        <w:pStyle w:val="FootnoteText"/>
        <w:spacing w:after="0" w:line="240" w:lineRule="auto"/>
        <w:ind w:left="284" w:hanging="284"/>
        <w:jc w:val="both"/>
        <w:rPr>
          <w:sz w:val="18"/>
          <w:szCs w:val="18"/>
        </w:rPr>
      </w:pPr>
      <w:r>
        <w:rPr>
          <w:rStyle w:val="FootnoteReference"/>
          <w:sz w:val="18"/>
          <w:szCs w:val="18"/>
        </w:rPr>
        <w:footnoteRef/>
      </w:r>
      <w:r>
        <w:rPr>
          <w:sz w:val="18"/>
          <w:szCs w:val="18"/>
        </w:rPr>
        <w:t xml:space="preserve"> </w:t>
      </w:r>
      <w:r>
        <w:rPr>
          <w:sz w:val="18"/>
          <w:szCs w:val="18"/>
        </w:rPr>
        <w:tab/>
      </w:r>
      <w:r>
        <w:rPr>
          <w:rFonts w:ascii="Times New Roman" w:hAnsi="Times New Roman" w:cs="Times New Roman"/>
          <w:sz w:val="18"/>
          <w:szCs w:val="18"/>
          <w:lang w:val="en"/>
        </w:rPr>
        <w:t xml:space="preserve">These constitute predominant public authorities transport service contracts. Note that postal and courier services are classified as social services and hence exempted from the general provisions of the horizontal public procurement Directives 2014/94/EU and 2014/25/EU.  However, in the targeted interviews carried out for this Impact Assessment, representative of two main postal/courier companies noted the relevance of keeping this measure for further analysis. </w:t>
      </w:r>
    </w:p>
  </w:footnote>
  <w:footnote w:id="53">
    <w:p w:rsidR="005D0A03" w:rsidRDefault="005D0A03">
      <w:pPr>
        <w:pStyle w:val="FootnoteText"/>
        <w:spacing w:after="0" w:line="240" w:lineRule="auto"/>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Moreover, such standards will be developed for trucks in the first instance and only later for buses. </w:t>
      </w:r>
    </w:p>
  </w:footnote>
  <w:footnote w:id="54">
    <w:p w:rsidR="005D0A03" w:rsidRDefault="005D0A03">
      <w:pPr>
        <w:autoSpaceDE w:val="0"/>
        <w:autoSpaceDN w:val="0"/>
        <w:adjustRightInd w:val="0"/>
        <w:spacing w:after="0" w:line="240" w:lineRule="auto"/>
        <w:ind w:left="284" w:hanging="284"/>
        <w:jc w:val="both"/>
        <w:rPr>
          <w:rFonts w:ascii="Times New Roman" w:hAnsi="Times New Roman" w:cs="Times New Roman"/>
          <w:sz w:val="18"/>
          <w:szCs w:val="18"/>
        </w:rPr>
      </w:pPr>
      <w:r>
        <w:rPr>
          <w:rStyle w:val="FootnoteReference"/>
        </w:rPr>
        <w:footnoteRef/>
      </w:r>
      <w:r>
        <w:t xml:space="preserve"> </w:t>
      </w:r>
      <w:r>
        <w:tab/>
      </w:r>
      <w:r>
        <w:rPr>
          <w:rFonts w:ascii="Times New Roman" w:hAnsi="Times New Roman" w:cs="Times New Roman"/>
          <w:sz w:val="18"/>
          <w:szCs w:val="18"/>
        </w:rPr>
        <w:t xml:space="preserve">The GPP criteria are a voluntary tool. They comprise of core and comprehensive criteria. Core criteria are those suitable for use by any contracting authority across the Member States and address the key environmental impacts. They are designed to be used with minimum additional verification effort or cost increases. The comprehensive criteria are for those public bodies that wish to purchase the best environmental products available on the market. </w:t>
      </w:r>
    </w:p>
  </w:footnote>
  <w:footnote w:id="55">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iCs/>
          <w:sz w:val="18"/>
          <w:szCs w:val="18"/>
        </w:rPr>
        <w:t>Following the definition of Art. 2 Directive 2014/94/EU, with the qualifications noted in chapter 5.2</w:t>
      </w:r>
    </w:p>
  </w:footnote>
  <w:footnote w:id="56">
    <w:p w:rsidR="005D0A03" w:rsidRDefault="005D0A03">
      <w:pPr>
        <w:pStyle w:val="FootnoteText"/>
        <w:spacing w:after="0" w:line="240" w:lineRule="auto"/>
        <w:ind w:left="284" w:hanging="284"/>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See the stakeholder consultation synopsis report for further information. </w:t>
      </w:r>
    </w:p>
  </w:footnote>
  <w:footnote w:id="57">
    <w:p w:rsidR="005D0A03" w:rsidRDefault="005D0A03">
      <w:pPr>
        <w:pStyle w:val="FootnoteText"/>
        <w:spacing w:after="0" w:line="240" w:lineRule="auto"/>
        <w:ind w:left="284" w:hanging="284"/>
        <w:jc w:val="both"/>
      </w:pPr>
      <w:r>
        <w:rPr>
          <w:rStyle w:val="FootnoteReference"/>
        </w:rPr>
        <w:footnoteRef/>
      </w:r>
      <w:r>
        <w:t xml:space="preserve"> </w:t>
      </w:r>
      <w:r>
        <w:tab/>
      </w:r>
      <w:r>
        <w:rPr>
          <w:rFonts w:ascii="Times New Roman" w:hAnsi="Times New Roman" w:cs="Times New Roman"/>
          <w:sz w:val="18"/>
          <w:szCs w:val="18"/>
          <w:lang w:val="en"/>
        </w:rPr>
        <w:t>Here is it important to note the link between the threshold applied by a potential clean vehicles definition (in case of emission-based approaches) and the ambition level of the target. For example, if the threshold was very ambitious (e.g. defining clean vehicles as zero-emission vehicles) the minimum requirement for vehicle purchase would have to be relatively low. Otherwise, public bodies would face comparatively high cost of achieving the target. If, again, the threshold was of low ambition, a minimum requirement for vehicle purchase could be more ambitions.</w:t>
      </w:r>
    </w:p>
  </w:footnote>
  <w:footnote w:id="58">
    <w:p w:rsidR="005D0A03" w:rsidRDefault="005D0A03">
      <w:pPr>
        <w:pStyle w:val="FootnoteText"/>
        <w:spacing w:after="0" w:line="240" w:lineRule="auto"/>
        <w:ind w:left="284" w:hanging="284"/>
        <w:jc w:val="both"/>
      </w:pPr>
      <w:r>
        <w:rPr>
          <w:rStyle w:val="FootnoteReference"/>
        </w:rPr>
        <w:footnoteRef/>
      </w:r>
      <w:r>
        <w:t xml:space="preserve"> </w:t>
      </w:r>
      <w:r>
        <w:tab/>
      </w:r>
      <w:r>
        <w:rPr>
          <w:rFonts w:ascii="Times New Roman" w:hAnsi="Times New Roman" w:cs="Times New Roman"/>
          <w:sz w:val="18"/>
          <w:szCs w:val="18"/>
        </w:rPr>
        <w:t xml:space="preserve">72% of representatives of NGOs were in favour (21 out of 29); </w:t>
      </w:r>
    </w:p>
  </w:footnote>
  <w:footnote w:id="59">
    <w:p w:rsidR="005D0A03" w:rsidRDefault="005D0A03">
      <w:pPr>
        <w:pStyle w:val="FootnoteText"/>
        <w:spacing w:after="0" w:line="240" w:lineRule="auto"/>
        <w:ind w:left="284" w:hanging="284"/>
        <w:jc w:val="both"/>
      </w:pPr>
      <w:r>
        <w:rPr>
          <w:rStyle w:val="FootnoteReference"/>
        </w:rPr>
        <w:footnoteRef/>
      </w:r>
      <w:r>
        <w:t xml:space="preserve"> </w:t>
      </w:r>
      <w:r>
        <w:tab/>
      </w:r>
      <w:r>
        <w:rPr>
          <w:rFonts w:ascii="Times New Roman" w:hAnsi="Times New Roman" w:cs="Times New Roman"/>
          <w:sz w:val="18"/>
          <w:szCs w:val="18"/>
        </w:rPr>
        <w:t>In the latter case the required percentage would be less than the percentage required when a vehicle is purchased, leased, rented or hire-purchased.</w:t>
      </w:r>
    </w:p>
  </w:footnote>
  <w:footnote w:id="60">
    <w:p w:rsidR="005D0A03" w:rsidRDefault="005D0A03">
      <w:pPr>
        <w:pStyle w:val="FootnoteText"/>
        <w:spacing w:after="0" w:line="240" w:lineRule="auto"/>
        <w:ind w:left="284" w:hanging="284"/>
        <w:jc w:val="both"/>
        <w:rPr>
          <w:sz w:val="18"/>
          <w:szCs w:val="18"/>
        </w:rPr>
      </w:pPr>
      <w:r>
        <w:rPr>
          <w:rStyle w:val="FootnoteReference"/>
        </w:rPr>
        <w:footnoteRef/>
      </w:r>
      <w:r>
        <w:t xml:space="preserve"> </w:t>
      </w:r>
      <w:r>
        <w:tab/>
      </w:r>
      <w:r>
        <w:rPr>
          <w:rFonts w:ascii="Times New Roman" w:hAnsi="Times New Roman" w:cs="Times New Roman"/>
          <w:sz w:val="18"/>
          <w:szCs w:val="18"/>
        </w:rPr>
        <w:t>In the latter case the required percentage would be less than the percentage required when a vehicle is purchased, leased, rented or hire-purchased.</w:t>
      </w:r>
    </w:p>
  </w:footnote>
  <w:footnote w:id="61">
    <w:p w:rsidR="005D0A03" w:rsidRDefault="005D0A03">
      <w:pPr>
        <w:pStyle w:val="FootnoteText"/>
        <w:spacing w:after="0" w:line="240" w:lineRule="auto"/>
        <w:ind w:left="284" w:hanging="284"/>
        <w:jc w:val="both"/>
        <w:rPr>
          <w:sz w:val="18"/>
          <w:szCs w:val="18"/>
        </w:rPr>
      </w:pPr>
      <w:r>
        <w:rPr>
          <w:rStyle w:val="FootnoteReference"/>
          <w:sz w:val="18"/>
          <w:szCs w:val="18"/>
        </w:rPr>
        <w:footnoteRef/>
      </w:r>
      <w:r>
        <w:rPr>
          <w:sz w:val="18"/>
          <w:szCs w:val="18"/>
        </w:rPr>
        <w:t xml:space="preserve"> </w:t>
      </w:r>
      <w:r>
        <w:rPr>
          <w:sz w:val="18"/>
          <w:szCs w:val="18"/>
        </w:rPr>
        <w:tab/>
      </w:r>
      <w:r>
        <w:rPr>
          <w:rFonts w:ascii="Times New Roman" w:hAnsi="Times New Roman" w:cs="Times New Roman"/>
          <w:sz w:val="18"/>
          <w:szCs w:val="18"/>
        </w:rPr>
        <w:t>In case of a short time period (~ 1 year) some public authorities might only make one procurement. Here, the minimum requirement would basically apply per contract, with all of the challenges noted above.</w:t>
      </w:r>
    </w:p>
  </w:footnote>
  <w:footnote w:id="62">
    <w:p w:rsidR="005D0A03" w:rsidRDefault="005D0A03">
      <w:pPr>
        <w:pStyle w:val="FootnoteText"/>
        <w:spacing w:after="0" w:line="240" w:lineRule="auto"/>
        <w:jc w:val="both"/>
        <w:rPr>
          <w:sz w:val="18"/>
          <w:szCs w:val="18"/>
        </w:rPr>
      </w:pPr>
      <w:r>
        <w:rPr>
          <w:rStyle w:val="FootnoteReference"/>
        </w:rPr>
        <w:footnoteRef/>
      </w:r>
      <w:r>
        <w:t xml:space="preserve"> </w:t>
      </w:r>
      <w:r>
        <w:rPr>
          <w:rFonts w:ascii="Times New Roman" w:hAnsi="Times New Roman" w:cs="Times New Roman"/>
          <w:sz w:val="18"/>
          <w:szCs w:val="18"/>
        </w:rPr>
        <w:t>based on the way in which GHG emissions reductions needs are developed under the proposed Effort Sharing Regulation.</w:t>
      </w:r>
    </w:p>
  </w:footnote>
  <w:footnote w:id="63">
    <w:p w:rsidR="005D0A03" w:rsidRDefault="005D0A03">
      <w:pPr>
        <w:pStyle w:val="FootnoteText"/>
        <w:spacing w:after="0" w:line="240" w:lineRule="auto"/>
        <w:ind w:left="284" w:hanging="284"/>
        <w:jc w:val="both"/>
      </w:pPr>
      <w:r>
        <w:rPr>
          <w:rStyle w:val="FootnoteReference"/>
        </w:rPr>
        <w:footnoteRef/>
      </w:r>
      <w:r>
        <w:t xml:space="preserve"> </w:t>
      </w:r>
      <w:r>
        <w:tab/>
      </w:r>
      <w:r>
        <w:rPr>
          <w:rFonts w:ascii="Times New Roman" w:hAnsi="Times New Roman" w:cs="Times New Roman"/>
          <w:sz w:val="18"/>
          <w:szCs w:val="18"/>
        </w:rPr>
        <w:t>External cost values are around four times the values given in the Directive for CO</w:t>
      </w:r>
      <w:r>
        <w:rPr>
          <w:rFonts w:ascii="Times New Roman" w:hAnsi="Times New Roman" w:cs="Times New Roman"/>
          <w:sz w:val="18"/>
          <w:szCs w:val="18"/>
          <w:vertAlign w:val="subscript"/>
        </w:rPr>
        <w:t>2</w:t>
      </w:r>
      <w:r>
        <w:rPr>
          <w:rFonts w:ascii="Times New Roman" w:hAnsi="Times New Roman" w:cs="Times New Roman"/>
          <w:sz w:val="18"/>
          <w:szCs w:val="18"/>
        </w:rPr>
        <w:t xml:space="preserve"> and three times the values given for NOx.</w:t>
      </w:r>
    </w:p>
  </w:footnote>
  <w:footnote w:id="64">
    <w:p w:rsidR="005D0A03" w:rsidRDefault="005D0A03">
      <w:pPr>
        <w:pStyle w:val="FootnoteText"/>
        <w:spacing w:after="0" w:line="240" w:lineRule="auto"/>
        <w:ind w:left="284" w:hanging="284"/>
        <w:jc w:val="both"/>
        <w:rPr>
          <w:rFonts w:ascii="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color w:val="000000"/>
          <w:sz w:val="18"/>
          <w:szCs w:val="18"/>
        </w:rPr>
        <w:t>SWD(2013)27</w:t>
      </w:r>
    </w:p>
  </w:footnote>
  <w:footnote w:id="65">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Under this initiative, which is facilitated by the European Commission, different cities and regions as well as manufacturers have committed to exchange procurement planning and collaborate to advance projects for deployment at greater scale. See </w:t>
      </w:r>
      <w:hyperlink r:id="rId7" w:history="1">
        <w:r>
          <w:rPr>
            <w:rStyle w:val="Hyperlink"/>
            <w:rFonts w:ascii="Times New Roman" w:hAnsi="Times New Roman" w:cs="Times New Roman"/>
            <w:sz w:val="18"/>
            <w:szCs w:val="18"/>
          </w:rPr>
          <w:t>https://ec.europa.eu/transport/themes/urban/cleanbus_en</w:t>
        </w:r>
      </w:hyperlink>
      <w:r>
        <w:rPr>
          <w:rFonts w:ascii="Times New Roman" w:hAnsi="Times New Roman" w:cs="Times New Roman"/>
          <w:sz w:val="18"/>
          <w:szCs w:val="18"/>
        </w:rPr>
        <w:t xml:space="preserve"> </w:t>
      </w:r>
    </w:p>
  </w:footnote>
  <w:footnote w:id="66">
    <w:p w:rsidR="005D0A03" w:rsidRDefault="005D0A03">
      <w:pPr>
        <w:pStyle w:val="FootnoteText"/>
        <w:spacing w:after="0" w:line="240" w:lineRule="auto"/>
        <w:ind w:left="284" w:hanging="284"/>
        <w:jc w:val="both"/>
      </w:pPr>
      <w:r>
        <w:rPr>
          <w:rStyle w:val="FootnoteReference"/>
        </w:rPr>
        <w:footnoteRef/>
      </w:r>
      <w:r>
        <w:t xml:space="preserve"> </w:t>
      </w:r>
      <w:r>
        <w:rPr>
          <w:rFonts w:ascii="Times New Roman" w:hAnsi="Times New Roman" w:cs="Times New Roman"/>
          <w:sz w:val="18"/>
          <w:szCs w:val="18"/>
        </w:rPr>
        <w:t xml:space="preserve"> </w:t>
      </w:r>
      <w:r>
        <w:rPr>
          <w:rFonts w:ascii="Times New Roman" w:hAnsi="Times New Roman" w:cs="Times New Roman"/>
          <w:sz w:val="18"/>
          <w:szCs w:val="18"/>
        </w:rPr>
        <w:tab/>
        <w:t xml:space="preserve">This emission threshold allows for registration of all alternatively fuelled vehicles (battery-electric, fuel-cell electric, natural gas, plug-in hybrids) as well as a few innovative conventional vehicles technologies. It has been set to reflect a situation by which public authorities can draw on this broader, but also lower-ambition portfolio of technologies. The threshold is coherent with the analytical work underpinning the 2016 Low-Emission Strategy, where the EUCO-2030 scenario (assuming a 30% of energy efficiency by 2030) assumes CO2 thresholds of 80 gCO2/km in 2025 and 70 gCO2/km in 2030. Other emission-thresholds also exist (the current regulation for CO2 emission performance standards for cars and vans stipulates 50 gCO2/km as the threshold for low-emission vehicles under the super-credit scheme. </w:t>
      </w:r>
    </w:p>
  </w:footnote>
  <w:footnote w:id="67">
    <w:p w:rsidR="005D0A03" w:rsidRDefault="005D0A03">
      <w:pPr>
        <w:pStyle w:val="FootnoteText"/>
        <w:spacing w:after="0" w:line="240" w:lineRule="auto"/>
        <w:ind w:left="284" w:hanging="284"/>
        <w:jc w:val="both"/>
      </w:pPr>
      <w:r>
        <w:rPr>
          <w:rStyle w:val="FootnoteReference"/>
        </w:rPr>
        <w:footnoteRef/>
      </w:r>
      <w:r>
        <w:t xml:space="preserve"> </w:t>
      </w:r>
      <w:r>
        <w:rPr>
          <w:rFonts w:ascii="Times New Roman" w:hAnsi="Times New Roman" w:cs="Times New Roman"/>
          <w:sz w:val="18"/>
          <w:szCs w:val="18"/>
        </w:rPr>
        <w:t xml:space="preserve"> </w:t>
      </w:r>
      <w:r>
        <w:rPr>
          <w:rFonts w:ascii="Times New Roman" w:hAnsi="Times New Roman" w:cs="Times New Roman"/>
          <w:sz w:val="18"/>
          <w:szCs w:val="18"/>
        </w:rPr>
        <w:tab/>
        <w:t>See footnote 57.</w:t>
      </w:r>
    </w:p>
  </w:footnote>
  <w:footnote w:id="68">
    <w:p w:rsidR="005D0A03" w:rsidRDefault="005D0A03">
      <w:pPr>
        <w:pStyle w:val="FootnoteText"/>
        <w:spacing w:after="0" w:line="240" w:lineRule="auto"/>
        <w:ind w:left="284" w:hanging="284"/>
        <w:jc w:val="both"/>
        <w:rPr>
          <w:sz w:val="18"/>
          <w:szCs w:val="18"/>
        </w:rPr>
      </w:pPr>
      <w:r>
        <w:rPr>
          <w:rStyle w:val="FootnoteReference"/>
        </w:rPr>
        <w:footnoteRef/>
      </w:r>
      <w:r>
        <w:t xml:space="preserve"> </w:t>
      </w:r>
      <w:r>
        <w:tab/>
      </w:r>
      <w:r>
        <w:rPr>
          <w:rFonts w:ascii="Times New Roman" w:hAnsi="Times New Roman" w:cs="Times New Roman"/>
          <w:sz w:val="18"/>
          <w:szCs w:val="18"/>
        </w:rPr>
        <w:t>These thresholds have been set in alignment with the proposed thresholds for low-emission vehicles under the legislative proposal for CO2 emission performance standards for cars and vans post 2020 (</w:t>
      </w:r>
      <w:r>
        <w:rPr>
          <w:rFonts w:ascii="Times New Roman" w:hAnsi="Times New Roman" w:cs="Times New Roman"/>
          <w:i/>
          <w:sz w:val="18"/>
          <w:szCs w:val="18"/>
        </w:rPr>
        <w:t>to be confirmed when available</w:t>
      </w:r>
      <w:r>
        <w:rPr>
          <w:rFonts w:ascii="Times New Roman" w:hAnsi="Times New Roman" w:cs="Times New Roman"/>
          <w:sz w:val="18"/>
          <w:szCs w:val="18"/>
        </w:rPr>
        <w:t>)</w:t>
      </w:r>
    </w:p>
  </w:footnote>
  <w:footnote w:id="69">
    <w:p w:rsidR="005D0A03" w:rsidRDefault="005D0A03">
      <w:pPr>
        <w:spacing w:after="0" w:line="240" w:lineRule="auto"/>
        <w:ind w:left="284" w:hanging="284"/>
        <w:jc w:val="both"/>
        <w:rPr>
          <w:rFonts w:ascii="Times New Roman" w:hAnsi="Times New Roman" w:cs="Times New Roman"/>
          <w:sz w:val="18"/>
          <w:szCs w:val="18"/>
        </w:rPr>
      </w:pPr>
      <w:r>
        <w:rPr>
          <w:rStyle w:val="FootnoteReference"/>
        </w:rPr>
        <w:footnoteRef/>
      </w:r>
      <w:r>
        <w:t xml:space="preserve"> </w:t>
      </w:r>
      <w:r>
        <w:tab/>
      </w:r>
      <w:r>
        <w:rPr>
          <w:rFonts w:ascii="Times New Roman" w:hAnsi="Times New Roman" w:cs="Times New Roman"/>
          <w:sz w:val="18"/>
          <w:szCs w:val="18"/>
        </w:rPr>
        <w:t xml:space="preserve">As part of the initial analysis, different levels of ambition for setting up a minimum target requirement in relation to the baseline development were tested (annex 6 of this Impact Assessment).  A low, medium and high ambition target was developed with European average values of 20% (low ambition), 35% (medium ambition) and 50% (high ambition). These values were chosen in view of their expected impacts relative to the projected baseline developments. </w:t>
      </w:r>
    </w:p>
  </w:footnote>
  <w:footnote w:id="70">
    <w:p w:rsidR="005D0A03" w:rsidRDefault="005D0A03">
      <w:pPr>
        <w:pStyle w:val="FootnoteText"/>
        <w:spacing w:after="0" w:line="240" w:lineRule="auto"/>
        <w:ind w:left="284" w:hanging="284"/>
        <w:jc w:val="both"/>
      </w:pPr>
      <w:r>
        <w:rPr>
          <w:rStyle w:val="FootnoteReference"/>
          <w:sz w:val="18"/>
          <w:szCs w:val="18"/>
        </w:rPr>
        <w:footnoteRef/>
      </w:r>
      <w:r>
        <w:rPr>
          <w:sz w:val="18"/>
          <w:szCs w:val="18"/>
        </w:rPr>
        <w:t xml:space="preserve"> </w:t>
      </w:r>
      <w:r>
        <w:rPr>
          <w:sz w:val="18"/>
          <w:szCs w:val="18"/>
        </w:rPr>
        <w:tab/>
      </w:r>
      <w:r>
        <w:rPr>
          <w:rFonts w:ascii="Times New Roman" w:hAnsi="Times New Roman" w:cs="Times New Roman"/>
          <w:sz w:val="18"/>
          <w:szCs w:val="18"/>
        </w:rPr>
        <w:t>It supports the main policy priorities of the Commission's European Low-Emission Mobility Strategy, namely to improve the take up of low-emission alternative energies and to accelerate the roll-out of zero-emission vehicles. It still leaves considerable flexibility of authorities when it comes to the whole vehicle fleet. Here is it clear that procurement of conventionally fuelled vehicles should also best reflect the state-of-the art technologies for increasing the energy efficiency and improving the emission reduction from internal combustion engines.</w:t>
      </w:r>
    </w:p>
  </w:footnote>
  <w:footnote w:id="71">
    <w:p w:rsidR="005D0A03" w:rsidRDefault="005D0A03">
      <w:pPr>
        <w:pStyle w:val="FootnoteText"/>
        <w:spacing w:after="0" w:line="240" w:lineRule="auto"/>
        <w:ind w:left="284" w:hanging="284"/>
        <w:jc w:val="both"/>
      </w:pPr>
      <w:r>
        <w:rPr>
          <w:rStyle w:val="FootnoteReference"/>
        </w:rPr>
        <w:footnoteRef/>
      </w:r>
      <w:r>
        <w:t xml:space="preserve"> </w:t>
      </w:r>
      <w:r>
        <w:tab/>
      </w:r>
      <w:r>
        <w:rPr>
          <w:rFonts w:ascii="Times New Roman" w:hAnsi="Times New Roman" w:cs="Times New Roman"/>
          <w:sz w:val="18"/>
          <w:szCs w:val="18"/>
        </w:rPr>
        <w:t xml:space="preserve">In the Open Public Consultation, the approach to require public bodies to meet minimum procurement targets based on a clean vehicles definition only found on average the greatest support among all participants (56% (73 out of 130). In comparison, only 36% (47 out of 130) supported a continuation of the current dual approach.  </w:t>
      </w:r>
    </w:p>
  </w:footnote>
  <w:footnote w:id="72">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Pr>
        <w:footnoteRef/>
      </w:r>
      <w:r>
        <w:t xml:space="preserve"> </w:t>
      </w:r>
      <w:r>
        <w:tab/>
      </w:r>
      <w:r>
        <w:rPr>
          <w:rFonts w:ascii="Times New Roman" w:hAnsi="Times New Roman" w:cs="Times New Roman"/>
          <w:sz w:val="18"/>
          <w:szCs w:val="18"/>
        </w:rPr>
        <w:t xml:space="preserve">Art 2 (1) 2014/94/EU includes the following fuels: electricity, hydrogen, biofuels as defined in point (i) of Article 2 of Directive 2009/28/EC, synthetic and paraffinic fuels, natural gas, including bio-methane, in gaseous form (compressed natural (CNG)) and liquefied form (liquefied natural gas (LNG) and liquefied petroleum gas (LPG). </w:t>
      </w:r>
    </w:p>
  </w:footnote>
  <w:footnote w:id="73">
    <w:p w:rsidR="005D0A03" w:rsidRDefault="005D0A03">
      <w:pPr>
        <w:pStyle w:val="FootnoteText"/>
        <w:spacing w:after="0" w:line="240" w:lineRule="auto"/>
        <w:ind w:left="284" w:hanging="284"/>
        <w:jc w:val="both"/>
      </w:pPr>
      <w:r>
        <w:rPr>
          <w:rStyle w:val="FootnoteReference"/>
        </w:rPr>
        <w:footnoteRef/>
      </w:r>
      <w:r>
        <w:t xml:space="preserve"> </w:t>
      </w:r>
      <w:r>
        <w:tab/>
      </w:r>
      <w:r>
        <w:rPr>
          <w:rFonts w:ascii="Times New Roman" w:hAnsi="Times New Roman" w:cs="Times New Roman"/>
          <w:sz w:val="18"/>
          <w:szCs w:val="18"/>
        </w:rPr>
        <w:t>This is to avoid a situation by which natural gas buses are fuelled with natural gas, but are being declared as zero-emission vehicles with reference to their use of bio-methane.</w:t>
      </w:r>
      <w:r>
        <w:rPr>
          <w:rFonts w:ascii="Times New Roman" w:hAnsi="Times New Roman" w:cs="Times New Roman"/>
        </w:rPr>
        <w:t xml:space="preserve"> Moreover, as in PO3, </w:t>
      </w:r>
      <w:r>
        <w:rPr>
          <w:rFonts w:ascii="Times New Roman" w:hAnsi="Times New Roman" w:cs="Times New Roman"/>
          <w:sz w:val="18"/>
          <w:szCs w:val="18"/>
        </w:rPr>
        <w:t xml:space="preserve">the same qualification applies that this rule of double-counting is not used for procurement targets that exceed 50% of the overall procurement volume, with a sharp cut off. </w:t>
      </w:r>
    </w:p>
  </w:footnote>
  <w:footnote w:id="74">
    <w:p w:rsidR="005D0A03" w:rsidRDefault="005D0A03">
      <w:pPr>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Biofuels as defined in point (i) of Art. 2 of Directive 2009/28/EC. As noted in the Commission's European Low-Emission Strategy (COM (2016)767) as well as in the Commission's Strategic Transport Research and Innovation Agenda (STRIA) (SWD (2017)223) these fuels have their particular relevance as alternative fuel options in aviation and shipping. Their use does not imply any changes in vehicle technology, making it necessary to demonstrate the fuel use over the life-time of the vehicle. It would add a complex burden on the procurement to add the fuel cost to the vehicle cost, while the contribution of the fuels to the required reduction of air pollutants is under discussion. PO4 does not exclude the use of biofuels or paraffinic fuels in fuelling those vehicles in the fleet of any public body that are not counted as part of the minimum procurement target. </w:t>
      </w:r>
    </w:p>
  </w:footnote>
  <w:footnote w:id="75">
    <w:p w:rsidR="005D0A03" w:rsidRDefault="005D0A03">
      <w:pPr>
        <w:pStyle w:val="FootnoteText"/>
        <w:spacing w:after="0" w:line="240" w:lineRule="auto"/>
        <w:ind w:left="284" w:hanging="284"/>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To account for differences in market maturity of light-duty and heavy-duty vehicle technologies. But it should also help ensure that some effort is targeted on the – more expensive – heavy-duty transport sector in order to provide an increased market</w:t>
      </w:r>
    </w:p>
  </w:footnote>
  <w:footnote w:id="76">
    <w:p w:rsidR="005D0A03" w:rsidRDefault="005D0A03">
      <w:pPr>
        <w:pStyle w:val="FootnoteText"/>
        <w:spacing w:after="0" w:line="240" w:lineRule="auto"/>
      </w:pPr>
      <w:r>
        <w:rPr>
          <w:rStyle w:val="FootnoteReference"/>
        </w:rPr>
        <w:footnoteRef/>
      </w:r>
      <w:r>
        <w:rPr>
          <w:rFonts w:ascii="Times New Roman" w:hAnsi="Times New Roman" w:cs="Times New Roman"/>
          <w:sz w:val="18"/>
          <w:szCs w:val="18"/>
        </w:rPr>
        <w:tab/>
        <w:t xml:space="preserve">See ZEeUs ebus report (a.a.o), McKinsey (2017) a.a.o, IEA (2017) a.a.o. </w:t>
      </w:r>
    </w:p>
  </w:footnote>
  <w:footnote w:id="77">
    <w:p w:rsidR="005D0A03" w:rsidRDefault="005D0A03">
      <w:pPr>
        <w:pStyle w:val="FootnoteText"/>
      </w:pPr>
      <w:r>
        <w:rPr>
          <w:rStyle w:val="FootnoteReference"/>
        </w:rPr>
        <w:footnoteRef/>
      </w:r>
      <w:r>
        <w:t xml:space="preserve"> </w:t>
      </w:r>
      <w:r>
        <w:tab/>
      </w:r>
      <w:r>
        <w:rPr>
          <w:rFonts w:ascii="Times New Roman" w:hAnsi="Times New Roman" w:cs="Times New Roman"/>
          <w:sz w:val="18"/>
          <w:szCs w:val="18"/>
        </w:rPr>
        <w:t>See ZEeUs ebus report (a.a.o</w:t>
      </w:r>
    </w:p>
  </w:footnote>
  <w:footnote w:id="78">
    <w:p w:rsidR="005D0A03" w:rsidRDefault="005D0A03">
      <w:pPr>
        <w:pStyle w:val="FootnoteText"/>
        <w:spacing w:after="0" w:line="240" w:lineRule="auto"/>
        <w:ind w:left="284" w:hanging="284"/>
        <w:jc w:val="both"/>
      </w:pPr>
      <w:r>
        <w:rPr>
          <w:rStyle w:val="FootnoteReference"/>
        </w:rPr>
        <w:footnoteRef/>
      </w:r>
      <w:r>
        <w:t xml:space="preserve"> </w:t>
      </w:r>
      <w:r>
        <w:tab/>
      </w:r>
      <w:r>
        <w:rPr>
          <w:rFonts w:ascii="Times New Roman" w:hAnsi="Times New Roman" w:cs="Times New Roman"/>
          <w:sz w:val="18"/>
          <w:szCs w:val="18"/>
        </w:rPr>
        <w:t xml:space="preserve">In the Open Public Consultation, the approach to require public bodies to meet minimum procurement targets based on a clean vehicles definition only found on average the greatest support among all participants (56% (73 out of 130). In comparison, only 36% (47 out of 130) supported a continuation of the current dual approach.  </w:t>
      </w:r>
    </w:p>
  </w:footnote>
  <w:footnote w:id="79">
    <w:p w:rsidR="005D0A03" w:rsidRDefault="005D0A03">
      <w:pPr>
        <w:pStyle w:val="FootnoteText"/>
        <w:spacing w:after="0" w:line="240" w:lineRule="auto"/>
        <w:ind w:left="284" w:hanging="284"/>
        <w:jc w:val="both"/>
      </w:pPr>
      <w:r>
        <w:rPr>
          <w:rStyle w:val="FootnoteReference"/>
        </w:rPr>
        <w:footnoteRef/>
      </w:r>
      <w:r>
        <w:t xml:space="preserve"> </w:t>
      </w:r>
      <w:r>
        <w:tab/>
      </w:r>
      <w:r>
        <w:rPr>
          <w:rFonts w:ascii="Times New Roman" w:hAnsi="Times New Roman" w:cs="Times New Roman"/>
          <w:sz w:val="18"/>
          <w:szCs w:val="18"/>
        </w:rPr>
        <w:t xml:space="preserve">In the Open Public Consultation, the approach to require public bodies to meet minimum procurement targets based on a clean vehicles definition only found on average the greatest support among all participants (56% (73 out of 130). In comparison, only 36% (47 out of 130) supported a continuation of the current dual approach.  </w:t>
      </w:r>
    </w:p>
  </w:footnote>
  <w:footnote w:id="80">
    <w:p w:rsidR="005D0A03" w:rsidRDefault="005D0A03">
      <w:pPr>
        <w:pStyle w:val="FootnoteText"/>
        <w:spacing w:after="0" w:line="240" w:lineRule="auto"/>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sz w:val="18"/>
          <w:szCs w:val="18"/>
        </w:rPr>
        <w:t xml:space="preserve">This update (i.e. Baseline scenario) </w:t>
      </w:r>
      <w:r>
        <w:rPr>
          <w:rFonts w:ascii="Times New Roman" w:eastAsia="Calibri" w:hAnsi="Times New Roman" w:cs="Times New Roman"/>
          <w:sz w:val="18"/>
          <w:szCs w:val="18"/>
        </w:rPr>
        <w:t xml:space="preserve">builds on the EU Reference scenario 2016 but additionally includes some updates in the technology costs assumptions (i.e. for light duty vehicles) and few policy measures adopted after its cut-off date (end of 2014) like the Directive on Weights and Dimensions, the 4th Railways Package, the NAIADES II Package, the Ports Package, the replacement of the New European Driving Cycle (NEDC) test cycle by the new Worldwide harmonized Light-vehicles Test Procedure (WLTP). It has been developed with the PRIMES-TREMOVE model (i.e. the same model used for the EU Reference scenario 2016) by ICCS-E3MLab. </w:t>
      </w:r>
      <w:r>
        <w:rPr>
          <w:rFonts w:ascii="Times New Roman" w:hAnsi="Times New Roman" w:cs="Times New Roman"/>
          <w:sz w:val="18"/>
          <w:szCs w:val="18"/>
        </w:rPr>
        <w:t>A detailed description of the this scenario is available in the Impact Assessment accompanying the Proposal for a Directive amending Directive 1999/62/EC on the charging of heavy goods vehicles for the use of certain infrastructures, SWD (2017) 180.</w:t>
      </w:r>
    </w:p>
  </w:footnote>
  <w:footnote w:id="81">
    <w:p w:rsidR="005D0A03" w:rsidRDefault="005D0A03">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Publicly procured vehicles cover passenger cars, light commercial vehicles, buses and heavy goods vehicles.</w:t>
      </w:r>
    </w:p>
  </w:footnote>
  <w:footnote w:id="82">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Publicly procured vehicles cover passenger cars, light commercial vehicles, buses and heavy goods vehicles.</w:t>
      </w:r>
    </w:p>
  </w:footnote>
  <w:footnote w:id="83">
    <w:p w:rsidR="005D0A03" w:rsidRDefault="005D0A03">
      <w:pPr>
        <w:pStyle w:val="FootnoteText"/>
        <w:spacing w:after="0" w:line="240" w:lineRule="auto"/>
        <w:ind w:left="284" w:hanging="284"/>
        <w:jc w:val="both"/>
      </w:pPr>
      <w:r>
        <w:rPr>
          <w:rStyle w:val="FootnoteReference"/>
        </w:rPr>
        <w:footnoteRef/>
      </w:r>
      <w:r>
        <w:t xml:space="preserve"> </w:t>
      </w:r>
      <w:r>
        <w:tab/>
      </w:r>
      <w:r>
        <w:rPr>
          <w:rFonts w:ascii="Times New Roman" w:hAnsi="Times New Roman" w:cs="Times New Roman"/>
          <w:sz w:val="18"/>
          <w:szCs w:val="18"/>
        </w:rPr>
        <w:t xml:space="preserve">Cost implications are estimated to be limited. Stakeholder interviews did not provide any estimates of the additional cost related to reporting obligations. Option analysis in the ex-post evaluation of the clean Vehicles Directive assumed moderate cost. While not directly comparable to the provisions of the Clean Vehicle Directive, Impact Assessments for other EU legislation, including for the Directive on Integrated Pollution Prevention and Control or for Regulation 561/2009, show limited cost of reporting obligations as well. </w:t>
      </w:r>
    </w:p>
  </w:footnote>
  <w:footnote w:id="84">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The net present value is calculated over the 2020-2050 horizon to cover the lifetime of procured vehicles during 2020-2035.</w:t>
      </w:r>
    </w:p>
  </w:footnote>
  <w:footnote w:id="85">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Pr>
        <w:footnoteRef/>
      </w:r>
      <w:r>
        <w:t xml:space="preserve"> </w:t>
      </w:r>
      <w:r>
        <w:tab/>
      </w:r>
      <w:r>
        <w:rPr>
          <w:rFonts w:ascii="Times New Roman" w:hAnsi="Times New Roman" w:cs="Times New Roman"/>
          <w:sz w:val="18"/>
          <w:szCs w:val="18"/>
        </w:rPr>
        <w:t xml:space="preserve">Impact on procurement cost is expected to equal the impact on business revenues from vehicle procurement. Vehicle dealers are expected to keep the standard mark up of up to 15 percent to the price per vehicle charged by manufacturers. Following UBS (2017), profitability of zero-emission vehicles should improve as of 2025. Shares of revenues will be taken by renting and leasing companies as well as companies providing transport services, given that the extension of the scope in PO2, PO3 and PO4 is expected to lead to an increase of 28 percent in the number of vehicles procured. Impacts on administrative cost are small compared to the impact on revenue from procurement of vehicles.   </w:t>
      </w:r>
    </w:p>
  </w:footnote>
  <w:footnote w:id="86">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In the ex-post evaluation, it was assumed that each bidder spends around 1 hour per bid and that, on average, there are 4 bidders per contract</w:t>
      </w:r>
      <w:r>
        <w:rPr>
          <w:rStyle w:val="FootnoteReference"/>
          <w:rFonts w:ascii="Times New Roman" w:hAnsi="Times New Roman" w:cs="Times New Roman"/>
          <w:sz w:val="18"/>
          <w:szCs w:val="18"/>
        </w:rPr>
        <w:footnoteRef/>
      </w:r>
      <w:r>
        <w:rPr>
          <w:rFonts w:ascii="Times New Roman" w:hAnsi="Times New Roman" w:cs="Times New Roman"/>
          <w:sz w:val="18"/>
          <w:szCs w:val="18"/>
        </w:rPr>
        <w:t>. A similar level of impact on the time needed has been assumed for the administrative cost to authorities. Thus, in the case of PP2 and PP3 a 50% reduction to the time needed is expected, while in the case of PP4, an increase of the time needed by 27%</w:t>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would be in line with the impact on the time required for authorities</w:t>
      </w:r>
    </w:p>
  </w:footnote>
  <w:footnote w:id="87">
    <w:p w:rsidR="005D0A03" w:rsidRDefault="005D0A03">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See for an overview of most recent activities in the EU the ZEeUS project e-bus overview report, a.a.o. </w:t>
      </w:r>
    </w:p>
  </w:footnote>
  <w:footnote w:id="88">
    <w:p w:rsidR="005D0A03" w:rsidRDefault="005D0A03">
      <w:pPr>
        <w:spacing w:after="0" w:line="240" w:lineRule="auto"/>
        <w:ind w:left="284" w:hanging="284"/>
        <w:jc w:val="both"/>
      </w:pPr>
      <w:r>
        <w:rPr>
          <w:rStyle w:val="FootnoteReference"/>
        </w:rPr>
        <w:footnoteRef/>
      </w:r>
      <w:r>
        <w:t xml:space="preserve"> </w:t>
      </w:r>
      <w:r>
        <w:tab/>
      </w:r>
      <w:r>
        <w:rPr>
          <w:rFonts w:ascii="Times New Roman" w:hAnsi="Times New Roman" w:cs="Times New Roman"/>
          <w:sz w:val="18"/>
          <w:szCs w:val="18"/>
        </w:rPr>
        <w:t xml:space="preserve">According to the most recent data from Eurostat </w:t>
      </w:r>
      <w:sdt>
        <w:sdtPr>
          <w:rPr>
            <w:rFonts w:ascii="Times New Roman" w:hAnsi="Times New Roman" w:cs="Times New Roman"/>
            <w:sz w:val="18"/>
            <w:szCs w:val="18"/>
          </w:rPr>
          <w:id w:val="1568768420"/>
          <w:citation/>
        </w:sdtPr>
        <w:sdtEndPr/>
        <w:sdtContent>
          <w:r>
            <w:rPr>
              <w:rFonts w:ascii="Times New Roman" w:hAnsi="Times New Roman" w:cs="Times New Roman"/>
              <w:sz w:val="18"/>
              <w:szCs w:val="18"/>
            </w:rPr>
            <w:fldChar w:fldCharType="begin"/>
          </w:r>
          <w:r>
            <w:rPr>
              <w:rFonts w:ascii="Times New Roman" w:hAnsi="Times New Roman" w:cs="Times New Roman"/>
              <w:sz w:val="18"/>
              <w:szCs w:val="18"/>
            </w:rPr>
            <w:instrText xml:space="preserve"> CITATION Eur173 \l 2057 </w:instrText>
          </w:r>
          <w:r>
            <w:rPr>
              <w:rFonts w:ascii="Times New Roman" w:hAnsi="Times New Roman" w:cs="Times New Roman"/>
              <w:sz w:val="18"/>
              <w:szCs w:val="18"/>
            </w:rPr>
            <w:fldChar w:fldCharType="separate"/>
          </w:r>
          <w:r>
            <w:rPr>
              <w:rFonts w:ascii="Times New Roman" w:hAnsi="Times New Roman" w:cs="Times New Roman"/>
              <w:noProof/>
              <w:sz w:val="18"/>
              <w:szCs w:val="18"/>
            </w:rPr>
            <w:t>(Eurostat, 2017)</w:t>
          </w:r>
          <w:r>
            <w:rPr>
              <w:rFonts w:ascii="Times New Roman" w:hAnsi="Times New Roman" w:cs="Times New Roman"/>
              <w:sz w:val="18"/>
              <w:szCs w:val="18"/>
            </w:rPr>
            <w:fldChar w:fldCharType="end"/>
          </w:r>
        </w:sdtContent>
      </w:sdt>
      <w:r>
        <w:rPr>
          <w:rFonts w:ascii="Times New Roman" w:hAnsi="Times New Roman" w:cs="Times New Roman"/>
          <w:sz w:val="18"/>
          <w:szCs w:val="18"/>
        </w:rPr>
        <w:t xml:space="preserve"> turnover per employee in the sector was €627,000. Thus, on the basis of the estimated impact on additional revenues for the vehicle manufacturing sector the estimate of the gross employment effects over the whole 2020-2035 period was provided. It is assumed that this ratio will remains constant over time and across the different technology types.</w:t>
      </w:r>
      <w:r>
        <w:t xml:space="preserve"> </w:t>
      </w:r>
    </w:p>
  </w:footnote>
  <w:footnote w:id="89">
    <w:p w:rsidR="005D0A03" w:rsidRDefault="005D0A03">
      <w:pPr>
        <w:pStyle w:val="FootnoteText"/>
        <w:spacing w:after="0" w:line="240" w:lineRule="auto"/>
        <w:ind w:left="284" w:hanging="284"/>
      </w:pPr>
      <w:r>
        <w:rPr>
          <w:rStyle w:val="FootnoteReference"/>
        </w:rPr>
        <w:footnoteRef/>
      </w:r>
      <w:r>
        <w:t xml:space="preserve"> </w:t>
      </w:r>
      <w:r>
        <w:tab/>
      </w:r>
      <w:r>
        <w:rPr>
          <w:rFonts w:ascii="Times New Roman" w:hAnsi="Times New Roman" w:cs="Times New Roman"/>
          <w:sz w:val="18"/>
          <w:szCs w:val="18"/>
        </w:rPr>
        <w:t>Numbers rounded to hundred.</w:t>
      </w:r>
      <w:r>
        <w:t xml:space="preserve"> </w:t>
      </w:r>
    </w:p>
  </w:footnote>
  <w:footnote w:id="90">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The net present value is calculated over 2020-2050 to cover the lifetime of procured vehicles during 2020-2035.</w:t>
      </w:r>
    </w:p>
  </w:footnote>
  <w:footnote w:id="91">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This outcome is in line with the 2011 White Paper which established a milestone of 20% emissions reduction by 2030 relative to 2008 levels, equivalent to 19% emissions reduction compared to 2005 levels, and with the 2050 decarbonisation objectives.</w:t>
      </w:r>
    </w:p>
  </w:footnote>
  <w:footnote w:id="92">
    <w:p w:rsidR="005D0A03" w:rsidRDefault="005D0A03">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SWD(2016) 244 final</w:t>
      </w:r>
    </w:p>
  </w:footnote>
  <w:footnote w:id="93">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Regulation (EC) No 443/2009, amended by Regulation (EU) No 333/2014 and Regulation (EU) No 510/2011, amended by Regulation (EU) No 253/2014; CO2 standards for cars are assumed to be 95gCO2/km as of 2021 and for vans 147gCO2/km as of 2020, based on the New European Driving Cycle (NEDC) test cycle, in line with current legislation.</w:t>
      </w:r>
    </w:p>
  </w:footnote>
  <w:footnote w:id="94">
    <w:p w:rsidR="005D0A03" w:rsidRDefault="005D0A03">
      <w:pPr>
        <w:pStyle w:val="FootnoteText"/>
        <w:spacing w:after="0" w:line="240" w:lineRule="auto"/>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PO5 is estimated to lead to savings of around 1.6 million terajoules over the period 2020-2050, compared to annual energy consumption in the transport sector of 12.3 million terajoules (Eurostat 2017). </w:t>
      </w:r>
    </w:p>
  </w:footnote>
  <w:footnote w:id="95">
    <w:p w:rsidR="005D0A03" w:rsidRDefault="005D0A03">
      <w:pPr>
        <w:pStyle w:val="FootnoteText"/>
        <w:spacing w:after="0" w:line="240" w:lineRule="auto"/>
      </w:pPr>
      <w:r>
        <w:rPr>
          <w:rStyle w:val="FootnoteReference"/>
        </w:rPr>
        <w:footnoteRef/>
      </w:r>
      <w:r>
        <w:t xml:space="preserve"> </w:t>
      </w:r>
      <w:r>
        <w:rPr>
          <w:rFonts w:ascii="Times New Roman" w:hAnsi="Times New Roman" w:cs="Times New Roman"/>
        </w:rPr>
        <w:t xml:space="preserve">Excluding the issue of taxation, where losses in fuel taxes will occur, to be partially counterbalanced by increases in electricity taxes. </w:t>
      </w:r>
    </w:p>
  </w:footnote>
  <w:footnote w:id="96">
    <w:p w:rsidR="005D0A03" w:rsidRDefault="005D0A03">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COM (2017) 283 final</w:t>
      </w:r>
    </w:p>
  </w:footnote>
  <w:footnote w:id="97">
    <w:p w:rsidR="005D0A03" w:rsidRDefault="005D0A03">
      <w:pPr>
        <w:pStyle w:val="FootnoteText"/>
        <w:spacing w:after="0" w:line="240" w:lineRule="auto"/>
      </w:pPr>
      <w:r>
        <w:rPr>
          <w:rStyle w:val="FootnoteReference"/>
        </w:rPr>
        <w:footnoteRef/>
      </w:r>
      <w:r>
        <w:t xml:space="preserve"> </w:t>
      </w:r>
      <w:r>
        <w:rPr>
          <w:rFonts w:ascii="Times New Roman" w:hAnsi="Times New Roman" w:cs="Times New Roman"/>
        </w:rPr>
        <w:t>www.eafo.eu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A5" w:rsidRPr="00A57FA5" w:rsidRDefault="00A57FA5" w:rsidP="00A57FA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A5" w:rsidRPr="00A57FA5" w:rsidRDefault="00A57FA5" w:rsidP="00A57FA5">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A5" w:rsidRPr="00A57FA5" w:rsidRDefault="00A57FA5" w:rsidP="00A57FA5">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A03" w:rsidRDefault="005D0A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382396E"/>
    <w:multiLevelType w:val="hybridMultilevel"/>
    <w:tmpl w:val="82685416"/>
    <w:lvl w:ilvl="0" w:tplc="62B411B6">
      <w:start w:val="1"/>
      <w:numFmt w:val="decimal"/>
      <w:pStyle w:val="Enumbering"/>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FD7AD9"/>
    <w:multiLevelType w:val="multilevel"/>
    <w:tmpl w:val="28B2803E"/>
    <w:styleLink w:val="CowiBulletList"/>
    <w:lvl w:ilvl="0">
      <w:start w:val="1"/>
      <w:numFmt w:val="bullet"/>
      <w:lvlText w:val="›"/>
      <w:lvlJc w:val="left"/>
      <w:pPr>
        <w:tabs>
          <w:tab w:val="num" w:pos="425"/>
        </w:tabs>
        <w:ind w:left="425" w:hanging="425"/>
      </w:pPr>
      <w:rPr>
        <w:color w:val="F04E23"/>
        <w:position w:val="0"/>
        <w:sz w:val="24"/>
      </w:rPr>
    </w:lvl>
    <w:lvl w:ilvl="1">
      <w:start w:val="1"/>
      <w:numFmt w:val="bullet"/>
      <w:lvlText w:val="›"/>
      <w:lvlJc w:val="left"/>
      <w:pPr>
        <w:tabs>
          <w:tab w:val="num" w:pos="851"/>
        </w:tabs>
        <w:ind w:left="851" w:hanging="426"/>
      </w:pPr>
      <w:rPr>
        <w:color w:val="333333"/>
        <w:position w:val="0"/>
        <w:sz w:val="24"/>
      </w:rPr>
    </w:lvl>
    <w:lvl w:ilvl="2">
      <w:start w:val="1"/>
      <w:numFmt w:val="bullet"/>
      <w:lvlText w:val="›"/>
      <w:lvlJc w:val="left"/>
      <w:pPr>
        <w:tabs>
          <w:tab w:val="num" w:pos="1276"/>
        </w:tabs>
        <w:ind w:left="1276" w:hanging="425"/>
      </w:pPr>
      <w:rPr>
        <w:color w:val="333333"/>
        <w:position w:val="0"/>
        <w:sz w:val="24"/>
      </w:rPr>
    </w:lvl>
    <w:lvl w:ilvl="3">
      <w:start w:val="1"/>
      <w:numFmt w:val="bullet"/>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
    <w:nsid w:val="0ECC51D4"/>
    <w:multiLevelType w:val="hybridMultilevel"/>
    <w:tmpl w:val="13A641D2"/>
    <w:lvl w:ilvl="0" w:tplc="95F0B6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5F72AF"/>
    <w:multiLevelType w:val="hybridMultilevel"/>
    <w:tmpl w:val="F5042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010435"/>
    <w:multiLevelType w:val="hybridMultilevel"/>
    <w:tmpl w:val="027EEBB4"/>
    <w:lvl w:ilvl="0" w:tplc="F97CC1D4">
      <w:start w:val="1"/>
      <w:numFmt w:val="bullet"/>
      <w:pStyle w:val="EBP2"/>
      <w:lvlText w:val=""/>
      <w:lvlJc w:val="left"/>
      <w:pPr>
        <w:ind w:left="3338" w:hanging="360"/>
      </w:pPr>
      <w:rPr>
        <w:rFonts w:ascii="Symbol" w:hAnsi="Symbol" w:hint="default"/>
      </w:rPr>
    </w:lvl>
    <w:lvl w:ilvl="1" w:tplc="5784E3E2">
      <w:start w:val="1"/>
      <w:numFmt w:val="bullet"/>
      <w:lvlText w:val="o"/>
      <w:lvlJc w:val="left"/>
      <w:pPr>
        <w:ind w:left="1440" w:hanging="360"/>
      </w:pPr>
      <w:rPr>
        <w:rFonts w:ascii="Courier New" w:hAnsi="Courier New" w:cs="Courier New" w:hint="default"/>
      </w:rPr>
    </w:lvl>
    <w:lvl w:ilvl="2" w:tplc="E43A09F6">
      <w:start w:val="1"/>
      <w:numFmt w:val="bullet"/>
      <w:lvlText w:val=""/>
      <w:lvlJc w:val="left"/>
      <w:pPr>
        <w:ind w:left="2160" w:hanging="360"/>
      </w:pPr>
      <w:rPr>
        <w:rFonts w:ascii="Wingdings" w:hAnsi="Wingdings" w:hint="default"/>
      </w:rPr>
    </w:lvl>
    <w:lvl w:ilvl="3" w:tplc="91F4CC82">
      <w:start w:val="1"/>
      <w:numFmt w:val="bullet"/>
      <w:lvlText w:val=""/>
      <w:lvlJc w:val="left"/>
      <w:pPr>
        <w:ind w:left="2880" w:hanging="360"/>
      </w:pPr>
      <w:rPr>
        <w:rFonts w:ascii="Symbol" w:hAnsi="Symbol" w:hint="default"/>
      </w:rPr>
    </w:lvl>
    <w:lvl w:ilvl="4" w:tplc="53008150">
      <w:start w:val="1"/>
      <w:numFmt w:val="bullet"/>
      <w:lvlText w:val="o"/>
      <w:lvlJc w:val="left"/>
      <w:pPr>
        <w:ind w:left="3600" w:hanging="360"/>
      </w:pPr>
      <w:rPr>
        <w:rFonts w:ascii="Courier New" w:hAnsi="Courier New" w:cs="Courier New" w:hint="default"/>
      </w:rPr>
    </w:lvl>
    <w:lvl w:ilvl="5" w:tplc="4B1CDAF0">
      <w:start w:val="1"/>
      <w:numFmt w:val="bullet"/>
      <w:lvlText w:val=""/>
      <w:lvlJc w:val="left"/>
      <w:pPr>
        <w:ind w:left="4320" w:hanging="360"/>
      </w:pPr>
      <w:rPr>
        <w:rFonts w:ascii="Wingdings" w:hAnsi="Wingdings" w:hint="default"/>
      </w:rPr>
    </w:lvl>
    <w:lvl w:ilvl="6" w:tplc="C43CD7E4">
      <w:start w:val="1"/>
      <w:numFmt w:val="bullet"/>
      <w:lvlText w:val=""/>
      <w:lvlJc w:val="left"/>
      <w:pPr>
        <w:ind w:left="5040" w:hanging="360"/>
      </w:pPr>
      <w:rPr>
        <w:rFonts w:ascii="Symbol" w:hAnsi="Symbol" w:hint="default"/>
      </w:rPr>
    </w:lvl>
    <w:lvl w:ilvl="7" w:tplc="02D276A0">
      <w:start w:val="1"/>
      <w:numFmt w:val="bullet"/>
      <w:lvlText w:val="o"/>
      <w:lvlJc w:val="left"/>
      <w:pPr>
        <w:ind w:left="5760" w:hanging="360"/>
      </w:pPr>
      <w:rPr>
        <w:rFonts w:ascii="Courier New" w:hAnsi="Courier New" w:cs="Courier New" w:hint="default"/>
      </w:rPr>
    </w:lvl>
    <w:lvl w:ilvl="8" w:tplc="3EC095A0">
      <w:start w:val="1"/>
      <w:numFmt w:val="bullet"/>
      <w:lvlText w:val=""/>
      <w:lvlJc w:val="left"/>
      <w:pPr>
        <w:ind w:left="6480" w:hanging="360"/>
      </w:pPr>
      <w:rPr>
        <w:rFonts w:ascii="Wingdings" w:hAnsi="Wingdings" w:hint="default"/>
      </w:rPr>
    </w:lvl>
  </w:abstractNum>
  <w:abstractNum w:abstractNumId="8">
    <w:nsid w:val="182A2AC8"/>
    <w:multiLevelType w:val="multilevel"/>
    <w:tmpl w:val="43D23518"/>
    <w:styleLink w:val="SDGAppendixHeadings"/>
    <w:lvl w:ilvl="0">
      <w:start w:val="1"/>
      <w:numFmt w:val="upperLetter"/>
      <w:lvlText w:val="%1"/>
      <w:lvlJc w:val="left"/>
      <w:pPr>
        <w:ind w:left="0" w:hanging="851"/>
      </w:pPr>
      <w:rPr>
        <w:rFonts w:hint="default"/>
      </w:rPr>
    </w:lvl>
    <w:lvl w:ilvl="1">
      <w:start w:val="1"/>
      <w:numFmt w:val="decimal"/>
      <w:lvlText w:val="%1%2"/>
      <w:lvlJc w:val="left"/>
      <w:pPr>
        <w:ind w:left="0" w:hanging="851"/>
      </w:pPr>
      <w:rPr>
        <w:rFonts w:hint="default"/>
      </w:rPr>
    </w:lvl>
    <w:lvl w:ilvl="2">
      <w:start w:val="1"/>
      <w:numFmt w:val="decimal"/>
      <w:lvlText w:val="%1%2.%3"/>
      <w:lvlJc w:val="left"/>
      <w:pPr>
        <w:ind w:left="0" w:hanging="851"/>
      </w:pPr>
      <w:rPr>
        <w:rFonts w:hint="default"/>
      </w:rPr>
    </w:lvl>
    <w:lvl w:ilvl="3">
      <w:start w:val="1"/>
      <w:numFmt w:val="decimal"/>
      <w:lvlRestart w:val="1"/>
      <w:lvlText w:val="%1.%4"/>
      <w:lvlJc w:val="left"/>
      <w:pPr>
        <w:ind w:left="0" w:hanging="851"/>
      </w:pPr>
      <w:rPr>
        <w:rFonts w:hint="default"/>
      </w:rPr>
    </w:lvl>
    <w:lvl w:ilvl="4">
      <w:start w:val="1"/>
      <w:numFmt w:val="lowerLetter"/>
      <w:lvlText w:val="(%5)"/>
      <w:lvlJc w:val="left"/>
      <w:pPr>
        <w:ind w:left="0" w:hanging="851"/>
      </w:pPr>
      <w:rPr>
        <w:rFonts w:hint="default"/>
      </w:rPr>
    </w:lvl>
    <w:lvl w:ilvl="5">
      <w:start w:val="1"/>
      <w:numFmt w:val="lowerRoman"/>
      <w:lvlText w:val="(%6)"/>
      <w:lvlJc w:val="left"/>
      <w:pPr>
        <w:ind w:left="0" w:hanging="851"/>
      </w:pPr>
      <w:rPr>
        <w:rFonts w:hint="default"/>
      </w:rPr>
    </w:lvl>
    <w:lvl w:ilvl="6">
      <w:start w:val="1"/>
      <w:numFmt w:val="decimal"/>
      <w:lvlText w:val="%7."/>
      <w:lvlJc w:val="left"/>
      <w:pPr>
        <w:ind w:left="0" w:hanging="851"/>
      </w:pPr>
      <w:rPr>
        <w:rFonts w:hint="default"/>
      </w:rPr>
    </w:lvl>
    <w:lvl w:ilvl="7">
      <w:start w:val="1"/>
      <w:numFmt w:val="lowerLetter"/>
      <w:lvlText w:val="%8."/>
      <w:lvlJc w:val="left"/>
      <w:pPr>
        <w:ind w:left="0" w:hanging="851"/>
      </w:pPr>
      <w:rPr>
        <w:rFonts w:hint="default"/>
      </w:rPr>
    </w:lvl>
    <w:lvl w:ilvl="8">
      <w:start w:val="1"/>
      <w:numFmt w:val="lowerRoman"/>
      <w:lvlText w:val="%9."/>
      <w:lvlJc w:val="left"/>
      <w:pPr>
        <w:ind w:left="0" w:hanging="851"/>
      </w:pPr>
      <w:rPr>
        <w:rFonts w:hint="default"/>
      </w:rPr>
    </w:lvl>
  </w:abstractNum>
  <w:abstractNum w:abstractNumId="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E235473"/>
    <w:multiLevelType w:val="hybridMultilevel"/>
    <w:tmpl w:val="1A9E6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734306"/>
    <w:multiLevelType w:val="multilevel"/>
    <w:tmpl w:val="7CD8FFBC"/>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F9F40FD"/>
    <w:multiLevelType w:val="hybridMultilevel"/>
    <w:tmpl w:val="E9A648C2"/>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5A037C4"/>
    <w:multiLevelType w:val="hybridMultilevel"/>
    <w:tmpl w:val="775EF71A"/>
    <w:lvl w:ilvl="0" w:tplc="4A540FEA">
      <w:start w:val="4"/>
      <w:numFmt w:val="bullet"/>
      <w:lvlText w:val="-"/>
      <w:lvlJc w:val="left"/>
      <w:pPr>
        <w:ind w:left="2148" w:hanging="360"/>
      </w:pPr>
      <w:rPr>
        <w:rFonts w:ascii="Verdana" w:eastAsia="Times New Roman" w:hAnsi="Verdana" w:cs="Times New Roman" w:hint="default"/>
      </w:rPr>
    </w:lvl>
    <w:lvl w:ilvl="1" w:tplc="08090003" w:tentative="1">
      <w:start w:val="1"/>
      <w:numFmt w:val="bullet"/>
      <w:lvlText w:val="o"/>
      <w:lvlJc w:val="left"/>
      <w:pPr>
        <w:ind w:left="2868" w:hanging="360"/>
      </w:pPr>
      <w:rPr>
        <w:rFonts w:ascii="Courier New" w:hAnsi="Courier New" w:cs="Courier New" w:hint="default"/>
      </w:rPr>
    </w:lvl>
    <w:lvl w:ilvl="2" w:tplc="08090005" w:tentative="1">
      <w:start w:val="1"/>
      <w:numFmt w:val="bullet"/>
      <w:lvlText w:val=""/>
      <w:lvlJc w:val="left"/>
      <w:pPr>
        <w:ind w:left="3588" w:hanging="360"/>
      </w:pPr>
      <w:rPr>
        <w:rFonts w:ascii="Wingdings" w:hAnsi="Wingdings" w:hint="default"/>
      </w:rPr>
    </w:lvl>
    <w:lvl w:ilvl="3" w:tplc="08090001" w:tentative="1">
      <w:start w:val="1"/>
      <w:numFmt w:val="bullet"/>
      <w:lvlText w:val=""/>
      <w:lvlJc w:val="left"/>
      <w:pPr>
        <w:ind w:left="4308" w:hanging="360"/>
      </w:pPr>
      <w:rPr>
        <w:rFonts w:ascii="Symbol" w:hAnsi="Symbol" w:hint="default"/>
      </w:rPr>
    </w:lvl>
    <w:lvl w:ilvl="4" w:tplc="08090003" w:tentative="1">
      <w:start w:val="1"/>
      <w:numFmt w:val="bullet"/>
      <w:lvlText w:val="o"/>
      <w:lvlJc w:val="left"/>
      <w:pPr>
        <w:ind w:left="5028" w:hanging="360"/>
      </w:pPr>
      <w:rPr>
        <w:rFonts w:ascii="Courier New" w:hAnsi="Courier New" w:cs="Courier New" w:hint="default"/>
      </w:rPr>
    </w:lvl>
    <w:lvl w:ilvl="5" w:tplc="08090005" w:tentative="1">
      <w:start w:val="1"/>
      <w:numFmt w:val="bullet"/>
      <w:lvlText w:val=""/>
      <w:lvlJc w:val="left"/>
      <w:pPr>
        <w:ind w:left="5748" w:hanging="360"/>
      </w:pPr>
      <w:rPr>
        <w:rFonts w:ascii="Wingdings" w:hAnsi="Wingdings" w:hint="default"/>
      </w:rPr>
    </w:lvl>
    <w:lvl w:ilvl="6" w:tplc="08090001" w:tentative="1">
      <w:start w:val="1"/>
      <w:numFmt w:val="bullet"/>
      <w:lvlText w:val=""/>
      <w:lvlJc w:val="left"/>
      <w:pPr>
        <w:ind w:left="6468" w:hanging="360"/>
      </w:pPr>
      <w:rPr>
        <w:rFonts w:ascii="Symbol" w:hAnsi="Symbol" w:hint="default"/>
      </w:rPr>
    </w:lvl>
    <w:lvl w:ilvl="7" w:tplc="08090003" w:tentative="1">
      <w:start w:val="1"/>
      <w:numFmt w:val="bullet"/>
      <w:lvlText w:val="o"/>
      <w:lvlJc w:val="left"/>
      <w:pPr>
        <w:ind w:left="7188" w:hanging="360"/>
      </w:pPr>
      <w:rPr>
        <w:rFonts w:ascii="Courier New" w:hAnsi="Courier New" w:cs="Courier New" w:hint="default"/>
      </w:rPr>
    </w:lvl>
    <w:lvl w:ilvl="8" w:tplc="08090005" w:tentative="1">
      <w:start w:val="1"/>
      <w:numFmt w:val="bullet"/>
      <w:lvlText w:val=""/>
      <w:lvlJc w:val="left"/>
      <w:pPr>
        <w:ind w:left="7908" w:hanging="360"/>
      </w:pPr>
      <w:rPr>
        <w:rFonts w:ascii="Wingdings" w:hAnsi="Wingdings" w:hint="default"/>
      </w:rPr>
    </w:lvl>
  </w:abstractNum>
  <w:abstractNum w:abstractNumId="15">
    <w:nsid w:val="2A37396C"/>
    <w:multiLevelType w:val="hybridMultilevel"/>
    <w:tmpl w:val="6A6C2FCA"/>
    <w:lvl w:ilvl="0" w:tplc="4A540FEA">
      <w:start w:val="4"/>
      <w:numFmt w:val="bullet"/>
      <w:lvlText w:val="-"/>
      <w:lvlJc w:val="left"/>
      <w:pPr>
        <w:ind w:left="720" w:hanging="360"/>
      </w:pPr>
      <w:rPr>
        <w:rFonts w:ascii="Verdana" w:eastAsia="Times New Roman"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C12A55"/>
    <w:multiLevelType w:val="hybridMultilevel"/>
    <w:tmpl w:val="52200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D3D3664"/>
    <w:multiLevelType w:val="hybridMultilevel"/>
    <w:tmpl w:val="B54A82B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2">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A411B9C"/>
    <w:multiLevelType w:val="hybridMultilevel"/>
    <w:tmpl w:val="36301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nsid w:val="3DBD40C7"/>
    <w:multiLevelType w:val="hybridMultilevel"/>
    <w:tmpl w:val="7B8043C8"/>
    <w:lvl w:ilvl="0" w:tplc="4A540FEA">
      <w:start w:val="4"/>
      <w:numFmt w:val="bullet"/>
      <w:lvlText w:val="-"/>
      <w:lvlJc w:val="left"/>
      <w:pPr>
        <w:ind w:left="720" w:hanging="360"/>
      </w:pPr>
      <w:rPr>
        <w:rFonts w:ascii="Verdana" w:eastAsia="Times New Roman"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8">
    <w:nsid w:val="473920E0"/>
    <w:multiLevelType w:val="multilevel"/>
    <w:tmpl w:val="B6A8D7F8"/>
    <w:lvl w:ilvl="0">
      <w:start w:val="1"/>
      <w:numFmt w:val="bullet"/>
      <w:lvlText w:val=""/>
      <w:lvlJc w:val="left"/>
      <w:pPr>
        <w:tabs>
          <w:tab w:val="num" w:pos="425"/>
        </w:tabs>
        <w:ind w:left="425" w:hanging="425"/>
      </w:pPr>
      <w:rPr>
        <w:rFonts w:ascii="Symbol" w:hAnsi="Symbol" w:hint="default"/>
        <w:color w:val="auto"/>
        <w:position w:val="0"/>
        <w:sz w:val="24"/>
      </w:rPr>
    </w:lvl>
    <w:lvl w:ilvl="1">
      <w:start w:val="1"/>
      <w:numFmt w:val="bullet"/>
      <w:lvlText w:val="›"/>
      <w:lvlJc w:val="left"/>
      <w:pPr>
        <w:tabs>
          <w:tab w:val="num" w:pos="851"/>
        </w:tabs>
        <w:ind w:left="851" w:hanging="426"/>
      </w:pPr>
      <w:rPr>
        <w:color w:val="333333"/>
        <w:position w:val="0"/>
        <w:sz w:val="24"/>
      </w:rPr>
    </w:lvl>
    <w:lvl w:ilvl="2">
      <w:start w:val="1"/>
      <w:numFmt w:val="bullet"/>
      <w:lvlText w:val="›"/>
      <w:lvlJc w:val="left"/>
      <w:pPr>
        <w:tabs>
          <w:tab w:val="num" w:pos="1276"/>
        </w:tabs>
        <w:ind w:left="1276" w:hanging="425"/>
      </w:pPr>
      <w:rPr>
        <w:color w:val="333333"/>
        <w:position w:val="0"/>
        <w:sz w:val="24"/>
      </w:rPr>
    </w:lvl>
    <w:lvl w:ilvl="3">
      <w:start w:val="1"/>
      <w:numFmt w:val="bullet"/>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9">
    <w:nsid w:val="49615ADD"/>
    <w:multiLevelType w:val="hybridMultilevel"/>
    <w:tmpl w:val="1974D16C"/>
    <w:lvl w:ilvl="0" w:tplc="B75A67CC">
      <w:start w:val="1"/>
      <w:numFmt w:val="bullet"/>
      <w:pStyle w:val="AufzhlungEnde"/>
      <w:lvlText w:val=""/>
      <w:lvlJc w:val="left"/>
      <w:pPr>
        <w:ind w:left="1422" w:hanging="567"/>
      </w:pPr>
      <w:rPr>
        <w:rFonts w:ascii="Symbol" w:hAnsi="Symbol" w:hint="default"/>
        <w:color w:val="auto"/>
      </w:rPr>
    </w:lvl>
    <w:lvl w:ilvl="1" w:tplc="04070003">
      <w:start w:val="1"/>
      <w:numFmt w:val="bullet"/>
      <w:lvlText w:val="o"/>
      <w:lvlJc w:val="left"/>
      <w:pPr>
        <w:ind w:left="1028" w:hanging="360"/>
      </w:pPr>
      <w:rPr>
        <w:rFonts w:ascii="Courier New" w:hAnsi="Courier New" w:cs="Courier New" w:hint="default"/>
      </w:rPr>
    </w:lvl>
    <w:lvl w:ilvl="2" w:tplc="04070005" w:tentative="1">
      <w:start w:val="1"/>
      <w:numFmt w:val="bullet"/>
      <w:lvlText w:val=""/>
      <w:lvlJc w:val="left"/>
      <w:pPr>
        <w:ind w:left="1748" w:hanging="360"/>
      </w:pPr>
      <w:rPr>
        <w:rFonts w:ascii="Wingdings" w:hAnsi="Wingdings" w:hint="default"/>
      </w:rPr>
    </w:lvl>
    <w:lvl w:ilvl="3" w:tplc="04070001" w:tentative="1">
      <w:start w:val="1"/>
      <w:numFmt w:val="bullet"/>
      <w:lvlText w:val=""/>
      <w:lvlJc w:val="left"/>
      <w:pPr>
        <w:ind w:left="2468" w:hanging="360"/>
      </w:pPr>
      <w:rPr>
        <w:rFonts w:ascii="Symbol" w:hAnsi="Symbol" w:hint="default"/>
      </w:rPr>
    </w:lvl>
    <w:lvl w:ilvl="4" w:tplc="04070003" w:tentative="1">
      <w:start w:val="1"/>
      <w:numFmt w:val="bullet"/>
      <w:lvlText w:val="o"/>
      <w:lvlJc w:val="left"/>
      <w:pPr>
        <w:ind w:left="3188" w:hanging="360"/>
      </w:pPr>
      <w:rPr>
        <w:rFonts w:ascii="Courier New" w:hAnsi="Courier New" w:cs="Courier New" w:hint="default"/>
      </w:rPr>
    </w:lvl>
    <w:lvl w:ilvl="5" w:tplc="04070005" w:tentative="1">
      <w:start w:val="1"/>
      <w:numFmt w:val="bullet"/>
      <w:lvlText w:val=""/>
      <w:lvlJc w:val="left"/>
      <w:pPr>
        <w:ind w:left="3908" w:hanging="360"/>
      </w:pPr>
      <w:rPr>
        <w:rFonts w:ascii="Wingdings" w:hAnsi="Wingdings" w:hint="default"/>
      </w:rPr>
    </w:lvl>
    <w:lvl w:ilvl="6" w:tplc="04070001" w:tentative="1">
      <w:start w:val="1"/>
      <w:numFmt w:val="bullet"/>
      <w:lvlText w:val=""/>
      <w:lvlJc w:val="left"/>
      <w:pPr>
        <w:ind w:left="4628" w:hanging="360"/>
      </w:pPr>
      <w:rPr>
        <w:rFonts w:ascii="Symbol" w:hAnsi="Symbol" w:hint="default"/>
      </w:rPr>
    </w:lvl>
    <w:lvl w:ilvl="7" w:tplc="04070003" w:tentative="1">
      <w:start w:val="1"/>
      <w:numFmt w:val="bullet"/>
      <w:lvlText w:val="o"/>
      <w:lvlJc w:val="left"/>
      <w:pPr>
        <w:ind w:left="5348" w:hanging="360"/>
      </w:pPr>
      <w:rPr>
        <w:rFonts w:ascii="Courier New" w:hAnsi="Courier New" w:cs="Courier New" w:hint="default"/>
      </w:rPr>
    </w:lvl>
    <w:lvl w:ilvl="8" w:tplc="04070005" w:tentative="1">
      <w:start w:val="1"/>
      <w:numFmt w:val="bullet"/>
      <w:lvlText w:val=""/>
      <w:lvlJc w:val="left"/>
      <w:pPr>
        <w:ind w:left="6068" w:hanging="360"/>
      </w:pPr>
      <w:rPr>
        <w:rFonts w:ascii="Wingdings" w:hAnsi="Wingdings" w:hint="default"/>
      </w:rPr>
    </w:lvl>
  </w:abstractNum>
  <w:abstractNum w:abstractNumId="30">
    <w:nsid w:val="51E80433"/>
    <w:multiLevelType w:val="multilevel"/>
    <w:tmpl w:val="A078A908"/>
    <w:lvl w:ilvl="0">
      <w:start w:val="1"/>
      <w:numFmt w:val="bullet"/>
      <w:lvlText w:val=""/>
      <w:lvlJc w:val="left"/>
      <w:pPr>
        <w:tabs>
          <w:tab w:val="num" w:pos="425"/>
        </w:tabs>
        <w:ind w:left="425" w:hanging="425"/>
      </w:pPr>
      <w:rPr>
        <w:rFonts w:ascii="Symbol" w:hAnsi="Symbol" w:hint="default"/>
        <w:color w:val="F04E23"/>
        <w:position w:val="0"/>
        <w:sz w:val="24"/>
      </w:rPr>
    </w:lvl>
    <w:lvl w:ilvl="1">
      <w:start w:val="1"/>
      <w:numFmt w:val="bullet"/>
      <w:lvlText w:val="›"/>
      <w:lvlJc w:val="left"/>
      <w:pPr>
        <w:tabs>
          <w:tab w:val="num" w:pos="851"/>
        </w:tabs>
        <w:ind w:left="851" w:hanging="426"/>
      </w:pPr>
      <w:rPr>
        <w:color w:val="333333"/>
        <w:position w:val="0"/>
        <w:sz w:val="24"/>
      </w:rPr>
    </w:lvl>
    <w:lvl w:ilvl="2">
      <w:start w:val="1"/>
      <w:numFmt w:val="bullet"/>
      <w:lvlText w:val="›"/>
      <w:lvlJc w:val="left"/>
      <w:pPr>
        <w:tabs>
          <w:tab w:val="num" w:pos="1276"/>
        </w:tabs>
        <w:ind w:left="1276" w:hanging="425"/>
      </w:pPr>
      <w:rPr>
        <w:color w:val="333333"/>
        <w:position w:val="0"/>
        <w:sz w:val="24"/>
      </w:rPr>
    </w:lvl>
    <w:lvl w:ilvl="3">
      <w:start w:val="1"/>
      <w:numFmt w:val="bullet"/>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1">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2">
    <w:nsid w:val="55590295"/>
    <w:multiLevelType w:val="hybridMultilevel"/>
    <w:tmpl w:val="8E6E9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9722758"/>
    <w:multiLevelType w:val="hybridMultilevel"/>
    <w:tmpl w:val="8E0E39C6"/>
    <w:lvl w:ilvl="0" w:tplc="D9B0DF08">
      <w:numFmt w:val="decimal"/>
      <w:pStyle w:val="ESPONSubtitle"/>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5">
    <w:nsid w:val="5F04781C"/>
    <w:multiLevelType w:val="hybridMultilevel"/>
    <w:tmpl w:val="C16CC794"/>
    <w:lvl w:ilvl="0" w:tplc="4A540FEA">
      <w:start w:val="4"/>
      <w:numFmt w:val="bullet"/>
      <w:lvlText w:val="-"/>
      <w:lvlJc w:val="left"/>
      <w:pPr>
        <w:ind w:left="720" w:hanging="360"/>
      </w:pPr>
      <w:rPr>
        <w:rFonts w:ascii="Verdana" w:eastAsia="Times New Roman"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7">
    <w:nsid w:val="61216E85"/>
    <w:multiLevelType w:val="hybridMultilevel"/>
    <w:tmpl w:val="8A6E166E"/>
    <w:lvl w:ilvl="0" w:tplc="95F0B610">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9">
    <w:nsid w:val="66A1080D"/>
    <w:multiLevelType w:val="hybridMultilevel"/>
    <w:tmpl w:val="395CD8F8"/>
    <w:lvl w:ilvl="0" w:tplc="95F0B6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6BB63BE"/>
    <w:multiLevelType w:val="multilevel"/>
    <w:tmpl w:val="82C668DC"/>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nsid w:val="6B516021"/>
    <w:multiLevelType w:val="hybridMultilevel"/>
    <w:tmpl w:val="35DA6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D176D37"/>
    <w:multiLevelType w:val="hybridMultilevel"/>
    <w:tmpl w:val="493AC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4">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739B58DD"/>
    <w:multiLevelType w:val="hybridMultilevel"/>
    <w:tmpl w:val="C2EED7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nsid w:val="7B401AF7"/>
    <w:multiLevelType w:val="multilevel"/>
    <w:tmpl w:val="46EEA5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nsid w:val="7C0A63C5"/>
    <w:multiLevelType w:val="hybridMultilevel"/>
    <w:tmpl w:val="B25C16B6"/>
    <w:lvl w:ilvl="0" w:tplc="95F0B610">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11"/>
  </w:num>
  <w:num w:numId="4">
    <w:abstractNumId w:val="25"/>
  </w:num>
  <w:num w:numId="5">
    <w:abstractNumId w:val="16"/>
  </w:num>
  <w:num w:numId="6">
    <w:abstractNumId w:val="24"/>
  </w:num>
  <w:num w:numId="7">
    <w:abstractNumId w:val="38"/>
  </w:num>
  <w:num w:numId="8">
    <w:abstractNumId w:val="43"/>
  </w:num>
  <w:num w:numId="9">
    <w:abstractNumId w:val="21"/>
  </w:num>
  <w:num w:numId="10">
    <w:abstractNumId w:val="36"/>
  </w:num>
  <w:num w:numId="11">
    <w:abstractNumId w:val="34"/>
  </w:num>
  <w:num w:numId="12">
    <w:abstractNumId w:val="27"/>
  </w:num>
  <w:num w:numId="13">
    <w:abstractNumId w:val="31"/>
  </w:num>
  <w:num w:numId="14">
    <w:abstractNumId w:val="13"/>
  </w:num>
  <w:num w:numId="15">
    <w:abstractNumId w:val="22"/>
  </w:num>
  <w:num w:numId="16">
    <w:abstractNumId w:val="9"/>
  </w:num>
  <w:num w:numId="17">
    <w:abstractNumId w:val="17"/>
  </w:num>
  <w:num w:numId="18">
    <w:abstractNumId w:val="44"/>
  </w:num>
  <w:num w:numId="19">
    <w:abstractNumId w:val="19"/>
  </w:num>
  <w:num w:numId="20">
    <w:abstractNumId w:val="37"/>
  </w:num>
  <w:num w:numId="21">
    <w:abstractNumId w:val="40"/>
  </w:num>
  <w:num w:numId="22">
    <w:abstractNumId w:val="32"/>
  </w:num>
  <w:num w:numId="23">
    <w:abstractNumId w:val="41"/>
  </w:num>
  <w:num w:numId="24">
    <w:abstractNumId w:val="26"/>
  </w:num>
  <w:num w:numId="25">
    <w:abstractNumId w:val="15"/>
  </w:num>
  <w:num w:numId="26">
    <w:abstractNumId w:val="23"/>
  </w:num>
  <w:num w:numId="27">
    <w:abstractNumId w:val="45"/>
  </w:num>
  <w:num w:numId="28">
    <w:abstractNumId w:val="35"/>
  </w:num>
  <w:num w:numId="29">
    <w:abstractNumId w:val="18"/>
  </w:num>
  <w:num w:numId="30">
    <w:abstractNumId w:val="42"/>
  </w:num>
  <w:num w:numId="31">
    <w:abstractNumId w:val="39"/>
  </w:num>
  <w:num w:numId="32">
    <w:abstractNumId w:val="5"/>
  </w:num>
  <w:num w:numId="33">
    <w:abstractNumId w:val="7"/>
  </w:num>
  <w:num w:numId="34">
    <w:abstractNumId w:val="14"/>
  </w:num>
  <w:num w:numId="35">
    <w:abstractNumId w:val="6"/>
  </w:num>
  <w:num w:numId="36">
    <w:abstractNumId w:val="12"/>
  </w:num>
  <w:num w:numId="37">
    <w:abstractNumId w:val="10"/>
  </w:num>
  <w:num w:numId="38">
    <w:abstractNumId w:val="3"/>
  </w:num>
  <w:num w:numId="39">
    <w:abstractNumId w:val="20"/>
  </w:num>
  <w:num w:numId="40">
    <w:abstractNumId w:val="47"/>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2"/>
  </w:num>
  <w:num w:numId="44">
    <w:abstractNumId w:val="29"/>
  </w:num>
  <w:num w:numId="45">
    <w:abstractNumId w:val="33"/>
  </w:num>
  <w:num w:numId="46">
    <w:abstractNumId w:val="4"/>
  </w:num>
  <w:num w:numId="47">
    <w:abstractNumId w:val="46"/>
  </w:num>
  <w:num w:numId="48">
    <w:abstractNumId w:val="30"/>
  </w:num>
  <w:num w:numId="49">
    <w:abstractNumId w:val="28"/>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VE A3">
    <w15:presenceInfo w15:providerId="None" w15:userId="MOVE 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6CB69176-002A-4966-99BB-11BFE4EDF2B3"/>
    <w:docVar w:name="LW_COVERPAGE_TYPE" w:val="1"/>
    <w:docVar w:name="LW_CROSSREFERENCE" w:val="{COM(2017) 653 final}_x000d__x000a_{SWD(2017) 367 final}"/>
    <w:docVar w:name="LW_DocType" w:val="REP"/>
    <w:docVar w:name="LW_EMISSION" w:val="8.11.2017"/>
    <w:docVar w:name="LW_EMISSION_ISODATE" w:val="2017-11-08"/>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Directive 2009/33/EC on the promotion of clean and energy-efficient road transport vehicles"/>
    <w:docVar w:name="LW_PART_NBR" w:val="1"/>
    <w:docVar w:name="LW_PART_NBR_TOTAL" w:val="4"/>
    <w:docVar w:name="LW_REF.INST.NEW" w:val="SWD"/>
    <w:docVar w:name="LW_REF.INST.NEW_ADOPTED" w:val="final"/>
    <w:docVar w:name="LW_REF.INST.NEW_TEXT" w:val="(2017) 36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Directive of the European Parliament and of the Council"/>
  </w:docVars>
  <w:rsids>
    <w:rsidRoot w:val="002E508F"/>
    <w:rsid w:val="002E508F"/>
    <w:rsid w:val="005A015C"/>
    <w:rsid w:val="005D0A03"/>
    <w:rsid w:val="00A57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semiHidden="0" w:uiPriority="0" w:unhideWhenUsed="0" w:qFormat="1"/>
    <w:lsdException w:name="envelope address" w:uiPriority="0"/>
    <w:lsdException w:name="envelope return" w:uiPriority="0"/>
    <w:lsdException w:name="footnote reference" w:qFormat="1"/>
    <w:lsdException w:name="page number" w:uiPriority="0"/>
    <w:lsdException w:name="endnote text" w:qFormat="1"/>
    <w:lsdException w:name="table of authorities" w:uiPriority="0"/>
    <w:lsdException w:name="macro" w:uiPriority="0"/>
    <w:lsdException w:name="toa heading" w:uiPriority="0"/>
    <w:lsdException w:name="List" w:uiPriority="0"/>
    <w:lsdException w:name="List Bullet" w:uiPriority="4"/>
    <w:lsdException w:name="List Number" w:uiPriority="0"/>
    <w:lsdException w:name="List 2" w:uiPriority="0"/>
    <w:lsdException w:name="List 3" w:uiPriority="0"/>
    <w:lsdException w:name="List 4" w:uiPriority="0"/>
    <w:lsdException w:name="List 5" w:uiPriority="0"/>
    <w:lsdException w:name="List Bullet 2" w:uiPriority="4"/>
    <w:lsdException w:name="List Bullet 3" w:uiPriority="4"/>
    <w:lsdException w:name="List Bullet 4" w:uiPriority="4"/>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Header1"/>
    <w:basedOn w:val="Normal"/>
    <w:next w:val="Text1"/>
    <w:link w:val="Heading1Char"/>
    <w:qFormat/>
    <w:pPr>
      <w:keepNext/>
      <w:numPr>
        <w:numId w:val="3"/>
      </w:numPr>
      <w:spacing w:before="240"/>
      <w:outlineLvl w:val="0"/>
    </w:pPr>
    <w:rPr>
      <w:rFonts w:ascii="Times New Roman" w:hAnsi="Times New Roman" w:cs="Times New Roman"/>
      <w:b/>
      <w:smallCaps/>
    </w:rPr>
  </w:style>
  <w:style w:type="paragraph" w:styleId="Heading2">
    <w:name w:val="heading 2"/>
    <w:aliases w:val="E H2,Heading 2 Char1,Heading 2 Char Char Char"/>
    <w:basedOn w:val="Normal"/>
    <w:next w:val="Text2"/>
    <w:link w:val="Heading2Char"/>
    <w:qFormat/>
    <w:pPr>
      <w:keepNext/>
      <w:numPr>
        <w:ilvl w:val="1"/>
        <w:numId w:val="3"/>
      </w:numPr>
      <w:outlineLvl w:val="1"/>
    </w:pPr>
    <w:rPr>
      <w:rFonts w:ascii="Times New Roman" w:hAnsi="Times New Roman" w:cs="Times New Roman"/>
      <w:b/>
    </w:rPr>
  </w:style>
  <w:style w:type="paragraph" w:styleId="Heading3">
    <w:name w:val="heading 3"/>
    <w:aliases w:val="E H3"/>
    <w:basedOn w:val="Normal"/>
    <w:next w:val="Text3"/>
    <w:link w:val="Heading3Char"/>
    <w:qFormat/>
    <w:pPr>
      <w:keepNext/>
      <w:numPr>
        <w:ilvl w:val="2"/>
        <w:numId w:val="3"/>
      </w:numPr>
      <w:ind w:left="1440"/>
      <w:outlineLvl w:val="2"/>
    </w:pPr>
    <w:rPr>
      <w:rFonts w:ascii="Times New Roman" w:hAnsi="Times New Roman" w:cs="Times New Roman"/>
      <w:i/>
      <w:lang w:val="en"/>
    </w:rPr>
  </w:style>
  <w:style w:type="paragraph" w:styleId="Heading4">
    <w:name w:val="heading 4"/>
    <w:aliases w:val="E H4"/>
    <w:basedOn w:val="Normal"/>
    <w:next w:val="Text4"/>
    <w:link w:val="Heading4Char"/>
    <w:uiPriority w:val="9"/>
    <w:qFormat/>
    <w:pPr>
      <w:keepNext/>
      <w:numPr>
        <w:ilvl w:val="3"/>
        <w:numId w:val="3"/>
      </w:numPr>
      <w:outlineLvl w:val="3"/>
    </w:pPr>
    <w:rPr>
      <w:rFonts w:ascii="Times New Roman" w:hAnsi="Times New Roman" w:cs="Times New Roman"/>
    </w:rPr>
  </w:style>
  <w:style w:type="paragraph" w:styleId="Heading5">
    <w:name w:val="heading 5"/>
    <w:basedOn w:val="Normal"/>
    <w:next w:val="Normal"/>
    <w:link w:val="Heading5Char"/>
    <w:qFormat/>
    <w:pPr>
      <w:tabs>
        <w:tab w:val="num" w:pos="0"/>
      </w:tabs>
      <w:spacing w:before="240" w:after="60"/>
      <w:outlineLvl w:val="4"/>
    </w:pPr>
    <w:rPr>
      <w:rFonts w:ascii="Arial" w:hAnsi="Arial"/>
    </w:rPr>
  </w:style>
  <w:style w:type="paragraph" w:styleId="Heading6">
    <w:name w:val="heading 6"/>
    <w:aliases w:val="Figure,H6"/>
    <w:basedOn w:val="Normal"/>
    <w:next w:val="Normal"/>
    <w:link w:val="Heading6Char"/>
    <w:qFormat/>
    <w:pPr>
      <w:tabs>
        <w:tab w:val="num" w:pos="0"/>
      </w:tabs>
      <w:spacing w:before="240" w:after="60"/>
      <w:outlineLvl w:val="5"/>
    </w:pPr>
    <w:rPr>
      <w:rFonts w:ascii="Arial" w:hAnsi="Arial"/>
      <w:i/>
    </w:rPr>
  </w:style>
  <w:style w:type="paragraph" w:styleId="Heading7">
    <w:name w:val="heading 7"/>
    <w:aliases w:val="Appendix 1"/>
    <w:basedOn w:val="Normal"/>
    <w:next w:val="Normal"/>
    <w:link w:val="Heading7Char"/>
    <w:qFormat/>
    <w:pPr>
      <w:tabs>
        <w:tab w:val="num" w:pos="0"/>
      </w:tabs>
      <w:spacing w:before="240" w:after="60"/>
      <w:outlineLvl w:val="6"/>
    </w:pPr>
    <w:rPr>
      <w:rFonts w:ascii="Arial" w:hAnsi="Arial"/>
      <w:sz w:val="20"/>
    </w:rPr>
  </w:style>
  <w:style w:type="paragraph" w:styleId="Heading8">
    <w:name w:val="heading 8"/>
    <w:aliases w:val="Appendix 2"/>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aliases w:val="Appendix 3"/>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link w:val="Text2Char1"/>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
    <w:basedOn w:val="Normal"/>
    <w:next w:val="Normal"/>
    <w:link w:val="CaptionChar1"/>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1"/>
    <w:uiPriority w:val="99"/>
    <w:rPr>
      <w:sz w:val="20"/>
    </w:rPr>
  </w:style>
  <w:style w:type="paragraph" w:styleId="Date">
    <w:name w:val="Date"/>
    <w:basedOn w:val="Normal"/>
    <w:next w:val="References"/>
    <w:pPr>
      <w:spacing w:after="0"/>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pPr>
  </w:style>
  <w:style w:type="paragraph" w:customStyle="1" w:styleId="Enclosures">
    <w:name w:val="Enclosures"/>
    <w:basedOn w:val="Normal"/>
    <w:pPr>
      <w:keepNext/>
      <w:keepLines/>
      <w:tabs>
        <w:tab w:val="left" w:pos="5642"/>
      </w:tabs>
      <w:spacing w:before="480" w:after="0"/>
      <w:ind w:left="1191" w:hanging="1191"/>
    </w:pPr>
  </w:style>
  <w:style w:type="paragraph" w:styleId="EndnoteText">
    <w:name w:val="endnote text"/>
    <w:basedOn w:val="Normal"/>
    <w:link w:val="EndnoteTextChar"/>
    <w:uiPriority w:val="99"/>
    <w:qFormat/>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stile 1,Char,Fußn,f"/>
    <w:basedOn w:val="Normal"/>
    <w:link w:val="FootnoteTextChar"/>
    <w:uiPriority w:val="99"/>
    <w:qFormat/>
    <w:pPr>
      <w:ind w:left="357" w:hanging="357"/>
    </w:pPr>
    <w:rPr>
      <w:sz w:val="20"/>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uiPriority w:val="4"/>
    <w:pPr>
      <w:numPr>
        <w:numId w:val="4"/>
      </w:numPr>
    </w:pPr>
  </w:style>
  <w:style w:type="paragraph" w:styleId="ListBullet2">
    <w:name w:val="List Bullet 2"/>
    <w:basedOn w:val="Text2"/>
    <w:uiPriority w:val="4"/>
    <w:pPr>
      <w:numPr>
        <w:numId w:val="6"/>
      </w:numPr>
      <w:tabs>
        <w:tab w:val="clear" w:pos="2302"/>
      </w:tabs>
    </w:pPr>
  </w:style>
  <w:style w:type="paragraph" w:styleId="ListBullet3">
    <w:name w:val="List Bullet 3"/>
    <w:basedOn w:val="Text3"/>
    <w:uiPriority w:val="4"/>
    <w:pPr>
      <w:numPr>
        <w:numId w:val="7"/>
      </w:numPr>
      <w:tabs>
        <w:tab w:val="clear" w:pos="2302"/>
      </w:tabs>
    </w:pPr>
  </w:style>
  <w:style w:type="paragraph" w:styleId="ListBullet4">
    <w:name w:val="List Bullet 4"/>
    <w:basedOn w:val="Text4"/>
    <w:uiPriority w:val="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HeaderChar">
    <w:name w:val="Header Char"/>
    <w:basedOn w:val="DefaultParagraphFont"/>
    <w:link w:val="Header"/>
    <w:uiPriority w:val="99"/>
    <w:rPr>
      <w:rFonts w:eastAsiaTheme="minorHAnsi"/>
      <w:sz w:val="24"/>
      <w:szCs w:val="22"/>
      <w:lang w:eastAsia="en-US"/>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34"/>
    <w:qFormat/>
    <w:pPr>
      <w:ind w:left="720"/>
      <w:contextualSpacing/>
    </w:pPr>
  </w:style>
  <w:style w:type="table" w:styleId="TableGrid">
    <w:name w:val="Table Grid"/>
    <w:aliases w:val="Document Table,Gena,Tabellengitternetz"/>
    <w:basedOn w:val="TableNormal"/>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qFormat/>
    <w:locked/>
    <w:rPr>
      <w:rFonts w:asciiTheme="minorHAnsi" w:eastAsiaTheme="minorHAnsi" w:hAnsiTheme="minorHAnsi" w:cstheme="minorBidi"/>
      <w:sz w:val="22"/>
      <w:szCs w:val="22"/>
      <w:lang w:eastAsia="en-US"/>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rPr>
      <w:lang w:eastAsia="en-US"/>
    </w:rPr>
  </w:style>
  <w:style w:type="character" w:styleId="FootnoteReference">
    <w:name w:val="footnote reference"/>
    <w:aliases w:val="SUPERS,Footnote symbol,Times 10 Point,Exposant 3 Point,BVI fnr,number,-E Fußnotenzeichen,Footnote reference number,note TESI,EN Footnote Reference,Footnote Reference/,Footnote Reference Number,styli,Footnote Reference Superscript,ftr"/>
    <w:basedOn w:val="DefaultParagraphFont"/>
    <w:link w:val="FootnotesymbolCarZchn"/>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table" w:customStyle="1" w:styleId="Mainbidtables">
    <w:name w:val="Main bid tables"/>
    <w:basedOn w:val="TableNormal"/>
    <w:uiPriority w:val="9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locked/>
    <w:rPr>
      <w:b/>
      <w:sz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rFonts w:ascii="Times New Roman" w:eastAsia="Times New Roman" w:hAnsi="Times New Roman" w:cs="Times New Roman"/>
      <w:sz w:val="20"/>
      <w:szCs w:val="20"/>
      <w:vertAlign w:val="superscript"/>
      <w:lang w:eastAsia="en-GB"/>
    </w:rPr>
  </w:style>
  <w:style w:type="paragraph" w:customStyle="1" w:styleId="Body">
    <w:name w:val="Body"/>
    <w:basedOn w:val="Normal"/>
    <w:link w:val="BodyChar"/>
    <w:qFormat/>
    <w:pPr>
      <w:spacing w:after="120" w:line="240" w:lineRule="auto"/>
    </w:pPr>
    <w:rPr>
      <w:rFonts w:ascii="Verdana" w:eastAsia="Times New Roman" w:hAnsi="Verdana" w:cs="Times New Roman"/>
      <w:sz w:val="18"/>
      <w:szCs w:val="20"/>
    </w:rPr>
  </w:style>
  <w:style w:type="character" w:customStyle="1" w:styleId="BodyChar">
    <w:name w:val="Body Char"/>
    <w:link w:val="Body"/>
    <w:rPr>
      <w:rFonts w:ascii="Verdana" w:hAnsi="Verdana"/>
      <w:sz w:val="18"/>
      <w:lang w:eastAsia="en-US"/>
    </w:rPr>
  </w:style>
  <w:style w:type="character" w:customStyle="1" w:styleId="Text2Char1">
    <w:name w:val="Text 2 Char1"/>
    <w:link w:val="Text2"/>
    <w:locked/>
    <w:rPr>
      <w:sz w:val="24"/>
      <w:lang w:eastAsia="en-US"/>
    </w:rPr>
  </w:style>
  <w:style w:type="table" w:customStyle="1" w:styleId="TableGrid1">
    <w:name w:val="Table Grid1"/>
    <w:basedOn w:val="TableNormal"/>
    <w:next w:val="TableGrid"/>
    <w:uiPriority w:val="5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character" w:styleId="CommentReference">
    <w:name w:val="annotation reference"/>
    <w:basedOn w:val="DefaultParagraphFont"/>
    <w:uiPriority w:val="99"/>
    <w:unhideWhenUsed/>
    <w:rPr>
      <w:sz w:val="16"/>
      <w:szCs w:val="16"/>
    </w:rPr>
  </w:style>
  <w:style w:type="character" w:customStyle="1" w:styleId="CommentTextChar">
    <w:name w:val="Comment Text Char"/>
    <w:basedOn w:val="DefaultParagraphFon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1">
    <w:name w:val="Comment Text Char1"/>
    <w:basedOn w:val="DefaultParagraphFont"/>
    <w:link w:val="CommentText"/>
    <w:uiPriority w:val="99"/>
    <w:rPr>
      <w:lang w:eastAsia="en-US"/>
    </w:rPr>
  </w:style>
  <w:style w:type="character" w:customStyle="1" w:styleId="CommentSubjectChar">
    <w:name w:val="Comment Subject Char"/>
    <w:basedOn w:val="CommentTextChar1"/>
    <w:link w:val="CommentSubject"/>
    <w:uiPriority w:val="99"/>
    <w:semiHidden/>
    <w:rPr>
      <w:rFonts w:asciiTheme="minorHAnsi" w:eastAsiaTheme="minorHAnsi" w:hAnsiTheme="minorHAnsi" w:cstheme="minorBidi"/>
      <w:b/>
      <w:bCs/>
      <w:lang w:eastAsia="en-US"/>
    </w:rPr>
  </w:style>
  <w:style w:type="table" w:customStyle="1" w:styleId="Mainbidtables1">
    <w:name w:val="Main bid tables1"/>
    <w:basedOn w:val="TableNormal"/>
    <w:uiPriority w:val="9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Mainbidtables2">
    <w:name w:val="Main bid tables2"/>
    <w:basedOn w:val="TableNormal"/>
    <w:uiPriority w:val="9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styleId="Revision">
    <w:name w:val="Revision"/>
    <w:hidden/>
    <w:uiPriority w:val="99"/>
    <w:semiHidden/>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Pr>
      <w:color w:val="0000FF" w:themeColor="hyperlink"/>
      <w:u w:val="single"/>
    </w:rPr>
  </w:style>
  <w:style w:type="paragraph" w:customStyle="1" w:styleId="Standard">
    <w:name w:val="Standard"/>
    <w:pPr>
      <w:suppressAutoHyphens/>
      <w:autoSpaceDN w:val="0"/>
      <w:spacing w:after="200" w:line="276" w:lineRule="auto"/>
      <w:textAlignment w:val="baseline"/>
    </w:pPr>
    <w:rPr>
      <w:rFonts w:ascii="Calibri" w:eastAsia="SimSun" w:hAnsi="Calibri" w:cs="F"/>
      <w:kern w:val="3"/>
      <w:sz w:val="22"/>
      <w:szCs w:val="22"/>
      <w:lang w:eastAsia="en-US"/>
    </w:rPr>
  </w:style>
  <w:style w:type="numbering" w:customStyle="1" w:styleId="WWNum14">
    <w:name w:val="WWNum14"/>
    <w:basedOn w:val="NoList"/>
    <w:pPr>
      <w:numPr>
        <w:numId w:val="21"/>
      </w:numPr>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CVD">
    <w:name w:val="CVD"/>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hint="default"/>
        <w:color w:val="FFFFFF" w:themeColor="background1"/>
        <w:sz w:val="20"/>
        <w:szCs w:val="20"/>
      </w:rPr>
      <w:tblPr/>
      <w:tcPr>
        <w:shd w:val="clear" w:color="auto" w:fill="00B0F0"/>
      </w:tcPr>
    </w:tblStylePr>
  </w:style>
  <w:style w:type="table" w:customStyle="1" w:styleId="CVD1">
    <w:name w:val="CVD1"/>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2">
    <w:name w:val="CVD2"/>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3">
    <w:name w:val="CVD3"/>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4">
    <w:name w:val="CVD4"/>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5">
    <w:name w:val="CVD5"/>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paragraph" w:customStyle="1" w:styleId="EBP2">
    <w:name w:val="E BP2"/>
    <w:basedOn w:val="Normal"/>
    <w:qFormat/>
    <w:pPr>
      <w:numPr>
        <w:numId w:val="33"/>
      </w:numPr>
      <w:spacing w:after="120" w:line="288" w:lineRule="auto"/>
      <w:ind w:left="454" w:hanging="227"/>
      <w:contextualSpacing/>
      <w:jc w:val="both"/>
    </w:pPr>
    <w:rPr>
      <w:rFonts w:ascii="Arial" w:hAnsi="Arial" w:cs="Arial"/>
      <w:sz w:val="18"/>
      <w:szCs w:val="18"/>
      <w:lang w:eastAsia="de-DE"/>
    </w:rPr>
  </w:style>
  <w:style w:type="paragraph" w:customStyle="1" w:styleId="EBP1">
    <w:name w:val="E BP1"/>
    <w:basedOn w:val="Normal"/>
    <w:qFormat/>
    <w:pPr>
      <w:tabs>
        <w:tab w:val="num" w:pos="360"/>
      </w:tabs>
      <w:spacing w:after="120" w:line="288" w:lineRule="auto"/>
      <w:ind w:left="709" w:hanging="357"/>
      <w:contextualSpacing/>
      <w:jc w:val="both"/>
    </w:pPr>
    <w:rPr>
      <w:rFonts w:ascii="Arial" w:hAnsi="Arial" w:cs="Arial"/>
      <w:sz w:val="20"/>
      <w:szCs w:val="20"/>
    </w:rPr>
  </w:style>
  <w:style w:type="character" w:customStyle="1" w:styleId="Heading1Char">
    <w:name w:val="Heading 1 Char"/>
    <w:aliases w:val="Header1 Char"/>
    <w:basedOn w:val="DefaultParagraphFont"/>
    <w:link w:val="Heading1"/>
    <w:rPr>
      <w:rFonts w:eastAsiaTheme="minorHAnsi"/>
      <w:b/>
      <w:smallCaps/>
      <w:sz w:val="22"/>
      <w:szCs w:val="22"/>
      <w:lang w:eastAsia="en-US"/>
    </w:rPr>
  </w:style>
  <w:style w:type="character" w:customStyle="1" w:styleId="Heading2Char">
    <w:name w:val="Heading 2 Char"/>
    <w:aliases w:val="E H2 Char,Heading 2 Char1 Char,Heading 2 Char Char Char Char"/>
    <w:basedOn w:val="DefaultParagraphFont"/>
    <w:link w:val="Heading2"/>
    <w:rPr>
      <w:rFonts w:eastAsiaTheme="minorHAnsi"/>
      <w:b/>
      <w:sz w:val="22"/>
      <w:szCs w:val="22"/>
      <w:lang w:eastAsia="en-US"/>
    </w:rPr>
  </w:style>
  <w:style w:type="character" w:customStyle="1" w:styleId="Heading3Char">
    <w:name w:val="Heading 3 Char"/>
    <w:aliases w:val="E H3 Char"/>
    <w:basedOn w:val="DefaultParagraphFont"/>
    <w:link w:val="Heading3"/>
    <w:rPr>
      <w:rFonts w:eastAsiaTheme="minorHAnsi"/>
      <w:i/>
      <w:sz w:val="22"/>
      <w:szCs w:val="22"/>
      <w:lang w:val="en" w:eastAsia="en-US"/>
    </w:rPr>
  </w:style>
  <w:style w:type="character" w:customStyle="1" w:styleId="Heading4Char">
    <w:name w:val="Heading 4 Char"/>
    <w:aliases w:val="E H4 Char"/>
    <w:basedOn w:val="DefaultParagraphFont"/>
    <w:link w:val="Heading4"/>
    <w:uiPriority w:val="9"/>
    <w:rPr>
      <w:rFonts w:eastAsiaTheme="minorHAnsi"/>
      <w:sz w:val="22"/>
      <w:szCs w:val="22"/>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ypedudocumentChar">
    <w:name w:val="Type du document Char"/>
    <w:basedOn w:val="DefaultParagraphFont"/>
    <w:link w:val="Typedudocument"/>
    <w:rPr>
      <w:rFonts w:eastAsiaTheme="minorHAnsi"/>
      <w:b/>
      <w:sz w:val="24"/>
      <w:szCs w:val="22"/>
      <w:lang w:eastAsia="en-US"/>
    </w:rPr>
  </w:style>
  <w:style w:type="character" w:customStyle="1" w:styleId="FooterCoverPageChar">
    <w:name w:val="Footer Cover Page Char"/>
    <w:basedOn w:val="TypedudocumentChar"/>
    <w:link w:val="FooterCoverPage"/>
    <w:rPr>
      <w:rFonts w:eastAsiaTheme="minorHAnsi"/>
      <w:b w:val="0"/>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eastAsiaTheme="minorHAnsi"/>
      <w:b w:val="0"/>
      <w:sz w:val="24"/>
      <w:szCs w:val="22"/>
      <w:lang w:eastAsia="en-US"/>
    </w:rPr>
  </w:style>
  <w:style w:type="character" w:styleId="Emphasis">
    <w:name w:val="Emphasis"/>
    <w:aliases w:val="E Italic"/>
    <w:basedOn w:val="DefaultParagraphFont"/>
    <w:uiPriority w:val="20"/>
    <w:qFormat/>
    <w:rPr>
      <w:i/>
      <w:iCs/>
    </w:rPr>
  </w:style>
  <w:style w:type="character" w:customStyle="1" w:styleId="Heading5Char">
    <w:name w:val="Heading 5 Char"/>
    <w:basedOn w:val="DefaultParagraphFont"/>
    <w:link w:val="Heading5"/>
    <w:rPr>
      <w:rFonts w:ascii="Arial" w:eastAsiaTheme="minorHAnsi" w:hAnsi="Arial" w:cstheme="minorBidi"/>
      <w:sz w:val="22"/>
      <w:szCs w:val="22"/>
      <w:lang w:eastAsia="en-US"/>
    </w:rPr>
  </w:style>
  <w:style w:type="character" w:customStyle="1" w:styleId="Heading6Char">
    <w:name w:val="Heading 6 Char"/>
    <w:aliases w:val="Figure Char,H6 Char"/>
    <w:basedOn w:val="DefaultParagraphFont"/>
    <w:link w:val="Heading6"/>
    <w:rPr>
      <w:rFonts w:ascii="Arial" w:eastAsiaTheme="minorHAnsi" w:hAnsi="Arial" w:cstheme="minorBidi"/>
      <w:i/>
      <w:sz w:val="22"/>
      <w:szCs w:val="22"/>
      <w:lang w:eastAsia="en-US"/>
    </w:rPr>
  </w:style>
  <w:style w:type="character" w:customStyle="1" w:styleId="Heading7Char">
    <w:name w:val="Heading 7 Char"/>
    <w:aliases w:val="Appendix 1 Char"/>
    <w:basedOn w:val="DefaultParagraphFont"/>
    <w:link w:val="Heading7"/>
    <w:rPr>
      <w:rFonts w:ascii="Arial" w:eastAsiaTheme="minorHAnsi" w:hAnsi="Arial" w:cstheme="minorBidi"/>
      <w:szCs w:val="22"/>
      <w:lang w:eastAsia="en-US"/>
    </w:rPr>
  </w:style>
  <w:style w:type="character" w:customStyle="1" w:styleId="Heading8Char">
    <w:name w:val="Heading 8 Char"/>
    <w:aliases w:val="Appendix 2 Char"/>
    <w:basedOn w:val="DefaultParagraphFont"/>
    <w:link w:val="Heading8"/>
    <w:rPr>
      <w:rFonts w:ascii="Arial" w:eastAsiaTheme="minorHAnsi" w:hAnsi="Arial" w:cstheme="minorBidi"/>
      <w:i/>
      <w:szCs w:val="22"/>
      <w:lang w:eastAsia="en-US"/>
    </w:rPr>
  </w:style>
  <w:style w:type="character" w:customStyle="1" w:styleId="Heading9Char">
    <w:name w:val="Heading 9 Char"/>
    <w:aliases w:val="Appendix 3 Char"/>
    <w:basedOn w:val="DefaultParagraphFont"/>
    <w:link w:val="Heading9"/>
    <w:rPr>
      <w:rFonts w:ascii="Arial" w:eastAsiaTheme="minorHAnsi" w:hAnsi="Arial" w:cstheme="minorBidi"/>
      <w:i/>
      <w:sz w:val="18"/>
      <w:szCs w:val="22"/>
      <w:lang w:eastAsia="en-US"/>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jc w:val="both"/>
    </w:pPr>
    <w:rPr>
      <w:rFonts w:ascii="Arial" w:eastAsia="Times New Roman" w:hAnsi="Arial" w:cs="Arial"/>
      <w:sz w:val="16"/>
      <w:szCs w:val="16"/>
      <w:lang w:eastAsia="en-GB"/>
    </w:rPr>
  </w:style>
  <w:style w:type="numbering" w:customStyle="1" w:styleId="SDGAppendixHeadings">
    <w:name w:val="SDG Appendix Headings"/>
    <w:uiPriority w:val="99"/>
    <w:semiHidden/>
    <w:pPr>
      <w:numPr>
        <w:numId w:val="42"/>
      </w:numPr>
    </w:pPr>
  </w:style>
  <w:style w:type="paragraph" w:customStyle="1" w:styleId="SDGAppendixListNumber">
    <w:name w:val="SDG Appendix List Number"/>
    <w:basedOn w:val="Heading9"/>
    <w:uiPriority w:val="23"/>
    <w:qFormat/>
    <w:pPr>
      <w:tabs>
        <w:tab w:val="clear" w:pos="0"/>
      </w:tabs>
      <w:spacing w:before="140" w:after="140" w:line="280" w:lineRule="atLeast"/>
      <w:ind w:hanging="851"/>
      <w:outlineLvl w:val="9"/>
    </w:pPr>
    <w:rPr>
      <w:rFonts w:asciiTheme="majorHAnsi" w:eastAsiaTheme="majorEastAsia" w:hAnsiTheme="majorHAnsi" w:cstheme="majorBidi"/>
      <w:i w:val="0"/>
      <w:iCs/>
      <w:color w:val="404040" w:themeColor="text1" w:themeTint="BF"/>
      <w:sz w:val="22"/>
    </w:rPr>
  </w:style>
  <w:style w:type="character" w:styleId="Strong">
    <w:name w:val="Strong"/>
    <w:aliases w:val="E Bold"/>
    <w:basedOn w:val="DefaultParagraphFont"/>
    <w:uiPriority w:val="22"/>
    <w:qFormat/>
    <w:rPr>
      <w:b/>
      <w:bCs/>
    </w:rPr>
  </w:style>
  <w:style w:type="table" w:customStyle="1" w:styleId="Style1">
    <w:name w:val="Style1"/>
    <w:basedOn w:val="TableNormal"/>
    <w:uiPriority w:val="99"/>
    <w:tblPr/>
  </w:style>
  <w:style w:type="character" w:styleId="PageNumber">
    <w:name w:val="page number"/>
    <w:basedOn w:val="DefaultParagraphFont"/>
  </w:style>
  <w:style w:type="paragraph" w:customStyle="1" w:styleId="EText">
    <w:name w:val="E Text"/>
    <w:qFormat/>
    <w:pPr>
      <w:spacing w:after="120" w:line="360" w:lineRule="auto"/>
      <w:jc w:val="both"/>
    </w:pPr>
    <w:rPr>
      <w:rFonts w:ascii="Arial" w:hAnsi="Arial"/>
      <w:lang w:eastAsia="de-DE"/>
    </w:rPr>
  </w:style>
  <w:style w:type="paragraph" w:customStyle="1" w:styleId="TEMPLATEColophonBold">
    <w:name w:val="TEMPLATE Colophon Bold"/>
    <w:basedOn w:val="TEMPLATEColophon"/>
    <w:rPr>
      <w:b/>
      <w:bCs/>
    </w:rPr>
  </w:style>
  <w:style w:type="paragraph" w:customStyle="1" w:styleId="Etabletext">
    <w:name w:val="E table text"/>
    <w:link w:val="EtabletextChar"/>
    <w:qFormat/>
    <w:pPr>
      <w:spacing w:before="40" w:after="40"/>
    </w:pPr>
    <w:rPr>
      <w:rFonts w:ascii="Verdana" w:hAnsi="Verdana"/>
      <w:sz w:val="16"/>
      <w:lang w:eastAsia="de-DE"/>
    </w:rPr>
  </w:style>
  <w:style w:type="paragraph" w:customStyle="1" w:styleId="TEMPLATENameofInstitutions">
    <w:name w:val="TEMPLATE Name of Institutions"/>
    <w:pPr>
      <w:keepLines/>
      <w:framePr w:wrap="around" w:hAnchor="text" w:yAlign="bottom"/>
      <w:spacing w:line="320" w:lineRule="atLeast"/>
    </w:pPr>
    <w:rPr>
      <w:rFonts w:ascii="Arial" w:hAnsi="Arial"/>
      <w:sz w:val="22"/>
      <w:lang w:eastAsia="de-DE"/>
    </w:rPr>
  </w:style>
  <w:style w:type="paragraph" w:customStyle="1" w:styleId="TEMPLATEVersuchTextbox">
    <w:name w:val="TEMPLATE Versuch Textbox"/>
    <w:basedOn w:val="EText"/>
    <w:pPr>
      <w:pBdr>
        <w:top w:val="dotted" w:sz="4" w:space="1" w:color="auto"/>
        <w:left w:val="dotted" w:sz="4" w:space="4" w:color="auto"/>
        <w:bottom w:val="dotted" w:sz="4" w:space="1" w:color="auto"/>
        <w:right w:val="dotted" w:sz="4" w:space="4" w:color="auto"/>
      </w:pBdr>
      <w:shd w:val="clear" w:color="auto" w:fill="C6D9F1" w:themeFill="text2" w:themeFillTint="33"/>
      <w:spacing w:after="0" w:line="288" w:lineRule="auto"/>
    </w:pPr>
  </w:style>
  <w:style w:type="paragraph" w:customStyle="1" w:styleId="TEMPLATEColophon">
    <w:name w:val="TEMPLATE Colophon"/>
    <w:pPr>
      <w:spacing w:line="240" w:lineRule="atLeast"/>
      <w:jc w:val="both"/>
    </w:pPr>
    <w:rPr>
      <w:rFonts w:ascii="Arial" w:hAnsi="Arial"/>
      <w:noProof/>
      <w:sz w:val="18"/>
      <w:lang w:eastAsia="en-US"/>
    </w:rPr>
  </w:style>
  <w:style w:type="paragraph" w:customStyle="1" w:styleId="TEMPLATEHeadingPartsnotinTOC">
    <w:name w:val="TEMPLATE Heading Parts (not in TOC)"/>
    <w:next w:val="EText"/>
    <w:pPr>
      <w:pageBreakBefore/>
      <w:widowControl w:val="0"/>
      <w:spacing w:after="160"/>
    </w:pPr>
    <w:rPr>
      <w:rFonts w:ascii="Arial" w:hAnsi="Arial"/>
      <w:b/>
      <w:sz w:val="28"/>
      <w:lang w:eastAsia="de-DE"/>
    </w:rPr>
  </w:style>
  <w:style w:type="paragraph" w:customStyle="1" w:styleId="TEMPLATEHeadingforAnnexesandAfterword">
    <w:name w:val="TEMPLATE Heading for Annexes and Afterword"/>
    <w:next w:val="EText"/>
    <w:pPr>
      <w:pageBreakBefore/>
      <w:spacing w:after="160"/>
      <w:outlineLvl w:val="0"/>
    </w:pPr>
    <w:rPr>
      <w:rFonts w:ascii="Arial" w:hAnsi="Arial"/>
      <w:b/>
      <w:sz w:val="28"/>
      <w:lang w:eastAsia="de-DE"/>
    </w:rPr>
  </w:style>
  <w:style w:type="paragraph" w:customStyle="1" w:styleId="TEMPLATEColophonSpacing">
    <w:name w:val="TEMPLATE Colophon Spacing"/>
    <w:rPr>
      <w:rFonts w:ascii="Arial" w:hAnsi="Arial"/>
      <w:sz w:val="22"/>
      <w:szCs w:val="24"/>
      <w:lang w:eastAsia="en-US"/>
    </w:rPr>
  </w:style>
  <w:style w:type="paragraph" w:customStyle="1" w:styleId="TEMPLATECreatenewpage">
    <w:name w:val="TEMPLATE Create new page"/>
    <w:pPr>
      <w:pageBreakBefore/>
      <w:widowControl w:val="0"/>
    </w:pPr>
    <w:rPr>
      <w:rFonts w:ascii="Arial" w:hAnsi="Arial"/>
      <w:noProof/>
      <w:color w:val="FFFFFF" w:themeColor="background1"/>
      <w:lang w:eastAsia="de-DE"/>
    </w:rPr>
  </w:style>
  <w:style w:type="paragraph" w:customStyle="1" w:styleId="TEMPLATEHeadingListsandExSummary">
    <w:name w:val="TEMPLATE Heading Lists and ExSummary"/>
    <w:next w:val="EText"/>
    <w:pPr>
      <w:widowControl w:val="0"/>
      <w:spacing w:after="160"/>
    </w:pPr>
    <w:rPr>
      <w:rFonts w:ascii="Arial" w:hAnsi="Arial"/>
      <w:b/>
      <w:sz w:val="28"/>
      <w:lang w:eastAsia="de-DE"/>
    </w:rPr>
  </w:style>
  <w:style w:type="paragraph" w:customStyle="1" w:styleId="TEMPLATELastPage">
    <w:name w:val="TEMPLATE Last Page"/>
    <w:pPr>
      <w:jc w:val="both"/>
    </w:pPr>
    <w:rPr>
      <w:rFonts w:ascii="Arial" w:hAnsi="Arial" w:cs="Arial"/>
      <w:sz w:val="18"/>
      <w:lang w:eastAsia="en-US"/>
    </w:rPr>
  </w:style>
  <w:style w:type="character" w:styleId="FollowedHyperlink">
    <w:name w:val="FollowedHyperlink"/>
    <w:basedOn w:val="DefaultParagraphFont"/>
    <w:uiPriority w:val="99"/>
    <w:unhideWhenUsed/>
    <w:rPr>
      <w:color w:val="auto"/>
      <w:u w:val="none"/>
    </w:rPr>
  </w:style>
  <w:style w:type="paragraph" w:customStyle="1" w:styleId="TEMPLATEAbbreviations">
    <w:name w:val="TEMPLATE Abbreviations"/>
    <w:rPr>
      <w:rFonts w:ascii="Arial" w:hAnsi="Arial"/>
      <w:noProof/>
      <w:lang w:eastAsia="de-DE"/>
    </w:rPr>
  </w:style>
  <w:style w:type="character" w:customStyle="1" w:styleId="EndnoteTextChar">
    <w:name w:val="Endnote Text Char"/>
    <w:basedOn w:val="DefaultParagraphFont"/>
    <w:link w:val="EndnoteText"/>
    <w:uiPriority w:val="99"/>
    <w:rPr>
      <w:rFonts w:asciiTheme="minorHAnsi" w:eastAsiaTheme="minorHAnsi" w:hAnsiTheme="minorHAnsi" w:cstheme="minorBidi"/>
      <w:szCs w:val="22"/>
      <w:lang w:eastAsia="en-US"/>
    </w:rPr>
  </w:style>
  <w:style w:type="character" w:styleId="EndnoteReference">
    <w:name w:val="endnote reference"/>
    <w:basedOn w:val="DefaultParagraphFont"/>
    <w:uiPriority w:val="99"/>
    <w:semiHidden/>
    <w:unhideWhenUsed/>
    <w:rPr>
      <w:vertAlign w:val="superscript"/>
    </w:rPr>
  </w:style>
  <w:style w:type="paragraph" w:customStyle="1" w:styleId="ECaptionBelowSource">
    <w:name w:val="E Caption Below (Source)"/>
    <w:next w:val="EText"/>
    <w:qFormat/>
    <w:pPr>
      <w:spacing w:before="40" w:after="240"/>
    </w:pPr>
    <w:rPr>
      <w:rFonts w:ascii="Arial" w:hAnsi="Arial"/>
      <w:bCs/>
      <w:i/>
      <w:sz w:val="18"/>
      <w:szCs w:val="18"/>
      <w:lang w:eastAsia="en-US"/>
    </w:rPr>
  </w:style>
  <w:style w:type="character" w:styleId="PlaceholderText">
    <w:name w:val="Placeholder Text"/>
    <w:basedOn w:val="DefaultParagraphFont"/>
    <w:uiPriority w:val="99"/>
    <w:semiHidden/>
    <w:rPr>
      <w:color w:val="808080"/>
    </w:rPr>
  </w:style>
  <w:style w:type="paragraph" w:customStyle="1" w:styleId="TEMPLATEFrontpagetitle">
    <w:name w:val="TEMPLATE Frontpage title"/>
    <w:pPr>
      <w:jc w:val="center"/>
    </w:pPr>
    <w:rPr>
      <w:rFonts w:ascii="Arial" w:hAnsi="Arial"/>
      <w:sz w:val="60"/>
      <w:szCs w:val="24"/>
      <w:lang w:eastAsia="en-US"/>
    </w:rPr>
  </w:style>
  <w:style w:type="paragraph" w:customStyle="1" w:styleId="TEMPLATETitlethirdpage">
    <w:name w:val="TEMPLATE Title third page"/>
    <w:pPr>
      <w:jc w:val="center"/>
    </w:pPr>
    <w:rPr>
      <w:rFonts w:ascii="Arial" w:hAnsi="Arial"/>
      <w:sz w:val="52"/>
      <w:lang w:val="en-US" w:eastAsia="de-DE"/>
    </w:rPr>
  </w:style>
  <w:style w:type="paragraph" w:customStyle="1" w:styleId="TEMPLATEFrontpageothertext">
    <w:name w:val="TEMPLATE Frontpage other text"/>
    <w:pPr>
      <w:jc w:val="center"/>
    </w:pPr>
    <w:rPr>
      <w:rFonts w:ascii="Arial" w:hAnsi="Arial"/>
      <w:sz w:val="36"/>
      <w:lang w:eastAsia="de-DE"/>
    </w:rPr>
  </w:style>
  <w:style w:type="paragraph" w:customStyle="1" w:styleId="ETextNoSpacing">
    <w:name w:val="E Text No Spacing"/>
    <w:basedOn w:val="EText"/>
    <w:qFormat/>
    <w:pPr>
      <w:keepNext/>
      <w:spacing w:after="0"/>
    </w:pPr>
  </w:style>
  <w:style w:type="table" w:customStyle="1" w:styleId="LightShading1">
    <w:name w:val="Light Shading1"/>
    <w:basedOn w:val="TableNormal"/>
    <w:uiPriority w:val="60"/>
    <w:rPr>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ReferenceList">
    <w:name w:val="E Reference List"/>
    <w:qFormat/>
    <w:pPr>
      <w:spacing w:after="120"/>
    </w:pPr>
    <w:rPr>
      <w:rFonts w:ascii="Arial" w:hAnsi="Arial"/>
      <w:iCs/>
      <w:sz w:val="18"/>
      <w:lang w:eastAsia="en-US"/>
    </w:rPr>
  </w:style>
  <w:style w:type="paragraph" w:customStyle="1" w:styleId="Etableheader">
    <w:name w:val="E table header"/>
    <w:basedOn w:val="Etabletext"/>
    <w:link w:val="EtableheaderChar1"/>
    <w:qFormat/>
    <w:rPr>
      <w:b/>
    </w:rPr>
  </w:style>
  <w:style w:type="character" w:customStyle="1" w:styleId="EtableheaderChar1">
    <w:name w:val="E table header Char1"/>
    <w:basedOn w:val="EtabletextChar"/>
    <w:link w:val="Etableheader"/>
    <w:rPr>
      <w:rFonts w:ascii="Verdana" w:hAnsi="Verdana"/>
      <w:b/>
      <w:sz w:val="16"/>
      <w:lang w:eastAsia="de-DE"/>
    </w:rPr>
  </w:style>
  <w:style w:type="character" w:customStyle="1" w:styleId="EtabletextChar">
    <w:name w:val="E table text Char"/>
    <w:basedOn w:val="DefaultParagraphFont"/>
    <w:link w:val="Etabletext"/>
    <w:rPr>
      <w:rFonts w:ascii="Verdana" w:hAnsi="Verdana"/>
      <w:sz w:val="16"/>
      <w:lang w:eastAsia="de-DE"/>
    </w:rPr>
  </w:style>
  <w:style w:type="character" w:customStyle="1" w:styleId="EtableheaderChar">
    <w:name w:val="E table header Char"/>
    <w:basedOn w:val="EtabletextChar"/>
    <w:rPr>
      <w:rFonts w:ascii="Verdana" w:hAnsi="Verdana"/>
      <w:sz w:val="16"/>
      <w:lang w:eastAsia="de-DE"/>
    </w:rPr>
  </w:style>
  <w:style w:type="paragraph" w:customStyle="1" w:styleId="EH5">
    <w:name w:val="E H5"/>
    <w:next w:val="EText"/>
    <w:qFormat/>
    <w:pPr>
      <w:spacing w:before="60" w:after="120"/>
    </w:pPr>
    <w:rPr>
      <w:rFonts w:ascii="Arial" w:hAnsi="Arial"/>
      <w:b/>
      <w:bCs/>
      <w:sz w:val="21"/>
      <w:lang w:eastAsia="de-DE"/>
    </w:rPr>
  </w:style>
  <w:style w:type="paragraph" w:customStyle="1" w:styleId="Abbildung">
    <w:name w:val="Abbildung"/>
    <w:basedOn w:val="Normal"/>
    <w:qFormat/>
    <w:pPr>
      <w:spacing w:after="0" w:line="240" w:lineRule="auto"/>
      <w:jc w:val="both"/>
    </w:pPr>
    <w:rPr>
      <w:rFonts w:ascii="Arial" w:eastAsia="Times New Roman" w:hAnsi="Arial" w:cs="Times New Roman"/>
      <w:noProof/>
      <w:szCs w:val="24"/>
      <w:lang w:eastAsia="it-IT"/>
    </w:rPr>
  </w:style>
  <w:style w:type="paragraph" w:customStyle="1" w:styleId="Tabelle">
    <w:name w:val="Tabelle"/>
    <w:basedOn w:val="Normal"/>
    <w:qFormat/>
    <w:pPr>
      <w:spacing w:before="40" w:after="40" w:line="240" w:lineRule="auto"/>
      <w:jc w:val="both"/>
    </w:pPr>
    <w:rPr>
      <w:rFonts w:ascii="Arial" w:eastAsia="Times New Roman" w:hAnsi="Arial" w:cs="Times New Roman"/>
      <w:bCs/>
      <w:sz w:val="18"/>
      <w:szCs w:val="18"/>
      <w:lang w:eastAsia="de-DE"/>
    </w:rPr>
  </w:style>
  <w:style w:type="paragraph" w:customStyle="1" w:styleId="Quelle">
    <w:name w:val="Quelle"/>
    <w:basedOn w:val="Normal"/>
    <w:next w:val="Normal"/>
    <w:qFormat/>
    <w:pPr>
      <w:spacing w:before="80" w:after="240" w:line="240" w:lineRule="auto"/>
      <w:jc w:val="both"/>
    </w:pPr>
    <w:rPr>
      <w:rFonts w:ascii="Arial" w:eastAsia="Times New Roman" w:hAnsi="Arial" w:cs="Times New Roman"/>
      <w:bCs/>
      <w:iCs/>
      <w:sz w:val="18"/>
      <w:szCs w:val="20"/>
      <w:lang w:eastAsia="de-DE"/>
    </w:rPr>
  </w:style>
  <w:style w:type="character" w:customStyle="1" w:styleId="ECaptionAboveChar">
    <w:name w:val="E Caption Above Char"/>
    <w:aliases w:val="Inscription Char,Beschriftung Char Char,FigureText Char,FigureText1 Char,FigureText2 Char,FigureText3 Char,FigureText11 Char,FigureText21 Char"/>
    <w:rPr>
      <w:rFonts w:ascii="Arial" w:hAnsi="Arial"/>
      <w:bCs/>
      <w:i/>
      <w:sz w:val="18"/>
      <w:szCs w:val="18"/>
      <w:lang w:val="en-GB"/>
    </w:rPr>
  </w:style>
  <w:style w:type="paragraph" w:customStyle="1" w:styleId="Enumbering">
    <w:name w:val="E numbering"/>
    <w:basedOn w:val="EBP1"/>
    <w:pPr>
      <w:numPr>
        <w:numId w:val="43"/>
      </w:numPr>
      <w:ind w:left="567" w:hanging="340"/>
    </w:pPr>
    <w:rPr>
      <w:rFonts w:eastAsia="Times New Roman" w:cs="Times New Roman"/>
    </w:rPr>
  </w:style>
  <w:style w:type="character" w:customStyle="1" w:styleId="st">
    <w:name w:val="st"/>
    <w:basedOn w:val="DefaultParagraphFont"/>
  </w:style>
  <w:style w:type="character" w:customStyle="1" w:styleId="tgc">
    <w:name w:val="_tgc"/>
    <w:basedOn w:val="DefaultParagraphFont"/>
  </w:style>
  <w:style w:type="numbering" w:customStyle="1" w:styleId="KeineListe1">
    <w:name w:val="Keine Liste1"/>
    <w:next w:val="NoList"/>
    <w:uiPriority w:val="99"/>
    <w:semiHidden/>
    <w:unhideWhenUsed/>
  </w:style>
  <w:style w:type="paragraph" w:customStyle="1" w:styleId="ESPONText">
    <w:name w:val="ESPON Text"/>
    <w:basedOn w:val="Normal"/>
    <w:pPr>
      <w:spacing w:after="120" w:line="300" w:lineRule="atLeast"/>
      <w:jc w:val="both"/>
    </w:pPr>
    <w:rPr>
      <w:rFonts w:ascii="Arial" w:eastAsia="Times New Roman" w:hAnsi="Arial" w:cs="Times New Roman"/>
      <w:szCs w:val="20"/>
      <w:lang w:eastAsia="de-DE"/>
    </w:rPr>
  </w:style>
  <w:style w:type="paragraph" w:customStyle="1" w:styleId="ESPONSubtitle">
    <w:name w:val="ESPON Subtitle"/>
    <w:basedOn w:val="Normal"/>
    <w:next w:val="ESPONText"/>
    <w:pPr>
      <w:keepNext/>
      <w:numPr>
        <w:numId w:val="45"/>
      </w:numPr>
      <w:autoSpaceDE w:val="0"/>
      <w:autoSpaceDN w:val="0"/>
      <w:adjustRightInd w:val="0"/>
      <w:spacing w:before="360" w:after="240" w:line="300" w:lineRule="atLeast"/>
      <w:ind w:left="567" w:hanging="567"/>
      <w:jc w:val="both"/>
    </w:pPr>
    <w:rPr>
      <w:rFonts w:ascii="Arial" w:eastAsia="Times New Roman" w:hAnsi="Arial" w:cs="Times New Roman"/>
      <w:b/>
      <w:color w:val="365F91"/>
      <w:szCs w:val="20"/>
    </w:rPr>
  </w:style>
  <w:style w:type="paragraph" w:customStyle="1" w:styleId="ESPONTableHeading">
    <w:name w:val="ESPON Table Heading"/>
    <w:basedOn w:val="ESPONFigureHeading"/>
    <w:next w:val="ESPONText"/>
  </w:style>
  <w:style w:type="paragraph" w:customStyle="1" w:styleId="ESPONFigureHeading">
    <w:name w:val="ESPON Figure Heading"/>
    <w:basedOn w:val="Caption"/>
    <w:next w:val="ESPONText"/>
    <w:pPr>
      <w:keepNext/>
      <w:spacing w:before="240"/>
      <w:ind w:left="851" w:hanging="851"/>
    </w:pPr>
    <w:rPr>
      <w:rFonts w:ascii="Arial" w:hAnsi="Arial"/>
      <w:bCs/>
      <w:color w:val="365F91"/>
      <w:sz w:val="18"/>
    </w:rPr>
  </w:style>
  <w:style w:type="paragraph" w:customStyle="1" w:styleId="ESPONMapHeading">
    <w:name w:val="ESPON Map Heading"/>
    <w:basedOn w:val="ESPONFigureHeading"/>
    <w:next w:val="ESPONText"/>
  </w:style>
  <w:style w:type="paragraph" w:customStyle="1" w:styleId="Aufzhlung">
    <w:name w:val="Aufzählung"/>
    <w:basedOn w:val="AufzhlungEnde"/>
    <w:qFormat/>
    <w:pPr>
      <w:tabs>
        <w:tab w:val="left" w:pos="426"/>
      </w:tabs>
      <w:spacing w:after="60"/>
    </w:pPr>
  </w:style>
  <w:style w:type="paragraph" w:customStyle="1" w:styleId="AufzhlungEnde">
    <w:name w:val="Aufzählung_Ende"/>
    <w:basedOn w:val="ESPONText"/>
    <w:qFormat/>
    <w:pPr>
      <w:numPr>
        <w:numId w:val="44"/>
      </w:numPr>
    </w:pPr>
  </w:style>
  <w:style w:type="character" w:customStyle="1" w:styleId="CharChar7">
    <w:name w:val="Char Char7"/>
    <w:rPr>
      <w:rFonts w:ascii="Times" w:hAnsi="Times"/>
      <w:b/>
      <w:noProof/>
      <w:lang w:val="it-IT" w:eastAsia="it-IT"/>
    </w:rPr>
  </w:style>
  <w:style w:type="paragraph" w:styleId="NoSpacing">
    <w:name w:val="No Spacing"/>
    <w:link w:val="NoSpacingChar"/>
    <w:uiPriority w:val="1"/>
    <w:qFormat/>
    <w:rPr>
      <w:rFonts w:ascii="Calibri" w:hAnsi="Calibri" w:cs="Arial"/>
      <w:sz w:val="22"/>
      <w:szCs w:val="22"/>
      <w:lang w:val="de-DE" w:eastAsia="en-US"/>
    </w:rPr>
  </w:style>
  <w:style w:type="character" w:customStyle="1" w:styleId="NoSpacingChar">
    <w:name w:val="No Spacing Char"/>
    <w:link w:val="NoSpacing"/>
    <w:uiPriority w:val="1"/>
    <w:rPr>
      <w:rFonts w:ascii="Calibri" w:hAnsi="Calibri" w:cs="Arial"/>
      <w:sz w:val="22"/>
      <w:szCs w:val="22"/>
      <w:lang w:val="de-DE" w:eastAsia="en-US"/>
    </w:rPr>
  </w:style>
  <w:style w:type="table" w:customStyle="1" w:styleId="Tabellengitternetz1">
    <w:name w:val="Tabellengitternetz1"/>
    <w:basedOn w:val="TableNormal"/>
    <w:next w:val="TableGrid"/>
    <w:uiPriority w:val="59"/>
    <w:rPr>
      <w:rFonts w:ascii="Calibri" w:eastAsia="Calibri" w:hAnsi="Calibri" w:cs="Arial"/>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PONColophon">
    <w:name w:val="ESPON Colophon"/>
    <w:basedOn w:val="Normal"/>
    <w:pPr>
      <w:spacing w:after="0" w:line="240" w:lineRule="atLeast"/>
      <w:ind w:right="5103"/>
      <w:jc w:val="both"/>
    </w:pPr>
    <w:rPr>
      <w:rFonts w:ascii="Arial" w:eastAsia="Times New Roman" w:hAnsi="Arial" w:cs="Times New Roman"/>
      <w:sz w:val="16"/>
      <w:szCs w:val="20"/>
    </w:rPr>
  </w:style>
  <w:style w:type="paragraph" w:customStyle="1" w:styleId="Impressum">
    <w:name w:val="Impressum"/>
    <w:basedOn w:val="Normal"/>
    <w:pPr>
      <w:spacing w:after="240" w:line="280" w:lineRule="atLeast"/>
      <w:jc w:val="both"/>
    </w:pPr>
    <w:rPr>
      <w:rFonts w:ascii="Humnst777 Lt BT" w:eastAsia="Times New Roman" w:hAnsi="Humnst777 Lt BT" w:cs="Times New Roman"/>
      <w:sz w:val="20"/>
      <w:szCs w:val="20"/>
      <w:lang w:eastAsia="de-DE"/>
    </w:rPr>
  </w:style>
  <w:style w:type="table" w:customStyle="1" w:styleId="Tabellengitternetz11">
    <w:name w:val="Tabellengitternetz11"/>
    <w:basedOn w:val="TableNormal"/>
    <w:uiPriority w:val="59"/>
    <w:rPr>
      <w:lang w:val="fr-BE"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ischenberschrift">
    <w:name w:val="Zwischenüberschrift"/>
    <w:basedOn w:val="Normal"/>
    <w:next w:val="Normal"/>
    <w:qFormat/>
    <w:pPr>
      <w:keepNext/>
      <w:spacing w:before="120" w:after="120" w:line="320" w:lineRule="atLeast"/>
      <w:jc w:val="both"/>
    </w:pPr>
    <w:rPr>
      <w:rFonts w:ascii="Arial" w:eastAsia="Times New Roman" w:hAnsi="Arial" w:cs="Times New Roman"/>
      <w:b/>
      <w:szCs w:val="24"/>
    </w:rPr>
  </w:style>
  <w:style w:type="paragraph" w:customStyle="1" w:styleId="Judgement">
    <w:name w:val="Judgement"/>
    <w:basedOn w:val="Normal"/>
    <w:next w:val="Normal"/>
    <w:qFormat/>
    <w:pPr>
      <w:keepNext/>
      <w:spacing w:before="120" w:after="120" w:line="280" w:lineRule="atLeast"/>
      <w:jc w:val="both"/>
    </w:pPr>
    <w:rPr>
      <w:rFonts w:ascii="Arial" w:eastAsia="Times New Roman" w:hAnsi="Arial" w:cs="Times New Roman"/>
      <w:i/>
      <w:color w:val="365F91"/>
      <w:sz w:val="19"/>
      <w:szCs w:val="19"/>
    </w:rPr>
  </w:style>
  <w:style w:type="paragraph" w:customStyle="1" w:styleId="RegularText">
    <w:name w:val="Regular_Text"/>
    <w:uiPriority w:val="99"/>
    <w:qFormat/>
    <w:pPr>
      <w:spacing w:after="120"/>
      <w:jc w:val="both"/>
    </w:pPr>
    <w:rPr>
      <w:rFonts w:eastAsia="Calibri"/>
      <w:sz w:val="28"/>
      <w:szCs w:val="22"/>
      <w:lang w:eastAsia="en-US"/>
    </w:rPr>
  </w:style>
  <w:style w:type="table" w:customStyle="1" w:styleId="HelleSchattierung-Akzent51">
    <w:name w:val="Helle Schattierung - Akzent 51"/>
    <w:basedOn w:val="TableNormal"/>
    <w:next w:val="LightShading-Accent5"/>
    <w:uiPriority w:val="60"/>
    <w:rPr>
      <w:rFonts w:ascii="Calibri" w:eastAsia="Calibri" w:hAnsi="Calibri" w:cs="Arial"/>
      <w:color w:val="31849B"/>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Inhaltsverzeichnisberschrift1">
    <w:name w:val="Inhaltsverzeichnisüberschrift1"/>
    <w:basedOn w:val="Heading1"/>
    <w:next w:val="Normal"/>
    <w:uiPriority w:val="39"/>
    <w:unhideWhenUsed/>
    <w:qFormat/>
    <w:pPr>
      <w:keepLines/>
      <w:numPr>
        <w:numId w:val="0"/>
      </w:numPr>
      <w:spacing w:before="480"/>
      <w:ind w:left="992" w:hanging="992"/>
      <w:outlineLvl w:val="9"/>
    </w:pPr>
    <w:rPr>
      <w:rFonts w:ascii="Cambria" w:hAnsi="Cambria"/>
      <w:bCs/>
      <w:color w:val="365F91"/>
      <w:lang w:val="en-US" w:eastAsia="ja-JP"/>
    </w:rPr>
  </w:style>
  <w:style w:type="table" w:styleId="LightShading-Accent5">
    <w:name w:val="Light Shading Accent 5"/>
    <w:basedOn w:val="TableNormal"/>
    <w:uiPriority w:val="60"/>
    <w:rPr>
      <w:color w:val="31849B" w:themeColor="accent5" w:themeShade="BF"/>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mailSignature">
    <w:name w:val="E-mail Signature"/>
    <w:basedOn w:val="Normal"/>
    <w:link w:val="E-mailSignatureChar"/>
    <w:uiPriority w:val="99"/>
    <w:unhideWhenUsed/>
    <w:pPr>
      <w:spacing w:after="0" w:line="240" w:lineRule="auto"/>
      <w:jc w:val="both"/>
    </w:pPr>
    <w:rPr>
      <w:rFonts w:ascii="Arial" w:eastAsia="Times New Roman" w:hAnsi="Arial" w:cs="Times New Roman"/>
      <w:sz w:val="20"/>
      <w:szCs w:val="20"/>
      <w:lang w:eastAsia="de-DE"/>
    </w:rPr>
  </w:style>
  <w:style w:type="character" w:customStyle="1" w:styleId="E-mailSignatureChar">
    <w:name w:val="E-mail Signature Char"/>
    <w:basedOn w:val="DefaultParagraphFont"/>
    <w:link w:val="E-mailSignature"/>
    <w:uiPriority w:val="99"/>
    <w:rPr>
      <w:rFonts w:ascii="Arial" w:hAnsi="Arial"/>
      <w:lang w:eastAsia="de-DE"/>
    </w:rPr>
  </w:style>
  <w:style w:type="character" w:customStyle="1" w:styleId="BodyTextChar">
    <w:name w:val="Body Text Char"/>
    <w:basedOn w:val="DefaultParagraphFont"/>
    <w:link w:val="BodyText"/>
    <w:rPr>
      <w:rFonts w:asciiTheme="minorHAnsi" w:eastAsiaTheme="minorHAnsi" w:hAnsiTheme="minorHAnsi" w:cstheme="minorBidi"/>
      <w:sz w:val="22"/>
      <w:szCs w:val="22"/>
      <w:lang w:eastAsia="en-US"/>
    </w:rPr>
  </w:style>
  <w:style w:type="paragraph" w:customStyle="1" w:styleId="TableTextNoSpace">
    <w:name w:val="Table Text NoSpace"/>
    <w:basedOn w:val="Normal"/>
    <w:uiPriority w:val="7"/>
    <w:qFormat/>
    <w:pPr>
      <w:spacing w:after="0" w:line="220" w:lineRule="atLeast"/>
      <w:jc w:val="both"/>
    </w:pPr>
    <w:rPr>
      <w:rFonts w:ascii="Verdana" w:eastAsia="Times New Roman" w:hAnsi="Verdana" w:cs="Arial"/>
      <w:sz w:val="16"/>
      <w:szCs w:val="23"/>
      <w:lang w:eastAsia="da-DK"/>
    </w:rPr>
  </w:style>
  <w:style w:type="table" w:customStyle="1" w:styleId="CowiTableLines">
    <w:name w:val="Cowi Table Lines"/>
    <w:basedOn w:val="TableGrid6"/>
    <w:uiPriority w:val="99"/>
    <w:pPr>
      <w:spacing w:after="0" w:line="270" w:lineRule="atLeast"/>
      <w:jc w:val="lef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tcPr>
    </w:tblStylePr>
    <w:tblStylePr w:type="lastRow">
      <w:rPr>
        <w:color w:val="auto"/>
      </w:rPr>
      <w:tblPr/>
      <w:tcPr>
        <w:tcBorders>
          <w:top w:val="nil"/>
          <w:tl2br w:val="none" w:sz="0" w:space="0" w:color="auto"/>
          <w:tr2bl w:val="none" w:sz="0" w:space="0" w:color="auto"/>
        </w:tcBorders>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6">
    <w:name w:val="Table Grid 6"/>
    <w:basedOn w:val="TableNormal"/>
    <w:uiPriority w:val="99"/>
    <w:semiHidden/>
    <w:unhideWhenUsed/>
    <w:pPr>
      <w:spacing w:after="120" w:line="360" w:lineRule="auto"/>
      <w:jc w:val="both"/>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CowiBulletList">
    <w:name w:val="CowiBulletList"/>
    <w:pPr>
      <w:numPr>
        <w:numId w:val="46"/>
      </w:numPr>
    </w:p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semiHidden="0" w:uiPriority="0" w:unhideWhenUsed="0" w:qFormat="1"/>
    <w:lsdException w:name="envelope address" w:uiPriority="0"/>
    <w:lsdException w:name="envelope return" w:uiPriority="0"/>
    <w:lsdException w:name="footnote reference" w:qFormat="1"/>
    <w:lsdException w:name="page number" w:uiPriority="0"/>
    <w:lsdException w:name="endnote text" w:qFormat="1"/>
    <w:lsdException w:name="table of authorities" w:uiPriority="0"/>
    <w:lsdException w:name="macro" w:uiPriority="0"/>
    <w:lsdException w:name="toa heading" w:uiPriority="0"/>
    <w:lsdException w:name="List" w:uiPriority="0"/>
    <w:lsdException w:name="List Bullet" w:uiPriority="4"/>
    <w:lsdException w:name="List Number" w:uiPriority="0"/>
    <w:lsdException w:name="List 2" w:uiPriority="0"/>
    <w:lsdException w:name="List 3" w:uiPriority="0"/>
    <w:lsdException w:name="List 4" w:uiPriority="0"/>
    <w:lsdException w:name="List 5" w:uiPriority="0"/>
    <w:lsdException w:name="List Bullet 2" w:uiPriority="4"/>
    <w:lsdException w:name="List Bullet 3" w:uiPriority="4"/>
    <w:lsdException w:name="List Bullet 4" w:uiPriority="4"/>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Header1"/>
    <w:basedOn w:val="Normal"/>
    <w:next w:val="Text1"/>
    <w:link w:val="Heading1Char"/>
    <w:qFormat/>
    <w:pPr>
      <w:keepNext/>
      <w:numPr>
        <w:numId w:val="3"/>
      </w:numPr>
      <w:spacing w:before="240"/>
      <w:outlineLvl w:val="0"/>
    </w:pPr>
    <w:rPr>
      <w:rFonts w:ascii="Times New Roman" w:hAnsi="Times New Roman" w:cs="Times New Roman"/>
      <w:b/>
      <w:smallCaps/>
    </w:rPr>
  </w:style>
  <w:style w:type="paragraph" w:styleId="Heading2">
    <w:name w:val="heading 2"/>
    <w:aliases w:val="E H2,Heading 2 Char1,Heading 2 Char Char Char"/>
    <w:basedOn w:val="Normal"/>
    <w:next w:val="Text2"/>
    <w:link w:val="Heading2Char"/>
    <w:qFormat/>
    <w:pPr>
      <w:keepNext/>
      <w:numPr>
        <w:ilvl w:val="1"/>
        <w:numId w:val="3"/>
      </w:numPr>
      <w:outlineLvl w:val="1"/>
    </w:pPr>
    <w:rPr>
      <w:rFonts w:ascii="Times New Roman" w:hAnsi="Times New Roman" w:cs="Times New Roman"/>
      <w:b/>
    </w:rPr>
  </w:style>
  <w:style w:type="paragraph" w:styleId="Heading3">
    <w:name w:val="heading 3"/>
    <w:aliases w:val="E H3"/>
    <w:basedOn w:val="Normal"/>
    <w:next w:val="Text3"/>
    <w:link w:val="Heading3Char"/>
    <w:qFormat/>
    <w:pPr>
      <w:keepNext/>
      <w:numPr>
        <w:ilvl w:val="2"/>
        <w:numId w:val="3"/>
      </w:numPr>
      <w:ind w:left="1440"/>
      <w:outlineLvl w:val="2"/>
    </w:pPr>
    <w:rPr>
      <w:rFonts w:ascii="Times New Roman" w:hAnsi="Times New Roman" w:cs="Times New Roman"/>
      <w:i/>
      <w:lang w:val="en"/>
    </w:rPr>
  </w:style>
  <w:style w:type="paragraph" w:styleId="Heading4">
    <w:name w:val="heading 4"/>
    <w:aliases w:val="E H4"/>
    <w:basedOn w:val="Normal"/>
    <w:next w:val="Text4"/>
    <w:link w:val="Heading4Char"/>
    <w:uiPriority w:val="9"/>
    <w:qFormat/>
    <w:pPr>
      <w:keepNext/>
      <w:numPr>
        <w:ilvl w:val="3"/>
        <w:numId w:val="3"/>
      </w:numPr>
      <w:outlineLvl w:val="3"/>
    </w:pPr>
    <w:rPr>
      <w:rFonts w:ascii="Times New Roman" w:hAnsi="Times New Roman" w:cs="Times New Roman"/>
    </w:rPr>
  </w:style>
  <w:style w:type="paragraph" w:styleId="Heading5">
    <w:name w:val="heading 5"/>
    <w:basedOn w:val="Normal"/>
    <w:next w:val="Normal"/>
    <w:link w:val="Heading5Char"/>
    <w:qFormat/>
    <w:pPr>
      <w:tabs>
        <w:tab w:val="num" w:pos="0"/>
      </w:tabs>
      <w:spacing w:before="240" w:after="60"/>
      <w:outlineLvl w:val="4"/>
    </w:pPr>
    <w:rPr>
      <w:rFonts w:ascii="Arial" w:hAnsi="Arial"/>
    </w:rPr>
  </w:style>
  <w:style w:type="paragraph" w:styleId="Heading6">
    <w:name w:val="heading 6"/>
    <w:aliases w:val="Figure,H6"/>
    <w:basedOn w:val="Normal"/>
    <w:next w:val="Normal"/>
    <w:link w:val="Heading6Char"/>
    <w:qFormat/>
    <w:pPr>
      <w:tabs>
        <w:tab w:val="num" w:pos="0"/>
      </w:tabs>
      <w:spacing w:before="240" w:after="60"/>
      <w:outlineLvl w:val="5"/>
    </w:pPr>
    <w:rPr>
      <w:rFonts w:ascii="Arial" w:hAnsi="Arial"/>
      <w:i/>
    </w:rPr>
  </w:style>
  <w:style w:type="paragraph" w:styleId="Heading7">
    <w:name w:val="heading 7"/>
    <w:aliases w:val="Appendix 1"/>
    <w:basedOn w:val="Normal"/>
    <w:next w:val="Normal"/>
    <w:link w:val="Heading7Char"/>
    <w:qFormat/>
    <w:pPr>
      <w:tabs>
        <w:tab w:val="num" w:pos="0"/>
      </w:tabs>
      <w:spacing w:before="240" w:after="60"/>
      <w:outlineLvl w:val="6"/>
    </w:pPr>
    <w:rPr>
      <w:rFonts w:ascii="Arial" w:hAnsi="Arial"/>
      <w:sz w:val="20"/>
    </w:rPr>
  </w:style>
  <w:style w:type="paragraph" w:styleId="Heading8">
    <w:name w:val="heading 8"/>
    <w:aliases w:val="Appendix 2"/>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aliases w:val="Appendix 3"/>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link w:val="Text2Char1"/>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
    <w:basedOn w:val="Normal"/>
    <w:next w:val="Normal"/>
    <w:link w:val="CaptionChar1"/>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1"/>
    <w:uiPriority w:val="99"/>
    <w:rPr>
      <w:sz w:val="20"/>
    </w:rPr>
  </w:style>
  <w:style w:type="paragraph" w:styleId="Date">
    <w:name w:val="Date"/>
    <w:basedOn w:val="Normal"/>
    <w:next w:val="References"/>
    <w:pPr>
      <w:spacing w:after="0"/>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pPr>
  </w:style>
  <w:style w:type="paragraph" w:customStyle="1" w:styleId="Enclosures">
    <w:name w:val="Enclosures"/>
    <w:basedOn w:val="Normal"/>
    <w:pPr>
      <w:keepNext/>
      <w:keepLines/>
      <w:tabs>
        <w:tab w:val="left" w:pos="5642"/>
      </w:tabs>
      <w:spacing w:before="480" w:after="0"/>
      <w:ind w:left="1191" w:hanging="1191"/>
    </w:pPr>
  </w:style>
  <w:style w:type="paragraph" w:styleId="EndnoteText">
    <w:name w:val="endnote text"/>
    <w:basedOn w:val="Normal"/>
    <w:link w:val="EndnoteTextChar"/>
    <w:uiPriority w:val="99"/>
    <w:qFormat/>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stile 1,Char,Fußn,f"/>
    <w:basedOn w:val="Normal"/>
    <w:link w:val="FootnoteTextChar"/>
    <w:uiPriority w:val="99"/>
    <w:qFormat/>
    <w:pPr>
      <w:ind w:left="357" w:hanging="357"/>
    </w:pPr>
    <w:rPr>
      <w:sz w:val="20"/>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uiPriority w:val="4"/>
    <w:pPr>
      <w:numPr>
        <w:numId w:val="4"/>
      </w:numPr>
    </w:pPr>
  </w:style>
  <w:style w:type="paragraph" w:styleId="ListBullet2">
    <w:name w:val="List Bullet 2"/>
    <w:basedOn w:val="Text2"/>
    <w:uiPriority w:val="4"/>
    <w:pPr>
      <w:numPr>
        <w:numId w:val="6"/>
      </w:numPr>
      <w:tabs>
        <w:tab w:val="clear" w:pos="2302"/>
      </w:tabs>
    </w:pPr>
  </w:style>
  <w:style w:type="paragraph" w:styleId="ListBullet3">
    <w:name w:val="List Bullet 3"/>
    <w:basedOn w:val="Text3"/>
    <w:uiPriority w:val="4"/>
    <w:pPr>
      <w:numPr>
        <w:numId w:val="7"/>
      </w:numPr>
      <w:tabs>
        <w:tab w:val="clear" w:pos="2302"/>
      </w:tabs>
    </w:pPr>
  </w:style>
  <w:style w:type="paragraph" w:styleId="ListBullet4">
    <w:name w:val="List Bullet 4"/>
    <w:basedOn w:val="Text4"/>
    <w:uiPriority w:val="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HeaderChar">
    <w:name w:val="Header Char"/>
    <w:basedOn w:val="DefaultParagraphFont"/>
    <w:link w:val="Header"/>
    <w:uiPriority w:val="99"/>
    <w:rPr>
      <w:rFonts w:eastAsiaTheme="minorHAnsi"/>
      <w:sz w:val="24"/>
      <w:szCs w:val="22"/>
      <w:lang w:eastAsia="en-US"/>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34"/>
    <w:qFormat/>
    <w:pPr>
      <w:ind w:left="720"/>
      <w:contextualSpacing/>
    </w:pPr>
  </w:style>
  <w:style w:type="table" w:styleId="TableGrid">
    <w:name w:val="Table Grid"/>
    <w:aliases w:val="Document Table,Gena,Tabellengitternetz"/>
    <w:basedOn w:val="TableNormal"/>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qFormat/>
    <w:locked/>
    <w:rPr>
      <w:rFonts w:asciiTheme="minorHAnsi" w:eastAsiaTheme="minorHAnsi" w:hAnsiTheme="minorHAnsi" w:cstheme="minorBidi"/>
      <w:sz w:val="22"/>
      <w:szCs w:val="22"/>
      <w:lang w:eastAsia="en-US"/>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rPr>
      <w:lang w:eastAsia="en-US"/>
    </w:rPr>
  </w:style>
  <w:style w:type="character" w:styleId="FootnoteReference">
    <w:name w:val="footnote reference"/>
    <w:aliases w:val="SUPERS,Footnote symbol,Times 10 Point,Exposant 3 Point,BVI fnr,number,-E Fußnotenzeichen,Footnote reference number,note TESI,EN Footnote Reference,Footnote Reference/,Footnote Reference Number,styli,Footnote Reference Superscript,ftr"/>
    <w:basedOn w:val="DefaultParagraphFont"/>
    <w:link w:val="FootnotesymbolCarZchn"/>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table" w:customStyle="1" w:styleId="Mainbidtables">
    <w:name w:val="Main bid tables"/>
    <w:basedOn w:val="TableNormal"/>
    <w:uiPriority w:val="9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locked/>
    <w:rPr>
      <w:b/>
      <w:sz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rFonts w:ascii="Times New Roman" w:eastAsia="Times New Roman" w:hAnsi="Times New Roman" w:cs="Times New Roman"/>
      <w:sz w:val="20"/>
      <w:szCs w:val="20"/>
      <w:vertAlign w:val="superscript"/>
      <w:lang w:eastAsia="en-GB"/>
    </w:rPr>
  </w:style>
  <w:style w:type="paragraph" w:customStyle="1" w:styleId="Body">
    <w:name w:val="Body"/>
    <w:basedOn w:val="Normal"/>
    <w:link w:val="BodyChar"/>
    <w:qFormat/>
    <w:pPr>
      <w:spacing w:after="120" w:line="240" w:lineRule="auto"/>
    </w:pPr>
    <w:rPr>
      <w:rFonts w:ascii="Verdana" w:eastAsia="Times New Roman" w:hAnsi="Verdana" w:cs="Times New Roman"/>
      <w:sz w:val="18"/>
      <w:szCs w:val="20"/>
    </w:rPr>
  </w:style>
  <w:style w:type="character" w:customStyle="1" w:styleId="BodyChar">
    <w:name w:val="Body Char"/>
    <w:link w:val="Body"/>
    <w:rPr>
      <w:rFonts w:ascii="Verdana" w:hAnsi="Verdana"/>
      <w:sz w:val="18"/>
      <w:lang w:eastAsia="en-US"/>
    </w:rPr>
  </w:style>
  <w:style w:type="character" w:customStyle="1" w:styleId="Text2Char1">
    <w:name w:val="Text 2 Char1"/>
    <w:link w:val="Text2"/>
    <w:locked/>
    <w:rPr>
      <w:sz w:val="24"/>
      <w:lang w:eastAsia="en-US"/>
    </w:rPr>
  </w:style>
  <w:style w:type="table" w:customStyle="1" w:styleId="TableGrid1">
    <w:name w:val="Table Grid1"/>
    <w:basedOn w:val="TableNormal"/>
    <w:next w:val="TableGrid"/>
    <w:uiPriority w:val="5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character" w:styleId="CommentReference">
    <w:name w:val="annotation reference"/>
    <w:basedOn w:val="DefaultParagraphFont"/>
    <w:uiPriority w:val="99"/>
    <w:unhideWhenUsed/>
    <w:rPr>
      <w:sz w:val="16"/>
      <w:szCs w:val="16"/>
    </w:rPr>
  </w:style>
  <w:style w:type="character" w:customStyle="1" w:styleId="CommentTextChar">
    <w:name w:val="Comment Text Char"/>
    <w:basedOn w:val="DefaultParagraphFon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1">
    <w:name w:val="Comment Text Char1"/>
    <w:basedOn w:val="DefaultParagraphFont"/>
    <w:link w:val="CommentText"/>
    <w:uiPriority w:val="99"/>
    <w:rPr>
      <w:lang w:eastAsia="en-US"/>
    </w:rPr>
  </w:style>
  <w:style w:type="character" w:customStyle="1" w:styleId="CommentSubjectChar">
    <w:name w:val="Comment Subject Char"/>
    <w:basedOn w:val="CommentTextChar1"/>
    <w:link w:val="CommentSubject"/>
    <w:uiPriority w:val="99"/>
    <w:semiHidden/>
    <w:rPr>
      <w:rFonts w:asciiTheme="minorHAnsi" w:eastAsiaTheme="minorHAnsi" w:hAnsiTheme="minorHAnsi" w:cstheme="minorBidi"/>
      <w:b/>
      <w:bCs/>
      <w:lang w:eastAsia="en-US"/>
    </w:rPr>
  </w:style>
  <w:style w:type="table" w:customStyle="1" w:styleId="Mainbidtables1">
    <w:name w:val="Main bid tables1"/>
    <w:basedOn w:val="TableNormal"/>
    <w:uiPriority w:val="9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Mainbidtables2">
    <w:name w:val="Main bid tables2"/>
    <w:basedOn w:val="TableNormal"/>
    <w:uiPriority w:val="9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styleId="Revision">
    <w:name w:val="Revision"/>
    <w:hidden/>
    <w:uiPriority w:val="99"/>
    <w:semiHidden/>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Pr>
      <w:color w:val="0000FF" w:themeColor="hyperlink"/>
      <w:u w:val="single"/>
    </w:rPr>
  </w:style>
  <w:style w:type="paragraph" w:customStyle="1" w:styleId="Standard">
    <w:name w:val="Standard"/>
    <w:pPr>
      <w:suppressAutoHyphens/>
      <w:autoSpaceDN w:val="0"/>
      <w:spacing w:after="200" w:line="276" w:lineRule="auto"/>
      <w:textAlignment w:val="baseline"/>
    </w:pPr>
    <w:rPr>
      <w:rFonts w:ascii="Calibri" w:eastAsia="SimSun" w:hAnsi="Calibri" w:cs="F"/>
      <w:kern w:val="3"/>
      <w:sz w:val="22"/>
      <w:szCs w:val="22"/>
      <w:lang w:eastAsia="en-US"/>
    </w:rPr>
  </w:style>
  <w:style w:type="numbering" w:customStyle="1" w:styleId="WWNum14">
    <w:name w:val="WWNum14"/>
    <w:basedOn w:val="NoList"/>
    <w:pPr>
      <w:numPr>
        <w:numId w:val="21"/>
      </w:numPr>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CVD">
    <w:name w:val="CVD"/>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hint="default"/>
        <w:color w:val="FFFFFF" w:themeColor="background1"/>
        <w:sz w:val="20"/>
        <w:szCs w:val="20"/>
      </w:rPr>
      <w:tblPr/>
      <w:tcPr>
        <w:shd w:val="clear" w:color="auto" w:fill="00B0F0"/>
      </w:tcPr>
    </w:tblStylePr>
  </w:style>
  <w:style w:type="table" w:customStyle="1" w:styleId="CVD1">
    <w:name w:val="CVD1"/>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2">
    <w:name w:val="CVD2"/>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3">
    <w:name w:val="CVD3"/>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4">
    <w:name w:val="CVD4"/>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5">
    <w:name w:val="CVD5"/>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paragraph" w:customStyle="1" w:styleId="EBP2">
    <w:name w:val="E BP2"/>
    <w:basedOn w:val="Normal"/>
    <w:qFormat/>
    <w:pPr>
      <w:numPr>
        <w:numId w:val="33"/>
      </w:numPr>
      <w:spacing w:after="120" w:line="288" w:lineRule="auto"/>
      <w:ind w:left="454" w:hanging="227"/>
      <w:contextualSpacing/>
      <w:jc w:val="both"/>
    </w:pPr>
    <w:rPr>
      <w:rFonts w:ascii="Arial" w:hAnsi="Arial" w:cs="Arial"/>
      <w:sz w:val="18"/>
      <w:szCs w:val="18"/>
      <w:lang w:eastAsia="de-DE"/>
    </w:rPr>
  </w:style>
  <w:style w:type="paragraph" w:customStyle="1" w:styleId="EBP1">
    <w:name w:val="E BP1"/>
    <w:basedOn w:val="Normal"/>
    <w:qFormat/>
    <w:pPr>
      <w:tabs>
        <w:tab w:val="num" w:pos="360"/>
      </w:tabs>
      <w:spacing w:after="120" w:line="288" w:lineRule="auto"/>
      <w:ind w:left="709" w:hanging="357"/>
      <w:contextualSpacing/>
      <w:jc w:val="both"/>
    </w:pPr>
    <w:rPr>
      <w:rFonts w:ascii="Arial" w:hAnsi="Arial" w:cs="Arial"/>
      <w:sz w:val="20"/>
      <w:szCs w:val="20"/>
    </w:rPr>
  </w:style>
  <w:style w:type="character" w:customStyle="1" w:styleId="Heading1Char">
    <w:name w:val="Heading 1 Char"/>
    <w:aliases w:val="Header1 Char"/>
    <w:basedOn w:val="DefaultParagraphFont"/>
    <w:link w:val="Heading1"/>
    <w:rPr>
      <w:rFonts w:eastAsiaTheme="minorHAnsi"/>
      <w:b/>
      <w:smallCaps/>
      <w:sz w:val="22"/>
      <w:szCs w:val="22"/>
      <w:lang w:eastAsia="en-US"/>
    </w:rPr>
  </w:style>
  <w:style w:type="character" w:customStyle="1" w:styleId="Heading2Char">
    <w:name w:val="Heading 2 Char"/>
    <w:aliases w:val="E H2 Char,Heading 2 Char1 Char,Heading 2 Char Char Char Char"/>
    <w:basedOn w:val="DefaultParagraphFont"/>
    <w:link w:val="Heading2"/>
    <w:rPr>
      <w:rFonts w:eastAsiaTheme="minorHAnsi"/>
      <w:b/>
      <w:sz w:val="22"/>
      <w:szCs w:val="22"/>
      <w:lang w:eastAsia="en-US"/>
    </w:rPr>
  </w:style>
  <w:style w:type="character" w:customStyle="1" w:styleId="Heading3Char">
    <w:name w:val="Heading 3 Char"/>
    <w:aliases w:val="E H3 Char"/>
    <w:basedOn w:val="DefaultParagraphFont"/>
    <w:link w:val="Heading3"/>
    <w:rPr>
      <w:rFonts w:eastAsiaTheme="minorHAnsi"/>
      <w:i/>
      <w:sz w:val="22"/>
      <w:szCs w:val="22"/>
      <w:lang w:val="en" w:eastAsia="en-US"/>
    </w:rPr>
  </w:style>
  <w:style w:type="character" w:customStyle="1" w:styleId="Heading4Char">
    <w:name w:val="Heading 4 Char"/>
    <w:aliases w:val="E H4 Char"/>
    <w:basedOn w:val="DefaultParagraphFont"/>
    <w:link w:val="Heading4"/>
    <w:uiPriority w:val="9"/>
    <w:rPr>
      <w:rFonts w:eastAsiaTheme="minorHAnsi"/>
      <w:sz w:val="22"/>
      <w:szCs w:val="22"/>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ypedudocumentChar">
    <w:name w:val="Type du document Char"/>
    <w:basedOn w:val="DefaultParagraphFont"/>
    <w:link w:val="Typedudocument"/>
    <w:rPr>
      <w:rFonts w:eastAsiaTheme="minorHAnsi"/>
      <w:b/>
      <w:sz w:val="24"/>
      <w:szCs w:val="22"/>
      <w:lang w:eastAsia="en-US"/>
    </w:rPr>
  </w:style>
  <w:style w:type="character" w:customStyle="1" w:styleId="FooterCoverPageChar">
    <w:name w:val="Footer Cover Page Char"/>
    <w:basedOn w:val="TypedudocumentChar"/>
    <w:link w:val="FooterCoverPage"/>
    <w:rPr>
      <w:rFonts w:eastAsiaTheme="minorHAnsi"/>
      <w:b w:val="0"/>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eastAsiaTheme="minorHAnsi"/>
      <w:b w:val="0"/>
      <w:sz w:val="24"/>
      <w:szCs w:val="22"/>
      <w:lang w:eastAsia="en-US"/>
    </w:rPr>
  </w:style>
  <w:style w:type="character" w:styleId="Emphasis">
    <w:name w:val="Emphasis"/>
    <w:aliases w:val="E Italic"/>
    <w:basedOn w:val="DefaultParagraphFont"/>
    <w:uiPriority w:val="20"/>
    <w:qFormat/>
    <w:rPr>
      <w:i/>
      <w:iCs/>
    </w:rPr>
  </w:style>
  <w:style w:type="character" w:customStyle="1" w:styleId="Heading5Char">
    <w:name w:val="Heading 5 Char"/>
    <w:basedOn w:val="DefaultParagraphFont"/>
    <w:link w:val="Heading5"/>
    <w:rPr>
      <w:rFonts w:ascii="Arial" w:eastAsiaTheme="minorHAnsi" w:hAnsi="Arial" w:cstheme="minorBidi"/>
      <w:sz w:val="22"/>
      <w:szCs w:val="22"/>
      <w:lang w:eastAsia="en-US"/>
    </w:rPr>
  </w:style>
  <w:style w:type="character" w:customStyle="1" w:styleId="Heading6Char">
    <w:name w:val="Heading 6 Char"/>
    <w:aliases w:val="Figure Char,H6 Char"/>
    <w:basedOn w:val="DefaultParagraphFont"/>
    <w:link w:val="Heading6"/>
    <w:rPr>
      <w:rFonts w:ascii="Arial" w:eastAsiaTheme="minorHAnsi" w:hAnsi="Arial" w:cstheme="minorBidi"/>
      <w:i/>
      <w:sz w:val="22"/>
      <w:szCs w:val="22"/>
      <w:lang w:eastAsia="en-US"/>
    </w:rPr>
  </w:style>
  <w:style w:type="character" w:customStyle="1" w:styleId="Heading7Char">
    <w:name w:val="Heading 7 Char"/>
    <w:aliases w:val="Appendix 1 Char"/>
    <w:basedOn w:val="DefaultParagraphFont"/>
    <w:link w:val="Heading7"/>
    <w:rPr>
      <w:rFonts w:ascii="Arial" w:eastAsiaTheme="minorHAnsi" w:hAnsi="Arial" w:cstheme="minorBidi"/>
      <w:szCs w:val="22"/>
      <w:lang w:eastAsia="en-US"/>
    </w:rPr>
  </w:style>
  <w:style w:type="character" w:customStyle="1" w:styleId="Heading8Char">
    <w:name w:val="Heading 8 Char"/>
    <w:aliases w:val="Appendix 2 Char"/>
    <w:basedOn w:val="DefaultParagraphFont"/>
    <w:link w:val="Heading8"/>
    <w:rPr>
      <w:rFonts w:ascii="Arial" w:eastAsiaTheme="minorHAnsi" w:hAnsi="Arial" w:cstheme="minorBidi"/>
      <w:i/>
      <w:szCs w:val="22"/>
      <w:lang w:eastAsia="en-US"/>
    </w:rPr>
  </w:style>
  <w:style w:type="character" w:customStyle="1" w:styleId="Heading9Char">
    <w:name w:val="Heading 9 Char"/>
    <w:aliases w:val="Appendix 3 Char"/>
    <w:basedOn w:val="DefaultParagraphFont"/>
    <w:link w:val="Heading9"/>
    <w:rPr>
      <w:rFonts w:ascii="Arial" w:eastAsiaTheme="minorHAnsi" w:hAnsi="Arial" w:cstheme="minorBidi"/>
      <w:i/>
      <w:sz w:val="18"/>
      <w:szCs w:val="22"/>
      <w:lang w:eastAsia="en-US"/>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jc w:val="both"/>
    </w:pPr>
    <w:rPr>
      <w:rFonts w:ascii="Arial" w:eastAsia="Times New Roman" w:hAnsi="Arial" w:cs="Arial"/>
      <w:sz w:val="16"/>
      <w:szCs w:val="16"/>
      <w:lang w:eastAsia="en-GB"/>
    </w:rPr>
  </w:style>
  <w:style w:type="numbering" w:customStyle="1" w:styleId="SDGAppendixHeadings">
    <w:name w:val="SDG Appendix Headings"/>
    <w:uiPriority w:val="99"/>
    <w:semiHidden/>
    <w:pPr>
      <w:numPr>
        <w:numId w:val="42"/>
      </w:numPr>
    </w:pPr>
  </w:style>
  <w:style w:type="paragraph" w:customStyle="1" w:styleId="SDGAppendixListNumber">
    <w:name w:val="SDG Appendix List Number"/>
    <w:basedOn w:val="Heading9"/>
    <w:uiPriority w:val="23"/>
    <w:qFormat/>
    <w:pPr>
      <w:tabs>
        <w:tab w:val="clear" w:pos="0"/>
      </w:tabs>
      <w:spacing w:before="140" w:after="140" w:line="280" w:lineRule="atLeast"/>
      <w:ind w:hanging="851"/>
      <w:outlineLvl w:val="9"/>
    </w:pPr>
    <w:rPr>
      <w:rFonts w:asciiTheme="majorHAnsi" w:eastAsiaTheme="majorEastAsia" w:hAnsiTheme="majorHAnsi" w:cstheme="majorBidi"/>
      <w:i w:val="0"/>
      <w:iCs/>
      <w:color w:val="404040" w:themeColor="text1" w:themeTint="BF"/>
      <w:sz w:val="22"/>
    </w:rPr>
  </w:style>
  <w:style w:type="character" w:styleId="Strong">
    <w:name w:val="Strong"/>
    <w:aliases w:val="E Bold"/>
    <w:basedOn w:val="DefaultParagraphFont"/>
    <w:uiPriority w:val="22"/>
    <w:qFormat/>
    <w:rPr>
      <w:b/>
      <w:bCs/>
    </w:rPr>
  </w:style>
  <w:style w:type="table" w:customStyle="1" w:styleId="Style1">
    <w:name w:val="Style1"/>
    <w:basedOn w:val="TableNormal"/>
    <w:uiPriority w:val="99"/>
    <w:tblPr/>
  </w:style>
  <w:style w:type="character" w:styleId="PageNumber">
    <w:name w:val="page number"/>
    <w:basedOn w:val="DefaultParagraphFont"/>
  </w:style>
  <w:style w:type="paragraph" w:customStyle="1" w:styleId="EText">
    <w:name w:val="E Text"/>
    <w:qFormat/>
    <w:pPr>
      <w:spacing w:after="120" w:line="360" w:lineRule="auto"/>
      <w:jc w:val="both"/>
    </w:pPr>
    <w:rPr>
      <w:rFonts w:ascii="Arial" w:hAnsi="Arial"/>
      <w:lang w:eastAsia="de-DE"/>
    </w:rPr>
  </w:style>
  <w:style w:type="paragraph" w:customStyle="1" w:styleId="TEMPLATEColophonBold">
    <w:name w:val="TEMPLATE Colophon Bold"/>
    <w:basedOn w:val="TEMPLATEColophon"/>
    <w:rPr>
      <w:b/>
      <w:bCs/>
    </w:rPr>
  </w:style>
  <w:style w:type="paragraph" w:customStyle="1" w:styleId="Etabletext">
    <w:name w:val="E table text"/>
    <w:link w:val="EtabletextChar"/>
    <w:qFormat/>
    <w:pPr>
      <w:spacing w:before="40" w:after="40"/>
    </w:pPr>
    <w:rPr>
      <w:rFonts w:ascii="Verdana" w:hAnsi="Verdana"/>
      <w:sz w:val="16"/>
      <w:lang w:eastAsia="de-DE"/>
    </w:rPr>
  </w:style>
  <w:style w:type="paragraph" w:customStyle="1" w:styleId="TEMPLATENameofInstitutions">
    <w:name w:val="TEMPLATE Name of Institutions"/>
    <w:pPr>
      <w:keepLines/>
      <w:framePr w:wrap="around" w:hAnchor="text" w:yAlign="bottom"/>
      <w:spacing w:line="320" w:lineRule="atLeast"/>
    </w:pPr>
    <w:rPr>
      <w:rFonts w:ascii="Arial" w:hAnsi="Arial"/>
      <w:sz w:val="22"/>
      <w:lang w:eastAsia="de-DE"/>
    </w:rPr>
  </w:style>
  <w:style w:type="paragraph" w:customStyle="1" w:styleId="TEMPLATEVersuchTextbox">
    <w:name w:val="TEMPLATE Versuch Textbox"/>
    <w:basedOn w:val="EText"/>
    <w:pPr>
      <w:pBdr>
        <w:top w:val="dotted" w:sz="4" w:space="1" w:color="auto"/>
        <w:left w:val="dotted" w:sz="4" w:space="4" w:color="auto"/>
        <w:bottom w:val="dotted" w:sz="4" w:space="1" w:color="auto"/>
        <w:right w:val="dotted" w:sz="4" w:space="4" w:color="auto"/>
      </w:pBdr>
      <w:shd w:val="clear" w:color="auto" w:fill="C6D9F1" w:themeFill="text2" w:themeFillTint="33"/>
      <w:spacing w:after="0" w:line="288" w:lineRule="auto"/>
    </w:pPr>
  </w:style>
  <w:style w:type="paragraph" w:customStyle="1" w:styleId="TEMPLATEColophon">
    <w:name w:val="TEMPLATE Colophon"/>
    <w:pPr>
      <w:spacing w:line="240" w:lineRule="atLeast"/>
      <w:jc w:val="both"/>
    </w:pPr>
    <w:rPr>
      <w:rFonts w:ascii="Arial" w:hAnsi="Arial"/>
      <w:noProof/>
      <w:sz w:val="18"/>
      <w:lang w:eastAsia="en-US"/>
    </w:rPr>
  </w:style>
  <w:style w:type="paragraph" w:customStyle="1" w:styleId="TEMPLATEHeadingPartsnotinTOC">
    <w:name w:val="TEMPLATE Heading Parts (not in TOC)"/>
    <w:next w:val="EText"/>
    <w:pPr>
      <w:pageBreakBefore/>
      <w:widowControl w:val="0"/>
      <w:spacing w:after="160"/>
    </w:pPr>
    <w:rPr>
      <w:rFonts w:ascii="Arial" w:hAnsi="Arial"/>
      <w:b/>
      <w:sz w:val="28"/>
      <w:lang w:eastAsia="de-DE"/>
    </w:rPr>
  </w:style>
  <w:style w:type="paragraph" w:customStyle="1" w:styleId="TEMPLATEHeadingforAnnexesandAfterword">
    <w:name w:val="TEMPLATE Heading for Annexes and Afterword"/>
    <w:next w:val="EText"/>
    <w:pPr>
      <w:pageBreakBefore/>
      <w:spacing w:after="160"/>
      <w:outlineLvl w:val="0"/>
    </w:pPr>
    <w:rPr>
      <w:rFonts w:ascii="Arial" w:hAnsi="Arial"/>
      <w:b/>
      <w:sz w:val="28"/>
      <w:lang w:eastAsia="de-DE"/>
    </w:rPr>
  </w:style>
  <w:style w:type="paragraph" w:customStyle="1" w:styleId="TEMPLATEColophonSpacing">
    <w:name w:val="TEMPLATE Colophon Spacing"/>
    <w:rPr>
      <w:rFonts w:ascii="Arial" w:hAnsi="Arial"/>
      <w:sz w:val="22"/>
      <w:szCs w:val="24"/>
      <w:lang w:eastAsia="en-US"/>
    </w:rPr>
  </w:style>
  <w:style w:type="paragraph" w:customStyle="1" w:styleId="TEMPLATECreatenewpage">
    <w:name w:val="TEMPLATE Create new page"/>
    <w:pPr>
      <w:pageBreakBefore/>
      <w:widowControl w:val="0"/>
    </w:pPr>
    <w:rPr>
      <w:rFonts w:ascii="Arial" w:hAnsi="Arial"/>
      <w:noProof/>
      <w:color w:val="FFFFFF" w:themeColor="background1"/>
      <w:lang w:eastAsia="de-DE"/>
    </w:rPr>
  </w:style>
  <w:style w:type="paragraph" w:customStyle="1" w:styleId="TEMPLATEHeadingListsandExSummary">
    <w:name w:val="TEMPLATE Heading Lists and ExSummary"/>
    <w:next w:val="EText"/>
    <w:pPr>
      <w:widowControl w:val="0"/>
      <w:spacing w:after="160"/>
    </w:pPr>
    <w:rPr>
      <w:rFonts w:ascii="Arial" w:hAnsi="Arial"/>
      <w:b/>
      <w:sz w:val="28"/>
      <w:lang w:eastAsia="de-DE"/>
    </w:rPr>
  </w:style>
  <w:style w:type="paragraph" w:customStyle="1" w:styleId="TEMPLATELastPage">
    <w:name w:val="TEMPLATE Last Page"/>
    <w:pPr>
      <w:jc w:val="both"/>
    </w:pPr>
    <w:rPr>
      <w:rFonts w:ascii="Arial" w:hAnsi="Arial" w:cs="Arial"/>
      <w:sz w:val="18"/>
      <w:lang w:eastAsia="en-US"/>
    </w:rPr>
  </w:style>
  <w:style w:type="character" w:styleId="FollowedHyperlink">
    <w:name w:val="FollowedHyperlink"/>
    <w:basedOn w:val="DefaultParagraphFont"/>
    <w:uiPriority w:val="99"/>
    <w:unhideWhenUsed/>
    <w:rPr>
      <w:color w:val="auto"/>
      <w:u w:val="none"/>
    </w:rPr>
  </w:style>
  <w:style w:type="paragraph" w:customStyle="1" w:styleId="TEMPLATEAbbreviations">
    <w:name w:val="TEMPLATE Abbreviations"/>
    <w:rPr>
      <w:rFonts w:ascii="Arial" w:hAnsi="Arial"/>
      <w:noProof/>
      <w:lang w:eastAsia="de-DE"/>
    </w:rPr>
  </w:style>
  <w:style w:type="character" w:customStyle="1" w:styleId="EndnoteTextChar">
    <w:name w:val="Endnote Text Char"/>
    <w:basedOn w:val="DefaultParagraphFont"/>
    <w:link w:val="EndnoteText"/>
    <w:uiPriority w:val="99"/>
    <w:rPr>
      <w:rFonts w:asciiTheme="minorHAnsi" w:eastAsiaTheme="minorHAnsi" w:hAnsiTheme="minorHAnsi" w:cstheme="minorBidi"/>
      <w:szCs w:val="22"/>
      <w:lang w:eastAsia="en-US"/>
    </w:rPr>
  </w:style>
  <w:style w:type="character" w:styleId="EndnoteReference">
    <w:name w:val="endnote reference"/>
    <w:basedOn w:val="DefaultParagraphFont"/>
    <w:uiPriority w:val="99"/>
    <w:semiHidden/>
    <w:unhideWhenUsed/>
    <w:rPr>
      <w:vertAlign w:val="superscript"/>
    </w:rPr>
  </w:style>
  <w:style w:type="paragraph" w:customStyle="1" w:styleId="ECaptionBelowSource">
    <w:name w:val="E Caption Below (Source)"/>
    <w:next w:val="EText"/>
    <w:qFormat/>
    <w:pPr>
      <w:spacing w:before="40" w:after="240"/>
    </w:pPr>
    <w:rPr>
      <w:rFonts w:ascii="Arial" w:hAnsi="Arial"/>
      <w:bCs/>
      <w:i/>
      <w:sz w:val="18"/>
      <w:szCs w:val="18"/>
      <w:lang w:eastAsia="en-US"/>
    </w:rPr>
  </w:style>
  <w:style w:type="character" w:styleId="PlaceholderText">
    <w:name w:val="Placeholder Text"/>
    <w:basedOn w:val="DefaultParagraphFont"/>
    <w:uiPriority w:val="99"/>
    <w:semiHidden/>
    <w:rPr>
      <w:color w:val="808080"/>
    </w:rPr>
  </w:style>
  <w:style w:type="paragraph" w:customStyle="1" w:styleId="TEMPLATEFrontpagetitle">
    <w:name w:val="TEMPLATE Frontpage title"/>
    <w:pPr>
      <w:jc w:val="center"/>
    </w:pPr>
    <w:rPr>
      <w:rFonts w:ascii="Arial" w:hAnsi="Arial"/>
      <w:sz w:val="60"/>
      <w:szCs w:val="24"/>
      <w:lang w:eastAsia="en-US"/>
    </w:rPr>
  </w:style>
  <w:style w:type="paragraph" w:customStyle="1" w:styleId="TEMPLATETitlethirdpage">
    <w:name w:val="TEMPLATE Title third page"/>
    <w:pPr>
      <w:jc w:val="center"/>
    </w:pPr>
    <w:rPr>
      <w:rFonts w:ascii="Arial" w:hAnsi="Arial"/>
      <w:sz w:val="52"/>
      <w:lang w:val="en-US" w:eastAsia="de-DE"/>
    </w:rPr>
  </w:style>
  <w:style w:type="paragraph" w:customStyle="1" w:styleId="TEMPLATEFrontpageothertext">
    <w:name w:val="TEMPLATE Frontpage other text"/>
    <w:pPr>
      <w:jc w:val="center"/>
    </w:pPr>
    <w:rPr>
      <w:rFonts w:ascii="Arial" w:hAnsi="Arial"/>
      <w:sz w:val="36"/>
      <w:lang w:eastAsia="de-DE"/>
    </w:rPr>
  </w:style>
  <w:style w:type="paragraph" w:customStyle="1" w:styleId="ETextNoSpacing">
    <w:name w:val="E Text No Spacing"/>
    <w:basedOn w:val="EText"/>
    <w:qFormat/>
    <w:pPr>
      <w:keepNext/>
      <w:spacing w:after="0"/>
    </w:pPr>
  </w:style>
  <w:style w:type="table" w:customStyle="1" w:styleId="LightShading1">
    <w:name w:val="Light Shading1"/>
    <w:basedOn w:val="TableNormal"/>
    <w:uiPriority w:val="60"/>
    <w:rPr>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ReferenceList">
    <w:name w:val="E Reference List"/>
    <w:qFormat/>
    <w:pPr>
      <w:spacing w:after="120"/>
    </w:pPr>
    <w:rPr>
      <w:rFonts w:ascii="Arial" w:hAnsi="Arial"/>
      <w:iCs/>
      <w:sz w:val="18"/>
      <w:lang w:eastAsia="en-US"/>
    </w:rPr>
  </w:style>
  <w:style w:type="paragraph" w:customStyle="1" w:styleId="Etableheader">
    <w:name w:val="E table header"/>
    <w:basedOn w:val="Etabletext"/>
    <w:link w:val="EtableheaderChar1"/>
    <w:qFormat/>
    <w:rPr>
      <w:b/>
    </w:rPr>
  </w:style>
  <w:style w:type="character" w:customStyle="1" w:styleId="EtableheaderChar1">
    <w:name w:val="E table header Char1"/>
    <w:basedOn w:val="EtabletextChar"/>
    <w:link w:val="Etableheader"/>
    <w:rPr>
      <w:rFonts w:ascii="Verdana" w:hAnsi="Verdana"/>
      <w:b/>
      <w:sz w:val="16"/>
      <w:lang w:eastAsia="de-DE"/>
    </w:rPr>
  </w:style>
  <w:style w:type="character" w:customStyle="1" w:styleId="EtabletextChar">
    <w:name w:val="E table text Char"/>
    <w:basedOn w:val="DefaultParagraphFont"/>
    <w:link w:val="Etabletext"/>
    <w:rPr>
      <w:rFonts w:ascii="Verdana" w:hAnsi="Verdana"/>
      <w:sz w:val="16"/>
      <w:lang w:eastAsia="de-DE"/>
    </w:rPr>
  </w:style>
  <w:style w:type="character" w:customStyle="1" w:styleId="EtableheaderChar">
    <w:name w:val="E table header Char"/>
    <w:basedOn w:val="EtabletextChar"/>
    <w:rPr>
      <w:rFonts w:ascii="Verdana" w:hAnsi="Verdana"/>
      <w:sz w:val="16"/>
      <w:lang w:eastAsia="de-DE"/>
    </w:rPr>
  </w:style>
  <w:style w:type="paragraph" w:customStyle="1" w:styleId="EH5">
    <w:name w:val="E H5"/>
    <w:next w:val="EText"/>
    <w:qFormat/>
    <w:pPr>
      <w:spacing w:before="60" w:after="120"/>
    </w:pPr>
    <w:rPr>
      <w:rFonts w:ascii="Arial" w:hAnsi="Arial"/>
      <w:b/>
      <w:bCs/>
      <w:sz w:val="21"/>
      <w:lang w:eastAsia="de-DE"/>
    </w:rPr>
  </w:style>
  <w:style w:type="paragraph" w:customStyle="1" w:styleId="Abbildung">
    <w:name w:val="Abbildung"/>
    <w:basedOn w:val="Normal"/>
    <w:qFormat/>
    <w:pPr>
      <w:spacing w:after="0" w:line="240" w:lineRule="auto"/>
      <w:jc w:val="both"/>
    </w:pPr>
    <w:rPr>
      <w:rFonts w:ascii="Arial" w:eastAsia="Times New Roman" w:hAnsi="Arial" w:cs="Times New Roman"/>
      <w:noProof/>
      <w:szCs w:val="24"/>
      <w:lang w:eastAsia="it-IT"/>
    </w:rPr>
  </w:style>
  <w:style w:type="paragraph" w:customStyle="1" w:styleId="Tabelle">
    <w:name w:val="Tabelle"/>
    <w:basedOn w:val="Normal"/>
    <w:qFormat/>
    <w:pPr>
      <w:spacing w:before="40" w:after="40" w:line="240" w:lineRule="auto"/>
      <w:jc w:val="both"/>
    </w:pPr>
    <w:rPr>
      <w:rFonts w:ascii="Arial" w:eastAsia="Times New Roman" w:hAnsi="Arial" w:cs="Times New Roman"/>
      <w:bCs/>
      <w:sz w:val="18"/>
      <w:szCs w:val="18"/>
      <w:lang w:eastAsia="de-DE"/>
    </w:rPr>
  </w:style>
  <w:style w:type="paragraph" w:customStyle="1" w:styleId="Quelle">
    <w:name w:val="Quelle"/>
    <w:basedOn w:val="Normal"/>
    <w:next w:val="Normal"/>
    <w:qFormat/>
    <w:pPr>
      <w:spacing w:before="80" w:after="240" w:line="240" w:lineRule="auto"/>
      <w:jc w:val="both"/>
    </w:pPr>
    <w:rPr>
      <w:rFonts w:ascii="Arial" w:eastAsia="Times New Roman" w:hAnsi="Arial" w:cs="Times New Roman"/>
      <w:bCs/>
      <w:iCs/>
      <w:sz w:val="18"/>
      <w:szCs w:val="20"/>
      <w:lang w:eastAsia="de-DE"/>
    </w:rPr>
  </w:style>
  <w:style w:type="character" w:customStyle="1" w:styleId="ECaptionAboveChar">
    <w:name w:val="E Caption Above Char"/>
    <w:aliases w:val="Inscription Char,Beschriftung Char Char,FigureText Char,FigureText1 Char,FigureText2 Char,FigureText3 Char,FigureText11 Char,FigureText21 Char"/>
    <w:rPr>
      <w:rFonts w:ascii="Arial" w:hAnsi="Arial"/>
      <w:bCs/>
      <w:i/>
      <w:sz w:val="18"/>
      <w:szCs w:val="18"/>
      <w:lang w:val="en-GB"/>
    </w:rPr>
  </w:style>
  <w:style w:type="paragraph" w:customStyle="1" w:styleId="Enumbering">
    <w:name w:val="E numbering"/>
    <w:basedOn w:val="EBP1"/>
    <w:pPr>
      <w:numPr>
        <w:numId w:val="43"/>
      </w:numPr>
      <w:ind w:left="567" w:hanging="340"/>
    </w:pPr>
    <w:rPr>
      <w:rFonts w:eastAsia="Times New Roman" w:cs="Times New Roman"/>
    </w:rPr>
  </w:style>
  <w:style w:type="character" w:customStyle="1" w:styleId="st">
    <w:name w:val="st"/>
    <w:basedOn w:val="DefaultParagraphFont"/>
  </w:style>
  <w:style w:type="character" w:customStyle="1" w:styleId="tgc">
    <w:name w:val="_tgc"/>
    <w:basedOn w:val="DefaultParagraphFont"/>
  </w:style>
  <w:style w:type="numbering" w:customStyle="1" w:styleId="KeineListe1">
    <w:name w:val="Keine Liste1"/>
    <w:next w:val="NoList"/>
    <w:uiPriority w:val="99"/>
    <w:semiHidden/>
    <w:unhideWhenUsed/>
  </w:style>
  <w:style w:type="paragraph" w:customStyle="1" w:styleId="ESPONText">
    <w:name w:val="ESPON Text"/>
    <w:basedOn w:val="Normal"/>
    <w:pPr>
      <w:spacing w:after="120" w:line="300" w:lineRule="atLeast"/>
      <w:jc w:val="both"/>
    </w:pPr>
    <w:rPr>
      <w:rFonts w:ascii="Arial" w:eastAsia="Times New Roman" w:hAnsi="Arial" w:cs="Times New Roman"/>
      <w:szCs w:val="20"/>
      <w:lang w:eastAsia="de-DE"/>
    </w:rPr>
  </w:style>
  <w:style w:type="paragraph" w:customStyle="1" w:styleId="ESPONSubtitle">
    <w:name w:val="ESPON Subtitle"/>
    <w:basedOn w:val="Normal"/>
    <w:next w:val="ESPONText"/>
    <w:pPr>
      <w:keepNext/>
      <w:numPr>
        <w:numId w:val="45"/>
      </w:numPr>
      <w:autoSpaceDE w:val="0"/>
      <w:autoSpaceDN w:val="0"/>
      <w:adjustRightInd w:val="0"/>
      <w:spacing w:before="360" w:after="240" w:line="300" w:lineRule="atLeast"/>
      <w:ind w:left="567" w:hanging="567"/>
      <w:jc w:val="both"/>
    </w:pPr>
    <w:rPr>
      <w:rFonts w:ascii="Arial" w:eastAsia="Times New Roman" w:hAnsi="Arial" w:cs="Times New Roman"/>
      <w:b/>
      <w:color w:val="365F91"/>
      <w:szCs w:val="20"/>
    </w:rPr>
  </w:style>
  <w:style w:type="paragraph" w:customStyle="1" w:styleId="ESPONTableHeading">
    <w:name w:val="ESPON Table Heading"/>
    <w:basedOn w:val="ESPONFigureHeading"/>
    <w:next w:val="ESPONText"/>
  </w:style>
  <w:style w:type="paragraph" w:customStyle="1" w:styleId="ESPONFigureHeading">
    <w:name w:val="ESPON Figure Heading"/>
    <w:basedOn w:val="Caption"/>
    <w:next w:val="ESPONText"/>
    <w:pPr>
      <w:keepNext/>
      <w:spacing w:before="240"/>
      <w:ind w:left="851" w:hanging="851"/>
    </w:pPr>
    <w:rPr>
      <w:rFonts w:ascii="Arial" w:hAnsi="Arial"/>
      <w:bCs/>
      <w:color w:val="365F91"/>
      <w:sz w:val="18"/>
    </w:rPr>
  </w:style>
  <w:style w:type="paragraph" w:customStyle="1" w:styleId="ESPONMapHeading">
    <w:name w:val="ESPON Map Heading"/>
    <w:basedOn w:val="ESPONFigureHeading"/>
    <w:next w:val="ESPONText"/>
  </w:style>
  <w:style w:type="paragraph" w:customStyle="1" w:styleId="Aufzhlung">
    <w:name w:val="Aufzählung"/>
    <w:basedOn w:val="AufzhlungEnde"/>
    <w:qFormat/>
    <w:pPr>
      <w:tabs>
        <w:tab w:val="left" w:pos="426"/>
      </w:tabs>
      <w:spacing w:after="60"/>
    </w:pPr>
  </w:style>
  <w:style w:type="paragraph" w:customStyle="1" w:styleId="AufzhlungEnde">
    <w:name w:val="Aufzählung_Ende"/>
    <w:basedOn w:val="ESPONText"/>
    <w:qFormat/>
    <w:pPr>
      <w:numPr>
        <w:numId w:val="44"/>
      </w:numPr>
    </w:pPr>
  </w:style>
  <w:style w:type="character" w:customStyle="1" w:styleId="CharChar7">
    <w:name w:val="Char Char7"/>
    <w:rPr>
      <w:rFonts w:ascii="Times" w:hAnsi="Times"/>
      <w:b/>
      <w:noProof/>
      <w:lang w:val="it-IT" w:eastAsia="it-IT"/>
    </w:rPr>
  </w:style>
  <w:style w:type="paragraph" w:styleId="NoSpacing">
    <w:name w:val="No Spacing"/>
    <w:link w:val="NoSpacingChar"/>
    <w:uiPriority w:val="1"/>
    <w:qFormat/>
    <w:rPr>
      <w:rFonts w:ascii="Calibri" w:hAnsi="Calibri" w:cs="Arial"/>
      <w:sz w:val="22"/>
      <w:szCs w:val="22"/>
      <w:lang w:val="de-DE" w:eastAsia="en-US"/>
    </w:rPr>
  </w:style>
  <w:style w:type="character" w:customStyle="1" w:styleId="NoSpacingChar">
    <w:name w:val="No Spacing Char"/>
    <w:link w:val="NoSpacing"/>
    <w:uiPriority w:val="1"/>
    <w:rPr>
      <w:rFonts w:ascii="Calibri" w:hAnsi="Calibri" w:cs="Arial"/>
      <w:sz w:val="22"/>
      <w:szCs w:val="22"/>
      <w:lang w:val="de-DE" w:eastAsia="en-US"/>
    </w:rPr>
  </w:style>
  <w:style w:type="table" w:customStyle="1" w:styleId="Tabellengitternetz1">
    <w:name w:val="Tabellengitternetz1"/>
    <w:basedOn w:val="TableNormal"/>
    <w:next w:val="TableGrid"/>
    <w:uiPriority w:val="59"/>
    <w:rPr>
      <w:rFonts w:ascii="Calibri" w:eastAsia="Calibri" w:hAnsi="Calibri" w:cs="Arial"/>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PONColophon">
    <w:name w:val="ESPON Colophon"/>
    <w:basedOn w:val="Normal"/>
    <w:pPr>
      <w:spacing w:after="0" w:line="240" w:lineRule="atLeast"/>
      <w:ind w:right="5103"/>
      <w:jc w:val="both"/>
    </w:pPr>
    <w:rPr>
      <w:rFonts w:ascii="Arial" w:eastAsia="Times New Roman" w:hAnsi="Arial" w:cs="Times New Roman"/>
      <w:sz w:val="16"/>
      <w:szCs w:val="20"/>
    </w:rPr>
  </w:style>
  <w:style w:type="paragraph" w:customStyle="1" w:styleId="Impressum">
    <w:name w:val="Impressum"/>
    <w:basedOn w:val="Normal"/>
    <w:pPr>
      <w:spacing w:after="240" w:line="280" w:lineRule="atLeast"/>
      <w:jc w:val="both"/>
    </w:pPr>
    <w:rPr>
      <w:rFonts w:ascii="Humnst777 Lt BT" w:eastAsia="Times New Roman" w:hAnsi="Humnst777 Lt BT" w:cs="Times New Roman"/>
      <w:sz w:val="20"/>
      <w:szCs w:val="20"/>
      <w:lang w:eastAsia="de-DE"/>
    </w:rPr>
  </w:style>
  <w:style w:type="table" w:customStyle="1" w:styleId="Tabellengitternetz11">
    <w:name w:val="Tabellengitternetz11"/>
    <w:basedOn w:val="TableNormal"/>
    <w:uiPriority w:val="59"/>
    <w:rPr>
      <w:lang w:val="fr-BE"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ischenberschrift">
    <w:name w:val="Zwischenüberschrift"/>
    <w:basedOn w:val="Normal"/>
    <w:next w:val="Normal"/>
    <w:qFormat/>
    <w:pPr>
      <w:keepNext/>
      <w:spacing w:before="120" w:after="120" w:line="320" w:lineRule="atLeast"/>
      <w:jc w:val="both"/>
    </w:pPr>
    <w:rPr>
      <w:rFonts w:ascii="Arial" w:eastAsia="Times New Roman" w:hAnsi="Arial" w:cs="Times New Roman"/>
      <w:b/>
      <w:szCs w:val="24"/>
    </w:rPr>
  </w:style>
  <w:style w:type="paragraph" w:customStyle="1" w:styleId="Judgement">
    <w:name w:val="Judgement"/>
    <w:basedOn w:val="Normal"/>
    <w:next w:val="Normal"/>
    <w:qFormat/>
    <w:pPr>
      <w:keepNext/>
      <w:spacing w:before="120" w:after="120" w:line="280" w:lineRule="atLeast"/>
      <w:jc w:val="both"/>
    </w:pPr>
    <w:rPr>
      <w:rFonts w:ascii="Arial" w:eastAsia="Times New Roman" w:hAnsi="Arial" w:cs="Times New Roman"/>
      <w:i/>
      <w:color w:val="365F91"/>
      <w:sz w:val="19"/>
      <w:szCs w:val="19"/>
    </w:rPr>
  </w:style>
  <w:style w:type="paragraph" w:customStyle="1" w:styleId="RegularText">
    <w:name w:val="Regular_Text"/>
    <w:uiPriority w:val="99"/>
    <w:qFormat/>
    <w:pPr>
      <w:spacing w:after="120"/>
      <w:jc w:val="both"/>
    </w:pPr>
    <w:rPr>
      <w:rFonts w:eastAsia="Calibri"/>
      <w:sz w:val="28"/>
      <w:szCs w:val="22"/>
      <w:lang w:eastAsia="en-US"/>
    </w:rPr>
  </w:style>
  <w:style w:type="table" w:customStyle="1" w:styleId="HelleSchattierung-Akzent51">
    <w:name w:val="Helle Schattierung - Akzent 51"/>
    <w:basedOn w:val="TableNormal"/>
    <w:next w:val="LightShading-Accent5"/>
    <w:uiPriority w:val="60"/>
    <w:rPr>
      <w:rFonts w:ascii="Calibri" w:eastAsia="Calibri" w:hAnsi="Calibri" w:cs="Arial"/>
      <w:color w:val="31849B"/>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Inhaltsverzeichnisberschrift1">
    <w:name w:val="Inhaltsverzeichnisüberschrift1"/>
    <w:basedOn w:val="Heading1"/>
    <w:next w:val="Normal"/>
    <w:uiPriority w:val="39"/>
    <w:unhideWhenUsed/>
    <w:qFormat/>
    <w:pPr>
      <w:keepLines/>
      <w:numPr>
        <w:numId w:val="0"/>
      </w:numPr>
      <w:spacing w:before="480"/>
      <w:ind w:left="992" w:hanging="992"/>
      <w:outlineLvl w:val="9"/>
    </w:pPr>
    <w:rPr>
      <w:rFonts w:ascii="Cambria" w:hAnsi="Cambria"/>
      <w:bCs/>
      <w:color w:val="365F91"/>
      <w:lang w:val="en-US" w:eastAsia="ja-JP"/>
    </w:rPr>
  </w:style>
  <w:style w:type="table" w:styleId="LightShading-Accent5">
    <w:name w:val="Light Shading Accent 5"/>
    <w:basedOn w:val="TableNormal"/>
    <w:uiPriority w:val="60"/>
    <w:rPr>
      <w:color w:val="31849B" w:themeColor="accent5" w:themeShade="BF"/>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mailSignature">
    <w:name w:val="E-mail Signature"/>
    <w:basedOn w:val="Normal"/>
    <w:link w:val="E-mailSignatureChar"/>
    <w:uiPriority w:val="99"/>
    <w:unhideWhenUsed/>
    <w:pPr>
      <w:spacing w:after="0" w:line="240" w:lineRule="auto"/>
      <w:jc w:val="both"/>
    </w:pPr>
    <w:rPr>
      <w:rFonts w:ascii="Arial" w:eastAsia="Times New Roman" w:hAnsi="Arial" w:cs="Times New Roman"/>
      <w:sz w:val="20"/>
      <w:szCs w:val="20"/>
      <w:lang w:eastAsia="de-DE"/>
    </w:rPr>
  </w:style>
  <w:style w:type="character" w:customStyle="1" w:styleId="E-mailSignatureChar">
    <w:name w:val="E-mail Signature Char"/>
    <w:basedOn w:val="DefaultParagraphFont"/>
    <w:link w:val="E-mailSignature"/>
    <w:uiPriority w:val="99"/>
    <w:rPr>
      <w:rFonts w:ascii="Arial" w:hAnsi="Arial"/>
      <w:lang w:eastAsia="de-DE"/>
    </w:rPr>
  </w:style>
  <w:style w:type="character" w:customStyle="1" w:styleId="BodyTextChar">
    <w:name w:val="Body Text Char"/>
    <w:basedOn w:val="DefaultParagraphFont"/>
    <w:link w:val="BodyText"/>
    <w:rPr>
      <w:rFonts w:asciiTheme="minorHAnsi" w:eastAsiaTheme="minorHAnsi" w:hAnsiTheme="minorHAnsi" w:cstheme="minorBidi"/>
      <w:sz w:val="22"/>
      <w:szCs w:val="22"/>
      <w:lang w:eastAsia="en-US"/>
    </w:rPr>
  </w:style>
  <w:style w:type="paragraph" w:customStyle="1" w:styleId="TableTextNoSpace">
    <w:name w:val="Table Text NoSpace"/>
    <w:basedOn w:val="Normal"/>
    <w:uiPriority w:val="7"/>
    <w:qFormat/>
    <w:pPr>
      <w:spacing w:after="0" w:line="220" w:lineRule="atLeast"/>
      <w:jc w:val="both"/>
    </w:pPr>
    <w:rPr>
      <w:rFonts w:ascii="Verdana" w:eastAsia="Times New Roman" w:hAnsi="Verdana" w:cs="Arial"/>
      <w:sz w:val="16"/>
      <w:szCs w:val="23"/>
      <w:lang w:eastAsia="da-DK"/>
    </w:rPr>
  </w:style>
  <w:style w:type="table" w:customStyle="1" w:styleId="CowiTableLines">
    <w:name w:val="Cowi Table Lines"/>
    <w:basedOn w:val="TableGrid6"/>
    <w:uiPriority w:val="99"/>
    <w:pPr>
      <w:spacing w:after="0" w:line="270" w:lineRule="atLeast"/>
      <w:jc w:val="lef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tcPr>
    </w:tblStylePr>
    <w:tblStylePr w:type="lastRow">
      <w:rPr>
        <w:color w:val="auto"/>
      </w:rPr>
      <w:tblPr/>
      <w:tcPr>
        <w:tcBorders>
          <w:top w:val="nil"/>
          <w:tl2br w:val="none" w:sz="0" w:space="0" w:color="auto"/>
          <w:tr2bl w:val="none" w:sz="0" w:space="0" w:color="auto"/>
        </w:tcBorders>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6">
    <w:name w:val="Table Grid 6"/>
    <w:basedOn w:val="TableNormal"/>
    <w:uiPriority w:val="99"/>
    <w:semiHidden/>
    <w:unhideWhenUsed/>
    <w:pPr>
      <w:spacing w:after="120" w:line="360" w:lineRule="auto"/>
      <w:jc w:val="both"/>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CowiBulletList">
    <w:name w:val="CowiBulletList"/>
    <w:pPr>
      <w:numPr>
        <w:numId w:val="46"/>
      </w:numPr>
    </w:p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420676">
      <w:bodyDiv w:val="1"/>
      <w:marLeft w:val="0"/>
      <w:marRight w:val="0"/>
      <w:marTop w:val="0"/>
      <w:marBottom w:val="0"/>
      <w:divBdr>
        <w:top w:val="none" w:sz="0" w:space="0" w:color="auto"/>
        <w:left w:val="none" w:sz="0" w:space="0" w:color="auto"/>
        <w:bottom w:val="none" w:sz="0" w:space="0" w:color="auto"/>
        <w:right w:val="none" w:sz="0" w:space="0" w:color="auto"/>
      </w:divBdr>
    </w:div>
    <w:div w:id="1160341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header" Target="header8.xml"/><Relationship Id="rId39" Type="http://schemas.openxmlformats.org/officeDocument/2006/relationships/footer" Target="footer12.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header" Target="header17.xml"/><Relationship Id="rId50" Type="http://schemas.openxmlformats.org/officeDocument/2006/relationships/header" Target="header18.xml"/><Relationship Id="rId55" Type="http://schemas.openxmlformats.org/officeDocument/2006/relationships/footer" Target="footer20.xml"/><Relationship Id="rId63" Type="http://schemas.openxmlformats.org/officeDocument/2006/relationships/footer" Target="footer24.xml"/><Relationship Id="rId104"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5.png"/><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header" Target="header20.xml"/><Relationship Id="rId58" Type="http://schemas.openxmlformats.org/officeDocument/2006/relationships/header" Target="header2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footer" Target="footer17.xml"/><Relationship Id="rId57" Type="http://schemas.openxmlformats.org/officeDocument/2006/relationships/footer" Target="footer21.xml"/><Relationship Id="rId61" Type="http://schemas.openxmlformats.org/officeDocument/2006/relationships/footer" Target="footer23.xml"/><Relationship Id="rId106" Type="http://schemas.microsoft.com/office/2016/09/relationships/commentsIds" Target="commentsIds.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4.png"/><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footer" Target="footer22.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footer" Target="footer14.xml"/><Relationship Id="rId48" Type="http://schemas.openxmlformats.org/officeDocument/2006/relationships/footer" Target="footer16.xml"/><Relationship Id="rId56" Type="http://schemas.openxmlformats.org/officeDocument/2006/relationships/header" Target="header21.xml"/><Relationship Id="rId64" Type="http://schemas.openxmlformats.org/officeDocument/2006/relationships/fontTable" Target="fontTable.xml"/><Relationship Id="rId105"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eafo.eu" TargetMode="External"/><Relationship Id="rId25" Type="http://schemas.openxmlformats.org/officeDocument/2006/relationships/header" Target="header7.xml"/><Relationship Id="rId33" Type="http://schemas.openxmlformats.org/officeDocument/2006/relationships/image" Target="media/image6.emf"/><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header" Target="header23.xml"/><Relationship Id="rId20" Type="http://schemas.openxmlformats.org/officeDocument/2006/relationships/header" Target="header5.xml"/><Relationship Id="rId41" Type="http://schemas.openxmlformats.org/officeDocument/2006/relationships/header" Target="header14.xml"/><Relationship Id="rId54" Type="http://schemas.openxmlformats.org/officeDocument/2006/relationships/footer" Target="footer19.xml"/><Relationship Id="rId62" Type="http://schemas.openxmlformats.org/officeDocument/2006/relationships/header" Target="header24.xml"/></Relationships>
</file>

<file path=word/_rels/footnotes.xml.rels><?xml version="1.0" encoding="UTF-8" standalone="yes"?>
<Relationships xmlns="http://schemas.openxmlformats.org/package/2006/relationships"><Relationship Id="rId3" Type="http://schemas.openxmlformats.org/officeDocument/2006/relationships/hyperlink" Target="http://www.eea.europa.eu/data-and-maps/data/data-viewers/greenhouse-gases-viewer" TargetMode="External"/><Relationship Id="rId7" Type="http://schemas.openxmlformats.org/officeDocument/2006/relationships/hyperlink" Target="https://ec.europa.eu/transport/themes/urban/cleanbus_en" TargetMode="External"/><Relationship Id="rId2" Type="http://schemas.openxmlformats.org/officeDocument/2006/relationships/hyperlink" Target="http://www.eafo.eu" TargetMode="External"/><Relationship Id="rId1" Type="http://schemas.openxmlformats.org/officeDocument/2006/relationships/hyperlink" Target="http://ted.europa.eu/TED/main/HomePage.do" TargetMode="External"/><Relationship Id="rId6" Type="http://schemas.openxmlformats.org/officeDocument/2006/relationships/hyperlink" Target="https://www.bloomberg.com/news/articles/2017-09-28/china-to-start-new-energy-vehicle-production-quota-from-2019" TargetMode="External"/><Relationship Id="rId5" Type="http://schemas.openxmlformats.org/officeDocument/2006/relationships/hyperlink" Target="http://legal.cleanair-europe.org/en/legal/eu/" TargetMode="External"/><Relationship Id="rId4" Type="http://schemas.openxmlformats.org/officeDocument/2006/relationships/hyperlink" Target="http://www.eafo.eu/vehicle-statistics/buses/top-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F8C61-D8E7-4AC4-9EF6-B214D246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6</TotalTime>
  <Pages>76</Pages>
  <Words>33179</Words>
  <Characters>188338</Characters>
  <Application>Microsoft Office Word</Application>
  <DocSecurity>0</DocSecurity>
  <PresentationFormat>Microsoft Word 14.0</PresentationFormat>
  <Lines>4007</Lines>
  <Paragraphs>1960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219557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PAREDES ECHAURI Cristina (CAB-ALMUNIA)</cp:lastModifiedBy>
  <cp:revision>18</cp:revision>
  <cp:lastPrinted>2017-09-26T08:06:00Z</cp:lastPrinted>
  <dcterms:created xsi:type="dcterms:W3CDTF">2017-10-30T14:46:00Z</dcterms:created>
  <dcterms:modified xsi:type="dcterms:W3CDTF">2017-11-08T12:47:00Z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Claire DEPRE</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4</vt:lpwstr>
  </property>
  <property fmtid="{D5CDD505-2E9C-101B-9397-08002B2CF9AE}" pid="15" name="DocStatus">
    <vt:lpwstr>Green</vt:lpwstr>
  </property>
  <property fmtid="{D5CDD505-2E9C-101B-9397-08002B2CF9AE}" pid="16" name="Level of sensitivity">
    <vt:lpwstr>Standard treatment</vt:lpwstr>
  </property>
</Properties>
</file>