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1CB" w:rsidRDefault="00C71431" w:rsidP="00C71431">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A8332D2C-BA1F-481A-B5EB-36DAC8E47962" style="width:450.8pt;height:485.2pt">
            <v:imagedata r:id="rId9" o:title=""/>
          </v:shape>
        </w:pict>
      </w:r>
    </w:p>
    <w:bookmarkEnd w:id="0"/>
    <w:p w:rsidR="00B231CB" w:rsidRDefault="00B231CB">
      <w:pPr>
        <w:rPr>
          <w:noProof/>
        </w:rPr>
        <w:sectPr w:rsidR="00B231CB" w:rsidSect="00C71431">
          <w:headerReference w:type="even" r:id="rId10"/>
          <w:headerReference w:type="default" r:id="rId11"/>
          <w:footerReference w:type="even" r:id="rId12"/>
          <w:footerReference w:type="default" r:id="rId13"/>
          <w:headerReference w:type="first" r:id="rId14"/>
          <w:footerReference w:type="first" r:id="rId15"/>
          <w:pgSz w:w="11907" w:h="16839" w:code="9"/>
          <w:pgMar w:top="1134" w:right="1417" w:bottom="1134" w:left="1417" w:header="709" w:footer="709" w:gutter="0"/>
          <w:paperSrc w:first="4" w:other="4"/>
          <w:pgNumType w:start="0"/>
          <w:cols w:space="720"/>
          <w:docGrid w:linePitch="326"/>
        </w:sectPr>
      </w:pPr>
    </w:p>
    <w:p w:rsidR="00B231CB" w:rsidRDefault="00C71431">
      <w:pPr>
        <w:spacing w:after="200" w:line="276" w:lineRule="auto"/>
        <w:jc w:val="center"/>
        <w:rPr>
          <w:b/>
          <w:noProof/>
        </w:rPr>
      </w:pPr>
      <w:r>
        <w:rPr>
          <w:b/>
          <w:noProof/>
        </w:rPr>
        <w:lastRenderedPageBreak/>
        <w:t>Table of contents</w:t>
      </w:r>
    </w:p>
    <w:p w:rsidR="00B231CB" w:rsidRDefault="00C71431">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496688602"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 xml:space="preserve">Annex 1: Procedural information concerning the process to prepare the </w:t>
        </w:r>
        <w:r>
          <w:rPr>
            <w:rStyle w:val="Hyperlink"/>
            <w:noProof/>
          </w:rPr>
          <w:t>impact assessment report and the related initiative</w:t>
        </w:r>
        <w:r>
          <w:rPr>
            <w:noProof/>
            <w:webHidden/>
          </w:rPr>
          <w:tab/>
        </w:r>
        <w:r>
          <w:rPr>
            <w:noProof/>
            <w:webHidden/>
          </w:rPr>
          <w:fldChar w:fldCharType="begin"/>
        </w:r>
        <w:r>
          <w:rPr>
            <w:noProof/>
            <w:webHidden/>
          </w:rPr>
          <w:instrText xml:space="preserve"> PAGEREF _Toc496688602 \h </w:instrText>
        </w:r>
        <w:r>
          <w:rPr>
            <w:noProof/>
            <w:webHidden/>
          </w:rPr>
        </w:r>
        <w:r>
          <w:rPr>
            <w:noProof/>
            <w:webHidden/>
          </w:rPr>
          <w:fldChar w:fldCharType="separate"/>
        </w:r>
        <w:r>
          <w:rPr>
            <w:noProof/>
            <w:webHidden/>
          </w:rPr>
          <w:t>3</w:t>
        </w:r>
        <w:r>
          <w:rPr>
            <w:noProof/>
            <w:webHidden/>
          </w:rPr>
          <w:fldChar w:fldCharType="end"/>
        </w:r>
      </w:hyperlink>
    </w:p>
    <w:p w:rsidR="00B231CB" w:rsidRDefault="00C71431">
      <w:pPr>
        <w:pStyle w:val="TOC2"/>
        <w:tabs>
          <w:tab w:val="left" w:pos="1077"/>
        </w:tabs>
        <w:rPr>
          <w:rFonts w:asciiTheme="minorHAnsi" w:eastAsiaTheme="minorEastAsia" w:hAnsiTheme="minorHAnsi" w:cstheme="minorBidi"/>
          <w:noProof/>
          <w:sz w:val="22"/>
          <w:szCs w:val="22"/>
          <w:lang w:eastAsia="en-GB"/>
        </w:rPr>
      </w:pPr>
      <w:hyperlink w:anchor="_Toc496688603"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Organisation and timing</w:t>
        </w:r>
        <w:r>
          <w:rPr>
            <w:noProof/>
            <w:webHidden/>
          </w:rPr>
          <w:tab/>
        </w:r>
        <w:r>
          <w:rPr>
            <w:noProof/>
            <w:webHidden/>
          </w:rPr>
          <w:fldChar w:fldCharType="begin"/>
        </w:r>
        <w:r>
          <w:rPr>
            <w:noProof/>
            <w:webHidden/>
          </w:rPr>
          <w:instrText xml:space="preserve"> PAGEREF _Toc496688603 \h </w:instrText>
        </w:r>
        <w:r>
          <w:rPr>
            <w:noProof/>
            <w:webHidden/>
          </w:rPr>
        </w:r>
        <w:r>
          <w:rPr>
            <w:noProof/>
            <w:webHidden/>
          </w:rPr>
          <w:fldChar w:fldCharType="separate"/>
        </w:r>
        <w:r>
          <w:rPr>
            <w:noProof/>
            <w:webHidden/>
          </w:rPr>
          <w:t>3</w:t>
        </w:r>
        <w:r>
          <w:rPr>
            <w:noProof/>
            <w:webHidden/>
          </w:rPr>
          <w:fldChar w:fldCharType="end"/>
        </w:r>
      </w:hyperlink>
    </w:p>
    <w:p w:rsidR="00B231CB" w:rsidRDefault="00C71431">
      <w:pPr>
        <w:pStyle w:val="TOC2"/>
        <w:tabs>
          <w:tab w:val="left" w:pos="1077"/>
        </w:tabs>
        <w:rPr>
          <w:rFonts w:asciiTheme="minorHAnsi" w:eastAsiaTheme="minorEastAsia" w:hAnsiTheme="minorHAnsi" w:cstheme="minorBidi"/>
          <w:noProof/>
          <w:sz w:val="22"/>
          <w:szCs w:val="22"/>
          <w:lang w:eastAsia="en-GB"/>
        </w:rPr>
      </w:pPr>
      <w:hyperlink w:anchor="_Toc496688604"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Consultation of the Regulatory Scrutiny Board (RSB)</w:t>
        </w:r>
        <w:r>
          <w:rPr>
            <w:noProof/>
            <w:webHidden/>
          </w:rPr>
          <w:tab/>
        </w:r>
        <w:r>
          <w:rPr>
            <w:noProof/>
            <w:webHidden/>
          </w:rPr>
          <w:fldChar w:fldCharType="begin"/>
        </w:r>
        <w:r>
          <w:rPr>
            <w:noProof/>
            <w:webHidden/>
          </w:rPr>
          <w:instrText xml:space="preserve"> PAGEREF _Toc496688604 \h </w:instrText>
        </w:r>
        <w:r>
          <w:rPr>
            <w:noProof/>
            <w:webHidden/>
          </w:rPr>
        </w:r>
        <w:r>
          <w:rPr>
            <w:noProof/>
            <w:webHidden/>
          </w:rPr>
          <w:fldChar w:fldCharType="separate"/>
        </w:r>
        <w:r>
          <w:rPr>
            <w:noProof/>
            <w:webHidden/>
          </w:rPr>
          <w:t>3</w:t>
        </w:r>
        <w:r>
          <w:rPr>
            <w:noProof/>
            <w:webHidden/>
          </w:rPr>
          <w:fldChar w:fldCharType="end"/>
        </w:r>
      </w:hyperlink>
    </w:p>
    <w:p w:rsidR="00B231CB" w:rsidRDefault="00C71431">
      <w:pPr>
        <w:pStyle w:val="TOC2"/>
        <w:tabs>
          <w:tab w:val="left" w:pos="1077"/>
        </w:tabs>
        <w:rPr>
          <w:rFonts w:asciiTheme="minorHAnsi" w:eastAsiaTheme="minorEastAsia" w:hAnsiTheme="minorHAnsi" w:cstheme="minorBidi"/>
          <w:noProof/>
          <w:sz w:val="22"/>
          <w:szCs w:val="22"/>
          <w:lang w:eastAsia="en-GB"/>
        </w:rPr>
      </w:pPr>
      <w:hyperlink w:anchor="_Toc496688605" w:history="1">
        <w:r>
          <w:rPr>
            <w:rStyle w:val="Hyperlink"/>
            <w:noProof/>
          </w:rPr>
          <w:t>1.3</w:t>
        </w:r>
        <w:r>
          <w:rPr>
            <w:rFonts w:asciiTheme="minorHAnsi" w:eastAsiaTheme="minorEastAsia" w:hAnsiTheme="minorHAnsi" w:cstheme="minorBidi"/>
            <w:noProof/>
            <w:sz w:val="22"/>
            <w:szCs w:val="22"/>
            <w:lang w:eastAsia="en-GB"/>
          </w:rPr>
          <w:tab/>
        </w:r>
        <w:r>
          <w:rPr>
            <w:rStyle w:val="Hyperlink"/>
            <w:noProof/>
          </w:rPr>
          <w:t>Evidence</w:t>
        </w:r>
        <w:r>
          <w:rPr>
            <w:noProof/>
            <w:webHidden/>
          </w:rPr>
          <w:tab/>
        </w:r>
        <w:r>
          <w:rPr>
            <w:noProof/>
            <w:webHidden/>
          </w:rPr>
          <w:fldChar w:fldCharType="begin"/>
        </w:r>
        <w:r>
          <w:rPr>
            <w:noProof/>
            <w:webHidden/>
          </w:rPr>
          <w:instrText xml:space="preserve"> PAGEREF _Toc496688605 \h </w:instrText>
        </w:r>
        <w:r>
          <w:rPr>
            <w:noProof/>
            <w:webHidden/>
          </w:rPr>
        </w:r>
        <w:r>
          <w:rPr>
            <w:noProof/>
            <w:webHidden/>
          </w:rPr>
          <w:fldChar w:fldCharType="separate"/>
        </w:r>
        <w:r>
          <w:rPr>
            <w:noProof/>
            <w:webHidden/>
          </w:rPr>
          <w:t>6</w:t>
        </w:r>
        <w:r>
          <w:rPr>
            <w:noProof/>
            <w:webHidden/>
          </w:rPr>
          <w:fldChar w:fldCharType="end"/>
        </w:r>
      </w:hyperlink>
    </w:p>
    <w:p w:rsidR="00B231CB" w:rsidRDefault="00C71431">
      <w:pPr>
        <w:pStyle w:val="TOC2"/>
        <w:tabs>
          <w:tab w:val="left" w:pos="1077"/>
        </w:tabs>
        <w:rPr>
          <w:rFonts w:asciiTheme="minorHAnsi" w:eastAsiaTheme="minorEastAsia" w:hAnsiTheme="minorHAnsi" w:cstheme="minorBidi"/>
          <w:noProof/>
          <w:sz w:val="22"/>
          <w:szCs w:val="22"/>
          <w:lang w:eastAsia="en-GB"/>
        </w:rPr>
      </w:pPr>
      <w:hyperlink w:anchor="_Toc496688606" w:history="1">
        <w:r>
          <w:rPr>
            <w:rStyle w:val="Hyperlink"/>
            <w:noProof/>
          </w:rPr>
          <w:t>1.4</w:t>
        </w:r>
        <w:r>
          <w:rPr>
            <w:rFonts w:asciiTheme="minorHAnsi" w:eastAsiaTheme="minorEastAsia" w:hAnsiTheme="minorHAnsi" w:cstheme="minorBidi"/>
            <w:noProof/>
            <w:sz w:val="22"/>
            <w:szCs w:val="22"/>
            <w:lang w:eastAsia="en-GB"/>
          </w:rPr>
          <w:tab/>
        </w:r>
        <w:r>
          <w:rPr>
            <w:rStyle w:val="Hyperlink"/>
            <w:noProof/>
          </w:rPr>
          <w:t>External expertise</w:t>
        </w:r>
        <w:r>
          <w:rPr>
            <w:noProof/>
            <w:webHidden/>
          </w:rPr>
          <w:tab/>
        </w:r>
        <w:r>
          <w:rPr>
            <w:noProof/>
            <w:webHidden/>
          </w:rPr>
          <w:fldChar w:fldCharType="begin"/>
        </w:r>
        <w:r>
          <w:rPr>
            <w:noProof/>
            <w:webHidden/>
          </w:rPr>
          <w:instrText xml:space="preserve"> PAGEREF _Toc496688606 \h </w:instrText>
        </w:r>
        <w:r>
          <w:rPr>
            <w:noProof/>
            <w:webHidden/>
          </w:rPr>
        </w:r>
        <w:r>
          <w:rPr>
            <w:noProof/>
            <w:webHidden/>
          </w:rPr>
          <w:fldChar w:fldCharType="separate"/>
        </w:r>
        <w:r>
          <w:rPr>
            <w:noProof/>
            <w:webHidden/>
          </w:rPr>
          <w:t>7</w:t>
        </w:r>
        <w:r>
          <w:rPr>
            <w:noProof/>
            <w:webHidden/>
          </w:rPr>
          <w:fldChar w:fldCharType="end"/>
        </w:r>
      </w:hyperlink>
    </w:p>
    <w:p w:rsidR="00B231CB" w:rsidRDefault="00C71431">
      <w:pPr>
        <w:pStyle w:val="TOC1"/>
        <w:rPr>
          <w:rFonts w:asciiTheme="minorHAnsi" w:eastAsiaTheme="minorEastAsia" w:hAnsiTheme="minorHAnsi" w:cstheme="minorBidi"/>
          <w:caps w:val="0"/>
          <w:noProof/>
          <w:sz w:val="22"/>
          <w:szCs w:val="22"/>
          <w:lang w:eastAsia="en-GB"/>
        </w:rPr>
      </w:pPr>
      <w:hyperlink w:anchor="_Toc496688607"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Annex 2: Stakeholder consultation</w:t>
        </w:r>
        <w:r>
          <w:rPr>
            <w:noProof/>
            <w:webHidden/>
          </w:rPr>
          <w:tab/>
        </w:r>
        <w:r>
          <w:rPr>
            <w:noProof/>
            <w:webHidden/>
          </w:rPr>
          <w:fldChar w:fldCharType="begin"/>
        </w:r>
        <w:r>
          <w:rPr>
            <w:noProof/>
            <w:webHidden/>
          </w:rPr>
          <w:instrText xml:space="preserve"> PAGEREF _Toc496688607 \h </w:instrText>
        </w:r>
        <w:r>
          <w:rPr>
            <w:noProof/>
            <w:webHidden/>
          </w:rPr>
        </w:r>
        <w:r>
          <w:rPr>
            <w:noProof/>
            <w:webHidden/>
          </w:rPr>
          <w:fldChar w:fldCharType="separate"/>
        </w:r>
        <w:r>
          <w:rPr>
            <w:noProof/>
            <w:webHidden/>
          </w:rPr>
          <w:t>8</w:t>
        </w:r>
        <w:r>
          <w:rPr>
            <w:noProof/>
            <w:webHidden/>
          </w:rPr>
          <w:fldChar w:fldCharType="end"/>
        </w:r>
      </w:hyperlink>
    </w:p>
    <w:p w:rsidR="00B231CB" w:rsidRDefault="00C71431">
      <w:pPr>
        <w:pStyle w:val="TOC2"/>
        <w:tabs>
          <w:tab w:val="left" w:pos="1077"/>
        </w:tabs>
        <w:rPr>
          <w:rFonts w:asciiTheme="minorHAnsi" w:eastAsiaTheme="minorEastAsia" w:hAnsiTheme="minorHAnsi" w:cstheme="minorBidi"/>
          <w:noProof/>
          <w:sz w:val="22"/>
          <w:szCs w:val="22"/>
          <w:lang w:eastAsia="en-GB"/>
        </w:rPr>
      </w:pPr>
      <w:hyperlink w:anchor="_Toc496688608"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_Toc496688608 \h </w:instrText>
        </w:r>
        <w:r>
          <w:rPr>
            <w:noProof/>
            <w:webHidden/>
          </w:rPr>
        </w:r>
        <w:r>
          <w:rPr>
            <w:noProof/>
            <w:webHidden/>
          </w:rPr>
          <w:fldChar w:fldCharType="separate"/>
        </w:r>
        <w:r>
          <w:rPr>
            <w:noProof/>
            <w:webHidden/>
          </w:rPr>
          <w:t>8</w:t>
        </w:r>
        <w:r>
          <w:rPr>
            <w:noProof/>
            <w:webHidden/>
          </w:rPr>
          <w:fldChar w:fldCharType="end"/>
        </w:r>
      </w:hyperlink>
    </w:p>
    <w:p w:rsidR="00B231CB" w:rsidRDefault="00C71431">
      <w:pPr>
        <w:pStyle w:val="TOC2"/>
        <w:tabs>
          <w:tab w:val="left" w:pos="1077"/>
        </w:tabs>
        <w:rPr>
          <w:rFonts w:asciiTheme="minorHAnsi" w:eastAsiaTheme="minorEastAsia" w:hAnsiTheme="minorHAnsi" w:cstheme="minorBidi"/>
          <w:noProof/>
          <w:sz w:val="22"/>
          <w:szCs w:val="22"/>
          <w:lang w:eastAsia="en-GB"/>
        </w:rPr>
      </w:pPr>
      <w:hyperlink w:anchor="_Toc496688609"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Public c</w:t>
        </w:r>
        <w:r>
          <w:rPr>
            <w:rStyle w:val="Hyperlink"/>
            <w:noProof/>
          </w:rPr>
          <w:t>onsultation</w:t>
        </w:r>
        <w:r>
          <w:rPr>
            <w:noProof/>
            <w:webHidden/>
          </w:rPr>
          <w:tab/>
        </w:r>
        <w:r>
          <w:rPr>
            <w:noProof/>
            <w:webHidden/>
          </w:rPr>
          <w:fldChar w:fldCharType="begin"/>
        </w:r>
        <w:r>
          <w:rPr>
            <w:noProof/>
            <w:webHidden/>
          </w:rPr>
          <w:instrText xml:space="preserve"> PAGEREF _Toc496688609 \h </w:instrText>
        </w:r>
        <w:r>
          <w:rPr>
            <w:noProof/>
            <w:webHidden/>
          </w:rPr>
        </w:r>
        <w:r>
          <w:rPr>
            <w:noProof/>
            <w:webHidden/>
          </w:rPr>
          <w:fldChar w:fldCharType="separate"/>
        </w:r>
        <w:r>
          <w:rPr>
            <w:noProof/>
            <w:webHidden/>
          </w:rPr>
          <w:t>9</w:t>
        </w:r>
        <w:r>
          <w:rPr>
            <w:noProof/>
            <w:webHidden/>
          </w:rPr>
          <w:fldChar w:fldCharType="end"/>
        </w:r>
      </w:hyperlink>
    </w:p>
    <w:p w:rsidR="00B231CB" w:rsidRDefault="00C71431">
      <w:pPr>
        <w:pStyle w:val="TOC3"/>
        <w:tabs>
          <w:tab w:val="left" w:pos="1916"/>
        </w:tabs>
        <w:rPr>
          <w:rFonts w:asciiTheme="minorHAnsi" w:eastAsiaTheme="minorEastAsia" w:hAnsiTheme="minorHAnsi" w:cstheme="minorBidi"/>
          <w:noProof/>
          <w:sz w:val="22"/>
          <w:szCs w:val="22"/>
          <w:lang w:eastAsia="en-GB"/>
        </w:rPr>
      </w:pPr>
      <w:hyperlink w:anchor="_Toc496688610" w:history="1">
        <w:r>
          <w:rPr>
            <w:rStyle w:val="Hyperlink"/>
            <w:noProof/>
          </w:rPr>
          <w:t>2.2.1</w:t>
        </w:r>
        <w:r>
          <w:rPr>
            <w:rFonts w:asciiTheme="minorHAnsi" w:eastAsiaTheme="minorEastAsia" w:hAnsiTheme="minorHAnsi" w:cstheme="minorBidi"/>
            <w:noProof/>
            <w:sz w:val="22"/>
            <w:szCs w:val="22"/>
            <w:lang w:eastAsia="en-GB"/>
          </w:rPr>
          <w:tab/>
        </w:r>
        <w:r>
          <w:rPr>
            <w:rStyle w:val="Hyperlink"/>
            <w:noProof/>
          </w:rPr>
          <w:t>Process and quantitative results</w:t>
        </w:r>
        <w:r>
          <w:rPr>
            <w:noProof/>
            <w:webHidden/>
          </w:rPr>
          <w:tab/>
        </w:r>
        <w:r>
          <w:rPr>
            <w:noProof/>
            <w:webHidden/>
          </w:rPr>
          <w:fldChar w:fldCharType="begin"/>
        </w:r>
        <w:r>
          <w:rPr>
            <w:noProof/>
            <w:webHidden/>
          </w:rPr>
          <w:instrText xml:space="preserve"> PAGEREF _Toc496688610 \h </w:instrText>
        </w:r>
        <w:r>
          <w:rPr>
            <w:noProof/>
            <w:webHidden/>
          </w:rPr>
        </w:r>
        <w:r>
          <w:rPr>
            <w:noProof/>
            <w:webHidden/>
          </w:rPr>
          <w:fldChar w:fldCharType="separate"/>
        </w:r>
        <w:r>
          <w:rPr>
            <w:noProof/>
            <w:webHidden/>
          </w:rPr>
          <w:t>9</w:t>
        </w:r>
        <w:r>
          <w:rPr>
            <w:noProof/>
            <w:webHidden/>
          </w:rPr>
          <w:fldChar w:fldCharType="end"/>
        </w:r>
      </w:hyperlink>
    </w:p>
    <w:p w:rsidR="00B231CB" w:rsidRDefault="00C71431">
      <w:pPr>
        <w:pStyle w:val="TOC3"/>
        <w:tabs>
          <w:tab w:val="left" w:pos="1916"/>
        </w:tabs>
        <w:rPr>
          <w:rFonts w:asciiTheme="minorHAnsi" w:eastAsiaTheme="minorEastAsia" w:hAnsiTheme="minorHAnsi" w:cstheme="minorBidi"/>
          <w:noProof/>
          <w:sz w:val="22"/>
          <w:szCs w:val="22"/>
          <w:lang w:eastAsia="en-GB"/>
        </w:rPr>
      </w:pPr>
      <w:hyperlink w:anchor="_Toc496688611" w:history="1">
        <w:r>
          <w:rPr>
            <w:rStyle w:val="Hyperlink"/>
            <w:noProof/>
          </w:rPr>
          <w:t>2.2.2</w:t>
        </w:r>
        <w:r>
          <w:rPr>
            <w:rFonts w:asciiTheme="minorHAnsi" w:eastAsiaTheme="minorEastAsia" w:hAnsiTheme="minorHAnsi" w:cstheme="minorBidi"/>
            <w:noProof/>
            <w:sz w:val="22"/>
            <w:szCs w:val="22"/>
            <w:lang w:eastAsia="en-GB"/>
          </w:rPr>
          <w:tab/>
        </w:r>
        <w:r>
          <w:rPr>
            <w:rStyle w:val="Hyperlink"/>
            <w:noProof/>
          </w:rPr>
          <w:t>The need and objectives for setting CO</w:t>
        </w:r>
        <w:r>
          <w:rPr>
            <w:rStyle w:val="Hyperlink"/>
            <w:noProof/>
            <w:vertAlign w:val="subscript"/>
          </w:rPr>
          <w:t>2</w:t>
        </w:r>
        <w:r>
          <w:rPr>
            <w:rStyle w:val="Hyperlink"/>
            <w:noProof/>
          </w:rPr>
          <w:t xml:space="preserve"> emission targets for cars and vans in the EU after 2020</w:t>
        </w:r>
        <w:r>
          <w:rPr>
            <w:noProof/>
            <w:webHidden/>
          </w:rPr>
          <w:tab/>
        </w:r>
        <w:r>
          <w:rPr>
            <w:noProof/>
            <w:webHidden/>
          </w:rPr>
          <w:fldChar w:fldCharType="begin"/>
        </w:r>
        <w:r>
          <w:rPr>
            <w:noProof/>
            <w:webHidden/>
          </w:rPr>
          <w:instrText xml:space="preserve"> PAGEREF _Toc496688611 \h </w:instrText>
        </w:r>
        <w:r>
          <w:rPr>
            <w:noProof/>
            <w:webHidden/>
          </w:rPr>
        </w:r>
        <w:r>
          <w:rPr>
            <w:noProof/>
            <w:webHidden/>
          </w:rPr>
          <w:fldChar w:fldCharType="separate"/>
        </w:r>
        <w:r>
          <w:rPr>
            <w:noProof/>
            <w:webHidden/>
          </w:rPr>
          <w:t>10</w:t>
        </w:r>
        <w:r>
          <w:rPr>
            <w:noProof/>
            <w:webHidden/>
          </w:rPr>
          <w:fldChar w:fldCharType="end"/>
        </w:r>
      </w:hyperlink>
    </w:p>
    <w:p w:rsidR="00B231CB" w:rsidRDefault="00C71431">
      <w:pPr>
        <w:pStyle w:val="TOC3"/>
        <w:tabs>
          <w:tab w:val="left" w:pos="1916"/>
        </w:tabs>
        <w:rPr>
          <w:rFonts w:asciiTheme="minorHAnsi" w:eastAsiaTheme="minorEastAsia" w:hAnsiTheme="minorHAnsi" w:cstheme="minorBidi"/>
          <w:noProof/>
          <w:sz w:val="22"/>
          <w:szCs w:val="22"/>
          <w:lang w:eastAsia="en-GB"/>
        </w:rPr>
      </w:pPr>
      <w:hyperlink w:anchor="_Toc496688612" w:history="1">
        <w:r>
          <w:rPr>
            <w:rStyle w:val="Hyperlink"/>
            <w:noProof/>
          </w:rPr>
          <w:t>2.2.3</w:t>
        </w:r>
        <w:r>
          <w:rPr>
            <w:rFonts w:asciiTheme="minorHAnsi" w:eastAsiaTheme="minorEastAsia" w:hAnsiTheme="minorHAnsi" w:cstheme="minorBidi"/>
            <w:noProof/>
            <w:sz w:val="22"/>
            <w:szCs w:val="22"/>
            <w:lang w:eastAsia="en-GB"/>
          </w:rPr>
          <w:tab/>
        </w:r>
        <w:r>
          <w:rPr>
            <w:rStyle w:val="Hyperlink"/>
            <w:noProof/>
          </w:rPr>
          <w:t>Technology specific requirements</w:t>
        </w:r>
        <w:r>
          <w:rPr>
            <w:noProof/>
            <w:webHidden/>
          </w:rPr>
          <w:tab/>
        </w:r>
        <w:r>
          <w:rPr>
            <w:noProof/>
            <w:webHidden/>
          </w:rPr>
          <w:fldChar w:fldCharType="begin"/>
        </w:r>
        <w:r>
          <w:rPr>
            <w:noProof/>
            <w:webHidden/>
          </w:rPr>
          <w:instrText xml:space="preserve"> PAGEREF _Toc496688612 \h </w:instrText>
        </w:r>
        <w:r>
          <w:rPr>
            <w:noProof/>
            <w:webHidden/>
          </w:rPr>
        </w:r>
        <w:r>
          <w:rPr>
            <w:noProof/>
            <w:webHidden/>
          </w:rPr>
          <w:fldChar w:fldCharType="separate"/>
        </w:r>
        <w:r>
          <w:rPr>
            <w:noProof/>
            <w:webHidden/>
          </w:rPr>
          <w:t>13</w:t>
        </w:r>
        <w:r>
          <w:rPr>
            <w:noProof/>
            <w:webHidden/>
          </w:rPr>
          <w:fldChar w:fldCharType="end"/>
        </w:r>
      </w:hyperlink>
    </w:p>
    <w:p w:rsidR="00B231CB" w:rsidRDefault="00C71431">
      <w:pPr>
        <w:pStyle w:val="TOC3"/>
        <w:tabs>
          <w:tab w:val="left" w:pos="1916"/>
        </w:tabs>
        <w:rPr>
          <w:rFonts w:asciiTheme="minorHAnsi" w:eastAsiaTheme="minorEastAsia" w:hAnsiTheme="minorHAnsi" w:cstheme="minorBidi"/>
          <w:noProof/>
          <w:sz w:val="22"/>
          <w:szCs w:val="22"/>
          <w:lang w:eastAsia="en-GB"/>
        </w:rPr>
      </w:pPr>
      <w:hyperlink w:anchor="_Toc496688613" w:history="1">
        <w:r>
          <w:rPr>
            <w:rStyle w:val="Hyperlink"/>
            <w:noProof/>
          </w:rPr>
          <w:t>2.2.4</w:t>
        </w:r>
        <w:r>
          <w:rPr>
            <w:rFonts w:asciiTheme="minorHAnsi" w:eastAsiaTheme="minorEastAsia" w:hAnsiTheme="minorHAnsi" w:cstheme="minorBidi"/>
            <w:noProof/>
            <w:sz w:val="22"/>
            <w:szCs w:val="22"/>
            <w:lang w:eastAsia="en-GB"/>
          </w:rPr>
          <w:tab/>
        </w:r>
        <w:r>
          <w:rPr>
            <w:rStyle w:val="Hyperlink"/>
            <w:noProof/>
          </w:rPr>
          <w:t>Distribution of efforts between different actors</w:t>
        </w:r>
        <w:r>
          <w:rPr>
            <w:noProof/>
            <w:webHidden/>
          </w:rPr>
          <w:tab/>
        </w:r>
        <w:r>
          <w:rPr>
            <w:noProof/>
            <w:webHidden/>
          </w:rPr>
          <w:fldChar w:fldCharType="begin"/>
        </w:r>
        <w:r>
          <w:rPr>
            <w:noProof/>
            <w:webHidden/>
          </w:rPr>
          <w:instrText xml:space="preserve"> PAGEREF _Toc496688613 \h </w:instrText>
        </w:r>
        <w:r>
          <w:rPr>
            <w:noProof/>
            <w:webHidden/>
          </w:rPr>
        </w:r>
        <w:r>
          <w:rPr>
            <w:noProof/>
            <w:webHidden/>
          </w:rPr>
          <w:fldChar w:fldCharType="separate"/>
        </w:r>
        <w:r>
          <w:rPr>
            <w:noProof/>
            <w:webHidden/>
          </w:rPr>
          <w:t>13</w:t>
        </w:r>
        <w:r>
          <w:rPr>
            <w:noProof/>
            <w:webHidden/>
          </w:rPr>
          <w:fldChar w:fldCharType="end"/>
        </w:r>
      </w:hyperlink>
    </w:p>
    <w:p w:rsidR="00B231CB" w:rsidRDefault="00C71431">
      <w:pPr>
        <w:pStyle w:val="TOC3"/>
        <w:tabs>
          <w:tab w:val="left" w:pos="1916"/>
        </w:tabs>
        <w:rPr>
          <w:rFonts w:asciiTheme="minorHAnsi" w:eastAsiaTheme="minorEastAsia" w:hAnsiTheme="minorHAnsi" w:cstheme="minorBidi"/>
          <w:noProof/>
          <w:sz w:val="22"/>
          <w:szCs w:val="22"/>
          <w:lang w:eastAsia="en-GB"/>
        </w:rPr>
      </w:pPr>
      <w:hyperlink w:anchor="_Toc496688614" w:history="1">
        <w:r>
          <w:rPr>
            <w:rStyle w:val="Hyperlink"/>
            <w:noProof/>
          </w:rPr>
          <w:t>2.2.5</w:t>
        </w:r>
        <w:r>
          <w:rPr>
            <w:rFonts w:asciiTheme="minorHAnsi" w:eastAsiaTheme="minorEastAsia" w:hAnsiTheme="minorHAnsi" w:cstheme="minorBidi"/>
            <w:noProof/>
            <w:sz w:val="22"/>
            <w:szCs w:val="22"/>
            <w:lang w:eastAsia="en-GB"/>
          </w:rPr>
          <w:tab/>
        </w:r>
        <w:r>
          <w:rPr>
            <w:rStyle w:val="Hyperlink"/>
            <w:noProof/>
          </w:rPr>
          <w:t>Incentivising low- and zero-emission vehicles</w:t>
        </w:r>
        <w:r>
          <w:rPr>
            <w:noProof/>
            <w:webHidden/>
          </w:rPr>
          <w:tab/>
        </w:r>
        <w:r>
          <w:rPr>
            <w:noProof/>
            <w:webHidden/>
          </w:rPr>
          <w:fldChar w:fldCharType="begin"/>
        </w:r>
        <w:r>
          <w:rPr>
            <w:noProof/>
            <w:webHidden/>
          </w:rPr>
          <w:instrText xml:space="preserve"> PAGEREF _</w:instrText>
        </w:r>
        <w:r>
          <w:rPr>
            <w:noProof/>
            <w:webHidden/>
          </w:rPr>
          <w:instrText xml:space="preserve">Toc496688614 \h </w:instrText>
        </w:r>
        <w:r>
          <w:rPr>
            <w:noProof/>
            <w:webHidden/>
          </w:rPr>
        </w:r>
        <w:r>
          <w:rPr>
            <w:noProof/>
            <w:webHidden/>
          </w:rPr>
          <w:fldChar w:fldCharType="separate"/>
        </w:r>
        <w:r>
          <w:rPr>
            <w:noProof/>
            <w:webHidden/>
          </w:rPr>
          <w:t>13</w:t>
        </w:r>
        <w:r>
          <w:rPr>
            <w:noProof/>
            <w:webHidden/>
          </w:rPr>
          <w:fldChar w:fldCharType="end"/>
        </w:r>
      </w:hyperlink>
    </w:p>
    <w:p w:rsidR="00B231CB" w:rsidRDefault="00C71431">
      <w:pPr>
        <w:pStyle w:val="TOC3"/>
        <w:tabs>
          <w:tab w:val="left" w:pos="1916"/>
        </w:tabs>
        <w:rPr>
          <w:rFonts w:asciiTheme="minorHAnsi" w:eastAsiaTheme="minorEastAsia" w:hAnsiTheme="minorHAnsi" w:cstheme="minorBidi"/>
          <w:noProof/>
          <w:sz w:val="22"/>
          <w:szCs w:val="22"/>
          <w:lang w:eastAsia="en-GB"/>
        </w:rPr>
      </w:pPr>
      <w:hyperlink w:anchor="_Toc496688615" w:history="1">
        <w:r>
          <w:rPr>
            <w:rStyle w:val="Hyperlink"/>
            <w:noProof/>
          </w:rPr>
          <w:t>2.2.6</w:t>
        </w:r>
        <w:r>
          <w:rPr>
            <w:rFonts w:asciiTheme="minorHAnsi" w:eastAsiaTheme="minorEastAsia" w:hAnsiTheme="minorHAnsi" w:cstheme="minorBidi"/>
            <w:noProof/>
            <w:sz w:val="22"/>
            <w:szCs w:val="22"/>
            <w:lang w:eastAsia="en-GB"/>
          </w:rPr>
          <w:tab/>
        </w:r>
        <w:r>
          <w:rPr>
            <w:rStyle w:val="Hyperlink"/>
            <w:noProof/>
          </w:rPr>
          <w:t>Modalities (eco-innovations and derogations)</w:t>
        </w:r>
        <w:r>
          <w:rPr>
            <w:noProof/>
            <w:webHidden/>
          </w:rPr>
          <w:tab/>
        </w:r>
        <w:r>
          <w:rPr>
            <w:noProof/>
            <w:webHidden/>
          </w:rPr>
          <w:fldChar w:fldCharType="begin"/>
        </w:r>
        <w:r>
          <w:rPr>
            <w:noProof/>
            <w:webHidden/>
          </w:rPr>
          <w:instrText xml:space="preserve"> PAGEREF _Toc496688615 \h </w:instrText>
        </w:r>
        <w:r>
          <w:rPr>
            <w:noProof/>
            <w:webHidden/>
          </w:rPr>
        </w:r>
        <w:r>
          <w:rPr>
            <w:noProof/>
            <w:webHidden/>
          </w:rPr>
          <w:fldChar w:fldCharType="separate"/>
        </w:r>
        <w:r>
          <w:rPr>
            <w:noProof/>
            <w:webHidden/>
          </w:rPr>
          <w:t>14</w:t>
        </w:r>
        <w:r>
          <w:rPr>
            <w:noProof/>
            <w:webHidden/>
          </w:rPr>
          <w:fldChar w:fldCharType="end"/>
        </w:r>
      </w:hyperlink>
    </w:p>
    <w:p w:rsidR="00B231CB" w:rsidRDefault="00C71431">
      <w:pPr>
        <w:pStyle w:val="TOC2"/>
        <w:tabs>
          <w:tab w:val="left" w:pos="1077"/>
        </w:tabs>
        <w:rPr>
          <w:rFonts w:asciiTheme="minorHAnsi" w:eastAsiaTheme="minorEastAsia" w:hAnsiTheme="minorHAnsi" w:cstheme="minorBidi"/>
          <w:noProof/>
          <w:sz w:val="22"/>
          <w:szCs w:val="22"/>
          <w:lang w:eastAsia="en-GB"/>
        </w:rPr>
      </w:pPr>
      <w:hyperlink w:anchor="_Toc496688616" w:history="1">
        <w:r>
          <w:rPr>
            <w:rStyle w:val="Hyperlink"/>
            <w:noProof/>
            <w:lang w:val="en"/>
          </w:rPr>
          <w:t>2.3</w:t>
        </w:r>
        <w:r>
          <w:rPr>
            <w:rFonts w:asciiTheme="minorHAnsi" w:eastAsiaTheme="minorEastAsia" w:hAnsiTheme="minorHAnsi" w:cstheme="minorBidi"/>
            <w:noProof/>
            <w:sz w:val="22"/>
            <w:szCs w:val="22"/>
            <w:lang w:eastAsia="en-GB"/>
          </w:rPr>
          <w:tab/>
        </w:r>
        <w:r>
          <w:rPr>
            <w:rStyle w:val="Hyperlink"/>
            <w:noProof/>
            <w:lang w:val="en"/>
          </w:rPr>
          <w:t>Dedicated stakeholder event on jobs and skills</w:t>
        </w:r>
        <w:r>
          <w:rPr>
            <w:noProof/>
            <w:webHidden/>
          </w:rPr>
          <w:tab/>
        </w:r>
        <w:r>
          <w:rPr>
            <w:noProof/>
            <w:webHidden/>
          </w:rPr>
          <w:fldChar w:fldCharType="begin"/>
        </w:r>
        <w:r>
          <w:rPr>
            <w:noProof/>
            <w:webHidden/>
          </w:rPr>
          <w:instrText xml:space="preserve"> PAGEREF _Toc496688616 \h </w:instrText>
        </w:r>
        <w:r>
          <w:rPr>
            <w:noProof/>
            <w:webHidden/>
          </w:rPr>
        </w:r>
        <w:r>
          <w:rPr>
            <w:noProof/>
            <w:webHidden/>
          </w:rPr>
          <w:fldChar w:fldCharType="separate"/>
        </w:r>
        <w:r>
          <w:rPr>
            <w:noProof/>
            <w:webHidden/>
          </w:rPr>
          <w:t>15</w:t>
        </w:r>
        <w:r>
          <w:rPr>
            <w:noProof/>
            <w:webHidden/>
          </w:rPr>
          <w:fldChar w:fldCharType="end"/>
        </w:r>
      </w:hyperlink>
    </w:p>
    <w:p w:rsidR="00B231CB" w:rsidRDefault="00C71431">
      <w:pPr>
        <w:pStyle w:val="TOC2"/>
        <w:tabs>
          <w:tab w:val="left" w:pos="1077"/>
        </w:tabs>
        <w:rPr>
          <w:rFonts w:asciiTheme="minorHAnsi" w:eastAsiaTheme="minorEastAsia" w:hAnsiTheme="minorHAnsi" w:cstheme="minorBidi"/>
          <w:noProof/>
          <w:sz w:val="22"/>
          <w:szCs w:val="22"/>
          <w:lang w:eastAsia="en-GB"/>
        </w:rPr>
      </w:pPr>
      <w:hyperlink w:anchor="_Toc496688617"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Use of the stakeholder input for the impact assessment</w:t>
        </w:r>
        <w:r>
          <w:rPr>
            <w:noProof/>
            <w:webHidden/>
          </w:rPr>
          <w:tab/>
        </w:r>
        <w:r>
          <w:rPr>
            <w:noProof/>
            <w:webHidden/>
          </w:rPr>
          <w:fldChar w:fldCharType="begin"/>
        </w:r>
        <w:r>
          <w:rPr>
            <w:noProof/>
            <w:webHidden/>
          </w:rPr>
          <w:instrText xml:space="preserve"> PAGEREF _Toc496688617 \h </w:instrText>
        </w:r>
        <w:r>
          <w:rPr>
            <w:noProof/>
            <w:webHidden/>
          </w:rPr>
        </w:r>
        <w:r>
          <w:rPr>
            <w:noProof/>
            <w:webHidden/>
          </w:rPr>
          <w:fldChar w:fldCharType="separate"/>
        </w:r>
        <w:r>
          <w:rPr>
            <w:noProof/>
            <w:webHidden/>
          </w:rPr>
          <w:t>15</w:t>
        </w:r>
        <w:r>
          <w:rPr>
            <w:noProof/>
            <w:webHidden/>
          </w:rPr>
          <w:fldChar w:fldCharType="end"/>
        </w:r>
      </w:hyperlink>
    </w:p>
    <w:p w:rsidR="00B231CB" w:rsidRDefault="00C71431">
      <w:pPr>
        <w:pStyle w:val="TOC1"/>
        <w:rPr>
          <w:rFonts w:asciiTheme="minorHAnsi" w:eastAsiaTheme="minorEastAsia" w:hAnsiTheme="minorHAnsi" w:cstheme="minorBidi"/>
          <w:caps w:val="0"/>
          <w:noProof/>
          <w:sz w:val="22"/>
          <w:szCs w:val="22"/>
          <w:lang w:eastAsia="en-GB"/>
        </w:rPr>
      </w:pPr>
      <w:hyperlink w:anchor="_Toc496688618"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Annex 3: Who is affected by the initiative and how</w:t>
        </w:r>
        <w:r>
          <w:rPr>
            <w:noProof/>
            <w:webHidden/>
          </w:rPr>
          <w:tab/>
        </w:r>
        <w:r>
          <w:rPr>
            <w:noProof/>
            <w:webHidden/>
          </w:rPr>
          <w:fldChar w:fldCharType="begin"/>
        </w:r>
        <w:r>
          <w:rPr>
            <w:noProof/>
            <w:webHidden/>
          </w:rPr>
          <w:instrText xml:space="preserve"> PAGEREF _Toc496688618 \h </w:instrText>
        </w:r>
        <w:r>
          <w:rPr>
            <w:noProof/>
            <w:webHidden/>
          </w:rPr>
        </w:r>
        <w:r>
          <w:rPr>
            <w:noProof/>
            <w:webHidden/>
          </w:rPr>
          <w:fldChar w:fldCharType="separate"/>
        </w:r>
        <w:r>
          <w:rPr>
            <w:noProof/>
            <w:webHidden/>
          </w:rPr>
          <w:t>17</w:t>
        </w:r>
        <w:r>
          <w:rPr>
            <w:noProof/>
            <w:webHidden/>
          </w:rPr>
          <w:fldChar w:fldCharType="end"/>
        </w:r>
      </w:hyperlink>
    </w:p>
    <w:p w:rsidR="00B231CB" w:rsidRDefault="00C71431">
      <w:pPr>
        <w:pStyle w:val="TOC1"/>
        <w:rPr>
          <w:rFonts w:asciiTheme="minorHAnsi" w:eastAsiaTheme="minorEastAsia" w:hAnsiTheme="minorHAnsi" w:cstheme="minorBidi"/>
          <w:caps w:val="0"/>
          <w:noProof/>
          <w:sz w:val="22"/>
          <w:szCs w:val="22"/>
          <w:lang w:eastAsia="en-GB"/>
        </w:rPr>
      </w:pPr>
      <w:hyperlink w:anchor="_Toc496688619"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 xml:space="preserve">Annex 4: Analytical models used in </w:t>
        </w:r>
        <w:r>
          <w:rPr>
            <w:rStyle w:val="Hyperlink"/>
            <w:noProof/>
          </w:rPr>
          <w:t>preparing the impact assessment</w:t>
        </w:r>
        <w:r>
          <w:rPr>
            <w:noProof/>
            <w:webHidden/>
          </w:rPr>
          <w:tab/>
        </w:r>
        <w:r>
          <w:rPr>
            <w:noProof/>
            <w:webHidden/>
          </w:rPr>
          <w:fldChar w:fldCharType="begin"/>
        </w:r>
        <w:r>
          <w:rPr>
            <w:noProof/>
            <w:webHidden/>
          </w:rPr>
          <w:instrText xml:space="preserve"> PAGEREF _Toc496688619 \h </w:instrText>
        </w:r>
        <w:r>
          <w:rPr>
            <w:noProof/>
            <w:webHidden/>
          </w:rPr>
        </w:r>
        <w:r>
          <w:rPr>
            <w:noProof/>
            <w:webHidden/>
          </w:rPr>
          <w:fldChar w:fldCharType="separate"/>
        </w:r>
        <w:r>
          <w:rPr>
            <w:noProof/>
            <w:webHidden/>
          </w:rPr>
          <w:t>20</w:t>
        </w:r>
        <w:r>
          <w:rPr>
            <w:noProof/>
            <w:webHidden/>
          </w:rPr>
          <w:fldChar w:fldCharType="end"/>
        </w:r>
      </w:hyperlink>
    </w:p>
    <w:p w:rsidR="00B231CB" w:rsidRDefault="00C71431">
      <w:pPr>
        <w:pStyle w:val="TOC2"/>
        <w:tabs>
          <w:tab w:val="left" w:pos="1077"/>
        </w:tabs>
        <w:rPr>
          <w:rFonts w:asciiTheme="minorHAnsi" w:eastAsiaTheme="minorEastAsia" w:hAnsiTheme="minorHAnsi" w:cstheme="minorBidi"/>
          <w:noProof/>
          <w:sz w:val="22"/>
          <w:szCs w:val="22"/>
          <w:lang w:eastAsia="en-GB"/>
        </w:rPr>
      </w:pPr>
      <w:hyperlink w:anchor="_Toc496688620"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PRIMES-TREMOVE transport model</w:t>
        </w:r>
        <w:r>
          <w:rPr>
            <w:noProof/>
            <w:webHidden/>
          </w:rPr>
          <w:tab/>
        </w:r>
        <w:r>
          <w:rPr>
            <w:noProof/>
            <w:webHidden/>
          </w:rPr>
          <w:fldChar w:fldCharType="begin"/>
        </w:r>
        <w:r>
          <w:rPr>
            <w:noProof/>
            <w:webHidden/>
          </w:rPr>
          <w:instrText xml:space="preserve"> PAGEREF _Toc496688620 \h </w:instrText>
        </w:r>
        <w:r>
          <w:rPr>
            <w:noProof/>
            <w:webHidden/>
          </w:rPr>
        </w:r>
        <w:r>
          <w:rPr>
            <w:noProof/>
            <w:webHidden/>
          </w:rPr>
          <w:fldChar w:fldCharType="separate"/>
        </w:r>
        <w:r>
          <w:rPr>
            <w:noProof/>
            <w:webHidden/>
          </w:rPr>
          <w:t>20</w:t>
        </w:r>
        <w:r>
          <w:rPr>
            <w:noProof/>
            <w:webHidden/>
          </w:rPr>
          <w:fldChar w:fldCharType="end"/>
        </w:r>
      </w:hyperlink>
    </w:p>
    <w:p w:rsidR="00B231CB" w:rsidRDefault="00C71431">
      <w:pPr>
        <w:pStyle w:val="TOC2"/>
        <w:tabs>
          <w:tab w:val="left" w:pos="1077"/>
        </w:tabs>
        <w:rPr>
          <w:rFonts w:asciiTheme="minorHAnsi" w:eastAsiaTheme="minorEastAsia" w:hAnsiTheme="minorHAnsi" w:cstheme="minorBidi"/>
          <w:noProof/>
          <w:sz w:val="22"/>
          <w:szCs w:val="22"/>
          <w:lang w:eastAsia="en-GB"/>
        </w:rPr>
      </w:pPr>
      <w:hyperlink w:anchor="_Toc496688621"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DIONE model (JRC)</w:t>
        </w:r>
        <w:r>
          <w:rPr>
            <w:noProof/>
            <w:webHidden/>
          </w:rPr>
          <w:tab/>
        </w:r>
        <w:r>
          <w:rPr>
            <w:noProof/>
            <w:webHidden/>
          </w:rPr>
          <w:fldChar w:fldCharType="begin"/>
        </w:r>
        <w:r>
          <w:rPr>
            <w:noProof/>
            <w:webHidden/>
          </w:rPr>
          <w:instrText xml:space="preserve"> PAGEREF _Toc496688621 \h </w:instrText>
        </w:r>
        <w:r>
          <w:rPr>
            <w:noProof/>
            <w:webHidden/>
          </w:rPr>
        </w:r>
        <w:r>
          <w:rPr>
            <w:noProof/>
            <w:webHidden/>
          </w:rPr>
          <w:fldChar w:fldCharType="separate"/>
        </w:r>
        <w:r>
          <w:rPr>
            <w:noProof/>
            <w:webHidden/>
          </w:rPr>
          <w:t>22</w:t>
        </w:r>
        <w:r>
          <w:rPr>
            <w:noProof/>
            <w:webHidden/>
          </w:rPr>
          <w:fldChar w:fldCharType="end"/>
        </w:r>
      </w:hyperlink>
    </w:p>
    <w:p w:rsidR="00B231CB" w:rsidRDefault="00C71431">
      <w:pPr>
        <w:pStyle w:val="TOC2"/>
        <w:tabs>
          <w:tab w:val="left" w:pos="1077"/>
        </w:tabs>
        <w:rPr>
          <w:rFonts w:asciiTheme="minorHAnsi" w:eastAsiaTheme="minorEastAsia" w:hAnsiTheme="minorHAnsi" w:cstheme="minorBidi"/>
          <w:noProof/>
          <w:sz w:val="22"/>
          <w:szCs w:val="22"/>
          <w:lang w:eastAsia="en-GB"/>
        </w:rPr>
      </w:pPr>
      <w:hyperlink w:anchor="_Toc496688622" w:history="1">
        <w:r>
          <w:rPr>
            <w:rStyle w:val="Hyperlink"/>
            <w:noProof/>
          </w:rPr>
          <w:t>4.3</w:t>
        </w:r>
        <w:r>
          <w:rPr>
            <w:rFonts w:asciiTheme="minorHAnsi" w:eastAsiaTheme="minorEastAsia" w:hAnsiTheme="minorHAnsi" w:cstheme="minorBidi"/>
            <w:noProof/>
            <w:sz w:val="22"/>
            <w:szCs w:val="22"/>
            <w:lang w:eastAsia="en-GB"/>
          </w:rPr>
          <w:tab/>
        </w:r>
        <w:r>
          <w:rPr>
            <w:rStyle w:val="Hyperlink"/>
            <w:noProof/>
          </w:rPr>
          <w:t>Macroeconomic models (E3ME and</w:t>
        </w:r>
        <w:r>
          <w:rPr>
            <w:rStyle w:val="Hyperlink"/>
            <w:noProof/>
          </w:rPr>
          <w:t xml:space="preserve"> GEM-E3)</w:t>
        </w:r>
        <w:r>
          <w:rPr>
            <w:noProof/>
            <w:webHidden/>
          </w:rPr>
          <w:tab/>
        </w:r>
        <w:r>
          <w:rPr>
            <w:noProof/>
            <w:webHidden/>
          </w:rPr>
          <w:fldChar w:fldCharType="begin"/>
        </w:r>
        <w:r>
          <w:rPr>
            <w:noProof/>
            <w:webHidden/>
          </w:rPr>
          <w:instrText xml:space="preserve"> PAGEREF _Toc496688622 \h </w:instrText>
        </w:r>
        <w:r>
          <w:rPr>
            <w:noProof/>
            <w:webHidden/>
          </w:rPr>
        </w:r>
        <w:r>
          <w:rPr>
            <w:noProof/>
            <w:webHidden/>
          </w:rPr>
          <w:fldChar w:fldCharType="separate"/>
        </w:r>
        <w:r>
          <w:rPr>
            <w:noProof/>
            <w:webHidden/>
          </w:rPr>
          <w:t>25</w:t>
        </w:r>
        <w:r>
          <w:rPr>
            <w:noProof/>
            <w:webHidden/>
          </w:rPr>
          <w:fldChar w:fldCharType="end"/>
        </w:r>
      </w:hyperlink>
    </w:p>
    <w:p w:rsidR="00B231CB" w:rsidRDefault="00C71431">
      <w:pPr>
        <w:pStyle w:val="TOC3"/>
        <w:tabs>
          <w:tab w:val="left" w:pos="1916"/>
        </w:tabs>
        <w:rPr>
          <w:rFonts w:asciiTheme="minorHAnsi" w:eastAsiaTheme="minorEastAsia" w:hAnsiTheme="minorHAnsi" w:cstheme="minorBidi"/>
          <w:noProof/>
          <w:sz w:val="22"/>
          <w:szCs w:val="22"/>
          <w:lang w:eastAsia="en-GB"/>
        </w:rPr>
      </w:pPr>
      <w:hyperlink w:anchor="_Toc496688623" w:history="1">
        <w:r>
          <w:rPr>
            <w:rStyle w:val="Hyperlink"/>
            <w:noProof/>
          </w:rPr>
          <w:t>4.3.1</w:t>
        </w:r>
        <w:r>
          <w:rPr>
            <w:rFonts w:asciiTheme="minorHAnsi" w:eastAsiaTheme="minorEastAsia" w:hAnsiTheme="minorHAnsi" w:cstheme="minorBidi"/>
            <w:noProof/>
            <w:sz w:val="22"/>
            <w:szCs w:val="22"/>
            <w:lang w:eastAsia="en-GB"/>
          </w:rPr>
          <w:tab/>
        </w:r>
        <w:r>
          <w:rPr>
            <w:rStyle w:val="Hyperlink"/>
            <w:noProof/>
          </w:rPr>
          <w:t>E3ME</w:t>
        </w:r>
        <w:r>
          <w:rPr>
            <w:noProof/>
            <w:webHidden/>
          </w:rPr>
          <w:tab/>
        </w:r>
        <w:r>
          <w:rPr>
            <w:noProof/>
            <w:webHidden/>
          </w:rPr>
          <w:fldChar w:fldCharType="begin"/>
        </w:r>
        <w:r>
          <w:rPr>
            <w:noProof/>
            <w:webHidden/>
          </w:rPr>
          <w:instrText xml:space="preserve"> PAGEREF _Toc496688623 \h </w:instrText>
        </w:r>
        <w:r>
          <w:rPr>
            <w:noProof/>
            <w:webHidden/>
          </w:rPr>
        </w:r>
        <w:r>
          <w:rPr>
            <w:noProof/>
            <w:webHidden/>
          </w:rPr>
          <w:fldChar w:fldCharType="separate"/>
        </w:r>
        <w:r>
          <w:rPr>
            <w:noProof/>
            <w:webHidden/>
          </w:rPr>
          <w:t>26</w:t>
        </w:r>
        <w:r>
          <w:rPr>
            <w:noProof/>
            <w:webHidden/>
          </w:rPr>
          <w:fldChar w:fldCharType="end"/>
        </w:r>
      </w:hyperlink>
    </w:p>
    <w:p w:rsidR="00B231CB" w:rsidRDefault="00C71431">
      <w:pPr>
        <w:pStyle w:val="TOC3"/>
        <w:tabs>
          <w:tab w:val="left" w:pos="1916"/>
        </w:tabs>
        <w:rPr>
          <w:rFonts w:asciiTheme="minorHAnsi" w:eastAsiaTheme="minorEastAsia" w:hAnsiTheme="minorHAnsi" w:cstheme="minorBidi"/>
          <w:noProof/>
          <w:sz w:val="22"/>
          <w:szCs w:val="22"/>
          <w:lang w:eastAsia="en-GB"/>
        </w:rPr>
      </w:pPr>
      <w:hyperlink w:anchor="_Toc496688624" w:history="1">
        <w:r>
          <w:rPr>
            <w:rStyle w:val="Hyperlink"/>
            <w:noProof/>
          </w:rPr>
          <w:t>4.3.2</w:t>
        </w:r>
        <w:r>
          <w:rPr>
            <w:rFonts w:asciiTheme="minorHAnsi" w:eastAsiaTheme="minorEastAsia" w:hAnsiTheme="minorHAnsi" w:cstheme="minorBidi"/>
            <w:noProof/>
            <w:sz w:val="22"/>
            <w:szCs w:val="22"/>
            <w:lang w:eastAsia="en-GB"/>
          </w:rPr>
          <w:tab/>
        </w:r>
        <w:r>
          <w:rPr>
            <w:rStyle w:val="Hyperlink"/>
            <w:noProof/>
          </w:rPr>
          <w:t>GEM-E3</w:t>
        </w:r>
        <w:r>
          <w:rPr>
            <w:noProof/>
            <w:webHidden/>
          </w:rPr>
          <w:tab/>
        </w:r>
        <w:r>
          <w:rPr>
            <w:noProof/>
            <w:webHidden/>
          </w:rPr>
          <w:fldChar w:fldCharType="begin"/>
        </w:r>
        <w:r>
          <w:rPr>
            <w:noProof/>
            <w:webHidden/>
          </w:rPr>
          <w:instrText xml:space="preserve"> PAGEREF _Toc496688624 \h </w:instrText>
        </w:r>
        <w:r>
          <w:rPr>
            <w:noProof/>
            <w:webHidden/>
          </w:rPr>
        </w:r>
        <w:r>
          <w:rPr>
            <w:noProof/>
            <w:webHidden/>
          </w:rPr>
          <w:fldChar w:fldCharType="separate"/>
        </w:r>
        <w:r>
          <w:rPr>
            <w:noProof/>
            <w:webHidden/>
          </w:rPr>
          <w:t>27</w:t>
        </w:r>
        <w:r>
          <w:rPr>
            <w:noProof/>
            <w:webHidden/>
          </w:rPr>
          <w:fldChar w:fldCharType="end"/>
        </w:r>
      </w:hyperlink>
    </w:p>
    <w:p w:rsidR="00B231CB" w:rsidRDefault="00C71431">
      <w:pPr>
        <w:pStyle w:val="TOC2"/>
        <w:tabs>
          <w:tab w:val="left" w:pos="1077"/>
        </w:tabs>
        <w:rPr>
          <w:rFonts w:asciiTheme="minorHAnsi" w:eastAsiaTheme="minorEastAsia" w:hAnsiTheme="minorHAnsi" w:cstheme="minorBidi"/>
          <w:noProof/>
          <w:sz w:val="22"/>
          <w:szCs w:val="22"/>
          <w:lang w:eastAsia="en-GB"/>
        </w:rPr>
      </w:pPr>
      <w:hyperlink w:anchor="_Toc496688625" w:history="1">
        <w:r>
          <w:rPr>
            <w:rStyle w:val="Hyperlink"/>
            <w:noProof/>
          </w:rPr>
          <w:t>4.4</w:t>
        </w:r>
        <w:r>
          <w:rPr>
            <w:rFonts w:asciiTheme="minorHAnsi" w:eastAsiaTheme="minorEastAsia" w:hAnsiTheme="minorHAnsi" w:cstheme="minorBidi"/>
            <w:noProof/>
            <w:sz w:val="22"/>
            <w:szCs w:val="22"/>
            <w:lang w:eastAsia="en-GB"/>
          </w:rPr>
          <w:tab/>
        </w:r>
        <w:r>
          <w:rPr>
            <w:rStyle w:val="Hyperlink"/>
            <w:noProof/>
          </w:rPr>
          <w:t>Baseline sce</w:t>
        </w:r>
        <w:r>
          <w:rPr>
            <w:rStyle w:val="Hyperlink"/>
            <w:noProof/>
          </w:rPr>
          <w:t>nario</w:t>
        </w:r>
        <w:r>
          <w:rPr>
            <w:noProof/>
            <w:webHidden/>
          </w:rPr>
          <w:tab/>
        </w:r>
        <w:r>
          <w:rPr>
            <w:noProof/>
            <w:webHidden/>
          </w:rPr>
          <w:fldChar w:fldCharType="begin"/>
        </w:r>
        <w:r>
          <w:rPr>
            <w:noProof/>
            <w:webHidden/>
          </w:rPr>
          <w:instrText xml:space="preserve"> PAGEREF _Toc496688625 \h </w:instrText>
        </w:r>
        <w:r>
          <w:rPr>
            <w:noProof/>
            <w:webHidden/>
          </w:rPr>
        </w:r>
        <w:r>
          <w:rPr>
            <w:noProof/>
            <w:webHidden/>
          </w:rPr>
          <w:fldChar w:fldCharType="separate"/>
        </w:r>
        <w:r>
          <w:rPr>
            <w:noProof/>
            <w:webHidden/>
          </w:rPr>
          <w:t>28</w:t>
        </w:r>
        <w:r>
          <w:rPr>
            <w:noProof/>
            <w:webHidden/>
          </w:rPr>
          <w:fldChar w:fldCharType="end"/>
        </w:r>
      </w:hyperlink>
    </w:p>
    <w:p w:rsidR="00B231CB" w:rsidRDefault="00C71431">
      <w:pPr>
        <w:pStyle w:val="TOC3"/>
        <w:tabs>
          <w:tab w:val="left" w:pos="1916"/>
        </w:tabs>
        <w:rPr>
          <w:rFonts w:asciiTheme="minorHAnsi" w:eastAsiaTheme="minorEastAsia" w:hAnsiTheme="minorHAnsi" w:cstheme="minorBidi"/>
          <w:noProof/>
          <w:sz w:val="22"/>
          <w:szCs w:val="22"/>
          <w:lang w:eastAsia="en-GB"/>
        </w:rPr>
      </w:pPr>
      <w:hyperlink w:anchor="_Toc496688626" w:history="1">
        <w:r>
          <w:rPr>
            <w:rStyle w:val="Hyperlink"/>
            <w:noProof/>
          </w:rPr>
          <w:t>4.4.1</w:t>
        </w:r>
        <w:r>
          <w:rPr>
            <w:rFonts w:asciiTheme="minorHAnsi" w:eastAsiaTheme="minorEastAsia" w:hAnsiTheme="minorHAnsi" w:cstheme="minorBidi"/>
            <w:noProof/>
            <w:sz w:val="22"/>
            <w:szCs w:val="22"/>
            <w:lang w:eastAsia="en-GB"/>
          </w:rPr>
          <w:tab/>
        </w:r>
        <w:r>
          <w:rPr>
            <w:rStyle w:val="Hyperlink"/>
            <w:noProof/>
          </w:rPr>
          <w:t>Scenario design, consultation process and quality assurance</w:t>
        </w:r>
        <w:r>
          <w:rPr>
            <w:noProof/>
            <w:webHidden/>
          </w:rPr>
          <w:tab/>
        </w:r>
        <w:r>
          <w:rPr>
            <w:noProof/>
            <w:webHidden/>
          </w:rPr>
          <w:fldChar w:fldCharType="begin"/>
        </w:r>
        <w:r>
          <w:rPr>
            <w:noProof/>
            <w:webHidden/>
          </w:rPr>
          <w:instrText xml:space="preserve"> PAGEREF _Toc496688626 \h </w:instrText>
        </w:r>
        <w:r>
          <w:rPr>
            <w:noProof/>
            <w:webHidden/>
          </w:rPr>
        </w:r>
        <w:r>
          <w:rPr>
            <w:noProof/>
            <w:webHidden/>
          </w:rPr>
          <w:fldChar w:fldCharType="separate"/>
        </w:r>
        <w:r>
          <w:rPr>
            <w:noProof/>
            <w:webHidden/>
          </w:rPr>
          <w:t>28</w:t>
        </w:r>
        <w:r>
          <w:rPr>
            <w:noProof/>
            <w:webHidden/>
          </w:rPr>
          <w:fldChar w:fldCharType="end"/>
        </w:r>
      </w:hyperlink>
    </w:p>
    <w:p w:rsidR="00B231CB" w:rsidRDefault="00C71431">
      <w:pPr>
        <w:pStyle w:val="TOC3"/>
        <w:tabs>
          <w:tab w:val="left" w:pos="1916"/>
        </w:tabs>
        <w:rPr>
          <w:rFonts w:asciiTheme="minorHAnsi" w:eastAsiaTheme="minorEastAsia" w:hAnsiTheme="minorHAnsi" w:cstheme="minorBidi"/>
          <w:noProof/>
          <w:sz w:val="22"/>
          <w:szCs w:val="22"/>
          <w:lang w:eastAsia="en-GB"/>
        </w:rPr>
      </w:pPr>
      <w:hyperlink w:anchor="_Toc496688627" w:history="1">
        <w:r>
          <w:rPr>
            <w:rStyle w:val="Hyperlink"/>
            <w:noProof/>
          </w:rPr>
          <w:t>4.4.2</w:t>
        </w:r>
        <w:r>
          <w:rPr>
            <w:rFonts w:asciiTheme="minorHAnsi" w:eastAsiaTheme="minorEastAsia" w:hAnsiTheme="minorHAnsi" w:cstheme="minorBidi"/>
            <w:noProof/>
            <w:sz w:val="22"/>
            <w:szCs w:val="22"/>
            <w:lang w:eastAsia="en-GB"/>
          </w:rPr>
          <w:tab/>
        </w:r>
        <w:r>
          <w:rPr>
            <w:rStyle w:val="Hyperlink"/>
            <w:noProof/>
          </w:rPr>
          <w:t>Main assumptions of the Baseline scenario</w:t>
        </w:r>
        <w:r>
          <w:rPr>
            <w:noProof/>
            <w:webHidden/>
          </w:rPr>
          <w:tab/>
        </w:r>
        <w:r>
          <w:rPr>
            <w:noProof/>
            <w:webHidden/>
          </w:rPr>
          <w:fldChar w:fldCharType="begin"/>
        </w:r>
        <w:r>
          <w:rPr>
            <w:noProof/>
            <w:webHidden/>
          </w:rPr>
          <w:instrText xml:space="preserve"> PAGEREF _Toc496688627 \h </w:instrText>
        </w:r>
        <w:r>
          <w:rPr>
            <w:noProof/>
            <w:webHidden/>
          </w:rPr>
        </w:r>
        <w:r>
          <w:rPr>
            <w:noProof/>
            <w:webHidden/>
          </w:rPr>
          <w:fldChar w:fldCharType="separate"/>
        </w:r>
        <w:r>
          <w:rPr>
            <w:noProof/>
            <w:webHidden/>
          </w:rPr>
          <w:t>29</w:t>
        </w:r>
        <w:r>
          <w:rPr>
            <w:noProof/>
            <w:webHidden/>
          </w:rPr>
          <w:fldChar w:fldCharType="end"/>
        </w:r>
      </w:hyperlink>
    </w:p>
    <w:p w:rsidR="00B231CB" w:rsidRDefault="00C71431">
      <w:pPr>
        <w:pStyle w:val="TOC3"/>
        <w:tabs>
          <w:tab w:val="left" w:pos="1916"/>
        </w:tabs>
        <w:rPr>
          <w:rFonts w:asciiTheme="minorHAnsi" w:eastAsiaTheme="minorEastAsia" w:hAnsiTheme="minorHAnsi" w:cstheme="minorBidi"/>
          <w:noProof/>
          <w:sz w:val="22"/>
          <w:szCs w:val="22"/>
          <w:lang w:eastAsia="en-GB"/>
        </w:rPr>
      </w:pPr>
      <w:hyperlink w:anchor="_Toc496688628" w:history="1">
        <w:r>
          <w:rPr>
            <w:rStyle w:val="Hyperlink"/>
            <w:noProof/>
          </w:rPr>
          <w:t>4.4.3</w:t>
        </w:r>
        <w:r>
          <w:rPr>
            <w:rFonts w:asciiTheme="minorHAnsi" w:eastAsiaTheme="minorEastAsia" w:hAnsiTheme="minorHAnsi" w:cstheme="minorBidi"/>
            <w:noProof/>
            <w:sz w:val="22"/>
            <w:szCs w:val="22"/>
            <w:lang w:eastAsia="en-GB"/>
          </w:rPr>
          <w:tab/>
        </w:r>
        <w:r>
          <w:rPr>
            <w:rStyle w:val="Hyperlink"/>
            <w:noProof/>
          </w:rPr>
          <w:t>Summary of main results of the Baseline scenario</w:t>
        </w:r>
        <w:r>
          <w:rPr>
            <w:noProof/>
            <w:webHidden/>
          </w:rPr>
          <w:tab/>
        </w:r>
        <w:r>
          <w:rPr>
            <w:noProof/>
            <w:webHidden/>
          </w:rPr>
          <w:fldChar w:fldCharType="begin"/>
        </w:r>
        <w:r>
          <w:rPr>
            <w:noProof/>
            <w:webHidden/>
          </w:rPr>
          <w:instrText xml:space="preserve"> PAGEREF _Toc496688628 \h </w:instrText>
        </w:r>
        <w:r>
          <w:rPr>
            <w:noProof/>
            <w:webHidden/>
          </w:rPr>
        </w:r>
        <w:r>
          <w:rPr>
            <w:noProof/>
            <w:webHidden/>
          </w:rPr>
          <w:fldChar w:fldCharType="separate"/>
        </w:r>
        <w:r>
          <w:rPr>
            <w:noProof/>
            <w:webHidden/>
          </w:rPr>
          <w:t>31</w:t>
        </w:r>
        <w:r>
          <w:rPr>
            <w:noProof/>
            <w:webHidden/>
          </w:rPr>
          <w:fldChar w:fldCharType="end"/>
        </w:r>
      </w:hyperlink>
    </w:p>
    <w:p w:rsidR="00B231CB" w:rsidRDefault="00C71431">
      <w:pPr>
        <w:pStyle w:val="TOC2"/>
        <w:tabs>
          <w:tab w:val="left" w:pos="1077"/>
        </w:tabs>
        <w:rPr>
          <w:rFonts w:asciiTheme="minorHAnsi" w:eastAsiaTheme="minorEastAsia" w:hAnsiTheme="minorHAnsi" w:cstheme="minorBidi"/>
          <w:noProof/>
          <w:sz w:val="22"/>
          <w:szCs w:val="22"/>
          <w:lang w:eastAsia="en-GB"/>
        </w:rPr>
      </w:pPr>
      <w:hyperlink w:anchor="_Toc496688629" w:history="1">
        <w:r>
          <w:rPr>
            <w:rStyle w:val="Hyperlink"/>
            <w:noProof/>
          </w:rPr>
          <w:t>4.5</w:t>
        </w:r>
        <w:r>
          <w:rPr>
            <w:rFonts w:asciiTheme="minorHAnsi" w:eastAsiaTheme="minorEastAsia" w:hAnsiTheme="minorHAnsi" w:cstheme="minorBidi"/>
            <w:noProof/>
            <w:sz w:val="22"/>
            <w:szCs w:val="22"/>
            <w:lang w:eastAsia="en-GB"/>
          </w:rPr>
          <w:tab/>
        </w:r>
        <w:r>
          <w:rPr>
            <w:rStyle w:val="Hyperlink"/>
            <w:noProof/>
          </w:rPr>
          <w:t>Consistency with previous analytical work</w:t>
        </w:r>
        <w:r>
          <w:rPr>
            <w:noProof/>
            <w:webHidden/>
          </w:rPr>
          <w:tab/>
        </w:r>
        <w:r>
          <w:rPr>
            <w:noProof/>
            <w:webHidden/>
          </w:rPr>
          <w:fldChar w:fldCharType="begin"/>
        </w:r>
        <w:r>
          <w:rPr>
            <w:noProof/>
            <w:webHidden/>
          </w:rPr>
          <w:instrText xml:space="preserve"> PAGEREF _Toc496688629 \h </w:instrText>
        </w:r>
        <w:r>
          <w:rPr>
            <w:noProof/>
            <w:webHidden/>
          </w:rPr>
        </w:r>
        <w:r>
          <w:rPr>
            <w:noProof/>
            <w:webHidden/>
          </w:rPr>
          <w:fldChar w:fldCharType="separate"/>
        </w:r>
        <w:r>
          <w:rPr>
            <w:noProof/>
            <w:webHidden/>
          </w:rPr>
          <w:t>38</w:t>
        </w:r>
        <w:r>
          <w:rPr>
            <w:noProof/>
            <w:webHidden/>
          </w:rPr>
          <w:fldChar w:fldCharType="end"/>
        </w:r>
      </w:hyperlink>
    </w:p>
    <w:p w:rsidR="00B231CB" w:rsidRDefault="00C71431">
      <w:pPr>
        <w:pStyle w:val="TOC2"/>
        <w:tabs>
          <w:tab w:val="left" w:pos="1077"/>
        </w:tabs>
        <w:rPr>
          <w:rFonts w:asciiTheme="minorHAnsi" w:eastAsiaTheme="minorEastAsia" w:hAnsiTheme="minorHAnsi" w:cstheme="minorBidi"/>
          <w:noProof/>
          <w:sz w:val="22"/>
          <w:szCs w:val="22"/>
          <w:lang w:eastAsia="en-GB"/>
        </w:rPr>
      </w:pPr>
      <w:hyperlink w:anchor="_Toc496688630" w:history="1">
        <w:r>
          <w:rPr>
            <w:rStyle w:val="Hyperlink"/>
            <w:noProof/>
          </w:rPr>
          <w:t>4.6</w:t>
        </w:r>
        <w:r>
          <w:rPr>
            <w:rFonts w:asciiTheme="minorHAnsi" w:eastAsiaTheme="minorEastAsia" w:hAnsiTheme="minorHAnsi" w:cstheme="minorBidi"/>
            <w:noProof/>
            <w:sz w:val="22"/>
            <w:szCs w:val="22"/>
            <w:lang w:eastAsia="en-GB"/>
          </w:rPr>
          <w:tab/>
        </w:r>
        <w:r>
          <w:rPr>
            <w:rStyle w:val="Hyperlink"/>
            <w:noProof/>
          </w:rPr>
          <w:t>Determination of conversion factors from NEDC to WLTP emission values</w:t>
        </w:r>
        <w:r>
          <w:rPr>
            <w:noProof/>
            <w:webHidden/>
          </w:rPr>
          <w:tab/>
        </w:r>
        <w:r>
          <w:rPr>
            <w:noProof/>
            <w:webHidden/>
          </w:rPr>
          <w:fldChar w:fldCharType="begin"/>
        </w:r>
        <w:r>
          <w:rPr>
            <w:noProof/>
            <w:webHidden/>
          </w:rPr>
          <w:instrText xml:space="preserve"> PAGEREF _Toc496688630 \h </w:instrText>
        </w:r>
        <w:r>
          <w:rPr>
            <w:noProof/>
            <w:webHidden/>
          </w:rPr>
        </w:r>
        <w:r>
          <w:rPr>
            <w:noProof/>
            <w:webHidden/>
          </w:rPr>
          <w:fldChar w:fldCharType="separate"/>
        </w:r>
        <w:r>
          <w:rPr>
            <w:noProof/>
            <w:webHidden/>
          </w:rPr>
          <w:t>40</w:t>
        </w:r>
        <w:r>
          <w:rPr>
            <w:noProof/>
            <w:webHidden/>
          </w:rPr>
          <w:fldChar w:fldCharType="end"/>
        </w:r>
      </w:hyperlink>
    </w:p>
    <w:p w:rsidR="00B231CB" w:rsidRDefault="00C71431">
      <w:pPr>
        <w:pStyle w:val="TOC1"/>
        <w:rPr>
          <w:rFonts w:asciiTheme="minorHAnsi" w:eastAsiaTheme="minorEastAsia" w:hAnsiTheme="minorHAnsi" w:cstheme="minorBidi"/>
          <w:caps w:val="0"/>
          <w:noProof/>
          <w:sz w:val="22"/>
          <w:szCs w:val="22"/>
          <w:lang w:eastAsia="en-GB"/>
        </w:rPr>
      </w:pPr>
      <w:hyperlink w:anchor="_Toc496688631"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Annex 5: From NEDC to WLTP – transition to the new type approval emissions test under the current Cars and Vans Regulations</w:t>
        </w:r>
        <w:r>
          <w:rPr>
            <w:noProof/>
            <w:webHidden/>
          </w:rPr>
          <w:tab/>
        </w:r>
        <w:r>
          <w:rPr>
            <w:noProof/>
            <w:webHidden/>
          </w:rPr>
          <w:fldChar w:fldCharType="begin"/>
        </w:r>
        <w:r>
          <w:rPr>
            <w:noProof/>
            <w:webHidden/>
          </w:rPr>
          <w:instrText xml:space="preserve"> PAGEREF _Toc496688631 \h </w:instrText>
        </w:r>
        <w:r>
          <w:rPr>
            <w:noProof/>
            <w:webHidden/>
          </w:rPr>
        </w:r>
        <w:r>
          <w:rPr>
            <w:noProof/>
            <w:webHidden/>
          </w:rPr>
          <w:fldChar w:fldCharType="separate"/>
        </w:r>
        <w:r>
          <w:rPr>
            <w:noProof/>
            <w:webHidden/>
          </w:rPr>
          <w:t>43</w:t>
        </w:r>
        <w:r>
          <w:rPr>
            <w:noProof/>
            <w:webHidden/>
          </w:rPr>
          <w:fldChar w:fldCharType="end"/>
        </w:r>
      </w:hyperlink>
    </w:p>
    <w:p w:rsidR="00B231CB" w:rsidRDefault="00C71431">
      <w:pPr>
        <w:pStyle w:val="TOC1"/>
        <w:rPr>
          <w:rFonts w:asciiTheme="minorHAnsi" w:eastAsiaTheme="minorEastAsia" w:hAnsiTheme="minorHAnsi" w:cstheme="minorBidi"/>
          <w:caps w:val="0"/>
          <w:noProof/>
          <w:sz w:val="22"/>
          <w:szCs w:val="22"/>
          <w:lang w:eastAsia="en-GB"/>
        </w:rPr>
      </w:pPr>
      <w:hyperlink w:anchor="_Toc496688632"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Annex 6: Real world emission monitoring</w:t>
        </w:r>
        <w:r>
          <w:rPr>
            <w:noProof/>
            <w:webHidden/>
          </w:rPr>
          <w:tab/>
        </w:r>
        <w:r>
          <w:rPr>
            <w:noProof/>
            <w:webHidden/>
          </w:rPr>
          <w:fldChar w:fldCharType="begin"/>
        </w:r>
        <w:r>
          <w:rPr>
            <w:noProof/>
            <w:webHidden/>
          </w:rPr>
          <w:instrText xml:space="preserve"> PAGEREF _Toc496688632 \h </w:instrText>
        </w:r>
        <w:r>
          <w:rPr>
            <w:noProof/>
            <w:webHidden/>
          </w:rPr>
        </w:r>
        <w:r>
          <w:rPr>
            <w:noProof/>
            <w:webHidden/>
          </w:rPr>
          <w:fldChar w:fldCharType="separate"/>
        </w:r>
        <w:r>
          <w:rPr>
            <w:noProof/>
            <w:webHidden/>
          </w:rPr>
          <w:t>45</w:t>
        </w:r>
        <w:r>
          <w:rPr>
            <w:noProof/>
            <w:webHidden/>
          </w:rPr>
          <w:fldChar w:fldCharType="end"/>
        </w:r>
      </w:hyperlink>
    </w:p>
    <w:p w:rsidR="00B231CB" w:rsidRDefault="00C71431">
      <w:pPr>
        <w:pStyle w:val="TOC1"/>
        <w:rPr>
          <w:rFonts w:asciiTheme="minorHAnsi" w:eastAsiaTheme="minorEastAsia" w:hAnsiTheme="minorHAnsi" w:cstheme="minorBidi"/>
          <w:caps w:val="0"/>
          <w:noProof/>
          <w:sz w:val="22"/>
          <w:szCs w:val="22"/>
          <w:lang w:eastAsia="en-GB"/>
        </w:rPr>
      </w:pPr>
      <w:hyperlink w:anchor="_Toc496688633"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Annex 7:  Employment and qualification</w:t>
        </w:r>
        <w:r>
          <w:rPr>
            <w:noProof/>
            <w:webHidden/>
          </w:rPr>
          <w:tab/>
        </w:r>
        <w:r>
          <w:rPr>
            <w:noProof/>
            <w:webHidden/>
          </w:rPr>
          <w:fldChar w:fldCharType="begin"/>
        </w:r>
        <w:r>
          <w:rPr>
            <w:noProof/>
            <w:webHidden/>
          </w:rPr>
          <w:instrText xml:space="preserve"> PAGEREF _Toc496688633 \h </w:instrText>
        </w:r>
        <w:r>
          <w:rPr>
            <w:noProof/>
            <w:webHidden/>
          </w:rPr>
        </w:r>
        <w:r>
          <w:rPr>
            <w:noProof/>
            <w:webHidden/>
          </w:rPr>
          <w:fldChar w:fldCharType="separate"/>
        </w:r>
        <w:r>
          <w:rPr>
            <w:noProof/>
            <w:webHidden/>
          </w:rPr>
          <w:t>48</w:t>
        </w:r>
        <w:r>
          <w:rPr>
            <w:noProof/>
            <w:webHidden/>
          </w:rPr>
          <w:fldChar w:fldCharType="end"/>
        </w:r>
      </w:hyperlink>
    </w:p>
    <w:p w:rsidR="00B231CB" w:rsidRDefault="00C71431">
      <w:pPr>
        <w:pStyle w:val="TOC1"/>
        <w:rPr>
          <w:rFonts w:asciiTheme="minorHAnsi" w:eastAsiaTheme="minorEastAsia" w:hAnsiTheme="minorHAnsi" w:cstheme="minorBidi"/>
          <w:caps w:val="0"/>
          <w:noProof/>
          <w:sz w:val="22"/>
          <w:szCs w:val="22"/>
          <w:lang w:eastAsia="en-GB"/>
        </w:rPr>
      </w:pPr>
      <w:hyperlink w:anchor="_Toc496688634"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Annex 8: Additional information concerning the assessment of the economic, environmental and social impacts of the different policy options</w:t>
        </w:r>
        <w:r>
          <w:rPr>
            <w:noProof/>
            <w:webHidden/>
          </w:rPr>
          <w:tab/>
        </w:r>
        <w:r>
          <w:rPr>
            <w:noProof/>
            <w:webHidden/>
          </w:rPr>
          <w:fldChar w:fldCharType="begin"/>
        </w:r>
        <w:r>
          <w:rPr>
            <w:noProof/>
            <w:webHidden/>
          </w:rPr>
          <w:instrText xml:space="preserve"> PAGEREF _Toc496688634 \h </w:instrText>
        </w:r>
        <w:r>
          <w:rPr>
            <w:noProof/>
            <w:webHidden/>
          </w:rPr>
        </w:r>
        <w:r>
          <w:rPr>
            <w:noProof/>
            <w:webHidden/>
          </w:rPr>
          <w:fldChar w:fldCharType="separate"/>
        </w:r>
        <w:r>
          <w:rPr>
            <w:noProof/>
            <w:webHidden/>
          </w:rPr>
          <w:t>54</w:t>
        </w:r>
        <w:r>
          <w:rPr>
            <w:noProof/>
            <w:webHidden/>
          </w:rPr>
          <w:fldChar w:fldCharType="end"/>
        </w:r>
      </w:hyperlink>
    </w:p>
    <w:p w:rsidR="00B231CB" w:rsidRDefault="00C71431">
      <w:pPr>
        <w:pStyle w:val="TOC2"/>
        <w:tabs>
          <w:tab w:val="left" w:pos="1077"/>
        </w:tabs>
        <w:rPr>
          <w:rFonts w:asciiTheme="minorHAnsi" w:eastAsiaTheme="minorEastAsia" w:hAnsiTheme="minorHAnsi" w:cstheme="minorBidi"/>
          <w:noProof/>
          <w:sz w:val="22"/>
          <w:szCs w:val="22"/>
          <w:lang w:eastAsia="en-GB"/>
        </w:rPr>
      </w:pPr>
      <w:hyperlink w:anchor="_Toc496688635" w:history="1">
        <w:r>
          <w:rPr>
            <w:rStyle w:val="Hyperlink"/>
            <w:noProof/>
          </w:rPr>
          <w:t>8.1</w:t>
        </w:r>
        <w:r>
          <w:rPr>
            <w:rFonts w:asciiTheme="minorHAnsi" w:eastAsiaTheme="minorEastAsia" w:hAnsiTheme="minorHAnsi" w:cstheme="minorBidi"/>
            <w:noProof/>
            <w:sz w:val="22"/>
            <w:szCs w:val="22"/>
            <w:lang w:eastAsia="en-GB"/>
          </w:rPr>
          <w:tab/>
        </w:r>
        <w:r>
          <w:rPr>
            <w:rStyle w:val="Hyperlink"/>
            <w:noProof/>
          </w:rPr>
          <w:t>Emission targets: metric</w:t>
        </w:r>
        <w:r>
          <w:rPr>
            <w:noProof/>
            <w:webHidden/>
          </w:rPr>
          <w:tab/>
        </w:r>
        <w:r>
          <w:rPr>
            <w:noProof/>
            <w:webHidden/>
          </w:rPr>
          <w:fldChar w:fldCharType="begin"/>
        </w:r>
        <w:r>
          <w:rPr>
            <w:noProof/>
            <w:webHidden/>
          </w:rPr>
          <w:instrText xml:space="preserve"> PAGEREF _Toc496688635 \h </w:instrText>
        </w:r>
        <w:r>
          <w:rPr>
            <w:noProof/>
            <w:webHidden/>
          </w:rPr>
        </w:r>
        <w:r>
          <w:rPr>
            <w:noProof/>
            <w:webHidden/>
          </w:rPr>
          <w:fldChar w:fldCharType="separate"/>
        </w:r>
        <w:r>
          <w:rPr>
            <w:noProof/>
            <w:webHidden/>
          </w:rPr>
          <w:t>54</w:t>
        </w:r>
        <w:r>
          <w:rPr>
            <w:noProof/>
            <w:webHidden/>
          </w:rPr>
          <w:fldChar w:fldCharType="end"/>
        </w:r>
      </w:hyperlink>
    </w:p>
    <w:p w:rsidR="00B231CB" w:rsidRDefault="00C71431">
      <w:pPr>
        <w:pStyle w:val="TOC3"/>
        <w:tabs>
          <w:tab w:val="left" w:pos="1916"/>
        </w:tabs>
        <w:rPr>
          <w:rFonts w:asciiTheme="minorHAnsi" w:eastAsiaTheme="minorEastAsia" w:hAnsiTheme="minorHAnsi" w:cstheme="minorBidi"/>
          <w:noProof/>
          <w:sz w:val="22"/>
          <w:szCs w:val="22"/>
          <w:lang w:eastAsia="en-GB"/>
        </w:rPr>
      </w:pPr>
      <w:hyperlink w:anchor="_Toc496688636" w:history="1">
        <w:r>
          <w:rPr>
            <w:rStyle w:val="Hyperlink"/>
            <w:bCs/>
            <w:iCs/>
            <w:noProof/>
          </w:rPr>
          <w:t>8.1.1</w:t>
        </w:r>
        <w:r>
          <w:rPr>
            <w:rFonts w:asciiTheme="minorHAnsi" w:eastAsiaTheme="minorEastAsia" w:hAnsiTheme="minorHAnsi" w:cstheme="minorBidi"/>
            <w:noProof/>
            <w:sz w:val="22"/>
            <w:szCs w:val="22"/>
            <w:lang w:eastAsia="en-GB"/>
          </w:rPr>
          <w:tab/>
        </w:r>
        <w:r>
          <w:rPr>
            <w:rStyle w:val="Hyperlink"/>
            <w:noProof/>
          </w:rPr>
          <w:t>Methodological considerations concerning Well-to-Wheel (WTW) and life-cycle analysis (LCA) approaches</w:t>
        </w:r>
        <w:r>
          <w:rPr>
            <w:noProof/>
            <w:webHidden/>
          </w:rPr>
          <w:tab/>
        </w:r>
        <w:r>
          <w:rPr>
            <w:noProof/>
            <w:webHidden/>
          </w:rPr>
          <w:fldChar w:fldCharType="begin"/>
        </w:r>
        <w:r>
          <w:rPr>
            <w:noProof/>
            <w:webHidden/>
          </w:rPr>
          <w:instrText xml:space="preserve"> PAGEREF _Toc496688636 \h </w:instrText>
        </w:r>
        <w:r>
          <w:rPr>
            <w:noProof/>
            <w:webHidden/>
          </w:rPr>
        </w:r>
        <w:r>
          <w:rPr>
            <w:noProof/>
            <w:webHidden/>
          </w:rPr>
          <w:fldChar w:fldCharType="separate"/>
        </w:r>
        <w:r>
          <w:rPr>
            <w:noProof/>
            <w:webHidden/>
          </w:rPr>
          <w:t>54</w:t>
        </w:r>
        <w:r>
          <w:rPr>
            <w:noProof/>
            <w:webHidden/>
          </w:rPr>
          <w:fldChar w:fldCharType="end"/>
        </w:r>
      </w:hyperlink>
    </w:p>
    <w:p w:rsidR="00B231CB" w:rsidRDefault="00C71431">
      <w:pPr>
        <w:pStyle w:val="TOC3"/>
        <w:tabs>
          <w:tab w:val="left" w:pos="1916"/>
        </w:tabs>
        <w:rPr>
          <w:rFonts w:asciiTheme="minorHAnsi" w:eastAsiaTheme="minorEastAsia" w:hAnsiTheme="minorHAnsi" w:cstheme="minorBidi"/>
          <w:noProof/>
          <w:sz w:val="22"/>
          <w:szCs w:val="22"/>
          <w:lang w:eastAsia="en-GB"/>
        </w:rPr>
      </w:pPr>
      <w:hyperlink w:anchor="_Toc496688637" w:history="1">
        <w:r>
          <w:rPr>
            <w:rStyle w:val="Hyperlink"/>
            <w:noProof/>
          </w:rPr>
          <w:t>8.1.2</w:t>
        </w:r>
        <w:r>
          <w:rPr>
            <w:rFonts w:asciiTheme="minorHAnsi" w:eastAsiaTheme="minorEastAsia" w:hAnsiTheme="minorHAnsi" w:cstheme="minorBidi"/>
            <w:noProof/>
            <w:sz w:val="22"/>
            <w:szCs w:val="22"/>
            <w:lang w:eastAsia="en-GB"/>
          </w:rPr>
          <w:tab/>
        </w:r>
        <w:r>
          <w:rPr>
            <w:rStyle w:val="Hyperlink"/>
            <w:noProof/>
          </w:rPr>
          <w:t>Considerations regarding well-to-wheel emissions</w:t>
        </w:r>
        <w:r>
          <w:rPr>
            <w:noProof/>
            <w:webHidden/>
          </w:rPr>
          <w:tab/>
        </w:r>
        <w:r>
          <w:rPr>
            <w:noProof/>
            <w:webHidden/>
          </w:rPr>
          <w:fldChar w:fldCharType="begin"/>
        </w:r>
        <w:r>
          <w:rPr>
            <w:noProof/>
            <w:webHidden/>
          </w:rPr>
          <w:instrText xml:space="preserve"> PAGEREF _Toc496688637 \h </w:instrText>
        </w:r>
        <w:r>
          <w:rPr>
            <w:noProof/>
            <w:webHidden/>
          </w:rPr>
        </w:r>
        <w:r>
          <w:rPr>
            <w:noProof/>
            <w:webHidden/>
          </w:rPr>
          <w:fldChar w:fldCharType="separate"/>
        </w:r>
        <w:r>
          <w:rPr>
            <w:noProof/>
            <w:webHidden/>
          </w:rPr>
          <w:t>55</w:t>
        </w:r>
        <w:r>
          <w:rPr>
            <w:noProof/>
            <w:webHidden/>
          </w:rPr>
          <w:fldChar w:fldCharType="end"/>
        </w:r>
      </w:hyperlink>
    </w:p>
    <w:p w:rsidR="00B231CB" w:rsidRDefault="00C71431">
      <w:pPr>
        <w:pStyle w:val="TOC3"/>
        <w:tabs>
          <w:tab w:val="left" w:pos="1916"/>
        </w:tabs>
        <w:rPr>
          <w:rFonts w:asciiTheme="minorHAnsi" w:eastAsiaTheme="minorEastAsia" w:hAnsiTheme="minorHAnsi" w:cstheme="minorBidi"/>
          <w:noProof/>
          <w:sz w:val="22"/>
          <w:szCs w:val="22"/>
          <w:lang w:eastAsia="en-GB"/>
        </w:rPr>
      </w:pPr>
      <w:hyperlink w:anchor="_Toc496688638" w:history="1">
        <w:r>
          <w:rPr>
            <w:rStyle w:val="Hyperlink"/>
            <w:noProof/>
          </w:rPr>
          <w:t>8.1.3</w:t>
        </w:r>
        <w:r>
          <w:rPr>
            <w:rFonts w:asciiTheme="minorHAnsi" w:eastAsiaTheme="minorEastAsia" w:hAnsiTheme="minorHAnsi" w:cstheme="minorBidi"/>
            <w:noProof/>
            <w:sz w:val="22"/>
            <w:szCs w:val="22"/>
            <w:lang w:eastAsia="en-GB"/>
          </w:rPr>
          <w:tab/>
        </w:r>
        <w:r>
          <w:rPr>
            <w:rStyle w:val="Hyperlink"/>
            <w:noProof/>
          </w:rPr>
          <w:t>Considerations regarding embedded emissions</w:t>
        </w:r>
        <w:r>
          <w:rPr>
            <w:noProof/>
            <w:webHidden/>
          </w:rPr>
          <w:tab/>
        </w:r>
        <w:r>
          <w:rPr>
            <w:noProof/>
            <w:webHidden/>
          </w:rPr>
          <w:fldChar w:fldCharType="begin"/>
        </w:r>
        <w:r>
          <w:rPr>
            <w:noProof/>
            <w:webHidden/>
          </w:rPr>
          <w:instrText xml:space="preserve"> PAGEREF _Toc496688638 \h </w:instrText>
        </w:r>
        <w:r>
          <w:rPr>
            <w:noProof/>
            <w:webHidden/>
          </w:rPr>
        </w:r>
        <w:r>
          <w:rPr>
            <w:noProof/>
            <w:webHidden/>
          </w:rPr>
          <w:fldChar w:fldCharType="separate"/>
        </w:r>
        <w:r>
          <w:rPr>
            <w:noProof/>
            <w:webHidden/>
          </w:rPr>
          <w:t>64</w:t>
        </w:r>
        <w:r>
          <w:rPr>
            <w:noProof/>
            <w:webHidden/>
          </w:rPr>
          <w:fldChar w:fldCharType="end"/>
        </w:r>
      </w:hyperlink>
    </w:p>
    <w:p w:rsidR="00B231CB" w:rsidRDefault="00C71431">
      <w:pPr>
        <w:pStyle w:val="TOC2"/>
        <w:tabs>
          <w:tab w:val="left" w:pos="1077"/>
        </w:tabs>
        <w:rPr>
          <w:rFonts w:asciiTheme="minorHAnsi" w:eastAsiaTheme="minorEastAsia" w:hAnsiTheme="minorHAnsi" w:cstheme="minorBidi"/>
          <w:noProof/>
          <w:sz w:val="22"/>
          <w:szCs w:val="22"/>
          <w:lang w:eastAsia="en-GB"/>
        </w:rPr>
      </w:pPr>
      <w:hyperlink w:anchor="_Toc496688639" w:history="1">
        <w:r>
          <w:rPr>
            <w:rStyle w:val="Hyperlink"/>
            <w:noProof/>
          </w:rPr>
          <w:t>8.2</w:t>
        </w:r>
        <w:r>
          <w:rPr>
            <w:rFonts w:asciiTheme="minorHAnsi" w:eastAsiaTheme="minorEastAsia" w:hAnsiTheme="minorHAnsi" w:cstheme="minorBidi"/>
            <w:noProof/>
            <w:sz w:val="22"/>
            <w:szCs w:val="22"/>
            <w:lang w:eastAsia="en-GB"/>
          </w:rPr>
          <w:tab/>
        </w:r>
        <w:r>
          <w:rPr>
            <w:rStyle w:val="Hyperlink"/>
            <w:noProof/>
          </w:rPr>
          <w:t>Target levels for cars (TLC) and vans (TLV</w:t>
        </w:r>
        <w:r>
          <w:rPr>
            <w:rStyle w:val="Hyperlink"/>
            <w:noProof/>
          </w:rPr>
          <w:t>)</w:t>
        </w:r>
        <w:r>
          <w:rPr>
            <w:noProof/>
            <w:webHidden/>
          </w:rPr>
          <w:tab/>
        </w:r>
        <w:r>
          <w:rPr>
            <w:noProof/>
            <w:webHidden/>
          </w:rPr>
          <w:fldChar w:fldCharType="begin"/>
        </w:r>
        <w:r>
          <w:rPr>
            <w:noProof/>
            <w:webHidden/>
          </w:rPr>
          <w:instrText xml:space="preserve"> PAGEREF _Toc496688639 \h </w:instrText>
        </w:r>
        <w:r>
          <w:rPr>
            <w:noProof/>
            <w:webHidden/>
          </w:rPr>
        </w:r>
        <w:r>
          <w:rPr>
            <w:noProof/>
            <w:webHidden/>
          </w:rPr>
          <w:fldChar w:fldCharType="separate"/>
        </w:r>
        <w:r>
          <w:rPr>
            <w:noProof/>
            <w:webHidden/>
          </w:rPr>
          <w:t>68</w:t>
        </w:r>
        <w:r>
          <w:rPr>
            <w:noProof/>
            <w:webHidden/>
          </w:rPr>
          <w:fldChar w:fldCharType="end"/>
        </w:r>
      </w:hyperlink>
    </w:p>
    <w:p w:rsidR="00B231CB" w:rsidRDefault="00C71431">
      <w:pPr>
        <w:pStyle w:val="TOC3"/>
        <w:tabs>
          <w:tab w:val="left" w:pos="1916"/>
        </w:tabs>
        <w:rPr>
          <w:rFonts w:asciiTheme="minorHAnsi" w:eastAsiaTheme="minorEastAsia" w:hAnsiTheme="minorHAnsi" w:cstheme="minorBidi"/>
          <w:noProof/>
          <w:sz w:val="22"/>
          <w:szCs w:val="22"/>
          <w:lang w:eastAsia="en-GB"/>
        </w:rPr>
      </w:pPr>
      <w:hyperlink w:anchor="_Toc496688640" w:history="1">
        <w:r>
          <w:rPr>
            <w:rStyle w:val="Hyperlink"/>
            <w:noProof/>
          </w:rPr>
          <w:t>8.2.1</w:t>
        </w:r>
        <w:r>
          <w:rPr>
            <w:rFonts w:asciiTheme="minorHAnsi" w:eastAsiaTheme="minorEastAsia" w:hAnsiTheme="minorHAnsi" w:cstheme="minorBidi"/>
            <w:noProof/>
            <w:sz w:val="22"/>
            <w:szCs w:val="22"/>
            <w:lang w:eastAsia="en-GB"/>
          </w:rPr>
          <w:tab/>
        </w:r>
        <w:r>
          <w:rPr>
            <w:rStyle w:val="Hyperlink"/>
            <w:noProof/>
          </w:rPr>
          <w:t>Economic impacts</w:t>
        </w:r>
        <w:r>
          <w:rPr>
            <w:noProof/>
            <w:webHidden/>
          </w:rPr>
          <w:tab/>
        </w:r>
        <w:r>
          <w:rPr>
            <w:noProof/>
            <w:webHidden/>
          </w:rPr>
          <w:fldChar w:fldCharType="begin"/>
        </w:r>
        <w:r>
          <w:rPr>
            <w:noProof/>
            <w:webHidden/>
          </w:rPr>
          <w:instrText xml:space="preserve"> PAGEREF _Toc496688640 \h </w:instrText>
        </w:r>
        <w:r>
          <w:rPr>
            <w:noProof/>
            <w:webHidden/>
          </w:rPr>
        </w:r>
        <w:r>
          <w:rPr>
            <w:noProof/>
            <w:webHidden/>
          </w:rPr>
          <w:fldChar w:fldCharType="separate"/>
        </w:r>
        <w:r>
          <w:rPr>
            <w:noProof/>
            <w:webHidden/>
          </w:rPr>
          <w:t>68</w:t>
        </w:r>
        <w:r>
          <w:rPr>
            <w:noProof/>
            <w:webHidden/>
          </w:rPr>
          <w:fldChar w:fldCharType="end"/>
        </w:r>
      </w:hyperlink>
    </w:p>
    <w:p w:rsidR="00B231CB" w:rsidRDefault="00C71431">
      <w:pPr>
        <w:pStyle w:val="TOC3"/>
        <w:tabs>
          <w:tab w:val="left" w:pos="1916"/>
        </w:tabs>
        <w:rPr>
          <w:rFonts w:asciiTheme="minorHAnsi" w:eastAsiaTheme="minorEastAsia" w:hAnsiTheme="minorHAnsi" w:cstheme="minorBidi"/>
          <w:noProof/>
          <w:sz w:val="22"/>
          <w:szCs w:val="22"/>
          <w:lang w:eastAsia="en-GB"/>
        </w:rPr>
      </w:pPr>
      <w:hyperlink w:anchor="_Toc496688641" w:history="1">
        <w:r>
          <w:rPr>
            <w:rStyle w:val="Hyperlink"/>
            <w:noProof/>
          </w:rPr>
          <w:t>8.2.2</w:t>
        </w:r>
        <w:r>
          <w:rPr>
            <w:rFonts w:asciiTheme="minorHAnsi" w:eastAsiaTheme="minorEastAsia" w:hAnsiTheme="minorHAnsi" w:cstheme="minorBidi"/>
            <w:noProof/>
            <w:sz w:val="22"/>
            <w:szCs w:val="22"/>
            <w:lang w:eastAsia="en-GB"/>
          </w:rPr>
          <w:tab/>
        </w:r>
        <w:r>
          <w:rPr>
            <w:rStyle w:val="Hyperlink"/>
            <w:noProof/>
          </w:rPr>
          <w:t>Social Impacts</w:t>
        </w:r>
        <w:r>
          <w:rPr>
            <w:noProof/>
            <w:webHidden/>
          </w:rPr>
          <w:tab/>
        </w:r>
        <w:r>
          <w:rPr>
            <w:noProof/>
            <w:webHidden/>
          </w:rPr>
          <w:fldChar w:fldCharType="begin"/>
        </w:r>
        <w:r>
          <w:rPr>
            <w:noProof/>
            <w:webHidden/>
          </w:rPr>
          <w:instrText xml:space="preserve"> PAGEREF _Toc496688641 \h </w:instrText>
        </w:r>
        <w:r>
          <w:rPr>
            <w:noProof/>
            <w:webHidden/>
          </w:rPr>
        </w:r>
        <w:r>
          <w:rPr>
            <w:noProof/>
            <w:webHidden/>
          </w:rPr>
          <w:fldChar w:fldCharType="separate"/>
        </w:r>
        <w:r>
          <w:rPr>
            <w:noProof/>
            <w:webHidden/>
          </w:rPr>
          <w:t>82</w:t>
        </w:r>
        <w:r>
          <w:rPr>
            <w:noProof/>
            <w:webHidden/>
          </w:rPr>
          <w:fldChar w:fldCharType="end"/>
        </w:r>
      </w:hyperlink>
    </w:p>
    <w:p w:rsidR="00B231CB" w:rsidRDefault="00C71431">
      <w:pPr>
        <w:pStyle w:val="TOC2"/>
        <w:tabs>
          <w:tab w:val="left" w:pos="1077"/>
        </w:tabs>
        <w:rPr>
          <w:rFonts w:asciiTheme="minorHAnsi" w:eastAsiaTheme="minorEastAsia" w:hAnsiTheme="minorHAnsi" w:cstheme="minorBidi"/>
          <w:noProof/>
          <w:sz w:val="22"/>
          <w:szCs w:val="22"/>
          <w:lang w:eastAsia="en-GB"/>
        </w:rPr>
      </w:pPr>
      <w:hyperlink w:anchor="_Toc496688642" w:history="1">
        <w:r>
          <w:rPr>
            <w:rStyle w:val="Hyperlink"/>
            <w:noProof/>
          </w:rPr>
          <w:t>8.3</w:t>
        </w:r>
        <w:r>
          <w:rPr>
            <w:rFonts w:asciiTheme="minorHAnsi" w:eastAsiaTheme="minorEastAsia" w:hAnsiTheme="minorHAnsi" w:cstheme="minorBidi"/>
            <w:noProof/>
            <w:sz w:val="22"/>
            <w:szCs w:val="22"/>
            <w:lang w:eastAsia="en-GB"/>
          </w:rPr>
          <w:tab/>
        </w:r>
        <w:r>
          <w:rPr>
            <w:rStyle w:val="Hyperlink"/>
            <w:noProof/>
          </w:rPr>
          <w:t>Dist</w:t>
        </w:r>
        <w:r>
          <w:rPr>
            <w:rStyle w:val="Hyperlink"/>
            <w:noProof/>
          </w:rPr>
          <w:t>ribution of effort (DOE): additional information regarding impacts on competition between manufacturers</w:t>
        </w:r>
        <w:r>
          <w:rPr>
            <w:noProof/>
            <w:webHidden/>
          </w:rPr>
          <w:tab/>
        </w:r>
        <w:r>
          <w:rPr>
            <w:noProof/>
            <w:webHidden/>
          </w:rPr>
          <w:fldChar w:fldCharType="begin"/>
        </w:r>
        <w:r>
          <w:rPr>
            <w:noProof/>
            <w:webHidden/>
          </w:rPr>
          <w:instrText xml:space="preserve"> PAGEREF _Toc496688642 \h </w:instrText>
        </w:r>
        <w:r>
          <w:rPr>
            <w:noProof/>
            <w:webHidden/>
          </w:rPr>
        </w:r>
        <w:r>
          <w:rPr>
            <w:noProof/>
            <w:webHidden/>
          </w:rPr>
          <w:fldChar w:fldCharType="separate"/>
        </w:r>
        <w:r>
          <w:rPr>
            <w:noProof/>
            <w:webHidden/>
          </w:rPr>
          <w:t>86</w:t>
        </w:r>
        <w:r>
          <w:rPr>
            <w:noProof/>
            <w:webHidden/>
          </w:rPr>
          <w:fldChar w:fldCharType="end"/>
        </w:r>
      </w:hyperlink>
    </w:p>
    <w:p w:rsidR="00B231CB" w:rsidRDefault="00C71431">
      <w:pPr>
        <w:pStyle w:val="TOC2"/>
        <w:tabs>
          <w:tab w:val="left" w:pos="1077"/>
        </w:tabs>
        <w:rPr>
          <w:rFonts w:asciiTheme="minorHAnsi" w:eastAsiaTheme="minorEastAsia" w:hAnsiTheme="minorHAnsi" w:cstheme="minorBidi"/>
          <w:noProof/>
          <w:sz w:val="22"/>
          <w:szCs w:val="22"/>
          <w:lang w:eastAsia="en-GB"/>
        </w:rPr>
      </w:pPr>
      <w:hyperlink w:anchor="_Toc496688643" w:history="1">
        <w:r>
          <w:rPr>
            <w:rStyle w:val="Hyperlink"/>
            <w:noProof/>
          </w:rPr>
          <w:t>8.4</w:t>
        </w:r>
        <w:r>
          <w:rPr>
            <w:rFonts w:asciiTheme="minorHAnsi" w:eastAsiaTheme="minorEastAsia" w:hAnsiTheme="minorHAnsi" w:cstheme="minorBidi"/>
            <w:noProof/>
            <w:sz w:val="22"/>
            <w:szCs w:val="22"/>
            <w:lang w:eastAsia="en-GB"/>
          </w:rPr>
          <w:tab/>
        </w:r>
        <w:r>
          <w:rPr>
            <w:rStyle w:val="Hyperlink"/>
            <w:noProof/>
          </w:rPr>
          <w:t>ZEV/ LEV incentive</w:t>
        </w:r>
        <w:r>
          <w:rPr>
            <w:rStyle w:val="Hyperlink"/>
            <w:noProof/>
          </w:rPr>
          <w:t>s</w:t>
        </w:r>
        <w:r>
          <w:rPr>
            <w:noProof/>
            <w:webHidden/>
          </w:rPr>
          <w:tab/>
        </w:r>
        <w:r>
          <w:rPr>
            <w:noProof/>
            <w:webHidden/>
          </w:rPr>
          <w:fldChar w:fldCharType="begin"/>
        </w:r>
        <w:r>
          <w:rPr>
            <w:noProof/>
            <w:webHidden/>
          </w:rPr>
          <w:instrText xml:space="preserve"> PAGEREF _Toc496688643 \h </w:instrText>
        </w:r>
        <w:r>
          <w:rPr>
            <w:noProof/>
            <w:webHidden/>
          </w:rPr>
        </w:r>
        <w:r>
          <w:rPr>
            <w:noProof/>
            <w:webHidden/>
          </w:rPr>
          <w:fldChar w:fldCharType="separate"/>
        </w:r>
        <w:r>
          <w:rPr>
            <w:noProof/>
            <w:webHidden/>
          </w:rPr>
          <w:t>88</w:t>
        </w:r>
        <w:r>
          <w:rPr>
            <w:noProof/>
            <w:webHidden/>
          </w:rPr>
          <w:fldChar w:fldCharType="end"/>
        </w:r>
      </w:hyperlink>
    </w:p>
    <w:p w:rsidR="00B231CB" w:rsidRDefault="00C71431">
      <w:pPr>
        <w:pStyle w:val="TOC3"/>
        <w:tabs>
          <w:tab w:val="left" w:pos="1916"/>
        </w:tabs>
        <w:rPr>
          <w:rFonts w:asciiTheme="minorHAnsi" w:eastAsiaTheme="minorEastAsia" w:hAnsiTheme="minorHAnsi" w:cstheme="minorBidi"/>
          <w:noProof/>
          <w:sz w:val="22"/>
          <w:szCs w:val="22"/>
          <w:lang w:eastAsia="en-GB"/>
        </w:rPr>
      </w:pPr>
      <w:hyperlink w:anchor="_Toc496688644" w:history="1">
        <w:r>
          <w:rPr>
            <w:rStyle w:val="Hyperlink"/>
            <w:noProof/>
          </w:rPr>
          <w:t>8.4.1</w:t>
        </w:r>
        <w:r>
          <w:rPr>
            <w:rFonts w:asciiTheme="minorHAnsi" w:eastAsiaTheme="minorEastAsia" w:hAnsiTheme="minorHAnsi" w:cstheme="minorBidi"/>
            <w:noProof/>
            <w:sz w:val="22"/>
            <w:szCs w:val="22"/>
            <w:lang w:eastAsia="en-GB"/>
          </w:rPr>
          <w:tab/>
        </w:r>
        <w:r>
          <w:rPr>
            <w:rStyle w:val="Hyperlink"/>
            <w:noProof/>
          </w:rPr>
          <w:t xml:space="preserve">Passenger cars: assessment of options with additional incentives for low-emission vehicles: economic and social </w:t>
        </w:r>
        <w:r>
          <w:rPr>
            <w:rStyle w:val="Hyperlink"/>
            <w:noProof/>
          </w:rPr>
          <w:t>impacts</w:t>
        </w:r>
        <w:r>
          <w:rPr>
            <w:noProof/>
            <w:webHidden/>
          </w:rPr>
          <w:tab/>
        </w:r>
        <w:r>
          <w:rPr>
            <w:noProof/>
            <w:webHidden/>
          </w:rPr>
          <w:fldChar w:fldCharType="begin"/>
        </w:r>
        <w:r>
          <w:rPr>
            <w:noProof/>
            <w:webHidden/>
          </w:rPr>
          <w:instrText xml:space="preserve"> PAGEREF _Toc496688644 \h </w:instrText>
        </w:r>
        <w:r>
          <w:rPr>
            <w:noProof/>
            <w:webHidden/>
          </w:rPr>
        </w:r>
        <w:r>
          <w:rPr>
            <w:noProof/>
            <w:webHidden/>
          </w:rPr>
          <w:fldChar w:fldCharType="separate"/>
        </w:r>
        <w:r>
          <w:rPr>
            <w:noProof/>
            <w:webHidden/>
          </w:rPr>
          <w:t>88</w:t>
        </w:r>
        <w:r>
          <w:rPr>
            <w:noProof/>
            <w:webHidden/>
          </w:rPr>
          <w:fldChar w:fldCharType="end"/>
        </w:r>
      </w:hyperlink>
    </w:p>
    <w:p w:rsidR="00B231CB" w:rsidRDefault="00C71431">
      <w:pPr>
        <w:pStyle w:val="TOC3"/>
        <w:tabs>
          <w:tab w:val="left" w:pos="1916"/>
        </w:tabs>
        <w:rPr>
          <w:rFonts w:asciiTheme="minorHAnsi" w:eastAsiaTheme="minorEastAsia" w:hAnsiTheme="minorHAnsi" w:cstheme="minorBidi"/>
          <w:noProof/>
          <w:sz w:val="22"/>
          <w:szCs w:val="22"/>
          <w:lang w:eastAsia="en-GB"/>
        </w:rPr>
      </w:pPr>
      <w:hyperlink w:anchor="_Toc496688645" w:history="1">
        <w:r>
          <w:rPr>
            <w:rStyle w:val="Hyperlink"/>
            <w:noProof/>
          </w:rPr>
          <w:t>8.4.2</w:t>
        </w:r>
        <w:r>
          <w:rPr>
            <w:rFonts w:asciiTheme="minorHAnsi" w:eastAsiaTheme="minorEastAsia" w:hAnsiTheme="minorHAnsi" w:cstheme="minorBidi"/>
            <w:noProof/>
            <w:sz w:val="22"/>
            <w:szCs w:val="22"/>
            <w:lang w:eastAsia="en-GB"/>
          </w:rPr>
          <w:tab/>
        </w:r>
        <w:r>
          <w:rPr>
            <w:rStyle w:val="Hyperlink"/>
            <w:noProof/>
          </w:rPr>
          <w:t>Vans: assessment of options with additional incentives for low-emission vehicles: economic and social impacts</w:t>
        </w:r>
        <w:r>
          <w:rPr>
            <w:noProof/>
            <w:webHidden/>
          </w:rPr>
          <w:tab/>
        </w:r>
        <w:r>
          <w:rPr>
            <w:noProof/>
            <w:webHidden/>
          </w:rPr>
          <w:fldChar w:fldCharType="begin"/>
        </w:r>
        <w:r>
          <w:rPr>
            <w:noProof/>
            <w:webHidden/>
          </w:rPr>
          <w:instrText xml:space="preserve"> P</w:instrText>
        </w:r>
        <w:r>
          <w:rPr>
            <w:noProof/>
            <w:webHidden/>
          </w:rPr>
          <w:instrText xml:space="preserve">AGEREF _Toc496688645 \h </w:instrText>
        </w:r>
        <w:r>
          <w:rPr>
            <w:noProof/>
            <w:webHidden/>
          </w:rPr>
        </w:r>
        <w:r>
          <w:rPr>
            <w:noProof/>
            <w:webHidden/>
          </w:rPr>
          <w:fldChar w:fldCharType="separate"/>
        </w:r>
        <w:r>
          <w:rPr>
            <w:noProof/>
            <w:webHidden/>
          </w:rPr>
          <w:t>107</w:t>
        </w:r>
        <w:r>
          <w:rPr>
            <w:noProof/>
            <w:webHidden/>
          </w:rPr>
          <w:fldChar w:fldCharType="end"/>
        </w:r>
      </w:hyperlink>
    </w:p>
    <w:p w:rsidR="00B231CB" w:rsidRDefault="00C71431">
      <w:pPr>
        <w:pStyle w:val="Caption"/>
        <w:rPr>
          <w:noProof/>
        </w:rPr>
      </w:pPr>
      <w:r>
        <w:rPr>
          <w:noProof/>
        </w:rPr>
        <w:fldChar w:fldCharType="end"/>
      </w:r>
    </w:p>
    <w:p w:rsidR="00B231CB" w:rsidRDefault="00C71431">
      <w:pPr>
        <w:spacing w:after="200" w:line="276" w:lineRule="auto"/>
        <w:jc w:val="left"/>
        <w:rPr>
          <w:noProof/>
        </w:rPr>
      </w:pPr>
      <w:r>
        <w:rPr>
          <w:noProof/>
        </w:rPr>
        <w:br w:type="page"/>
      </w:r>
    </w:p>
    <w:p w:rsidR="00B231CB" w:rsidRDefault="00C71431">
      <w:pPr>
        <w:pStyle w:val="Heading1"/>
        <w:rPr>
          <w:noProof/>
        </w:rPr>
      </w:pPr>
      <w:bookmarkStart w:id="1" w:name="_Toc494106021"/>
      <w:bookmarkStart w:id="2" w:name="_Toc494106495"/>
      <w:bookmarkStart w:id="3" w:name="_Toc476144661"/>
      <w:bookmarkStart w:id="4" w:name="_Toc496688602"/>
      <w:bookmarkEnd w:id="1"/>
      <w:bookmarkEnd w:id="2"/>
      <w:r>
        <w:rPr>
          <w:noProof/>
        </w:rPr>
        <w:lastRenderedPageBreak/>
        <w:t>Annex 1: Procedural information concerning the process to prepare the impact assessment report and the related initiative</w:t>
      </w:r>
      <w:bookmarkEnd w:id="3"/>
      <w:bookmarkEnd w:id="4"/>
    </w:p>
    <w:p w:rsidR="00B231CB" w:rsidRDefault="00C71431">
      <w:pPr>
        <w:pStyle w:val="Heading2"/>
        <w:rPr>
          <w:noProof/>
        </w:rPr>
      </w:pPr>
      <w:bookmarkStart w:id="5" w:name="_Toc476144662"/>
      <w:bookmarkStart w:id="6" w:name="_Toc496688603"/>
      <w:r>
        <w:rPr>
          <w:noProof/>
        </w:rPr>
        <w:t>Organisation and timing</w:t>
      </w:r>
      <w:bookmarkEnd w:id="5"/>
      <w:bookmarkEnd w:id="6"/>
    </w:p>
    <w:p w:rsidR="00B231CB" w:rsidRDefault="00C71431">
      <w:pPr>
        <w:spacing w:after="120"/>
        <w:rPr>
          <w:noProof/>
          <w:color w:val="000000"/>
        </w:rPr>
      </w:pPr>
      <w:r>
        <w:rPr>
          <w:noProof/>
          <w:color w:val="000000"/>
        </w:rPr>
        <w:t>The Direc</w:t>
      </w:r>
      <w:r>
        <w:rPr>
          <w:noProof/>
          <w:color w:val="000000"/>
        </w:rPr>
        <w:t xml:space="preserve">torate-General for Climate Action is the lead service for the preparation of the initiative (2015/CLIMA/019) and the work on the impact assessment. </w:t>
      </w:r>
    </w:p>
    <w:p w:rsidR="00B231CB" w:rsidRDefault="00C71431">
      <w:pPr>
        <w:pStyle w:val="ListParagraph"/>
        <w:spacing w:after="120"/>
        <w:ind w:left="0"/>
        <w:contextualSpacing w:val="0"/>
        <w:rPr>
          <w:noProof/>
          <w:color w:val="000000"/>
        </w:rPr>
      </w:pPr>
      <w:r>
        <w:rPr>
          <w:noProof/>
        </w:rPr>
        <w:t xml:space="preserve">An </w:t>
      </w:r>
      <w:r>
        <w:rPr>
          <w:noProof/>
          <w:color w:val="000000"/>
        </w:rPr>
        <w:t>inter-service steering group (ISG), chaired by the Secretariat-General, was set up in December 2015 with</w:t>
      </w:r>
      <w:r>
        <w:rPr>
          <w:noProof/>
          <w:color w:val="000000"/>
        </w:rPr>
        <w:t xml:space="preserve"> the participation of the following Commission Directorates-General: Legal Service; Economic and Financial Affairs; Internal Market, Industry, Entrepreneurship and SMEs; Environment; Mobility and Transport; Joint Research Centre; Taxation and Customs Union</w:t>
      </w:r>
      <w:r>
        <w:rPr>
          <w:noProof/>
          <w:color w:val="000000"/>
        </w:rPr>
        <w:t xml:space="preserve">; Justice and Consumers, Employment, Social Affairs and Inclusion, Research and Innovation, Competition, Energy, Communications Networks, Content &amp; Technology. </w:t>
      </w:r>
    </w:p>
    <w:p w:rsidR="00B231CB" w:rsidRDefault="00C71431">
      <w:pPr>
        <w:pStyle w:val="ListParagraph"/>
        <w:spacing w:after="120"/>
        <w:ind w:left="0"/>
        <w:contextualSpacing w:val="0"/>
        <w:rPr>
          <w:noProof/>
        </w:rPr>
      </w:pPr>
      <w:r>
        <w:rPr>
          <w:noProof/>
        </w:rPr>
        <w:t xml:space="preserve">The ISG met six times between </w:t>
      </w:r>
      <w:bookmarkStart w:id="7" w:name="_GoBack"/>
      <w:bookmarkEnd w:id="7"/>
      <w:r>
        <w:rPr>
          <w:noProof/>
        </w:rPr>
        <w:t>December 2015 and the end of September 2017, discussing the incep</w:t>
      </w:r>
      <w:r>
        <w:rPr>
          <w:noProof/>
        </w:rPr>
        <w:t>tion impact assessment, the questionnaire for and results of the public consultation, the outcome of the stakeholder workshops and the draft impact assessment.</w:t>
      </w:r>
    </w:p>
    <w:p w:rsidR="00B231CB" w:rsidRDefault="00C71431">
      <w:pPr>
        <w:pStyle w:val="Heading2"/>
        <w:rPr>
          <w:noProof/>
        </w:rPr>
      </w:pPr>
      <w:bookmarkStart w:id="8" w:name="_Toc476144663"/>
      <w:bookmarkStart w:id="9" w:name="_Toc496688604"/>
      <w:r>
        <w:rPr>
          <w:noProof/>
        </w:rPr>
        <w:t>Consultation of the Regulatory Scrutiny Board (RSB</w:t>
      </w:r>
      <w:bookmarkEnd w:id="8"/>
      <w:r>
        <w:rPr>
          <w:noProof/>
        </w:rPr>
        <w:t>)</w:t>
      </w:r>
      <w:bookmarkEnd w:id="9"/>
    </w:p>
    <w:p w:rsidR="00B231CB" w:rsidRDefault="00C71431">
      <w:pPr>
        <w:pStyle w:val="ListParagraph"/>
        <w:spacing w:before="120" w:after="120"/>
        <w:ind w:left="0"/>
        <w:contextualSpacing w:val="0"/>
        <w:rPr>
          <w:noProof/>
          <w:color w:val="000000"/>
        </w:rPr>
      </w:pPr>
      <w:bookmarkStart w:id="10" w:name="_Toc476144664"/>
      <w:r>
        <w:rPr>
          <w:noProof/>
          <w:color w:val="000000"/>
        </w:rPr>
        <w:t>The Regulatory Scrutiny Board received the d</w:t>
      </w:r>
      <w:r>
        <w:rPr>
          <w:noProof/>
          <w:color w:val="000000"/>
        </w:rPr>
        <w:t xml:space="preserve">raft version of the present impact assessment report on 25 September 2017 and following the Board meeting on 11 October 2017 issued a positive opinion with reservations on 13 October 2017. </w:t>
      </w:r>
    </w:p>
    <w:p w:rsidR="00B231CB" w:rsidRDefault="00C71431">
      <w:pPr>
        <w:tabs>
          <w:tab w:val="left" w:pos="720"/>
        </w:tabs>
        <w:spacing w:after="120"/>
        <w:rPr>
          <w:noProof/>
        </w:rPr>
      </w:pPr>
      <w:r>
        <w:rPr>
          <w:noProof/>
        </w:rPr>
        <w:t>The Board made the following recommendations, which were addressed</w:t>
      </w:r>
      <w:r>
        <w:rPr>
          <w:noProof/>
        </w:rPr>
        <w:t xml:space="preserve"> in the revised impact assessment report as indicated below.</w:t>
      </w:r>
    </w:p>
    <w:tbl>
      <w:tblPr>
        <w:tblStyle w:val="TableGrid"/>
        <w:tblW w:w="0" w:type="auto"/>
        <w:tblLook w:val="04A0" w:firstRow="1" w:lastRow="0" w:firstColumn="1" w:lastColumn="0" w:noHBand="0" w:noVBand="1"/>
      </w:tblPr>
      <w:tblGrid>
        <w:gridCol w:w="4068"/>
        <w:gridCol w:w="5220"/>
      </w:tblGrid>
      <w:tr w:rsidR="00B231CB">
        <w:tc>
          <w:tcPr>
            <w:tcW w:w="4068" w:type="dxa"/>
            <w:tcBorders>
              <w:top w:val="single" w:sz="4" w:space="0" w:color="auto"/>
              <w:left w:val="single" w:sz="4" w:space="0" w:color="auto"/>
              <w:bottom w:val="single" w:sz="4" w:space="0" w:color="auto"/>
              <w:right w:val="single" w:sz="4" w:space="0" w:color="auto"/>
            </w:tcBorders>
            <w:hideMark/>
          </w:tcPr>
          <w:p w:rsidR="00B231CB" w:rsidRDefault="00C71431">
            <w:pPr>
              <w:tabs>
                <w:tab w:val="left" w:pos="720"/>
              </w:tabs>
              <w:spacing w:after="120"/>
              <w:rPr>
                <w:b/>
                <w:noProof/>
                <w:sz w:val="32"/>
                <w:u w:val="single"/>
              </w:rPr>
            </w:pPr>
            <w:r>
              <w:rPr>
                <w:b/>
                <w:noProof/>
                <w:u w:val="single"/>
              </w:rPr>
              <w:t>Main RSB considerations</w:t>
            </w:r>
          </w:p>
        </w:tc>
        <w:tc>
          <w:tcPr>
            <w:tcW w:w="5220" w:type="dxa"/>
            <w:tcBorders>
              <w:top w:val="single" w:sz="4" w:space="0" w:color="auto"/>
              <w:left w:val="single" w:sz="4" w:space="0" w:color="auto"/>
              <w:bottom w:val="single" w:sz="4" w:space="0" w:color="auto"/>
              <w:right w:val="single" w:sz="4" w:space="0" w:color="auto"/>
            </w:tcBorders>
            <w:hideMark/>
          </w:tcPr>
          <w:p w:rsidR="00B231CB" w:rsidRDefault="00C71431">
            <w:pPr>
              <w:tabs>
                <w:tab w:val="left" w:pos="720"/>
              </w:tabs>
              <w:spacing w:after="120"/>
              <w:rPr>
                <w:b/>
                <w:noProof/>
                <w:sz w:val="32"/>
                <w:u w:val="single"/>
              </w:rPr>
            </w:pPr>
            <w:r>
              <w:rPr>
                <w:b/>
                <w:noProof/>
                <w:u w:val="single"/>
              </w:rPr>
              <w:t>Response</w:t>
            </w:r>
          </w:p>
        </w:tc>
      </w:tr>
      <w:tr w:rsidR="00B231CB">
        <w:tc>
          <w:tcPr>
            <w:tcW w:w="4068" w:type="dxa"/>
            <w:tcBorders>
              <w:top w:val="single" w:sz="4" w:space="0" w:color="auto"/>
              <w:left w:val="single" w:sz="4" w:space="0" w:color="auto"/>
              <w:bottom w:val="single" w:sz="4" w:space="0" w:color="auto"/>
              <w:right w:val="single" w:sz="4" w:space="0" w:color="auto"/>
            </w:tcBorders>
            <w:hideMark/>
          </w:tcPr>
          <w:p w:rsidR="00B231CB" w:rsidRDefault="00C71431">
            <w:pPr>
              <w:tabs>
                <w:tab w:val="left" w:pos="720"/>
              </w:tabs>
              <w:spacing w:after="120"/>
              <w:rPr>
                <w:b/>
                <w:noProof/>
                <w:sz w:val="32"/>
              </w:rPr>
            </w:pPr>
            <w:r>
              <w:rPr>
                <w:b/>
                <w:noProof/>
              </w:rPr>
              <w:t xml:space="preserve">The report does not describe the key EU policy initiatives that complement this initiative. It leaves out what these other EU initiatives need to achieve for </w:t>
            </w:r>
            <w:r>
              <w:rPr>
                <w:b/>
                <w:noProof/>
              </w:rPr>
              <w:t>this initiative to succeed.</w:t>
            </w:r>
          </w:p>
        </w:tc>
        <w:tc>
          <w:tcPr>
            <w:tcW w:w="5220" w:type="dxa"/>
            <w:tcBorders>
              <w:top w:val="single" w:sz="4" w:space="0" w:color="auto"/>
              <w:left w:val="single" w:sz="4" w:space="0" w:color="auto"/>
              <w:bottom w:val="single" w:sz="4" w:space="0" w:color="auto"/>
              <w:right w:val="single" w:sz="4" w:space="0" w:color="auto"/>
            </w:tcBorders>
            <w:hideMark/>
          </w:tcPr>
          <w:p w:rsidR="00B231CB" w:rsidRDefault="00C71431">
            <w:pPr>
              <w:tabs>
                <w:tab w:val="left" w:pos="720"/>
              </w:tabs>
              <w:spacing w:after="120"/>
              <w:rPr>
                <w:noProof/>
              </w:rPr>
            </w:pPr>
            <w:r>
              <w:rPr>
                <w:noProof/>
              </w:rPr>
              <w:t>The policy context and links with other EU initiatives, including the upcoming initiative on heavy duty vehicles have been further elaborated in Section 1.1 of the report. The contribution of the initiative to the Effort Sharing</w:t>
            </w:r>
            <w:r>
              <w:rPr>
                <w:noProof/>
              </w:rPr>
              <w:t xml:space="preserve"> Regulation objectives is described in Sections 6.2 and 6.3.2.4.3. </w:t>
            </w:r>
          </w:p>
          <w:p w:rsidR="00B231CB" w:rsidRDefault="00C71431">
            <w:pPr>
              <w:tabs>
                <w:tab w:val="left" w:pos="720"/>
              </w:tabs>
              <w:spacing w:after="120"/>
              <w:rPr>
                <w:noProof/>
              </w:rPr>
            </w:pPr>
            <w:r>
              <w:rPr>
                <w:noProof/>
              </w:rPr>
              <w:t>The EU Action Plan for Alternative Fuel Infrastructure and other flanking measures, such as the Revision of the Clean Vehicles Directive which will be part of the second 2017 Mobility Pack</w:t>
            </w:r>
            <w:r>
              <w:rPr>
                <w:noProof/>
              </w:rPr>
              <w:t>age, will ensure that infrastructure and demand-side action is aligned with supply-side measures. Additional enabling measures can be put in place by Member States or local authorities, as acknowledged in Sections 2 and 7 of the report.</w:t>
            </w:r>
          </w:p>
        </w:tc>
      </w:tr>
      <w:tr w:rsidR="00B231CB">
        <w:tc>
          <w:tcPr>
            <w:tcW w:w="4068" w:type="dxa"/>
            <w:tcBorders>
              <w:top w:val="single" w:sz="4" w:space="0" w:color="auto"/>
              <w:left w:val="single" w:sz="4" w:space="0" w:color="auto"/>
              <w:bottom w:val="single" w:sz="4" w:space="0" w:color="auto"/>
              <w:right w:val="single" w:sz="4" w:space="0" w:color="auto"/>
            </w:tcBorders>
            <w:hideMark/>
          </w:tcPr>
          <w:p w:rsidR="00B231CB" w:rsidRDefault="00C71431">
            <w:pPr>
              <w:tabs>
                <w:tab w:val="left" w:pos="720"/>
              </w:tabs>
              <w:spacing w:after="120"/>
              <w:rPr>
                <w:b/>
                <w:noProof/>
                <w:sz w:val="32"/>
                <w:u w:val="single"/>
              </w:rPr>
            </w:pPr>
            <w:r>
              <w:rPr>
                <w:b/>
                <w:noProof/>
              </w:rPr>
              <w:t>The report does no</w:t>
            </w:r>
            <w:r>
              <w:rPr>
                <w:b/>
                <w:noProof/>
              </w:rPr>
              <w:t xml:space="preserve">t explain the bottlenecks to a higher consumer uptake of electric vehicles. The report is also unclear on whether the competitiveness challenge is </w:t>
            </w:r>
            <w:r>
              <w:rPr>
                <w:b/>
                <w:noProof/>
              </w:rPr>
              <w:lastRenderedPageBreak/>
              <w:t>technological leadership or protecting EU employment.</w:t>
            </w:r>
          </w:p>
        </w:tc>
        <w:tc>
          <w:tcPr>
            <w:tcW w:w="5220" w:type="dxa"/>
            <w:tcBorders>
              <w:top w:val="single" w:sz="4" w:space="0" w:color="auto"/>
              <w:left w:val="single" w:sz="4" w:space="0" w:color="auto"/>
              <w:bottom w:val="single" w:sz="4" w:space="0" w:color="auto"/>
              <w:right w:val="single" w:sz="4" w:space="0" w:color="auto"/>
            </w:tcBorders>
            <w:hideMark/>
          </w:tcPr>
          <w:p w:rsidR="00B231CB" w:rsidRDefault="00C71431">
            <w:pPr>
              <w:tabs>
                <w:tab w:val="left" w:pos="720"/>
              </w:tabs>
              <w:spacing w:after="120"/>
              <w:rPr>
                <w:noProof/>
              </w:rPr>
            </w:pPr>
            <w:r>
              <w:rPr>
                <w:noProof/>
              </w:rPr>
              <w:lastRenderedPageBreak/>
              <w:t>The main elements hampering the uptake of more efficien</w:t>
            </w:r>
            <w:r>
              <w:rPr>
                <w:noProof/>
              </w:rPr>
              <w:t xml:space="preserve">t vehicles are the fact that consumers value upfront costs over lifetime costs and/or have other consumer preferences, and in the particular case of zero-emission vehicles, the 'range anxiety' and </w:t>
            </w:r>
            <w:r>
              <w:rPr>
                <w:noProof/>
              </w:rPr>
              <w:lastRenderedPageBreak/>
              <w:t>concerns over the resale value of the vehicle. This is furt</w:t>
            </w:r>
            <w:r>
              <w:rPr>
                <w:noProof/>
              </w:rPr>
              <w:t>her elaborated in Section 2.2 (drivers 1 and 2), with reference to several studies.</w:t>
            </w:r>
          </w:p>
          <w:p w:rsidR="00B231CB" w:rsidRDefault="00C71431">
            <w:pPr>
              <w:tabs>
                <w:tab w:val="left" w:pos="720"/>
              </w:tabs>
              <w:spacing w:after="120"/>
              <w:rPr>
                <w:noProof/>
              </w:rPr>
            </w:pPr>
            <w:r>
              <w:rPr>
                <w:noProof/>
              </w:rPr>
              <w:t>The competitiveness challenge for EU industry has been expanded in Section 2.1.3, highlighting the risk of losing technological leadership, esp. in view of the expected gro</w:t>
            </w:r>
            <w:r>
              <w:rPr>
                <w:noProof/>
              </w:rPr>
              <w:t xml:space="preserve">wing global demand of low-emission vehicles, and the increased cost-competitiveness of batteries, and recent regulatory developments in particular in China. Creating an EU market for low-emission vehicles is an important enabler for enhancing economies of </w:t>
            </w:r>
            <w:r>
              <w:rPr>
                <w:noProof/>
              </w:rPr>
              <w:t>scale, cost reduction and technological leadership, which in turn can help EU manufacturers retain market shares in the global automotive market. The link with employment and skills requirements is further elaborated in Section 6.3.2.2.3.3.</w:t>
            </w:r>
          </w:p>
        </w:tc>
      </w:tr>
      <w:tr w:rsidR="00B231CB">
        <w:tc>
          <w:tcPr>
            <w:tcW w:w="4068" w:type="dxa"/>
            <w:tcBorders>
              <w:top w:val="single" w:sz="4" w:space="0" w:color="auto"/>
              <w:left w:val="single" w:sz="4" w:space="0" w:color="auto"/>
              <w:bottom w:val="single" w:sz="4" w:space="0" w:color="auto"/>
              <w:right w:val="single" w:sz="4" w:space="0" w:color="auto"/>
            </w:tcBorders>
            <w:hideMark/>
          </w:tcPr>
          <w:p w:rsidR="00B231CB" w:rsidRDefault="00C71431">
            <w:pPr>
              <w:tabs>
                <w:tab w:val="left" w:pos="720"/>
              </w:tabs>
              <w:spacing w:after="120"/>
              <w:rPr>
                <w:b/>
                <w:noProof/>
                <w:sz w:val="32"/>
                <w:u w:val="single"/>
              </w:rPr>
            </w:pPr>
            <w:r>
              <w:rPr>
                <w:b/>
                <w:noProof/>
              </w:rPr>
              <w:lastRenderedPageBreak/>
              <w:t>The impact ana</w:t>
            </w:r>
            <w:r>
              <w:rPr>
                <w:b/>
                <w:noProof/>
              </w:rPr>
              <w:t>lysis does not show how technical CO</w:t>
            </w:r>
            <w:r>
              <w:rPr>
                <w:b/>
                <w:noProof/>
                <w:vertAlign w:val="subscript"/>
              </w:rPr>
              <w:t>2</w:t>
            </w:r>
            <w:r>
              <w:rPr>
                <w:b/>
                <w:noProof/>
              </w:rPr>
              <w:t xml:space="preserve"> standards increase consumer uptake of low-emission vehicles and make the European car industry more competitive. It does not indicate the cost of the flanking policies underlying the positive outcome.</w:t>
            </w:r>
          </w:p>
        </w:tc>
        <w:tc>
          <w:tcPr>
            <w:tcW w:w="5220" w:type="dxa"/>
            <w:tcBorders>
              <w:top w:val="single" w:sz="4" w:space="0" w:color="auto"/>
              <w:left w:val="single" w:sz="4" w:space="0" w:color="auto"/>
              <w:bottom w:val="single" w:sz="4" w:space="0" w:color="auto"/>
              <w:right w:val="single" w:sz="4" w:space="0" w:color="auto"/>
            </w:tcBorders>
            <w:hideMark/>
          </w:tcPr>
          <w:p w:rsidR="00B231CB" w:rsidRDefault="00C71431">
            <w:pPr>
              <w:tabs>
                <w:tab w:val="left" w:pos="720"/>
              </w:tabs>
              <w:spacing w:after="120"/>
              <w:rPr>
                <w:noProof/>
              </w:rPr>
            </w:pPr>
            <w:r>
              <w:rPr>
                <w:noProof/>
              </w:rPr>
              <w:t>The legislation s</w:t>
            </w:r>
            <w:r>
              <w:rPr>
                <w:noProof/>
              </w:rPr>
              <w:t>etting CO</w:t>
            </w:r>
            <w:r>
              <w:rPr>
                <w:noProof/>
                <w:vertAlign w:val="subscript"/>
              </w:rPr>
              <w:t>2</w:t>
            </w:r>
            <w:r>
              <w:rPr>
                <w:noProof/>
              </w:rPr>
              <w:t xml:space="preserve"> standards is a regulatory measure acting on the supply side, requiring vehicle manufacturers to develop, market and promote more efficient vehicles, including zero- and low- emission vehicles, in order to comply with the standards. Better and mo</w:t>
            </w:r>
            <w:r>
              <w:rPr>
                <w:noProof/>
              </w:rPr>
              <w:t xml:space="preserve">re models offered to consumers will result in a higher market uptake which will in turn drive additional investments in the needed refuelling and recharging infrastructure, for instance at home and in offices. </w:t>
            </w:r>
          </w:p>
          <w:p w:rsidR="00B231CB" w:rsidRDefault="00C71431">
            <w:pPr>
              <w:tabs>
                <w:tab w:val="left" w:pos="720"/>
              </w:tabs>
              <w:spacing w:after="120"/>
              <w:rPr>
                <w:noProof/>
              </w:rPr>
            </w:pPr>
            <w:r>
              <w:rPr>
                <w:noProof/>
              </w:rPr>
              <w:t>In addition, the Alternative Fuel Infrastruct</w:t>
            </w:r>
            <w:r>
              <w:rPr>
                <w:noProof/>
              </w:rPr>
              <w:t xml:space="preserve">ure Plan aims to support the deployment of charging infrastructure along the core TEN-T network by 2025, thereby reducing range anxiety among potential customers. </w:t>
            </w:r>
          </w:p>
          <w:p w:rsidR="00B231CB" w:rsidRDefault="00C71431">
            <w:pPr>
              <w:tabs>
                <w:tab w:val="left" w:pos="720"/>
              </w:tabs>
              <w:spacing w:after="120"/>
              <w:rPr>
                <w:noProof/>
              </w:rPr>
            </w:pPr>
            <w:r>
              <w:rPr>
                <w:noProof/>
              </w:rPr>
              <w:t>Furthermore, CO</w:t>
            </w:r>
            <w:r>
              <w:rPr>
                <w:noProof/>
                <w:vertAlign w:val="subscript"/>
              </w:rPr>
              <w:t>2</w:t>
            </w:r>
            <w:r>
              <w:rPr>
                <w:noProof/>
              </w:rPr>
              <w:t xml:space="preserve"> standards complemented by well-designed incentives for zero- and low-emissi</w:t>
            </w:r>
            <w:r>
              <w:rPr>
                <w:noProof/>
              </w:rPr>
              <w:t>on vehicles provide a clear and long-lasting market signal for the entire automotive value chain, and create certainty for manufacturers. This will create economies of scale lowering the costs of low-emission vehicles, thus further contributing to their ma</w:t>
            </w:r>
            <w:r>
              <w:rPr>
                <w:noProof/>
              </w:rPr>
              <w:t>rket uptake. Lower costs of batteries enable larger capacity batteries to be built into cars, thereby increasing the range and reducing range anxiety among potential customers.  This is described in Section 5.3.1 of the report.</w:t>
            </w:r>
          </w:p>
          <w:p w:rsidR="00B231CB" w:rsidRDefault="00C71431">
            <w:pPr>
              <w:tabs>
                <w:tab w:val="left" w:pos="720"/>
              </w:tabs>
              <w:spacing w:after="120"/>
              <w:rPr>
                <w:noProof/>
              </w:rPr>
            </w:pPr>
            <w:r>
              <w:rPr>
                <w:noProof/>
              </w:rPr>
              <w:t>In terms of the costs of fla</w:t>
            </w:r>
            <w:r>
              <w:rPr>
                <w:noProof/>
              </w:rPr>
              <w:t xml:space="preserve">nking measures, the investments needed for the deployment of the </w:t>
            </w:r>
            <w:r>
              <w:rPr>
                <w:noProof/>
              </w:rPr>
              <w:lastRenderedPageBreak/>
              <w:t>fuelling/charging infrastructure are the most significant ones. The macro-economic analysis presented in Section 6.5.4 of the report takes into account the need for investments to support the</w:t>
            </w:r>
            <w:r>
              <w:rPr>
                <w:noProof/>
              </w:rPr>
              <w:t xml:space="preserve"> roll-out of the necessary infrastructure.</w:t>
            </w:r>
          </w:p>
        </w:tc>
      </w:tr>
      <w:tr w:rsidR="00B231CB">
        <w:tc>
          <w:tcPr>
            <w:tcW w:w="4068" w:type="dxa"/>
            <w:tcBorders>
              <w:top w:val="single" w:sz="4" w:space="0" w:color="auto"/>
              <w:left w:val="single" w:sz="4" w:space="0" w:color="auto"/>
              <w:bottom w:val="single" w:sz="4" w:space="0" w:color="auto"/>
              <w:right w:val="single" w:sz="4" w:space="0" w:color="auto"/>
            </w:tcBorders>
            <w:hideMark/>
          </w:tcPr>
          <w:p w:rsidR="00B231CB" w:rsidRDefault="00C71431">
            <w:pPr>
              <w:tabs>
                <w:tab w:val="left" w:pos="720"/>
              </w:tabs>
              <w:spacing w:after="120"/>
              <w:rPr>
                <w:b/>
                <w:noProof/>
                <w:sz w:val="32"/>
                <w:u w:val="single"/>
              </w:rPr>
            </w:pPr>
            <w:r>
              <w:rPr>
                <w:b/>
                <w:noProof/>
              </w:rPr>
              <w:lastRenderedPageBreak/>
              <w:t>The report does not identify which key trade-offs are genuinely open for political decision.</w:t>
            </w:r>
          </w:p>
        </w:tc>
        <w:tc>
          <w:tcPr>
            <w:tcW w:w="5220" w:type="dxa"/>
            <w:tcBorders>
              <w:top w:val="single" w:sz="4" w:space="0" w:color="auto"/>
              <w:left w:val="single" w:sz="4" w:space="0" w:color="auto"/>
              <w:bottom w:val="single" w:sz="4" w:space="0" w:color="auto"/>
              <w:right w:val="single" w:sz="4" w:space="0" w:color="auto"/>
            </w:tcBorders>
            <w:hideMark/>
          </w:tcPr>
          <w:p w:rsidR="00B231CB" w:rsidRDefault="00C71431">
            <w:pPr>
              <w:pStyle w:val="BodyText"/>
              <w:rPr>
                <w:noProof/>
              </w:rPr>
            </w:pPr>
            <w:r>
              <w:rPr>
                <w:noProof/>
              </w:rPr>
              <w:t xml:space="preserve">Section 7 of the report indicates the preferred option for most of the elements considered. </w:t>
            </w:r>
          </w:p>
          <w:p w:rsidR="00B231CB" w:rsidRDefault="00C71431">
            <w:pPr>
              <w:pStyle w:val="BodyText"/>
              <w:rPr>
                <w:bCs/>
                <w:noProof/>
              </w:rPr>
            </w:pPr>
            <w:r>
              <w:rPr>
                <w:noProof/>
              </w:rPr>
              <w:t>In the case of the CO</w:t>
            </w:r>
            <w:r>
              <w:rPr>
                <w:noProof/>
                <w:vertAlign w:val="subscript"/>
              </w:rPr>
              <w:t>2</w:t>
            </w:r>
            <w:r>
              <w:rPr>
                <w:noProof/>
              </w:rPr>
              <w:t xml:space="preserve"> tar</w:t>
            </w:r>
            <w:r>
              <w:rPr>
                <w:noProof/>
              </w:rPr>
              <w:t>get levels and the ZEV/LEV incentives, the report describes the trade-offs, points to the most cost-effective options and provides the necessary analysis for a political decision to be taken.</w:t>
            </w:r>
          </w:p>
        </w:tc>
      </w:tr>
      <w:tr w:rsidR="00B231CB">
        <w:tc>
          <w:tcPr>
            <w:tcW w:w="4068" w:type="dxa"/>
            <w:tcBorders>
              <w:top w:val="single" w:sz="4" w:space="0" w:color="auto"/>
              <w:left w:val="single" w:sz="4" w:space="0" w:color="auto"/>
              <w:bottom w:val="single" w:sz="4" w:space="0" w:color="auto"/>
              <w:right w:val="single" w:sz="4" w:space="0" w:color="auto"/>
            </w:tcBorders>
            <w:hideMark/>
          </w:tcPr>
          <w:p w:rsidR="00B231CB" w:rsidRDefault="00C71431">
            <w:pPr>
              <w:tabs>
                <w:tab w:val="left" w:pos="720"/>
              </w:tabs>
              <w:spacing w:after="120"/>
              <w:rPr>
                <w:b/>
                <w:noProof/>
                <w:sz w:val="32"/>
                <w:u w:val="single"/>
              </w:rPr>
            </w:pPr>
            <w:r>
              <w:rPr>
                <w:b/>
                <w:noProof/>
              </w:rPr>
              <w:t>The report does not assess the regulatory burden and the potent</w:t>
            </w:r>
            <w:r>
              <w:rPr>
                <w:b/>
                <w:noProof/>
              </w:rPr>
              <w:t>ial for simplification</w:t>
            </w:r>
          </w:p>
        </w:tc>
        <w:tc>
          <w:tcPr>
            <w:tcW w:w="5220" w:type="dxa"/>
            <w:tcBorders>
              <w:top w:val="single" w:sz="4" w:space="0" w:color="auto"/>
              <w:left w:val="single" w:sz="4" w:space="0" w:color="auto"/>
              <w:bottom w:val="single" w:sz="4" w:space="0" w:color="auto"/>
              <w:right w:val="single" w:sz="4" w:space="0" w:color="auto"/>
            </w:tcBorders>
            <w:hideMark/>
          </w:tcPr>
          <w:p w:rsidR="00B231CB" w:rsidRDefault="00C71431">
            <w:pPr>
              <w:spacing w:after="120"/>
              <w:rPr>
                <w:noProof/>
              </w:rPr>
            </w:pPr>
            <w:r>
              <w:rPr>
                <w:noProof/>
              </w:rPr>
              <w:t xml:space="preserve">Overall, most of the policy options considered are not expected to significantly alter the administrative costs compared to the current Regulations. </w:t>
            </w:r>
          </w:p>
          <w:p w:rsidR="00B231CB" w:rsidRDefault="00C71431">
            <w:pPr>
              <w:spacing w:after="120"/>
              <w:rPr>
                <w:noProof/>
              </w:rPr>
            </w:pPr>
            <w:r>
              <w:rPr>
                <w:noProof/>
              </w:rPr>
              <w:t xml:space="preserve">The ZEV/LEV incentives mechanisms considered would not create additional </w:t>
            </w:r>
            <w:r>
              <w:rPr>
                <w:noProof/>
              </w:rPr>
              <w:t>administrative burden. The deletion of the derogation for niche manufacturers will reduce administrative burden.</w:t>
            </w:r>
          </w:p>
          <w:p w:rsidR="00B231CB" w:rsidRDefault="00C71431">
            <w:pPr>
              <w:tabs>
                <w:tab w:val="left" w:pos="720"/>
              </w:tabs>
              <w:spacing w:after="120"/>
              <w:rPr>
                <w:noProof/>
              </w:rPr>
            </w:pPr>
            <w:r>
              <w:rPr>
                <w:noProof/>
              </w:rPr>
              <w:t>No changes in the compliance regime and in the level of fines are foreseen. The impacts of the options related to governance will depend on the</w:t>
            </w:r>
            <w:r>
              <w:rPr>
                <w:noProof/>
              </w:rPr>
              <w:t xml:space="preserve"> concrete implementing measures.</w:t>
            </w:r>
          </w:p>
          <w:p w:rsidR="00B231CB" w:rsidRDefault="00C71431">
            <w:pPr>
              <w:tabs>
                <w:tab w:val="left" w:pos="720"/>
              </w:tabs>
              <w:spacing w:after="120"/>
              <w:rPr>
                <w:noProof/>
              </w:rPr>
            </w:pPr>
            <w:r>
              <w:rPr>
                <w:noProof/>
              </w:rPr>
              <w:t>Information on the expected impacts in terms of administrative burden has been added in different parts of Section 6.</w:t>
            </w:r>
          </w:p>
        </w:tc>
      </w:tr>
    </w:tbl>
    <w:p w:rsidR="00B231CB" w:rsidRDefault="00B231CB">
      <w:pPr>
        <w:spacing w:after="120"/>
        <w:rPr>
          <w:noProof/>
          <w:sz w:val="28"/>
          <w:highlight w:val="yellow"/>
        </w:rPr>
      </w:pPr>
    </w:p>
    <w:tbl>
      <w:tblPr>
        <w:tblStyle w:val="TableGrid"/>
        <w:tblW w:w="0" w:type="auto"/>
        <w:tblLook w:val="04A0" w:firstRow="1" w:lastRow="0" w:firstColumn="1" w:lastColumn="0" w:noHBand="0" w:noVBand="1"/>
      </w:tblPr>
      <w:tblGrid>
        <w:gridCol w:w="4068"/>
        <w:gridCol w:w="5220"/>
      </w:tblGrid>
      <w:tr w:rsidR="00B231CB">
        <w:tc>
          <w:tcPr>
            <w:tcW w:w="4068" w:type="dxa"/>
            <w:tcBorders>
              <w:top w:val="single" w:sz="4" w:space="0" w:color="auto"/>
              <w:left w:val="single" w:sz="4" w:space="0" w:color="auto"/>
              <w:bottom w:val="single" w:sz="4" w:space="0" w:color="auto"/>
              <w:right w:val="single" w:sz="4" w:space="0" w:color="auto"/>
            </w:tcBorders>
            <w:hideMark/>
          </w:tcPr>
          <w:p w:rsidR="00B231CB" w:rsidRDefault="00C71431">
            <w:pPr>
              <w:spacing w:after="120"/>
              <w:rPr>
                <w:b/>
                <w:noProof/>
                <w:u w:val="single"/>
              </w:rPr>
            </w:pPr>
            <w:r>
              <w:rPr>
                <w:b/>
                <w:noProof/>
                <w:u w:val="single"/>
              </w:rPr>
              <w:t xml:space="preserve">Further RSB considerations and adjustment requirements </w:t>
            </w:r>
          </w:p>
        </w:tc>
        <w:tc>
          <w:tcPr>
            <w:tcW w:w="5220" w:type="dxa"/>
            <w:tcBorders>
              <w:top w:val="single" w:sz="4" w:space="0" w:color="auto"/>
              <w:left w:val="single" w:sz="4" w:space="0" w:color="auto"/>
              <w:bottom w:val="single" w:sz="4" w:space="0" w:color="auto"/>
              <w:right w:val="single" w:sz="4" w:space="0" w:color="auto"/>
            </w:tcBorders>
            <w:hideMark/>
          </w:tcPr>
          <w:p w:rsidR="00B231CB" w:rsidRDefault="00C71431">
            <w:pPr>
              <w:tabs>
                <w:tab w:val="left" w:pos="720"/>
              </w:tabs>
              <w:spacing w:after="120"/>
              <w:rPr>
                <w:b/>
                <w:noProof/>
                <w:u w:val="single"/>
              </w:rPr>
            </w:pPr>
            <w:r>
              <w:rPr>
                <w:b/>
                <w:noProof/>
                <w:u w:val="single"/>
              </w:rPr>
              <w:t>Response</w:t>
            </w:r>
          </w:p>
        </w:tc>
      </w:tr>
      <w:tr w:rsidR="00B231CB">
        <w:tc>
          <w:tcPr>
            <w:tcW w:w="4068" w:type="dxa"/>
            <w:tcBorders>
              <w:top w:val="single" w:sz="4" w:space="0" w:color="auto"/>
              <w:left w:val="single" w:sz="4" w:space="0" w:color="auto"/>
              <w:bottom w:val="single" w:sz="4" w:space="0" w:color="auto"/>
              <w:right w:val="single" w:sz="4" w:space="0" w:color="auto"/>
            </w:tcBorders>
            <w:hideMark/>
          </w:tcPr>
          <w:p w:rsidR="00B231CB" w:rsidRDefault="00C71431">
            <w:pPr>
              <w:tabs>
                <w:tab w:val="left" w:pos="720"/>
              </w:tabs>
              <w:spacing w:after="120"/>
              <w:rPr>
                <w:b/>
                <w:noProof/>
              </w:rPr>
            </w:pPr>
            <w:r>
              <w:rPr>
                <w:noProof/>
              </w:rPr>
              <w:t xml:space="preserve">The narrative on the links between </w:t>
            </w:r>
            <w:r>
              <w:rPr>
                <w:noProof/>
              </w:rPr>
              <w:t>this initiative and competitiveness of the EU automotive industry should be developed substantially. The report should expand on how the initiative to accelerate change in car technologies relates to support for public transport to reduce emissions. It sho</w:t>
            </w:r>
            <w:r>
              <w:rPr>
                <w:noProof/>
              </w:rPr>
              <w:t>uld indicate how important policy initiatives like the Alternative Fuels Infrastructure Directive and the EU battery alliance are for the effectiveness of standard setting.</w:t>
            </w:r>
          </w:p>
        </w:tc>
        <w:tc>
          <w:tcPr>
            <w:tcW w:w="5220" w:type="dxa"/>
            <w:tcBorders>
              <w:top w:val="single" w:sz="4" w:space="0" w:color="auto"/>
              <w:left w:val="single" w:sz="4" w:space="0" w:color="auto"/>
              <w:bottom w:val="single" w:sz="4" w:space="0" w:color="auto"/>
              <w:right w:val="single" w:sz="4" w:space="0" w:color="auto"/>
            </w:tcBorders>
            <w:hideMark/>
          </w:tcPr>
          <w:p w:rsidR="00B231CB" w:rsidRDefault="00C71431">
            <w:pPr>
              <w:pStyle w:val="BodyText"/>
              <w:rPr>
                <w:noProof/>
              </w:rPr>
            </w:pPr>
            <w:r>
              <w:rPr>
                <w:noProof/>
              </w:rPr>
              <w:t xml:space="preserve">The links between this initiative and competitiveness of EU automotive value chain </w:t>
            </w:r>
            <w:r>
              <w:rPr>
                <w:noProof/>
              </w:rPr>
              <w:t>are described in Sections 2.1 and 4.</w:t>
            </w:r>
          </w:p>
          <w:p w:rsidR="00B231CB" w:rsidRDefault="00C71431">
            <w:pPr>
              <w:pStyle w:val="BodyText"/>
              <w:rPr>
                <w:noProof/>
              </w:rPr>
            </w:pPr>
            <w:r>
              <w:rPr>
                <w:noProof/>
              </w:rPr>
              <w:t>This initiative is part of the second 2017 Mobility Package which includes different flanking measures, in particular the EU Action Plan regarding Alternative Fuel Infrastructure, the revision of the Clean Vehicle Direc</w:t>
            </w:r>
            <w:r>
              <w:rPr>
                <w:noProof/>
              </w:rPr>
              <w:t>tive and a dedicated initiative on batteries. The combination of regulatory (CO</w:t>
            </w:r>
            <w:r>
              <w:rPr>
                <w:noProof/>
                <w:vertAlign w:val="subscript"/>
              </w:rPr>
              <w:t>2</w:t>
            </w:r>
            <w:r>
              <w:rPr>
                <w:noProof/>
              </w:rPr>
              <w:t xml:space="preserve"> standards, Clean Vehicles Directive), financing (infrastructure) and industrial (batteries) measures provides a mutually reinforcing approach on the demand and supply side to </w:t>
            </w:r>
            <w:r>
              <w:rPr>
                <w:noProof/>
              </w:rPr>
              <w:t xml:space="preserve">address the identified problems.  This is </w:t>
            </w:r>
            <w:r>
              <w:rPr>
                <w:noProof/>
              </w:rPr>
              <w:lastRenderedPageBreak/>
              <w:t>described in Section 1.1 of the report.</w:t>
            </w:r>
          </w:p>
        </w:tc>
      </w:tr>
      <w:tr w:rsidR="00B231CB">
        <w:tc>
          <w:tcPr>
            <w:tcW w:w="4068" w:type="dxa"/>
            <w:tcBorders>
              <w:top w:val="single" w:sz="4" w:space="0" w:color="auto"/>
              <w:left w:val="single" w:sz="4" w:space="0" w:color="auto"/>
              <w:bottom w:val="single" w:sz="4" w:space="0" w:color="auto"/>
              <w:right w:val="single" w:sz="4" w:space="0" w:color="auto"/>
            </w:tcBorders>
            <w:hideMark/>
          </w:tcPr>
          <w:p w:rsidR="00B231CB" w:rsidRDefault="00C71431">
            <w:pPr>
              <w:tabs>
                <w:tab w:val="left" w:pos="720"/>
              </w:tabs>
              <w:spacing w:after="120"/>
              <w:rPr>
                <w:b/>
                <w:noProof/>
                <w:u w:val="single"/>
              </w:rPr>
            </w:pPr>
            <w:r>
              <w:rPr>
                <w:noProof/>
              </w:rPr>
              <w:lastRenderedPageBreak/>
              <w:t>The report should detail what elements would help promote consumer uptake. It should also clarify what elements would trigger greater demand for low-emission vehicles, leadi</w:t>
            </w:r>
            <w:r>
              <w:rPr>
                <w:noProof/>
              </w:rPr>
              <w:t>ng to scale economies in production. The report should make clear which assumptions are responsible for the respective modelling outcomes.</w:t>
            </w:r>
          </w:p>
        </w:tc>
        <w:tc>
          <w:tcPr>
            <w:tcW w:w="5220" w:type="dxa"/>
            <w:tcBorders>
              <w:top w:val="single" w:sz="4" w:space="0" w:color="auto"/>
              <w:left w:val="single" w:sz="4" w:space="0" w:color="auto"/>
              <w:bottom w:val="single" w:sz="4" w:space="0" w:color="auto"/>
              <w:right w:val="single" w:sz="4" w:space="0" w:color="auto"/>
            </w:tcBorders>
            <w:hideMark/>
          </w:tcPr>
          <w:p w:rsidR="00B231CB" w:rsidRDefault="00C71431">
            <w:pPr>
              <w:tabs>
                <w:tab w:val="left" w:pos="720"/>
              </w:tabs>
              <w:spacing w:after="120"/>
              <w:rPr>
                <w:noProof/>
              </w:rPr>
            </w:pPr>
            <w:r>
              <w:rPr>
                <w:noProof/>
              </w:rPr>
              <w:t>As explained above, consumer uptake will be stimulated as a result of an appropriate combination of CO</w:t>
            </w:r>
            <w:r>
              <w:rPr>
                <w:noProof/>
                <w:vertAlign w:val="subscript"/>
              </w:rPr>
              <w:t>2</w:t>
            </w:r>
            <w:r>
              <w:rPr>
                <w:noProof/>
              </w:rPr>
              <w:t xml:space="preserve"> standards, LE</w:t>
            </w:r>
            <w:r>
              <w:rPr>
                <w:noProof/>
              </w:rPr>
              <w:t>V/ZEV incentives and demand-side measures, leading to economies of scale, a better market offer and the removal of currently existing market barriers.</w:t>
            </w:r>
          </w:p>
          <w:p w:rsidR="00B231CB" w:rsidRDefault="00C71431">
            <w:pPr>
              <w:tabs>
                <w:tab w:val="left" w:pos="720"/>
              </w:tabs>
              <w:spacing w:after="120"/>
              <w:rPr>
                <w:noProof/>
              </w:rPr>
            </w:pPr>
            <w:r>
              <w:rPr>
                <w:noProof/>
              </w:rPr>
              <w:t xml:space="preserve">Further information on the modelling approach and assumptions has been added in Annex 4, where reference </w:t>
            </w:r>
            <w:r>
              <w:rPr>
                <w:noProof/>
              </w:rPr>
              <w:t>is made to more detailed descriptions which can be found in public literature.</w:t>
            </w:r>
          </w:p>
        </w:tc>
      </w:tr>
      <w:tr w:rsidR="00B231CB">
        <w:tc>
          <w:tcPr>
            <w:tcW w:w="4068" w:type="dxa"/>
            <w:tcBorders>
              <w:top w:val="single" w:sz="4" w:space="0" w:color="auto"/>
              <w:left w:val="single" w:sz="4" w:space="0" w:color="auto"/>
              <w:bottom w:val="single" w:sz="4" w:space="0" w:color="auto"/>
              <w:right w:val="single" w:sz="4" w:space="0" w:color="auto"/>
            </w:tcBorders>
            <w:hideMark/>
          </w:tcPr>
          <w:p w:rsidR="00B231CB" w:rsidRDefault="00C71431">
            <w:pPr>
              <w:tabs>
                <w:tab w:val="left" w:pos="720"/>
              </w:tabs>
              <w:spacing w:after="120"/>
              <w:rPr>
                <w:b/>
                <w:noProof/>
                <w:u w:val="single"/>
              </w:rPr>
            </w:pPr>
            <w:r>
              <w:rPr>
                <w:noProof/>
              </w:rPr>
              <w:t xml:space="preserve">The impact assessment should make clear what has to complement the setting of emission standards to turn technological leadership into job and export opportunities for Europe, </w:t>
            </w:r>
            <w:r>
              <w:rPr>
                <w:noProof/>
              </w:rPr>
              <w:t>and what this would cost. It should also consider the risks that these complementary measures are not realised, and how the Commission will take this into account.</w:t>
            </w:r>
          </w:p>
        </w:tc>
        <w:tc>
          <w:tcPr>
            <w:tcW w:w="5220" w:type="dxa"/>
            <w:tcBorders>
              <w:top w:val="single" w:sz="4" w:space="0" w:color="auto"/>
              <w:left w:val="single" w:sz="4" w:space="0" w:color="auto"/>
              <w:bottom w:val="single" w:sz="4" w:space="0" w:color="auto"/>
              <w:right w:val="single" w:sz="4" w:space="0" w:color="auto"/>
            </w:tcBorders>
            <w:hideMark/>
          </w:tcPr>
          <w:p w:rsidR="00B231CB" w:rsidRDefault="00C71431">
            <w:pPr>
              <w:tabs>
                <w:tab w:val="left" w:pos="720"/>
              </w:tabs>
              <w:spacing w:after="120"/>
              <w:rPr>
                <w:noProof/>
              </w:rPr>
            </w:pPr>
            <w:r>
              <w:rPr>
                <w:noProof/>
              </w:rPr>
              <w:t xml:space="preserve">The Commission will review the effectiveness of the legislation, including in terms of the competitiveness impacts. A mid-term review is foreseen, which will allow taking into account </w:t>
            </w:r>
            <w:r>
              <w:rPr>
                <w:i/>
                <w:noProof/>
              </w:rPr>
              <w:t>i.a.</w:t>
            </w:r>
            <w:r>
              <w:rPr>
                <w:noProof/>
              </w:rPr>
              <w:t xml:space="preserve"> the uptake of zero- and low-emissions vehicles, the evolution of te</w:t>
            </w:r>
            <w:r>
              <w:rPr>
                <w:noProof/>
              </w:rPr>
              <w:t>chnology costs and the progress made in establishing the necessary recharging infrastructure.</w:t>
            </w:r>
          </w:p>
        </w:tc>
      </w:tr>
      <w:tr w:rsidR="00B231CB">
        <w:tc>
          <w:tcPr>
            <w:tcW w:w="4068" w:type="dxa"/>
            <w:tcBorders>
              <w:top w:val="single" w:sz="4" w:space="0" w:color="auto"/>
              <w:left w:val="single" w:sz="4" w:space="0" w:color="auto"/>
              <w:bottom w:val="single" w:sz="4" w:space="0" w:color="auto"/>
              <w:right w:val="single" w:sz="4" w:space="0" w:color="auto"/>
            </w:tcBorders>
            <w:hideMark/>
          </w:tcPr>
          <w:p w:rsidR="00B231CB" w:rsidRDefault="00C71431">
            <w:pPr>
              <w:tabs>
                <w:tab w:val="left" w:pos="720"/>
              </w:tabs>
              <w:spacing w:after="120"/>
              <w:rPr>
                <w:b/>
                <w:noProof/>
                <w:u w:val="single"/>
              </w:rPr>
            </w:pPr>
            <w:r>
              <w:rPr>
                <w:noProof/>
              </w:rPr>
              <w:t>The report should clearly present the trade-offs between CO</w:t>
            </w:r>
            <w:r>
              <w:rPr>
                <w:noProof/>
                <w:vertAlign w:val="subscript"/>
              </w:rPr>
              <w:t>2</w:t>
            </w:r>
            <w:r>
              <w:rPr>
                <w:noProof/>
              </w:rPr>
              <w:t xml:space="preserve"> targets (environmental benefits), impacts on consumers, public finances and impacts on the competiti</w:t>
            </w:r>
            <w:r>
              <w:rPr>
                <w:noProof/>
              </w:rPr>
              <w:t>veness of the EU car producers.</w:t>
            </w:r>
          </w:p>
        </w:tc>
        <w:tc>
          <w:tcPr>
            <w:tcW w:w="5220" w:type="dxa"/>
            <w:tcBorders>
              <w:top w:val="single" w:sz="4" w:space="0" w:color="auto"/>
              <w:left w:val="single" w:sz="4" w:space="0" w:color="auto"/>
              <w:bottom w:val="single" w:sz="4" w:space="0" w:color="auto"/>
              <w:right w:val="single" w:sz="4" w:space="0" w:color="auto"/>
            </w:tcBorders>
            <w:hideMark/>
          </w:tcPr>
          <w:p w:rsidR="00B231CB" w:rsidRDefault="00C71431">
            <w:pPr>
              <w:tabs>
                <w:tab w:val="left" w:pos="720"/>
              </w:tabs>
              <w:spacing w:after="120"/>
              <w:rPr>
                <w:noProof/>
              </w:rPr>
            </w:pPr>
            <w:r>
              <w:rPr>
                <w:noProof/>
              </w:rPr>
              <w:t>Section 6 of the report shows the detailed impacts of the options considered in terms of CO</w:t>
            </w:r>
            <w:r>
              <w:rPr>
                <w:noProof/>
                <w:vertAlign w:val="subscript"/>
              </w:rPr>
              <w:t>2</w:t>
            </w:r>
            <w:r>
              <w:rPr>
                <w:noProof/>
              </w:rPr>
              <w:t xml:space="preserve"> emission reduction, the costs for manufacturers, and the savings from a societal perspective and for first and second end-users.</w:t>
            </w:r>
          </w:p>
          <w:p w:rsidR="00B231CB" w:rsidRDefault="00C71431">
            <w:pPr>
              <w:tabs>
                <w:tab w:val="left" w:pos="720"/>
              </w:tabs>
              <w:spacing w:after="120"/>
              <w:rPr>
                <w:noProof/>
              </w:rPr>
            </w:pPr>
            <w:r>
              <w:rPr>
                <w:noProof/>
              </w:rPr>
              <w:t>As</w:t>
            </w:r>
            <w:r>
              <w:rPr>
                <w:noProof/>
              </w:rPr>
              <w:t xml:space="preserve"> regards public finances, the macro-economic assessment assumes revenue neutrality. Additional information on the impact on public finance has been added in Section 6.</w:t>
            </w:r>
          </w:p>
        </w:tc>
      </w:tr>
    </w:tbl>
    <w:p w:rsidR="00B231CB" w:rsidRDefault="00C71431">
      <w:pPr>
        <w:pStyle w:val="Heading2"/>
        <w:rPr>
          <w:noProof/>
        </w:rPr>
      </w:pPr>
      <w:bookmarkStart w:id="11" w:name="_Toc496688605"/>
      <w:r>
        <w:rPr>
          <w:noProof/>
        </w:rPr>
        <w:t>Evidence</w:t>
      </w:r>
      <w:bookmarkEnd w:id="10"/>
      <w:bookmarkEnd w:id="11"/>
    </w:p>
    <w:p w:rsidR="00B231CB" w:rsidRDefault="00C71431">
      <w:pPr>
        <w:pStyle w:val="ListParagraph"/>
        <w:spacing w:before="120" w:after="120"/>
        <w:ind w:left="0"/>
        <w:contextualSpacing w:val="0"/>
        <w:rPr>
          <w:noProof/>
        </w:rPr>
      </w:pPr>
      <w:r>
        <w:rPr>
          <w:noProof/>
        </w:rPr>
        <w:t>The Impact Assessment draws on evidence from the evaluation of Regulations 443</w:t>
      </w:r>
      <w:r>
        <w:rPr>
          <w:noProof/>
        </w:rPr>
        <w:t>/2009 and 510/2011 on CO</w:t>
      </w:r>
      <w:r>
        <w:rPr>
          <w:noProof/>
          <w:vertAlign w:val="subscript"/>
        </w:rPr>
        <w:t>2</w:t>
      </w:r>
      <w:r>
        <w:rPr>
          <w:noProof/>
        </w:rPr>
        <w:t xml:space="preserve"> emissions from light-duty vehicles</w:t>
      </w:r>
      <w:r>
        <w:rPr>
          <w:rStyle w:val="FootnoteReference"/>
          <w:noProof/>
        </w:rPr>
        <w:footnoteReference w:id="1"/>
      </w:r>
      <w:r>
        <w:rPr>
          <w:noProof/>
        </w:rPr>
        <w:t>. The evaluation study provided a comprehensive assessment and concluded that the Regulations were overall effective, efficient and still relevant.</w:t>
      </w:r>
    </w:p>
    <w:p w:rsidR="00B231CB" w:rsidRDefault="00C71431">
      <w:pPr>
        <w:pStyle w:val="ListParagraph"/>
        <w:spacing w:before="120" w:after="120"/>
        <w:ind w:left="0"/>
        <w:contextualSpacing w:val="0"/>
        <w:rPr>
          <w:noProof/>
        </w:rPr>
      </w:pPr>
      <w:r>
        <w:rPr>
          <w:noProof/>
        </w:rPr>
        <w:t>For the quantitative assessment of the economic</w:t>
      </w:r>
      <w:r>
        <w:rPr>
          <w:noProof/>
        </w:rPr>
        <w:t>, social and environmental impacts, the Impact Assessment report builds on a range of scenarios developed for the PRIMES-TREMOVE model by ICCS-E3MLab. This analysis was complemented by applying other modelling tools, such as GEM-E3 and E3ME (for the macro-</w:t>
      </w:r>
      <w:r>
        <w:rPr>
          <w:noProof/>
        </w:rPr>
        <w:t xml:space="preserve">economic impacts) and the JRC DIONE model developed for assessing impacts at manufacturer (category) level (see Annex 4 for more details on the models used and other methodological considerations). </w:t>
      </w:r>
    </w:p>
    <w:p w:rsidR="00B231CB" w:rsidRDefault="00C71431">
      <w:pPr>
        <w:pStyle w:val="ListParagraph"/>
        <w:spacing w:before="120" w:after="120"/>
        <w:ind w:left="0"/>
        <w:contextualSpacing w:val="0"/>
        <w:rPr>
          <w:noProof/>
        </w:rPr>
      </w:pPr>
      <w:r>
        <w:rPr>
          <w:noProof/>
        </w:rPr>
        <w:lastRenderedPageBreak/>
        <w:t>Monitoring data on greenhouse gas emissions and other cha</w:t>
      </w:r>
      <w:r>
        <w:rPr>
          <w:noProof/>
        </w:rPr>
        <w:t>racteristics of the new light-duty vehicle fleet was sourced from the annual monitoring data as reported by Member States and collected by the European Environment Agency (EEA) under Regulations 443/2009 and 510/2011 on CO</w:t>
      </w:r>
      <w:r>
        <w:rPr>
          <w:noProof/>
          <w:vertAlign w:val="subscript"/>
        </w:rPr>
        <w:t>2</w:t>
      </w:r>
      <w:r>
        <w:rPr>
          <w:noProof/>
        </w:rPr>
        <w:t xml:space="preserve"> emissions from light-duty vehicl</w:t>
      </w:r>
      <w:r>
        <w:rPr>
          <w:noProof/>
        </w:rPr>
        <w:t>es</w:t>
      </w:r>
      <w:r>
        <w:rPr>
          <w:rStyle w:val="FootnoteReference"/>
          <w:noProof/>
        </w:rPr>
        <w:footnoteReference w:id="2"/>
      </w:r>
      <w:r>
        <w:rPr>
          <w:noProof/>
        </w:rPr>
        <w:t>.</w:t>
      </w:r>
    </w:p>
    <w:p w:rsidR="00B231CB" w:rsidRDefault="00C71431">
      <w:pPr>
        <w:pStyle w:val="Heading2"/>
        <w:rPr>
          <w:noProof/>
        </w:rPr>
      </w:pPr>
      <w:bookmarkStart w:id="12" w:name="_Toc494106026"/>
      <w:bookmarkStart w:id="13" w:name="_Toc494106500"/>
      <w:bookmarkStart w:id="14" w:name="_Toc476144665"/>
      <w:bookmarkStart w:id="15" w:name="_Toc496688606"/>
      <w:bookmarkEnd w:id="12"/>
      <w:bookmarkEnd w:id="13"/>
      <w:r>
        <w:rPr>
          <w:noProof/>
        </w:rPr>
        <w:t>External expertise</w:t>
      </w:r>
      <w:bookmarkEnd w:id="14"/>
      <w:bookmarkEnd w:id="15"/>
    </w:p>
    <w:p w:rsidR="00B231CB" w:rsidRDefault="00C71431">
      <w:pPr>
        <w:pStyle w:val="ListParagraph"/>
        <w:spacing w:before="120" w:after="120"/>
        <w:ind w:left="0"/>
        <w:contextualSpacing w:val="0"/>
        <w:rPr>
          <w:noProof/>
        </w:rPr>
      </w:pPr>
      <w:r>
        <w:rPr>
          <w:noProof/>
        </w:rPr>
        <w:t>Further information was gathered through several support studies commissioned from external contractors, in particular addressing the following issues:</w:t>
      </w:r>
    </w:p>
    <w:p w:rsidR="00B231CB" w:rsidRDefault="00C71431">
      <w:pPr>
        <w:pStyle w:val="ListParagraph"/>
        <w:numPr>
          <w:ilvl w:val="0"/>
          <w:numId w:val="1"/>
        </w:numPr>
        <w:spacing w:before="120" w:after="120"/>
        <w:contextualSpacing w:val="0"/>
        <w:rPr>
          <w:noProof/>
        </w:rPr>
      </w:pPr>
      <w:r>
        <w:rPr>
          <w:noProof/>
        </w:rPr>
        <w:t>the available technologies that can be deployed in the relevant time period to r</w:t>
      </w:r>
      <w:r>
        <w:rPr>
          <w:noProof/>
        </w:rPr>
        <w:t>educe new LDV CO</w:t>
      </w:r>
      <w:r>
        <w:rPr>
          <w:noProof/>
          <w:vertAlign w:val="subscript"/>
        </w:rPr>
        <w:t>2</w:t>
      </w:r>
      <w:r>
        <w:rPr>
          <w:noProof/>
        </w:rPr>
        <w:t xml:space="preserve"> emissions, as well as their effectiveness and cost; </w:t>
      </w:r>
    </w:p>
    <w:p w:rsidR="00B231CB" w:rsidRDefault="00C71431">
      <w:pPr>
        <w:pStyle w:val="ListParagraph"/>
        <w:numPr>
          <w:ilvl w:val="0"/>
          <w:numId w:val="1"/>
        </w:numPr>
        <w:spacing w:before="120" w:after="120"/>
        <w:contextualSpacing w:val="0"/>
        <w:rPr>
          <w:noProof/>
        </w:rPr>
      </w:pPr>
      <w:r>
        <w:rPr>
          <w:noProof/>
        </w:rPr>
        <w:t>elements potentially impacting industrial competitiveness and employment;</w:t>
      </w:r>
    </w:p>
    <w:p w:rsidR="00B231CB" w:rsidRDefault="00C71431">
      <w:pPr>
        <w:pStyle w:val="ListParagraph"/>
        <w:numPr>
          <w:ilvl w:val="0"/>
          <w:numId w:val="1"/>
        </w:numPr>
        <w:spacing w:before="120" w:after="120"/>
        <w:contextualSpacing w:val="0"/>
        <w:rPr>
          <w:noProof/>
        </w:rPr>
      </w:pPr>
      <w:r>
        <w:rPr>
          <w:noProof/>
        </w:rPr>
        <w:t>growing gap between test and real driving emissions and the factors contributing to this;</w:t>
      </w:r>
    </w:p>
    <w:p w:rsidR="00B231CB" w:rsidRDefault="00C71431">
      <w:pPr>
        <w:pStyle w:val="ListParagraph"/>
        <w:numPr>
          <w:ilvl w:val="0"/>
          <w:numId w:val="1"/>
        </w:numPr>
        <w:spacing w:before="120" w:after="120"/>
        <w:contextualSpacing w:val="0"/>
        <w:rPr>
          <w:noProof/>
        </w:rPr>
      </w:pPr>
      <w:r>
        <w:rPr>
          <w:noProof/>
        </w:rPr>
        <w:t>the impact of differe</w:t>
      </w:r>
      <w:r>
        <w:rPr>
          <w:noProof/>
        </w:rPr>
        <w:t>nt regulatory approaches, regulatory metrics and possible design elements (modalities);</w:t>
      </w:r>
    </w:p>
    <w:p w:rsidR="00B231CB" w:rsidRDefault="00C71431">
      <w:pPr>
        <w:pStyle w:val="ListParagraph"/>
        <w:numPr>
          <w:ilvl w:val="0"/>
          <w:numId w:val="1"/>
        </w:numPr>
        <w:spacing w:before="120" w:after="120"/>
        <w:contextualSpacing w:val="0"/>
        <w:rPr>
          <w:noProof/>
        </w:rPr>
      </w:pPr>
      <w:r>
        <w:rPr>
          <w:noProof/>
        </w:rPr>
        <w:t>impacts on GHG and pollutant emissions.</w:t>
      </w:r>
    </w:p>
    <w:p w:rsidR="00B231CB" w:rsidRDefault="00C71431">
      <w:pPr>
        <w:pStyle w:val="ListParagraph"/>
        <w:spacing w:before="120" w:after="120"/>
        <w:ind w:left="0"/>
        <w:contextualSpacing w:val="0"/>
        <w:rPr>
          <w:noProof/>
        </w:rPr>
      </w:pPr>
      <w:r>
        <w:rPr>
          <w:noProof/>
        </w:rPr>
        <w:t>These studies were mainly run between 2014 and 2017 and the main ones are listed below:</w:t>
      </w:r>
    </w:p>
    <w:p w:rsidR="00B231CB" w:rsidRDefault="00C71431">
      <w:pPr>
        <w:numPr>
          <w:ilvl w:val="0"/>
          <w:numId w:val="2"/>
        </w:numPr>
        <w:spacing w:before="60" w:after="60"/>
        <w:rPr>
          <w:noProof/>
        </w:rPr>
      </w:pPr>
      <w:r>
        <w:rPr>
          <w:noProof/>
        </w:rPr>
        <w:t xml:space="preserve">Data gathering and analysis to assess </w:t>
      </w:r>
      <w:r>
        <w:rPr>
          <w:noProof/>
        </w:rPr>
        <w:t>the impact of mileage on the cost effectiveness of the LDV CO</w:t>
      </w:r>
      <w:r>
        <w:rPr>
          <w:noProof/>
          <w:vertAlign w:val="subscript"/>
        </w:rPr>
        <w:t>2</w:t>
      </w:r>
      <w:r>
        <w:rPr>
          <w:noProof/>
        </w:rPr>
        <w:t xml:space="preserve"> Regulations</w:t>
      </w:r>
    </w:p>
    <w:p w:rsidR="00B231CB" w:rsidRDefault="00C71431">
      <w:pPr>
        <w:numPr>
          <w:ilvl w:val="0"/>
          <w:numId w:val="2"/>
        </w:numPr>
        <w:spacing w:before="60" w:after="60"/>
        <w:rPr>
          <w:noProof/>
        </w:rPr>
      </w:pPr>
      <w:r>
        <w:rPr>
          <w:noProof/>
        </w:rPr>
        <w:t>Improvements to the definition of lifetime mileage of light duty vehicles</w:t>
      </w:r>
    </w:p>
    <w:p w:rsidR="00B231CB" w:rsidRDefault="00C71431">
      <w:pPr>
        <w:numPr>
          <w:ilvl w:val="0"/>
          <w:numId w:val="2"/>
        </w:numPr>
        <w:spacing w:before="60" w:after="60"/>
        <w:rPr>
          <w:noProof/>
        </w:rPr>
      </w:pPr>
      <w:r>
        <w:rPr>
          <w:noProof/>
        </w:rPr>
        <w:t>Improving understanding of technology and costs for CO</w:t>
      </w:r>
      <w:r>
        <w:rPr>
          <w:noProof/>
          <w:vertAlign w:val="subscript"/>
        </w:rPr>
        <w:t>2</w:t>
      </w:r>
      <w:r>
        <w:rPr>
          <w:noProof/>
        </w:rPr>
        <w:t xml:space="preserve"> reductions from cars and LCVs in the period to 2030</w:t>
      </w:r>
      <w:r>
        <w:rPr>
          <w:noProof/>
        </w:rPr>
        <w:t xml:space="preserve"> and development of cost curves [to be published]</w:t>
      </w:r>
    </w:p>
    <w:p w:rsidR="00B231CB" w:rsidRDefault="00C71431">
      <w:pPr>
        <w:numPr>
          <w:ilvl w:val="0"/>
          <w:numId w:val="2"/>
        </w:numPr>
        <w:spacing w:before="60" w:after="60"/>
        <w:rPr>
          <w:noProof/>
        </w:rPr>
      </w:pPr>
      <w:r>
        <w:rPr>
          <w:noProof/>
        </w:rPr>
        <w:t>Review of in-use factors affecting the fuel consumption and CO</w:t>
      </w:r>
      <w:r>
        <w:rPr>
          <w:noProof/>
          <w:vertAlign w:val="subscript"/>
        </w:rPr>
        <w:t>2</w:t>
      </w:r>
      <w:r>
        <w:rPr>
          <w:noProof/>
        </w:rPr>
        <w:t xml:space="preserve"> emissions of passenger cars</w:t>
      </w:r>
    </w:p>
    <w:p w:rsidR="00B231CB" w:rsidRDefault="00C71431">
      <w:pPr>
        <w:numPr>
          <w:ilvl w:val="0"/>
          <w:numId w:val="2"/>
        </w:numPr>
        <w:spacing w:before="60" w:after="60"/>
        <w:rPr>
          <w:noProof/>
        </w:rPr>
      </w:pPr>
      <w:r>
        <w:rPr>
          <w:noProof/>
        </w:rPr>
        <w:t>Supporting analysis on real-world light duty vehicle CO</w:t>
      </w:r>
      <w:r>
        <w:rPr>
          <w:noProof/>
          <w:vertAlign w:val="subscript"/>
        </w:rPr>
        <w:t>2</w:t>
      </w:r>
      <w:r>
        <w:rPr>
          <w:noProof/>
        </w:rPr>
        <w:t xml:space="preserve"> emissions</w:t>
      </w:r>
    </w:p>
    <w:p w:rsidR="00B231CB" w:rsidRDefault="00C71431">
      <w:pPr>
        <w:numPr>
          <w:ilvl w:val="0"/>
          <w:numId w:val="2"/>
        </w:numPr>
        <w:spacing w:before="60" w:after="60"/>
        <w:rPr>
          <w:noProof/>
        </w:rPr>
      </w:pPr>
      <w:r>
        <w:rPr>
          <w:noProof/>
        </w:rPr>
        <w:t xml:space="preserve">Data gathering and analysis to improve the </w:t>
      </w:r>
      <w:r>
        <w:rPr>
          <w:noProof/>
        </w:rPr>
        <w:t>understanding of 2nd hand car and LDV markets and implications for the cost effectiveness and social equity of LDV CO</w:t>
      </w:r>
      <w:r>
        <w:rPr>
          <w:noProof/>
          <w:vertAlign w:val="subscript"/>
        </w:rPr>
        <w:t>2</w:t>
      </w:r>
      <w:r>
        <w:rPr>
          <w:noProof/>
        </w:rPr>
        <w:t xml:space="preserve"> regulations</w:t>
      </w:r>
    </w:p>
    <w:p w:rsidR="00B231CB" w:rsidRDefault="00C71431">
      <w:pPr>
        <w:numPr>
          <w:ilvl w:val="0"/>
          <w:numId w:val="2"/>
        </w:numPr>
        <w:spacing w:before="60" w:after="60"/>
        <w:rPr>
          <w:noProof/>
        </w:rPr>
      </w:pPr>
      <w:r>
        <w:rPr>
          <w:noProof/>
        </w:rPr>
        <w:t>Assessment of the Modalities for Light Duty Vehicle CO</w:t>
      </w:r>
      <w:r>
        <w:rPr>
          <w:noProof/>
          <w:vertAlign w:val="subscript"/>
        </w:rPr>
        <w:t>2</w:t>
      </w:r>
      <w:r>
        <w:rPr>
          <w:noProof/>
        </w:rPr>
        <w:t xml:space="preserve"> Regulations Beyond 2020 [to be published]</w:t>
      </w:r>
    </w:p>
    <w:p w:rsidR="00B231CB" w:rsidRDefault="00C71431">
      <w:pPr>
        <w:numPr>
          <w:ilvl w:val="0"/>
          <w:numId w:val="2"/>
        </w:numPr>
        <w:spacing w:before="60" w:after="60"/>
        <w:rPr>
          <w:noProof/>
        </w:rPr>
      </w:pPr>
      <w:r>
        <w:rPr>
          <w:noProof/>
        </w:rPr>
        <w:t>Assessing the impacts of se</w:t>
      </w:r>
      <w:r>
        <w:rPr>
          <w:noProof/>
        </w:rPr>
        <w:t>lected options for regulating CO</w:t>
      </w:r>
      <w:r>
        <w:rPr>
          <w:noProof/>
          <w:vertAlign w:val="subscript"/>
        </w:rPr>
        <w:t>2</w:t>
      </w:r>
      <w:r>
        <w:rPr>
          <w:noProof/>
        </w:rPr>
        <w:t xml:space="preserve"> emissions from new passenger cars and vans after 2020 [to be published]</w:t>
      </w:r>
    </w:p>
    <w:p w:rsidR="00B231CB" w:rsidRDefault="00B231CB">
      <w:pPr>
        <w:rPr>
          <w:noProof/>
          <w:sz w:val="28"/>
        </w:rPr>
      </w:pPr>
    </w:p>
    <w:p w:rsidR="00B231CB" w:rsidRDefault="00B231CB">
      <w:pPr>
        <w:rPr>
          <w:noProof/>
          <w:sz w:val="28"/>
        </w:rPr>
      </w:pPr>
    </w:p>
    <w:p w:rsidR="00B231CB" w:rsidRDefault="00B231CB">
      <w:pPr>
        <w:spacing w:after="200" w:line="276" w:lineRule="auto"/>
        <w:jc w:val="left"/>
        <w:rPr>
          <w:b/>
          <w:bCs/>
          <w:i/>
          <w:noProof/>
        </w:rPr>
      </w:pPr>
    </w:p>
    <w:p w:rsidR="00B231CB" w:rsidRDefault="00C71431">
      <w:pPr>
        <w:spacing w:after="200" w:line="276" w:lineRule="auto"/>
        <w:jc w:val="left"/>
        <w:rPr>
          <w:b/>
          <w:bCs/>
          <w:i/>
          <w:noProof/>
          <w:lang w:val="en"/>
        </w:rPr>
      </w:pPr>
      <w:r>
        <w:rPr>
          <w:b/>
          <w:bCs/>
          <w:i/>
          <w:noProof/>
          <w:lang w:val="en"/>
        </w:rPr>
        <w:br w:type="page"/>
      </w:r>
    </w:p>
    <w:p w:rsidR="00B231CB" w:rsidRDefault="00C71431">
      <w:pPr>
        <w:pStyle w:val="Heading1"/>
        <w:rPr>
          <w:noProof/>
        </w:rPr>
      </w:pPr>
      <w:bookmarkStart w:id="16" w:name="_Toc496688607"/>
      <w:r>
        <w:rPr>
          <w:noProof/>
        </w:rPr>
        <w:t>Annex 2: Stakeholder consultation</w:t>
      </w:r>
      <w:bookmarkEnd w:id="16"/>
    </w:p>
    <w:p w:rsidR="00B231CB" w:rsidRDefault="00C71431">
      <w:pPr>
        <w:pStyle w:val="Heading2"/>
        <w:rPr>
          <w:noProof/>
        </w:rPr>
      </w:pPr>
      <w:bookmarkStart w:id="17" w:name="_Toc496688608"/>
      <w:r>
        <w:rPr>
          <w:noProof/>
        </w:rPr>
        <w:t>Introduction</w:t>
      </w:r>
      <w:bookmarkEnd w:id="17"/>
    </w:p>
    <w:p w:rsidR="00B231CB" w:rsidRDefault="00C71431">
      <w:pPr>
        <w:spacing w:after="120"/>
        <w:rPr>
          <w:noProof/>
        </w:rPr>
      </w:pPr>
      <w:r>
        <w:rPr>
          <w:noProof/>
        </w:rPr>
        <w:t xml:space="preserve">Stakeholders' views have been an important element of input to the revision of Regulation (EC) No </w:t>
      </w:r>
      <w:r>
        <w:rPr>
          <w:noProof/>
        </w:rPr>
        <w:t>443/2009</w:t>
      </w:r>
      <w:r>
        <w:rPr>
          <w:rStyle w:val="FootnoteReference"/>
          <w:noProof/>
        </w:rPr>
        <w:footnoteReference w:id="3"/>
      </w:r>
      <w:r>
        <w:rPr>
          <w:noProof/>
        </w:rPr>
        <w:t xml:space="preserve"> and Regulation (EU) No 510/2011</w:t>
      </w:r>
      <w:r>
        <w:rPr>
          <w:noProof/>
          <w:vertAlign w:val="superscript"/>
        </w:rPr>
        <w:footnoteReference w:id="4"/>
      </w:r>
      <w:r>
        <w:rPr>
          <w:noProof/>
        </w:rPr>
        <w:t>. The main purpose of the consultation was to verify the accuracy of the information available to the Commission and to enhance its understanding of the views of stakeholders with regard to different aspects of the</w:t>
      </w:r>
      <w:r>
        <w:rPr>
          <w:noProof/>
        </w:rPr>
        <w:t xml:space="preserve"> possible revision of the Regulations.</w:t>
      </w:r>
    </w:p>
    <w:p w:rsidR="00B231CB" w:rsidRDefault="00C71431">
      <w:pPr>
        <w:spacing w:after="120"/>
        <w:rPr>
          <w:noProof/>
        </w:rPr>
      </w:pPr>
      <w:r>
        <w:rPr>
          <w:noProof/>
        </w:rPr>
        <w:t xml:space="preserve">A mapping of stakeholders at the initial stages of the impact assessment allowed identifying the following relevant stakeholder groups: </w:t>
      </w:r>
    </w:p>
    <w:p w:rsidR="00B231CB" w:rsidRDefault="00C71431">
      <w:pPr>
        <w:pStyle w:val="ListParagraph"/>
        <w:numPr>
          <w:ilvl w:val="0"/>
          <w:numId w:val="5"/>
        </w:numPr>
        <w:spacing w:after="120"/>
        <w:contextualSpacing w:val="0"/>
        <w:jc w:val="left"/>
        <w:rPr>
          <w:noProof/>
        </w:rPr>
      </w:pPr>
      <w:r>
        <w:rPr>
          <w:noProof/>
        </w:rPr>
        <w:t>Member States (national, regional authorities)</w:t>
      </w:r>
    </w:p>
    <w:p w:rsidR="00B231CB" w:rsidRDefault="00C71431">
      <w:pPr>
        <w:pStyle w:val="ListParagraph"/>
        <w:numPr>
          <w:ilvl w:val="0"/>
          <w:numId w:val="5"/>
        </w:numPr>
        <w:spacing w:after="120"/>
        <w:contextualSpacing w:val="0"/>
        <w:jc w:val="left"/>
        <w:rPr>
          <w:noProof/>
        </w:rPr>
      </w:pPr>
      <w:r>
        <w:rPr>
          <w:noProof/>
        </w:rPr>
        <w:t>Vehicle manufacturers</w:t>
      </w:r>
    </w:p>
    <w:p w:rsidR="00B231CB" w:rsidRDefault="00C71431">
      <w:pPr>
        <w:pStyle w:val="ListParagraph"/>
        <w:numPr>
          <w:ilvl w:val="0"/>
          <w:numId w:val="5"/>
        </w:numPr>
        <w:spacing w:after="120"/>
        <w:contextualSpacing w:val="0"/>
        <w:jc w:val="left"/>
        <w:rPr>
          <w:noProof/>
        </w:rPr>
      </w:pPr>
      <w:r>
        <w:rPr>
          <w:noProof/>
        </w:rPr>
        <w:t>Component a</w:t>
      </w:r>
      <w:r>
        <w:rPr>
          <w:noProof/>
        </w:rPr>
        <w:t>nd materials suppliers</w:t>
      </w:r>
    </w:p>
    <w:p w:rsidR="00B231CB" w:rsidRDefault="00C71431">
      <w:pPr>
        <w:pStyle w:val="ListParagraph"/>
        <w:numPr>
          <w:ilvl w:val="0"/>
          <w:numId w:val="5"/>
        </w:numPr>
        <w:spacing w:after="120"/>
        <w:contextualSpacing w:val="0"/>
        <w:jc w:val="left"/>
        <w:rPr>
          <w:noProof/>
        </w:rPr>
      </w:pPr>
      <w:r>
        <w:rPr>
          <w:noProof/>
        </w:rPr>
        <w:t>Energy suppliers</w:t>
      </w:r>
    </w:p>
    <w:p w:rsidR="00B231CB" w:rsidRDefault="00C71431">
      <w:pPr>
        <w:pStyle w:val="ListParagraph"/>
        <w:numPr>
          <w:ilvl w:val="0"/>
          <w:numId w:val="5"/>
        </w:numPr>
        <w:spacing w:after="120"/>
        <w:contextualSpacing w:val="0"/>
        <w:jc w:val="left"/>
        <w:rPr>
          <w:noProof/>
        </w:rPr>
      </w:pPr>
      <w:r>
        <w:rPr>
          <w:noProof/>
        </w:rPr>
        <w:t>Vehicle purchasers (private, businesses, fleet management companies)</w:t>
      </w:r>
    </w:p>
    <w:p w:rsidR="00B231CB" w:rsidRDefault="00C71431">
      <w:pPr>
        <w:pStyle w:val="ListParagraph"/>
        <w:numPr>
          <w:ilvl w:val="0"/>
          <w:numId w:val="5"/>
        </w:numPr>
        <w:spacing w:after="120"/>
        <w:contextualSpacing w:val="0"/>
        <w:jc w:val="left"/>
        <w:rPr>
          <w:noProof/>
        </w:rPr>
      </w:pPr>
      <w:r>
        <w:rPr>
          <w:noProof/>
        </w:rPr>
        <w:t>Drivers associations</w:t>
      </w:r>
    </w:p>
    <w:p w:rsidR="00B231CB" w:rsidRDefault="00C71431">
      <w:pPr>
        <w:pStyle w:val="ListParagraph"/>
        <w:numPr>
          <w:ilvl w:val="0"/>
          <w:numId w:val="5"/>
        </w:numPr>
        <w:spacing w:after="120"/>
        <w:contextualSpacing w:val="0"/>
        <w:jc w:val="left"/>
        <w:rPr>
          <w:noProof/>
        </w:rPr>
      </w:pPr>
      <w:r>
        <w:rPr>
          <w:noProof/>
        </w:rPr>
        <w:t>Environmental, transport and consumer NGOs</w:t>
      </w:r>
    </w:p>
    <w:p w:rsidR="00B231CB" w:rsidRDefault="00C71431">
      <w:pPr>
        <w:pStyle w:val="ListParagraph"/>
        <w:numPr>
          <w:ilvl w:val="0"/>
          <w:numId w:val="5"/>
        </w:numPr>
        <w:spacing w:after="120"/>
        <w:contextualSpacing w:val="0"/>
        <w:jc w:val="left"/>
        <w:rPr>
          <w:noProof/>
        </w:rPr>
      </w:pPr>
      <w:r>
        <w:rPr>
          <w:noProof/>
        </w:rPr>
        <w:t>Social partners</w:t>
      </w:r>
    </w:p>
    <w:p w:rsidR="00B231CB" w:rsidRDefault="00C71431">
      <w:pPr>
        <w:spacing w:after="120"/>
        <w:rPr>
          <w:noProof/>
        </w:rPr>
      </w:pPr>
      <w:r>
        <w:rPr>
          <w:noProof/>
        </w:rPr>
        <w:t xml:space="preserve">The Commission sought feedback from stakeholders through the </w:t>
      </w:r>
      <w:r>
        <w:rPr>
          <w:noProof/>
        </w:rPr>
        <w:t>following elements:</w:t>
      </w:r>
    </w:p>
    <w:p w:rsidR="00B231CB" w:rsidRDefault="00C71431">
      <w:pPr>
        <w:pStyle w:val="ListParagraph"/>
        <w:numPr>
          <w:ilvl w:val="0"/>
          <w:numId w:val="6"/>
        </w:numPr>
        <w:spacing w:after="120"/>
        <w:contextualSpacing w:val="0"/>
        <w:jc w:val="left"/>
        <w:rPr>
          <w:noProof/>
        </w:rPr>
      </w:pPr>
      <w:r>
        <w:rPr>
          <w:noProof/>
        </w:rPr>
        <w:t>a public on-line consultation (20 July 2016 until 28 October 2016)</w:t>
      </w:r>
    </w:p>
    <w:p w:rsidR="00B231CB" w:rsidRDefault="00C71431">
      <w:pPr>
        <w:pStyle w:val="ListParagraph"/>
        <w:numPr>
          <w:ilvl w:val="0"/>
          <w:numId w:val="6"/>
        </w:numPr>
        <w:spacing w:after="120"/>
        <w:contextualSpacing w:val="0"/>
        <w:jc w:val="left"/>
        <w:rPr>
          <w:noProof/>
        </w:rPr>
      </w:pPr>
      <w:r>
        <w:rPr>
          <w:noProof/>
        </w:rPr>
        <w:t>a stakeholder workshop (24 March 2017) to present the results of the public consultation;</w:t>
      </w:r>
    </w:p>
    <w:p w:rsidR="00B231CB" w:rsidRDefault="00C71431">
      <w:pPr>
        <w:pStyle w:val="ListParagraph"/>
        <w:numPr>
          <w:ilvl w:val="0"/>
          <w:numId w:val="6"/>
        </w:numPr>
        <w:spacing w:after="120"/>
        <w:contextualSpacing w:val="0"/>
        <w:jc w:val="left"/>
        <w:rPr>
          <w:noProof/>
        </w:rPr>
      </w:pPr>
      <w:r>
        <w:rPr>
          <w:noProof/>
        </w:rPr>
        <w:t xml:space="preserve">a stakeholder workshop dedicated to jobs and skills (26 June 2017); </w:t>
      </w:r>
    </w:p>
    <w:p w:rsidR="00B231CB" w:rsidRDefault="00C71431">
      <w:pPr>
        <w:pStyle w:val="ListParagraph"/>
        <w:numPr>
          <w:ilvl w:val="0"/>
          <w:numId w:val="6"/>
        </w:numPr>
        <w:spacing w:after="120"/>
        <w:contextualSpacing w:val="0"/>
        <w:jc w:val="left"/>
        <w:rPr>
          <w:noProof/>
        </w:rPr>
      </w:pPr>
      <w:r>
        <w:rPr>
          <w:noProof/>
        </w:rPr>
        <w:t>meetings w</w:t>
      </w:r>
      <w:r>
        <w:rPr>
          <w:noProof/>
        </w:rPr>
        <w:t>ith relevant industry associations representing car manufacturers, components and materials suppliers, fuel suppliers.</w:t>
      </w:r>
    </w:p>
    <w:p w:rsidR="00B231CB" w:rsidRDefault="00C71431">
      <w:pPr>
        <w:pStyle w:val="ListParagraph"/>
        <w:numPr>
          <w:ilvl w:val="0"/>
          <w:numId w:val="6"/>
        </w:numPr>
        <w:spacing w:after="120"/>
        <w:contextualSpacing w:val="0"/>
        <w:jc w:val="left"/>
        <w:rPr>
          <w:noProof/>
        </w:rPr>
      </w:pPr>
      <w:r>
        <w:rPr>
          <w:noProof/>
        </w:rPr>
        <w:t>bilateral meetings with Member State authorities, vehicle manufacturers, suppliers, social partners and NGOs;</w:t>
      </w:r>
    </w:p>
    <w:p w:rsidR="00B231CB" w:rsidRDefault="00C71431">
      <w:pPr>
        <w:pStyle w:val="ListParagraph"/>
        <w:numPr>
          <w:ilvl w:val="0"/>
          <w:numId w:val="6"/>
        </w:numPr>
        <w:spacing w:after="120"/>
        <w:contextualSpacing w:val="0"/>
        <w:jc w:val="left"/>
        <w:rPr>
          <w:noProof/>
        </w:rPr>
      </w:pPr>
      <w:r>
        <w:rPr>
          <w:noProof/>
        </w:rPr>
        <w:t>position papers submitted b</w:t>
      </w:r>
      <w:r>
        <w:rPr>
          <w:noProof/>
        </w:rPr>
        <w:t>y stakeholders or Member States.</w:t>
      </w:r>
    </w:p>
    <w:p w:rsidR="00B231CB" w:rsidRDefault="00C71431">
      <w:pPr>
        <w:spacing w:after="120"/>
        <w:rPr>
          <w:noProof/>
        </w:rPr>
      </w:pPr>
      <w:r>
        <w:rPr>
          <w:noProof/>
        </w:rPr>
        <w:t xml:space="preserve">A detailed summary and the results of the public consultation and the stakeholder workshop on jobs and skills are presented below.  </w:t>
      </w:r>
    </w:p>
    <w:p w:rsidR="00B231CB" w:rsidRDefault="00C71431">
      <w:pPr>
        <w:pStyle w:val="Heading2"/>
        <w:rPr>
          <w:noProof/>
        </w:rPr>
      </w:pPr>
      <w:bookmarkStart w:id="18" w:name="_Toc496688609"/>
      <w:r>
        <w:rPr>
          <w:noProof/>
        </w:rPr>
        <w:t>Public consultation</w:t>
      </w:r>
      <w:bookmarkEnd w:id="18"/>
    </w:p>
    <w:p w:rsidR="00B231CB" w:rsidRDefault="00C71431">
      <w:pPr>
        <w:pStyle w:val="Heading3"/>
        <w:rPr>
          <w:noProof/>
        </w:rPr>
      </w:pPr>
      <w:bookmarkStart w:id="19" w:name="_Toc496688610"/>
      <w:r>
        <w:rPr>
          <w:noProof/>
        </w:rPr>
        <w:t>Process and quantitative results</w:t>
      </w:r>
      <w:bookmarkEnd w:id="19"/>
      <w:r>
        <w:rPr>
          <w:noProof/>
        </w:rPr>
        <w:t xml:space="preserve"> </w:t>
      </w:r>
    </w:p>
    <w:p w:rsidR="00B231CB" w:rsidRDefault="00C71431">
      <w:pPr>
        <w:spacing w:after="120"/>
        <w:rPr>
          <w:noProof/>
        </w:rPr>
      </w:pPr>
      <w:r>
        <w:rPr>
          <w:noProof/>
        </w:rPr>
        <w:t xml:space="preserve">An on-line public consultation was </w:t>
      </w:r>
      <w:r>
        <w:rPr>
          <w:noProof/>
        </w:rPr>
        <w:t>carried out between 20 July 2016 and 28 October 2016 on the EU Survey website</w:t>
      </w:r>
      <w:r>
        <w:rPr>
          <w:rStyle w:val="FootnoteReference"/>
          <w:noProof/>
        </w:rPr>
        <w:footnoteReference w:id="5"/>
      </w:r>
      <w:r>
        <w:rPr>
          <w:noProof/>
        </w:rPr>
        <w:t>. The consultation was divided into two sections, the first of which asked questions of a general nature, including the need and objectives for EU action, while the second was of</w:t>
      </w:r>
      <w:r>
        <w:rPr>
          <w:noProof/>
        </w:rPr>
        <w:t xml:space="preserve"> a more technical nature asking questions related to policy design and intended for a well-informed audience.  Respondents were invited to choose whether to complete only the first or both sections. The key issues addressed reflect the key elements of the </w:t>
      </w:r>
      <w:r>
        <w:rPr>
          <w:noProof/>
        </w:rPr>
        <w:t>impact assessment as follows:</w:t>
      </w:r>
    </w:p>
    <w:p w:rsidR="00B231CB" w:rsidRDefault="00C71431">
      <w:pPr>
        <w:pStyle w:val="ListParagraph"/>
        <w:numPr>
          <w:ilvl w:val="0"/>
          <w:numId w:val="4"/>
        </w:numPr>
        <w:spacing w:after="120"/>
        <w:contextualSpacing w:val="0"/>
        <w:jc w:val="left"/>
        <w:rPr>
          <w:noProof/>
        </w:rPr>
      </w:pPr>
      <w:r>
        <w:rPr>
          <w:noProof/>
        </w:rPr>
        <w:t>The need and objectives for setting CO</w:t>
      </w:r>
      <w:r>
        <w:rPr>
          <w:noProof/>
          <w:vertAlign w:val="subscript"/>
        </w:rPr>
        <w:t>2</w:t>
      </w:r>
      <w:r>
        <w:rPr>
          <w:noProof/>
        </w:rPr>
        <w:t xml:space="preserve"> emission targets for cars and vans after 2020</w:t>
      </w:r>
    </w:p>
    <w:p w:rsidR="00B231CB" w:rsidRDefault="00C71431">
      <w:pPr>
        <w:pStyle w:val="ListParagraph"/>
        <w:numPr>
          <w:ilvl w:val="0"/>
          <w:numId w:val="4"/>
        </w:numPr>
        <w:spacing w:after="120"/>
        <w:contextualSpacing w:val="0"/>
        <w:jc w:val="left"/>
        <w:rPr>
          <w:noProof/>
        </w:rPr>
      </w:pPr>
      <w:r>
        <w:rPr>
          <w:noProof/>
        </w:rPr>
        <w:t>Technology specific requirements</w:t>
      </w:r>
    </w:p>
    <w:p w:rsidR="00B231CB" w:rsidRDefault="00C71431">
      <w:pPr>
        <w:pStyle w:val="ListParagraph"/>
        <w:numPr>
          <w:ilvl w:val="0"/>
          <w:numId w:val="4"/>
        </w:numPr>
        <w:spacing w:after="120"/>
        <w:contextualSpacing w:val="0"/>
        <w:jc w:val="left"/>
        <w:rPr>
          <w:noProof/>
        </w:rPr>
      </w:pPr>
      <w:r>
        <w:rPr>
          <w:noProof/>
        </w:rPr>
        <w:t>Distribution of efforts between different actors</w:t>
      </w:r>
    </w:p>
    <w:p w:rsidR="00B231CB" w:rsidRDefault="00C71431">
      <w:pPr>
        <w:pStyle w:val="ListParagraph"/>
        <w:numPr>
          <w:ilvl w:val="0"/>
          <w:numId w:val="4"/>
        </w:numPr>
        <w:spacing w:after="120"/>
        <w:contextualSpacing w:val="0"/>
        <w:jc w:val="left"/>
        <w:rPr>
          <w:noProof/>
        </w:rPr>
      </w:pPr>
      <w:r>
        <w:rPr>
          <w:noProof/>
        </w:rPr>
        <w:t>Incentivising low- and zero-emission vehicles</w:t>
      </w:r>
    </w:p>
    <w:p w:rsidR="00B231CB" w:rsidRDefault="00C71431">
      <w:pPr>
        <w:pStyle w:val="ListParagraph"/>
        <w:numPr>
          <w:ilvl w:val="0"/>
          <w:numId w:val="4"/>
        </w:numPr>
        <w:spacing w:after="120"/>
        <w:contextualSpacing w:val="0"/>
        <w:jc w:val="left"/>
        <w:rPr>
          <w:noProof/>
        </w:rPr>
      </w:pPr>
      <w:r>
        <w:rPr>
          <w:noProof/>
        </w:rPr>
        <w:t>Modalities (</w:t>
      </w:r>
      <w:r>
        <w:rPr>
          <w:noProof/>
        </w:rPr>
        <w:t>eco-innovations and derogations)</w:t>
      </w:r>
    </w:p>
    <w:p w:rsidR="00B231CB" w:rsidRDefault="00C71431">
      <w:pPr>
        <w:spacing w:after="120"/>
        <w:rPr>
          <w:noProof/>
        </w:rPr>
      </w:pPr>
      <w:r>
        <w:rPr>
          <w:noProof/>
        </w:rPr>
        <w:t>The results of the public consultation are presented below for each key element. The replies are differentiated across stakeholder groups and summarised as factually as possible. The summary considers diverging views betwee</w:t>
      </w:r>
      <w:r>
        <w:rPr>
          <w:noProof/>
        </w:rPr>
        <w:t xml:space="preserve">n or within stakeholder groups. </w:t>
      </w:r>
    </w:p>
    <w:p w:rsidR="00B231CB" w:rsidRDefault="00C71431">
      <w:pPr>
        <w:spacing w:after="120"/>
        <w:rPr>
          <w:noProof/>
        </w:rPr>
      </w:pPr>
      <w:r>
        <w:rPr>
          <w:noProof/>
        </w:rPr>
        <w:t>The consultation received 205 replies in total. The greatest number of responses (82 or 40%) were received from individuals. Civil society organisations, professional organisations and private enterprises all responded in f</w:t>
      </w:r>
      <w:r>
        <w:rPr>
          <w:noProof/>
        </w:rPr>
        <w:t xml:space="preserve">airly similar numbers, with 33 (16%), 31 (15%) and 28 (14%) responses respectively. Civil society organisations mainly included environmental and/or transport NGOs as well as consumer organisations. Professional organisations comprised mainly national and </w:t>
      </w:r>
      <w:r>
        <w:rPr>
          <w:noProof/>
        </w:rPr>
        <w:t>EU level associations representing the automotive sector and the fuels sector. Similarly, private enterprises included car manufacturers, suppliers in the automotive sector and fuels companies. Eleven public authorities from seven different Member States s</w:t>
      </w:r>
      <w:r>
        <w:rPr>
          <w:noProof/>
        </w:rPr>
        <w:t xml:space="preserve">ubmitted replies, most of which operating at regional or local level. </w:t>
      </w:r>
      <w:r>
        <w:rPr>
          <w:noProof/>
        </w:rPr>
        <w:fldChar w:fldCharType="begin"/>
      </w:r>
      <w:r>
        <w:rPr>
          <w:noProof/>
        </w:rPr>
        <w:instrText xml:space="preserve"> REF _Ref484780273 \h </w:instrText>
      </w:r>
      <w:r>
        <w:rPr>
          <w:noProof/>
        </w:rPr>
      </w:r>
      <w:r>
        <w:rPr>
          <w:noProof/>
        </w:rPr>
        <w:fldChar w:fldCharType="separate"/>
      </w:r>
      <w:r>
        <w:rPr>
          <w:noProof/>
          <w:szCs w:val="24"/>
        </w:rPr>
        <w:t>Table 1</w:t>
      </w:r>
      <w:r>
        <w:rPr>
          <w:noProof/>
        </w:rPr>
        <w:fldChar w:fldCharType="end"/>
      </w:r>
      <w:r>
        <w:rPr>
          <w:noProof/>
        </w:rPr>
        <w:t xml:space="preserve"> summarises the distribution of respondents by category.</w:t>
      </w:r>
    </w:p>
    <w:p w:rsidR="00B231CB" w:rsidRDefault="00C71431">
      <w:pPr>
        <w:pStyle w:val="Caption"/>
        <w:rPr>
          <w:noProof/>
          <w:szCs w:val="24"/>
        </w:rPr>
      </w:pPr>
      <w:bookmarkStart w:id="20" w:name="_Ref484780273"/>
      <w:r>
        <w:rPr>
          <w:noProof/>
          <w:szCs w:val="24"/>
        </w:rPr>
        <w:t xml:space="preserve">Table </w:t>
      </w:r>
      <w:r>
        <w:rPr>
          <w:noProof/>
          <w:szCs w:val="24"/>
        </w:rPr>
        <w:fldChar w:fldCharType="begin"/>
      </w:r>
      <w:r>
        <w:rPr>
          <w:noProof/>
          <w:szCs w:val="24"/>
        </w:rPr>
        <w:instrText xml:space="preserve"> SEQ Table \* ARABIC </w:instrText>
      </w:r>
      <w:r>
        <w:rPr>
          <w:noProof/>
          <w:szCs w:val="24"/>
        </w:rPr>
        <w:fldChar w:fldCharType="separate"/>
      </w:r>
      <w:r>
        <w:rPr>
          <w:noProof/>
          <w:szCs w:val="24"/>
        </w:rPr>
        <w:t>1</w:t>
      </w:r>
      <w:r>
        <w:rPr>
          <w:noProof/>
          <w:szCs w:val="24"/>
        </w:rPr>
        <w:fldChar w:fldCharType="end"/>
      </w:r>
      <w:bookmarkEnd w:id="20"/>
      <w:r>
        <w:rPr>
          <w:noProof/>
          <w:szCs w:val="24"/>
        </w:rPr>
        <w:t xml:space="preserve">: </w:t>
      </w:r>
      <w:r>
        <w:rPr>
          <w:noProof/>
          <w:szCs w:val="24"/>
        </w:rPr>
        <w:t>Distribution of respondents by category</w:t>
      </w:r>
    </w:p>
    <w:tbl>
      <w:tblPr>
        <w:tblStyle w:val="TableGrid"/>
        <w:tblW w:w="0" w:type="auto"/>
        <w:jc w:val="center"/>
        <w:tblLook w:val="04A0" w:firstRow="1" w:lastRow="0" w:firstColumn="1" w:lastColumn="0" w:noHBand="0" w:noVBand="1"/>
      </w:tblPr>
      <w:tblGrid>
        <w:gridCol w:w="3936"/>
        <w:gridCol w:w="1363"/>
        <w:gridCol w:w="2834"/>
      </w:tblGrid>
      <w:tr w:rsidR="00B231CB">
        <w:trPr>
          <w:trHeight w:val="255"/>
          <w:jc w:val="center"/>
        </w:trPr>
        <w:tc>
          <w:tcPr>
            <w:tcW w:w="3936" w:type="dxa"/>
            <w:noWrap/>
          </w:tcPr>
          <w:p w:rsidR="00B231CB" w:rsidRDefault="00C71431">
            <w:pPr>
              <w:spacing w:after="60"/>
              <w:rPr>
                <w:b/>
                <w:noProof/>
              </w:rPr>
            </w:pPr>
            <w:r>
              <w:rPr>
                <w:b/>
                <w:noProof/>
              </w:rPr>
              <w:t>Category</w:t>
            </w:r>
          </w:p>
        </w:tc>
        <w:tc>
          <w:tcPr>
            <w:tcW w:w="1363" w:type="dxa"/>
            <w:noWrap/>
          </w:tcPr>
          <w:p w:rsidR="00B231CB" w:rsidRDefault="00C71431">
            <w:pPr>
              <w:spacing w:after="60"/>
              <w:jc w:val="center"/>
              <w:rPr>
                <w:noProof/>
              </w:rPr>
            </w:pPr>
            <w:r>
              <w:rPr>
                <w:noProof/>
              </w:rPr>
              <w:t>Number of respondents</w:t>
            </w:r>
          </w:p>
        </w:tc>
        <w:tc>
          <w:tcPr>
            <w:tcW w:w="2834" w:type="dxa"/>
            <w:noWrap/>
          </w:tcPr>
          <w:p w:rsidR="00B231CB" w:rsidRDefault="00C71431">
            <w:pPr>
              <w:spacing w:after="60"/>
              <w:jc w:val="center"/>
              <w:rPr>
                <w:noProof/>
              </w:rPr>
            </w:pPr>
            <w:r>
              <w:rPr>
                <w:noProof/>
              </w:rPr>
              <w:t>Percentage of total number of respondents</w:t>
            </w:r>
          </w:p>
        </w:tc>
      </w:tr>
      <w:tr w:rsidR="00B231CB">
        <w:trPr>
          <w:trHeight w:val="255"/>
          <w:jc w:val="center"/>
        </w:trPr>
        <w:tc>
          <w:tcPr>
            <w:tcW w:w="3936" w:type="dxa"/>
            <w:shd w:val="clear" w:color="auto" w:fill="auto"/>
            <w:noWrap/>
          </w:tcPr>
          <w:p w:rsidR="00B231CB" w:rsidRDefault="00C71431">
            <w:pPr>
              <w:spacing w:after="60"/>
              <w:rPr>
                <w:noProof/>
              </w:rPr>
            </w:pPr>
            <w:r>
              <w:rPr>
                <w:noProof/>
              </w:rPr>
              <w:t>Academic / Research institution</w:t>
            </w:r>
          </w:p>
        </w:tc>
        <w:tc>
          <w:tcPr>
            <w:tcW w:w="1363" w:type="dxa"/>
            <w:shd w:val="clear" w:color="auto" w:fill="auto"/>
            <w:noWrap/>
          </w:tcPr>
          <w:p w:rsidR="00B231CB" w:rsidRDefault="00C71431">
            <w:pPr>
              <w:spacing w:after="60"/>
              <w:jc w:val="center"/>
              <w:rPr>
                <w:noProof/>
              </w:rPr>
            </w:pPr>
            <w:r>
              <w:rPr>
                <w:noProof/>
              </w:rPr>
              <w:t>6</w:t>
            </w:r>
          </w:p>
        </w:tc>
        <w:tc>
          <w:tcPr>
            <w:tcW w:w="2834" w:type="dxa"/>
            <w:shd w:val="clear" w:color="auto" w:fill="auto"/>
            <w:noWrap/>
          </w:tcPr>
          <w:p w:rsidR="00B231CB" w:rsidRDefault="00C71431">
            <w:pPr>
              <w:spacing w:after="60"/>
              <w:jc w:val="center"/>
              <w:rPr>
                <w:noProof/>
              </w:rPr>
            </w:pPr>
            <w:r>
              <w:rPr>
                <w:noProof/>
              </w:rPr>
              <w:t>3%</w:t>
            </w:r>
          </w:p>
        </w:tc>
      </w:tr>
      <w:tr w:rsidR="00B231CB">
        <w:trPr>
          <w:trHeight w:val="255"/>
          <w:jc w:val="center"/>
        </w:trPr>
        <w:tc>
          <w:tcPr>
            <w:tcW w:w="3936" w:type="dxa"/>
            <w:noWrap/>
            <w:hideMark/>
          </w:tcPr>
          <w:p w:rsidR="00B231CB" w:rsidRDefault="00C71431">
            <w:pPr>
              <w:spacing w:after="60"/>
              <w:rPr>
                <w:noProof/>
              </w:rPr>
            </w:pPr>
            <w:r>
              <w:rPr>
                <w:noProof/>
              </w:rPr>
              <w:t>Civil society organisation</w:t>
            </w:r>
          </w:p>
        </w:tc>
        <w:tc>
          <w:tcPr>
            <w:tcW w:w="1363" w:type="dxa"/>
            <w:noWrap/>
            <w:hideMark/>
          </w:tcPr>
          <w:p w:rsidR="00B231CB" w:rsidRDefault="00C71431">
            <w:pPr>
              <w:spacing w:after="60"/>
              <w:jc w:val="center"/>
              <w:rPr>
                <w:noProof/>
              </w:rPr>
            </w:pPr>
            <w:r>
              <w:rPr>
                <w:noProof/>
              </w:rPr>
              <w:t>33</w:t>
            </w:r>
          </w:p>
        </w:tc>
        <w:tc>
          <w:tcPr>
            <w:tcW w:w="2834" w:type="dxa"/>
            <w:noWrap/>
            <w:hideMark/>
          </w:tcPr>
          <w:p w:rsidR="00B231CB" w:rsidRDefault="00C71431">
            <w:pPr>
              <w:spacing w:after="60"/>
              <w:jc w:val="center"/>
              <w:rPr>
                <w:noProof/>
              </w:rPr>
            </w:pPr>
            <w:r>
              <w:rPr>
                <w:noProof/>
              </w:rPr>
              <w:t>16%</w:t>
            </w:r>
          </w:p>
        </w:tc>
      </w:tr>
      <w:tr w:rsidR="00B231CB">
        <w:trPr>
          <w:trHeight w:val="255"/>
          <w:jc w:val="center"/>
        </w:trPr>
        <w:tc>
          <w:tcPr>
            <w:tcW w:w="3936" w:type="dxa"/>
            <w:noWrap/>
            <w:hideMark/>
          </w:tcPr>
          <w:p w:rsidR="00B231CB" w:rsidRDefault="00C71431">
            <w:pPr>
              <w:spacing w:after="60"/>
              <w:rPr>
                <w:noProof/>
              </w:rPr>
            </w:pPr>
            <w:r>
              <w:rPr>
                <w:noProof/>
              </w:rPr>
              <w:t>Individual / private person</w:t>
            </w:r>
          </w:p>
        </w:tc>
        <w:tc>
          <w:tcPr>
            <w:tcW w:w="1363" w:type="dxa"/>
            <w:noWrap/>
            <w:hideMark/>
          </w:tcPr>
          <w:p w:rsidR="00B231CB" w:rsidRDefault="00C71431">
            <w:pPr>
              <w:spacing w:after="60"/>
              <w:jc w:val="center"/>
              <w:rPr>
                <w:noProof/>
              </w:rPr>
            </w:pPr>
            <w:r>
              <w:rPr>
                <w:noProof/>
              </w:rPr>
              <w:t>82</w:t>
            </w:r>
          </w:p>
        </w:tc>
        <w:tc>
          <w:tcPr>
            <w:tcW w:w="2834" w:type="dxa"/>
            <w:noWrap/>
            <w:hideMark/>
          </w:tcPr>
          <w:p w:rsidR="00B231CB" w:rsidRDefault="00C71431">
            <w:pPr>
              <w:spacing w:after="60"/>
              <w:jc w:val="center"/>
              <w:rPr>
                <w:noProof/>
              </w:rPr>
            </w:pPr>
            <w:r>
              <w:rPr>
                <w:noProof/>
              </w:rPr>
              <w:t>40%</w:t>
            </w:r>
          </w:p>
        </w:tc>
      </w:tr>
      <w:tr w:rsidR="00B231CB">
        <w:trPr>
          <w:trHeight w:val="255"/>
          <w:jc w:val="center"/>
        </w:trPr>
        <w:tc>
          <w:tcPr>
            <w:tcW w:w="3936" w:type="dxa"/>
            <w:noWrap/>
            <w:hideMark/>
          </w:tcPr>
          <w:p w:rsidR="00B231CB" w:rsidRDefault="00C71431">
            <w:pPr>
              <w:spacing w:after="60"/>
              <w:rPr>
                <w:noProof/>
              </w:rPr>
            </w:pPr>
            <w:r>
              <w:rPr>
                <w:noProof/>
              </w:rPr>
              <w:t>International organisation</w:t>
            </w:r>
          </w:p>
        </w:tc>
        <w:tc>
          <w:tcPr>
            <w:tcW w:w="1363" w:type="dxa"/>
            <w:noWrap/>
            <w:hideMark/>
          </w:tcPr>
          <w:p w:rsidR="00B231CB" w:rsidRDefault="00C71431">
            <w:pPr>
              <w:spacing w:after="60"/>
              <w:jc w:val="center"/>
              <w:rPr>
                <w:noProof/>
              </w:rPr>
            </w:pPr>
            <w:r>
              <w:rPr>
                <w:noProof/>
              </w:rPr>
              <w:t>4</w:t>
            </w:r>
          </w:p>
        </w:tc>
        <w:tc>
          <w:tcPr>
            <w:tcW w:w="2834" w:type="dxa"/>
            <w:noWrap/>
            <w:hideMark/>
          </w:tcPr>
          <w:p w:rsidR="00B231CB" w:rsidRDefault="00C71431">
            <w:pPr>
              <w:spacing w:after="60"/>
              <w:jc w:val="center"/>
              <w:rPr>
                <w:noProof/>
              </w:rPr>
            </w:pPr>
            <w:r>
              <w:rPr>
                <w:noProof/>
              </w:rPr>
              <w:t>2%</w:t>
            </w:r>
          </w:p>
        </w:tc>
      </w:tr>
      <w:tr w:rsidR="00B231CB">
        <w:trPr>
          <w:trHeight w:val="255"/>
          <w:jc w:val="center"/>
        </w:trPr>
        <w:tc>
          <w:tcPr>
            <w:tcW w:w="3936" w:type="dxa"/>
            <w:noWrap/>
            <w:hideMark/>
          </w:tcPr>
          <w:p w:rsidR="00B231CB" w:rsidRDefault="00C71431">
            <w:pPr>
              <w:spacing w:after="60"/>
              <w:rPr>
                <w:noProof/>
              </w:rPr>
            </w:pPr>
            <w:r>
              <w:rPr>
                <w:noProof/>
              </w:rPr>
              <w:t>Private enterprise</w:t>
            </w:r>
          </w:p>
        </w:tc>
        <w:tc>
          <w:tcPr>
            <w:tcW w:w="1363" w:type="dxa"/>
            <w:noWrap/>
            <w:hideMark/>
          </w:tcPr>
          <w:p w:rsidR="00B231CB" w:rsidRDefault="00C71431">
            <w:pPr>
              <w:spacing w:after="60"/>
              <w:jc w:val="center"/>
              <w:rPr>
                <w:noProof/>
              </w:rPr>
            </w:pPr>
            <w:r>
              <w:rPr>
                <w:noProof/>
              </w:rPr>
              <w:t>28</w:t>
            </w:r>
          </w:p>
        </w:tc>
        <w:tc>
          <w:tcPr>
            <w:tcW w:w="2834" w:type="dxa"/>
            <w:noWrap/>
            <w:hideMark/>
          </w:tcPr>
          <w:p w:rsidR="00B231CB" w:rsidRDefault="00C71431">
            <w:pPr>
              <w:spacing w:after="60"/>
              <w:jc w:val="center"/>
              <w:rPr>
                <w:noProof/>
              </w:rPr>
            </w:pPr>
            <w:r>
              <w:rPr>
                <w:noProof/>
              </w:rPr>
              <w:t>14%</w:t>
            </w:r>
          </w:p>
        </w:tc>
      </w:tr>
      <w:tr w:rsidR="00B231CB">
        <w:trPr>
          <w:trHeight w:val="255"/>
          <w:jc w:val="center"/>
        </w:trPr>
        <w:tc>
          <w:tcPr>
            <w:tcW w:w="3936" w:type="dxa"/>
            <w:noWrap/>
            <w:hideMark/>
          </w:tcPr>
          <w:p w:rsidR="00B231CB" w:rsidRDefault="00C71431">
            <w:pPr>
              <w:spacing w:after="60"/>
              <w:rPr>
                <w:noProof/>
              </w:rPr>
            </w:pPr>
            <w:r>
              <w:rPr>
                <w:noProof/>
              </w:rPr>
              <w:t>Professional organisation</w:t>
            </w:r>
          </w:p>
        </w:tc>
        <w:tc>
          <w:tcPr>
            <w:tcW w:w="1363" w:type="dxa"/>
            <w:noWrap/>
            <w:hideMark/>
          </w:tcPr>
          <w:p w:rsidR="00B231CB" w:rsidRDefault="00C71431">
            <w:pPr>
              <w:spacing w:after="60"/>
              <w:jc w:val="center"/>
              <w:rPr>
                <w:noProof/>
              </w:rPr>
            </w:pPr>
            <w:r>
              <w:rPr>
                <w:noProof/>
              </w:rPr>
              <w:t>31</w:t>
            </w:r>
          </w:p>
        </w:tc>
        <w:tc>
          <w:tcPr>
            <w:tcW w:w="2834" w:type="dxa"/>
            <w:noWrap/>
            <w:hideMark/>
          </w:tcPr>
          <w:p w:rsidR="00B231CB" w:rsidRDefault="00C71431">
            <w:pPr>
              <w:spacing w:after="60"/>
              <w:jc w:val="center"/>
              <w:rPr>
                <w:noProof/>
              </w:rPr>
            </w:pPr>
            <w:r>
              <w:rPr>
                <w:noProof/>
              </w:rPr>
              <w:t>15%</w:t>
            </w:r>
          </w:p>
        </w:tc>
      </w:tr>
      <w:tr w:rsidR="00B231CB">
        <w:trPr>
          <w:trHeight w:val="255"/>
          <w:jc w:val="center"/>
        </w:trPr>
        <w:tc>
          <w:tcPr>
            <w:tcW w:w="3936" w:type="dxa"/>
            <w:noWrap/>
            <w:hideMark/>
          </w:tcPr>
          <w:p w:rsidR="00B231CB" w:rsidRDefault="00C71431">
            <w:pPr>
              <w:spacing w:after="60"/>
              <w:rPr>
                <w:noProof/>
              </w:rPr>
            </w:pPr>
            <w:r>
              <w:rPr>
                <w:noProof/>
              </w:rPr>
              <w:t>Public authority</w:t>
            </w:r>
          </w:p>
        </w:tc>
        <w:tc>
          <w:tcPr>
            <w:tcW w:w="1363" w:type="dxa"/>
            <w:noWrap/>
            <w:hideMark/>
          </w:tcPr>
          <w:p w:rsidR="00B231CB" w:rsidRDefault="00C71431">
            <w:pPr>
              <w:spacing w:after="60"/>
              <w:jc w:val="center"/>
              <w:rPr>
                <w:noProof/>
              </w:rPr>
            </w:pPr>
            <w:r>
              <w:rPr>
                <w:noProof/>
              </w:rPr>
              <w:t>11</w:t>
            </w:r>
          </w:p>
        </w:tc>
        <w:tc>
          <w:tcPr>
            <w:tcW w:w="2834" w:type="dxa"/>
            <w:noWrap/>
            <w:hideMark/>
          </w:tcPr>
          <w:p w:rsidR="00B231CB" w:rsidRDefault="00C71431">
            <w:pPr>
              <w:spacing w:after="60"/>
              <w:jc w:val="center"/>
              <w:rPr>
                <w:noProof/>
              </w:rPr>
            </w:pPr>
            <w:r>
              <w:rPr>
                <w:noProof/>
              </w:rPr>
              <w:t>5%</w:t>
            </w:r>
          </w:p>
        </w:tc>
      </w:tr>
      <w:tr w:rsidR="00B231CB">
        <w:trPr>
          <w:trHeight w:val="255"/>
          <w:jc w:val="center"/>
        </w:trPr>
        <w:tc>
          <w:tcPr>
            <w:tcW w:w="3936" w:type="dxa"/>
            <w:noWrap/>
            <w:hideMark/>
          </w:tcPr>
          <w:p w:rsidR="00B231CB" w:rsidRDefault="00C71431">
            <w:pPr>
              <w:spacing w:after="60"/>
              <w:rPr>
                <w:noProof/>
              </w:rPr>
            </w:pPr>
            <w:r>
              <w:rPr>
                <w:noProof/>
              </w:rPr>
              <w:t>Other</w:t>
            </w:r>
          </w:p>
        </w:tc>
        <w:tc>
          <w:tcPr>
            <w:tcW w:w="1363" w:type="dxa"/>
            <w:noWrap/>
            <w:hideMark/>
          </w:tcPr>
          <w:p w:rsidR="00B231CB" w:rsidRDefault="00C71431">
            <w:pPr>
              <w:spacing w:after="60"/>
              <w:jc w:val="center"/>
              <w:rPr>
                <w:noProof/>
              </w:rPr>
            </w:pPr>
            <w:r>
              <w:rPr>
                <w:noProof/>
              </w:rPr>
              <w:t>10</w:t>
            </w:r>
          </w:p>
        </w:tc>
        <w:tc>
          <w:tcPr>
            <w:tcW w:w="2834" w:type="dxa"/>
            <w:noWrap/>
            <w:hideMark/>
          </w:tcPr>
          <w:p w:rsidR="00B231CB" w:rsidRDefault="00C71431">
            <w:pPr>
              <w:spacing w:after="60"/>
              <w:jc w:val="center"/>
              <w:rPr>
                <w:noProof/>
              </w:rPr>
            </w:pPr>
            <w:r>
              <w:rPr>
                <w:noProof/>
              </w:rPr>
              <w:t>5%</w:t>
            </w:r>
          </w:p>
        </w:tc>
      </w:tr>
      <w:tr w:rsidR="00B231CB">
        <w:trPr>
          <w:trHeight w:val="255"/>
          <w:jc w:val="center"/>
        </w:trPr>
        <w:tc>
          <w:tcPr>
            <w:tcW w:w="3936" w:type="dxa"/>
            <w:noWrap/>
            <w:hideMark/>
          </w:tcPr>
          <w:p w:rsidR="00B231CB" w:rsidRDefault="00C71431">
            <w:pPr>
              <w:spacing w:after="60"/>
              <w:rPr>
                <w:b/>
                <w:noProof/>
              </w:rPr>
            </w:pPr>
            <w:r>
              <w:rPr>
                <w:b/>
                <w:noProof/>
              </w:rPr>
              <w:t>Total</w:t>
            </w:r>
          </w:p>
        </w:tc>
        <w:tc>
          <w:tcPr>
            <w:tcW w:w="1363" w:type="dxa"/>
            <w:noWrap/>
            <w:hideMark/>
          </w:tcPr>
          <w:p w:rsidR="00B231CB" w:rsidRDefault="00C71431">
            <w:pPr>
              <w:spacing w:after="60"/>
              <w:jc w:val="center"/>
              <w:rPr>
                <w:b/>
                <w:noProof/>
              </w:rPr>
            </w:pPr>
            <w:r>
              <w:rPr>
                <w:b/>
                <w:noProof/>
              </w:rPr>
              <w:t>205</w:t>
            </w:r>
          </w:p>
        </w:tc>
        <w:tc>
          <w:tcPr>
            <w:tcW w:w="2834" w:type="dxa"/>
            <w:noWrap/>
            <w:hideMark/>
          </w:tcPr>
          <w:p w:rsidR="00B231CB" w:rsidRDefault="00C71431">
            <w:pPr>
              <w:spacing w:after="60"/>
              <w:jc w:val="center"/>
              <w:rPr>
                <w:b/>
                <w:noProof/>
              </w:rPr>
            </w:pPr>
            <w:r>
              <w:rPr>
                <w:b/>
                <w:noProof/>
              </w:rPr>
              <w:t>100%</w:t>
            </w:r>
          </w:p>
        </w:tc>
      </w:tr>
    </w:tbl>
    <w:p w:rsidR="00B231CB" w:rsidRDefault="00C71431">
      <w:pPr>
        <w:spacing w:before="240" w:after="120"/>
        <w:rPr>
          <w:noProof/>
        </w:rPr>
      </w:pPr>
      <w:r>
        <w:rPr>
          <w:noProof/>
        </w:rPr>
        <w:t>Most responses were submitted from stakeholders based in Belgium (34), followed by Germany (26), the Netherlands and Denmark (17 each), France</w:t>
      </w:r>
      <w:r>
        <w:rPr>
          <w:noProof/>
        </w:rPr>
        <w:t xml:space="preserve"> (15) and Hungary (13). Responses were received from all Member States, except for Croatia, Cyprus, Estonia, Malta and Slovakia.  Six responses were received from stakeholders that were based outside the EU: Japan (4), Norway (1), and 'global' (1).</w:t>
      </w:r>
    </w:p>
    <w:p w:rsidR="00B231CB" w:rsidRDefault="00C71431">
      <w:pPr>
        <w:rPr>
          <w:noProof/>
        </w:rPr>
      </w:pPr>
      <w:r>
        <w:rPr>
          <w:noProof/>
        </w:rPr>
        <w:t>A stake</w:t>
      </w:r>
      <w:r>
        <w:rPr>
          <w:noProof/>
        </w:rPr>
        <w:t>holder event was organised on 24 March 2017 in Brussels to inform stakeholders on the results of the on-line public consultation and to allow them to provide further feedback. The feedback received at the workshop was generally in line with stakeholders' v</w:t>
      </w:r>
      <w:r>
        <w:rPr>
          <w:noProof/>
        </w:rPr>
        <w:t xml:space="preserve">iews as submitted in the public consultation. </w:t>
      </w:r>
    </w:p>
    <w:p w:rsidR="00B231CB" w:rsidRDefault="00C71431">
      <w:pPr>
        <w:pStyle w:val="Heading3"/>
        <w:rPr>
          <w:noProof/>
        </w:rPr>
      </w:pPr>
      <w:bookmarkStart w:id="21" w:name="_Toc496688611"/>
      <w:r>
        <w:rPr>
          <w:noProof/>
        </w:rPr>
        <w:t>The need and objectives for setting CO</w:t>
      </w:r>
      <w:r>
        <w:rPr>
          <w:noProof/>
          <w:vertAlign w:val="subscript"/>
        </w:rPr>
        <w:t>2</w:t>
      </w:r>
      <w:r>
        <w:rPr>
          <w:noProof/>
        </w:rPr>
        <w:t xml:space="preserve"> emission targets for cars and vans in the EU after 2020</w:t>
      </w:r>
      <w:bookmarkEnd w:id="21"/>
    </w:p>
    <w:p w:rsidR="00B231CB" w:rsidRDefault="00C71431">
      <w:pPr>
        <w:spacing w:after="120"/>
        <w:rPr>
          <w:noProof/>
        </w:rPr>
      </w:pPr>
      <w:r>
        <w:rPr>
          <w:noProof/>
        </w:rPr>
        <w:t xml:space="preserve">When asked to assess the </w:t>
      </w:r>
      <w:r>
        <w:rPr>
          <w:b/>
          <w:noProof/>
        </w:rPr>
        <w:t>importance of setting CO</w:t>
      </w:r>
      <w:r>
        <w:rPr>
          <w:b/>
          <w:noProof/>
          <w:vertAlign w:val="subscript"/>
        </w:rPr>
        <w:t>2</w:t>
      </w:r>
      <w:r>
        <w:rPr>
          <w:b/>
          <w:noProof/>
        </w:rPr>
        <w:t xml:space="preserve"> emission targets for new cars and light commercial vehicles</w:t>
      </w:r>
      <w:r>
        <w:rPr>
          <w:noProof/>
        </w:rPr>
        <w:t xml:space="preserve"> to</w:t>
      </w:r>
      <w:r>
        <w:rPr>
          <w:noProof/>
        </w:rPr>
        <w:t xml:space="preserve"> reduce emissions and contribute to meeting the EU's overall climate goals, most respondents across all stakeholder groups thought CO</w:t>
      </w:r>
      <w:r>
        <w:rPr>
          <w:noProof/>
          <w:vertAlign w:val="subscript"/>
        </w:rPr>
        <w:t>2</w:t>
      </w:r>
      <w:r>
        <w:rPr>
          <w:noProof/>
        </w:rPr>
        <w:t xml:space="preserve"> emission targets for new cars and light commercial vehicles were 'important' or 'very important'.  However, while all env</w:t>
      </w:r>
      <w:r>
        <w:rPr>
          <w:noProof/>
        </w:rPr>
        <w:t xml:space="preserve">ironmental and transport NGOs, consumer organisations, component suppliers, energy suppliers and public authorities (except for one regional authority) considered it 'very important', most car manufacturers considered it 'important'. Two car manufacturers </w:t>
      </w:r>
      <w:r>
        <w:rPr>
          <w:noProof/>
        </w:rPr>
        <w:t>and one petroleum company considered it 'somewhat important'.</w:t>
      </w:r>
    </w:p>
    <w:p w:rsidR="00B231CB" w:rsidRDefault="00C71431">
      <w:pPr>
        <w:spacing w:after="120"/>
        <w:rPr>
          <w:noProof/>
        </w:rPr>
      </w:pPr>
      <w:r>
        <w:rPr>
          <w:noProof/>
        </w:rPr>
        <w:t xml:space="preserve">There were mixed views on </w:t>
      </w:r>
      <w:r>
        <w:rPr>
          <w:b/>
          <w:noProof/>
        </w:rPr>
        <w:t>whether, without EU action, Member States would individually implement legislation</w:t>
      </w:r>
      <w:r>
        <w:rPr>
          <w:noProof/>
        </w:rPr>
        <w:t>.  Most stakeholders representing the automotive sector</w:t>
      </w:r>
      <w:r>
        <w:rPr>
          <w:rStyle w:val="FootnoteReference"/>
          <w:noProof/>
        </w:rPr>
        <w:footnoteReference w:id="6"/>
      </w:r>
      <w:r>
        <w:rPr>
          <w:noProof/>
        </w:rPr>
        <w:t xml:space="preserve"> considered it likely that Mem</w:t>
      </w:r>
      <w:r>
        <w:rPr>
          <w:noProof/>
        </w:rPr>
        <w:t>ber States would do so, whereas most environmental NGOs and consumer organisations considered it unlikely. Most respondents considered it likely (or were neutral) that this would lead to market fragmentation and higher costs. Only six individuals and one e</w:t>
      </w:r>
      <w:r>
        <w:rPr>
          <w:noProof/>
        </w:rPr>
        <w:t xml:space="preserve">nvironmental NGO and one private enterprise considered this unlikely. </w:t>
      </w:r>
    </w:p>
    <w:p w:rsidR="00B231CB" w:rsidRDefault="00C71431">
      <w:pPr>
        <w:rPr>
          <w:i/>
          <w:noProof/>
        </w:rPr>
      </w:pPr>
      <w:r>
        <w:rPr>
          <w:i/>
          <w:noProof/>
        </w:rPr>
        <w:t>Policy objectives</w:t>
      </w:r>
    </w:p>
    <w:p w:rsidR="00B231CB" w:rsidRDefault="00C71431">
      <w:pPr>
        <w:spacing w:after="120"/>
        <w:rPr>
          <w:noProof/>
        </w:rPr>
      </w:pPr>
      <w:r>
        <w:rPr>
          <w:noProof/>
        </w:rPr>
        <w:t>Concerning the main policy objectives for future LDV CO</w:t>
      </w:r>
      <w:r>
        <w:rPr>
          <w:noProof/>
          <w:vertAlign w:val="subscript"/>
        </w:rPr>
        <w:t>2</w:t>
      </w:r>
      <w:r>
        <w:rPr>
          <w:noProof/>
        </w:rPr>
        <w:t xml:space="preserve"> legislation, the following objectives were considered most important by the respondents:</w:t>
      </w:r>
    </w:p>
    <w:p w:rsidR="00B231CB" w:rsidRDefault="00C71431">
      <w:pPr>
        <w:pStyle w:val="ListParagraph"/>
        <w:numPr>
          <w:ilvl w:val="0"/>
          <w:numId w:val="3"/>
        </w:numPr>
        <w:spacing w:after="120"/>
        <w:contextualSpacing w:val="0"/>
        <w:jc w:val="left"/>
        <w:rPr>
          <w:noProof/>
        </w:rPr>
      </w:pPr>
      <w:r>
        <w:rPr>
          <w:noProof/>
        </w:rPr>
        <w:t xml:space="preserve">Continuing to reduce </w:t>
      </w:r>
      <w:r>
        <w:rPr>
          <w:noProof/>
        </w:rPr>
        <w:t>CO</w:t>
      </w:r>
      <w:r>
        <w:rPr>
          <w:noProof/>
          <w:vertAlign w:val="subscript"/>
        </w:rPr>
        <w:t>2</w:t>
      </w:r>
      <w:r>
        <w:rPr>
          <w:noProof/>
        </w:rPr>
        <w:t xml:space="preserve"> emissions from LDVs cost-effectively and in line with EU climate and energy goals;</w:t>
      </w:r>
    </w:p>
    <w:p w:rsidR="00B231CB" w:rsidRDefault="00C71431">
      <w:pPr>
        <w:pStyle w:val="ListParagraph"/>
        <w:numPr>
          <w:ilvl w:val="0"/>
          <w:numId w:val="3"/>
        </w:numPr>
        <w:spacing w:after="120"/>
        <w:contextualSpacing w:val="0"/>
        <w:jc w:val="left"/>
        <w:rPr>
          <w:noProof/>
        </w:rPr>
      </w:pPr>
      <w:r>
        <w:rPr>
          <w:noProof/>
        </w:rPr>
        <w:t>Promoting the market update of LEV/ ZEV;</w:t>
      </w:r>
    </w:p>
    <w:p w:rsidR="00B231CB" w:rsidRDefault="00C71431">
      <w:pPr>
        <w:pStyle w:val="ListParagraph"/>
        <w:numPr>
          <w:ilvl w:val="0"/>
          <w:numId w:val="3"/>
        </w:numPr>
        <w:spacing w:after="120"/>
        <w:contextualSpacing w:val="0"/>
        <w:jc w:val="left"/>
        <w:rPr>
          <w:noProof/>
        </w:rPr>
      </w:pPr>
      <w:r>
        <w:rPr>
          <w:noProof/>
        </w:rPr>
        <w:t>Contributing to reducing air pollution.</w:t>
      </w:r>
    </w:p>
    <w:p w:rsidR="00B231CB" w:rsidRDefault="00C71431">
      <w:pPr>
        <w:spacing w:after="120"/>
        <w:rPr>
          <w:noProof/>
        </w:rPr>
      </w:pPr>
      <w:r>
        <w:rPr>
          <w:noProof/>
        </w:rPr>
        <w:t xml:space="preserve">The more detailed analysis shows that </w:t>
      </w:r>
      <w:r>
        <w:rPr>
          <w:b/>
          <w:noProof/>
        </w:rPr>
        <w:t>continuing to reduce CO</w:t>
      </w:r>
      <w:r>
        <w:rPr>
          <w:b/>
          <w:noProof/>
          <w:vertAlign w:val="subscript"/>
        </w:rPr>
        <w:t>2</w:t>
      </w:r>
      <w:r>
        <w:rPr>
          <w:b/>
          <w:noProof/>
        </w:rPr>
        <w:t xml:space="preserve"> emissions from LDVs cost-</w:t>
      </w:r>
      <w:r>
        <w:rPr>
          <w:b/>
          <w:noProof/>
        </w:rPr>
        <w:t>effectively and in line with EU climate and energy goals</w:t>
      </w:r>
      <w:r>
        <w:rPr>
          <w:noProof/>
        </w:rPr>
        <w:t xml:space="preserve"> was considered important by all but four respondents.</w:t>
      </w:r>
    </w:p>
    <w:p w:rsidR="00B231CB" w:rsidRDefault="00C71431">
      <w:pPr>
        <w:spacing w:after="120"/>
        <w:rPr>
          <w:noProof/>
        </w:rPr>
      </w:pPr>
      <w:r>
        <w:rPr>
          <w:b/>
          <w:noProof/>
        </w:rPr>
        <w:t>Ensuring technology neutrality</w:t>
      </w:r>
      <w:r>
        <w:rPr>
          <w:noProof/>
        </w:rPr>
        <w:t xml:space="preserve"> was considered important by most respondents from the automotive sector (except for two car manufacturers who considered this objective unimportant). All public authorities that responded to the question considered this objective important. While one envi</w:t>
      </w:r>
      <w:r>
        <w:rPr>
          <w:noProof/>
        </w:rPr>
        <w:t>ronmental NGO considered this important, most environmental and transport NGOs and consumer organisations considered technology neutrality unimportant.</w:t>
      </w:r>
    </w:p>
    <w:p w:rsidR="00B231CB" w:rsidRDefault="00C71431">
      <w:pPr>
        <w:spacing w:after="120"/>
        <w:rPr>
          <w:noProof/>
        </w:rPr>
      </w:pPr>
      <w:r>
        <w:rPr>
          <w:b/>
          <w:noProof/>
        </w:rPr>
        <w:t>Ensuring competitive neutrality</w:t>
      </w:r>
      <w:r>
        <w:rPr>
          <w:noProof/>
        </w:rPr>
        <w:t xml:space="preserve"> between manufacturers was considered important (or neutral) by all but t</w:t>
      </w:r>
      <w:r>
        <w:rPr>
          <w:noProof/>
        </w:rPr>
        <w:t xml:space="preserve">hree respondents. </w:t>
      </w:r>
    </w:p>
    <w:p w:rsidR="00B231CB" w:rsidRDefault="00C71431">
      <w:pPr>
        <w:spacing w:after="120"/>
        <w:rPr>
          <w:noProof/>
        </w:rPr>
      </w:pPr>
      <w:r>
        <w:rPr>
          <w:b/>
          <w:noProof/>
        </w:rPr>
        <w:t>Preserving the competitiveness of EU automotive manufacturing</w:t>
      </w:r>
      <w:r>
        <w:rPr>
          <w:noProof/>
        </w:rPr>
        <w:t xml:space="preserve"> was considered important by most professional associations and consumer organisations as well respondents from the EU automotive sector. One non-EU car manufacturer and some e</w:t>
      </w:r>
      <w:r>
        <w:rPr>
          <w:noProof/>
        </w:rPr>
        <w:t>nvironmental and transport NGOs judged this objective as unimportant. Other environmental NGOs and non-European car manufacturers had a neutral position.</w:t>
      </w:r>
    </w:p>
    <w:p w:rsidR="00B231CB" w:rsidRDefault="00C71431">
      <w:pPr>
        <w:spacing w:after="120"/>
        <w:rPr>
          <w:noProof/>
        </w:rPr>
      </w:pPr>
      <w:r>
        <w:rPr>
          <w:b/>
          <w:noProof/>
        </w:rPr>
        <w:t>Ensuring that the legislation's impacts are socially equitable</w:t>
      </w:r>
      <w:r>
        <w:rPr>
          <w:noProof/>
        </w:rPr>
        <w:t xml:space="preserve"> was considered important by all consume</w:t>
      </w:r>
      <w:r>
        <w:rPr>
          <w:noProof/>
        </w:rPr>
        <w:t>r organisations as well as most private enterprises.. Most environmental and transport NGOs and some professional organisations as well as public authorities were neutral on this objective.</w:t>
      </w:r>
    </w:p>
    <w:p w:rsidR="00B231CB" w:rsidRDefault="00C71431">
      <w:pPr>
        <w:spacing w:after="120"/>
        <w:rPr>
          <w:noProof/>
        </w:rPr>
      </w:pPr>
      <w:r>
        <w:rPr>
          <w:noProof/>
        </w:rPr>
        <w:t xml:space="preserve">The objective to </w:t>
      </w:r>
      <w:r>
        <w:rPr>
          <w:b/>
          <w:noProof/>
        </w:rPr>
        <w:t>promote the uptake of low-emission and zero-emiss</w:t>
      </w:r>
      <w:r>
        <w:rPr>
          <w:b/>
          <w:noProof/>
        </w:rPr>
        <w:t>ion vehicles</w:t>
      </w:r>
      <w:r>
        <w:rPr>
          <w:noProof/>
        </w:rPr>
        <w:t xml:space="preserve"> was considered important by most respondents while only three oil companies and one national car industry organisation considered it unimportant. Some car manufacturers and one car industry association, component suppliers as well as one publi</w:t>
      </w:r>
      <w:r>
        <w:rPr>
          <w:noProof/>
        </w:rPr>
        <w:t>c authority expressed a neutral position.</w:t>
      </w:r>
    </w:p>
    <w:p w:rsidR="00B231CB" w:rsidRDefault="00C71431">
      <w:pPr>
        <w:spacing w:after="120"/>
        <w:rPr>
          <w:noProof/>
        </w:rPr>
      </w:pPr>
      <w:r>
        <w:rPr>
          <w:b/>
          <w:noProof/>
        </w:rPr>
        <w:t>Contributing to reducing air pollution</w:t>
      </w:r>
      <w:r>
        <w:rPr>
          <w:noProof/>
        </w:rPr>
        <w:t xml:space="preserve"> was considered important by almost all respondents. </w:t>
      </w:r>
    </w:p>
    <w:p w:rsidR="00B231CB" w:rsidRDefault="00C71431">
      <w:pPr>
        <w:spacing w:after="120"/>
        <w:rPr>
          <w:i/>
          <w:noProof/>
        </w:rPr>
      </w:pPr>
      <w:r>
        <w:rPr>
          <w:i/>
          <w:noProof/>
        </w:rPr>
        <w:t>Action to be taken</w:t>
      </w:r>
    </w:p>
    <w:p w:rsidR="00B231CB" w:rsidRDefault="00C71431">
      <w:pPr>
        <w:spacing w:after="120"/>
        <w:rPr>
          <w:noProof/>
        </w:rPr>
      </w:pPr>
      <w:r>
        <w:rPr>
          <w:noProof/>
        </w:rPr>
        <w:t xml:space="preserve">The respondents were asked about the form that action should take and the majority favoured </w:t>
      </w:r>
      <w:r>
        <w:rPr>
          <w:b/>
          <w:noProof/>
        </w:rPr>
        <w:t>LDV CO</w:t>
      </w:r>
      <w:r>
        <w:rPr>
          <w:b/>
          <w:noProof/>
          <w:vertAlign w:val="subscript"/>
        </w:rPr>
        <w:t>2</w:t>
      </w:r>
      <w:r>
        <w:rPr>
          <w:b/>
          <w:noProof/>
        </w:rPr>
        <w:t xml:space="preserve"> emi</w:t>
      </w:r>
      <w:r>
        <w:rPr>
          <w:b/>
          <w:noProof/>
        </w:rPr>
        <w:t>ssions targets at the EU level</w:t>
      </w:r>
      <w:r>
        <w:rPr>
          <w:noProof/>
        </w:rPr>
        <w:t>. Among the stakeholder groups this action was the most preferred option by nearly all civil society organisations as well as by most public authorities that responded to this question. "Other" was the second most chosen optio</w:t>
      </w:r>
      <w:r>
        <w:rPr>
          <w:noProof/>
        </w:rPr>
        <w:t xml:space="preserve">n as preference which in many cases was also supporting a target at EU level but with some specific preference on timing or target level. </w:t>
      </w:r>
    </w:p>
    <w:p w:rsidR="00B231CB" w:rsidRDefault="00C71431">
      <w:pPr>
        <w:spacing w:after="120"/>
        <w:rPr>
          <w:i/>
          <w:noProof/>
        </w:rPr>
      </w:pPr>
      <w:r>
        <w:rPr>
          <w:i/>
          <w:noProof/>
        </w:rPr>
        <w:t>Target levels</w:t>
      </w:r>
    </w:p>
    <w:p w:rsidR="00B231CB" w:rsidRDefault="00C71431">
      <w:pPr>
        <w:spacing w:after="120"/>
        <w:rPr>
          <w:noProof/>
        </w:rPr>
      </w:pPr>
      <w:r>
        <w:rPr>
          <w:noProof/>
        </w:rPr>
        <w:t xml:space="preserve">The majority of respondents thought that targets should be </w:t>
      </w:r>
      <w:r>
        <w:rPr>
          <w:b/>
          <w:bCs/>
          <w:noProof/>
        </w:rPr>
        <w:t xml:space="preserve">set at a higher rate of reduction </w:t>
      </w:r>
      <w:r>
        <w:rPr>
          <w:noProof/>
        </w:rPr>
        <w:t>than under</w:t>
      </w:r>
      <w:r>
        <w:rPr>
          <w:noProof/>
        </w:rPr>
        <w:t xml:space="preserve"> current regulations, only few stakeholders were in favour of a lower rate. Most environmental and transport NGOs and the majority of individual respondents were in favour of a higher rate of reduction than that required under the current Regulations. Howe</w:t>
      </w:r>
      <w:r>
        <w:rPr>
          <w:noProof/>
        </w:rPr>
        <w:t xml:space="preserve">ver, consumer organisations were mostly in favour of a </w:t>
      </w:r>
      <w:r>
        <w:rPr>
          <w:b/>
          <w:noProof/>
        </w:rPr>
        <w:t>similar rate of reduction as required under the current Regulations</w:t>
      </w:r>
      <w:r>
        <w:rPr>
          <w:noProof/>
        </w:rPr>
        <w:t xml:space="preserve">. Most public authorities were in favour of higher or similar reduction rates; none was in favour of lower reduction rates. A </w:t>
      </w:r>
      <w:r>
        <w:rPr>
          <w:b/>
          <w:noProof/>
        </w:rPr>
        <w:t>reductio</w:t>
      </w:r>
      <w:r>
        <w:rPr>
          <w:b/>
          <w:noProof/>
        </w:rPr>
        <w:t>n rate lower than that required under the current Regulations</w:t>
      </w:r>
      <w:r>
        <w:rPr>
          <w:noProof/>
        </w:rPr>
        <w:t xml:space="preserve"> was supported by the European car manufacturers association and individual car manufacturers, the European trade union representing workers in the manufacturing sector as well as some component </w:t>
      </w:r>
      <w:r>
        <w:rPr>
          <w:noProof/>
        </w:rPr>
        <w:t>suppliers.</w:t>
      </w:r>
    </w:p>
    <w:p w:rsidR="00B231CB" w:rsidRDefault="00C71431">
      <w:pPr>
        <w:spacing w:after="120"/>
        <w:rPr>
          <w:i/>
          <w:noProof/>
        </w:rPr>
      </w:pPr>
      <w:r>
        <w:rPr>
          <w:i/>
          <w:noProof/>
        </w:rPr>
        <w:t>Innovation and competitiveness</w:t>
      </w:r>
    </w:p>
    <w:p w:rsidR="00B231CB" w:rsidRDefault="00C71431">
      <w:pPr>
        <w:spacing w:after="120"/>
        <w:rPr>
          <w:noProof/>
        </w:rPr>
      </w:pPr>
      <w:r>
        <w:rPr>
          <w:noProof/>
        </w:rPr>
        <w:t>When asked about innovation and competitiveness, the majority of respondents thought that EU legislation to regulate CO</w:t>
      </w:r>
      <w:r>
        <w:rPr>
          <w:noProof/>
          <w:vertAlign w:val="subscript"/>
        </w:rPr>
        <w:t>2</w:t>
      </w:r>
      <w:r>
        <w:rPr>
          <w:noProof/>
        </w:rPr>
        <w:t xml:space="preserve"> emissions would </w:t>
      </w:r>
      <w:r>
        <w:rPr>
          <w:b/>
          <w:noProof/>
        </w:rPr>
        <w:t>increase the competitiveness of EU industry on the global market</w:t>
      </w:r>
      <w:r>
        <w:rPr>
          <w:noProof/>
        </w:rPr>
        <w:t xml:space="preserve"> or were neut</w:t>
      </w:r>
      <w:r>
        <w:rPr>
          <w:noProof/>
        </w:rPr>
        <w:t>ral on that point. One national car industry association and stakeholders from the petroleum sector disagreed that it would enhance competitiveness. When asked whether EU legislation to regulate CO</w:t>
      </w:r>
      <w:r>
        <w:rPr>
          <w:noProof/>
          <w:vertAlign w:val="subscript"/>
        </w:rPr>
        <w:t>2</w:t>
      </w:r>
      <w:r>
        <w:rPr>
          <w:noProof/>
        </w:rPr>
        <w:t xml:space="preserve"> emission for LDVs will increase the likelihood of the EU </w:t>
      </w:r>
      <w:r>
        <w:rPr>
          <w:noProof/>
        </w:rPr>
        <w:t xml:space="preserve">automotive industry </w:t>
      </w:r>
      <w:r>
        <w:rPr>
          <w:b/>
          <w:noProof/>
        </w:rPr>
        <w:t>developing further CO</w:t>
      </w:r>
      <w:r>
        <w:rPr>
          <w:b/>
          <w:noProof/>
          <w:vertAlign w:val="subscript"/>
        </w:rPr>
        <w:t>2</w:t>
      </w:r>
      <w:r>
        <w:rPr>
          <w:b/>
          <w:noProof/>
        </w:rPr>
        <w:t xml:space="preserve"> reducing technology for conventional engines</w:t>
      </w:r>
      <w:r>
        <w:rPr>
          <w:noProof/>
        </w:rPr>
        <w:t xml:space="preserve"> only four national associations representing different stakeholder groups disagreed. When asked whether future EU CO</w:t>
      </w:r>
      <w:r>
        <w:rPr>
          <w:noProof/>
          <w:vertAlign w:val="subscript"/>
        </w:rPr>
        <w:t>2</w:t>
      </w:r>
      <w:r>
        <w:rPr>
          <w:noProof/>
        </w:rPr>
        <w:t xml:space="preserve"> legislation for LDVs would increase the likelihood</w:t>
      </w:r>
      <w:r>
        <w:rPr>
          <w:noProof/>
        </w:rPr>
        <w:t xml:space="preserve"> of the EU industry </w:t>
      </w:r>
      <w:r>
        <w:rPr>
          <w:b/>
          <w:noProof/>
        </w:rPr>
        <w:t>developing technology for alternative powertrains</w:t>
      </w:r>
      <w:r>
        <w:rPr>
          <w:noProof/>
        </w:rPr>
        <w:t>, all stakeholders agreed or were neutral.</w:t>
      </w:r>
    </w:p>
    <w:p w:rsidR="00B231CB" w:rsidRDefault="00C71431">
      <w:pPr>
        <w:spacing w:after="120"/>
        <w:rPr>
          <w:i/>
          <w:noProof/>
        </w:rPr>
      </w:pPr>
      <w:r>
        <w:rPr>
          <w:i/>
          <w:noProof/>
        </w:rPr>
        <w:t>Social impacts</w:t>
      </w:r>
    </w:p>
    <w:p w:rsidR="00B231CB" w:rsidRDefault="00C71431">
      <w:pPr>
        <w:spacing w:after="120"/>
        <w:rPr>
          <w:noProof/>
        </w:rPr>
      </w:pPr>
      <w:r>
        <w:rPr>
          <w:noProof/>
        </w:rPr>
        <w:t>When considering social impacts, all consumer organisations, most environmental NGOs as well as several public authorities were o</w:t>
      </w:r>
      <w:r>
        <w:rPr>
          <w:noProof/>
        </w:rPr>
        <w:t xml:space="preserve">f the opinion that </w:t>
      </w:r>
      <w:r>
        <w:rPr>
          <w:b/>
          <w:noProof/>
        </w:rPr>
        <w:t>LDV CO</w:t>
      </w:r>
      <w:r>
        <w:rPr>
          <w:b/>
          <w:noProof/>
          <w:vertAlign w:val="subscript"/>
        </w:rPr>
        <w:t>2</w:t>
      </w:r>
      <w:r>
        <w:rPr>
          <w:b/>
          <w:noProof/>
        </w:rPr>
        <w:t xml:space="preserve"> legislation is likely to lead to benefits for lower income social groups and countries.</w:t>
      </w:r>
      <w:r>
        <w:rPr>
          <w:noProof/>
        </w:rPr>
        <w:t xml:space="preserve"> Trade unions and stakeholders representing the petroleum industry largely disagreed with this statement. Most representatives of the automoti</w:t>
      </w:r>
      <w:r>
        <w:rPr>
          <w:noProof/>
        </w:rPr>
        <w:t>ve sector were neutral on this point. Most respondents were in favour of considering</w:t>
      </w:r>
      <w:r>
        <w:rPr>
          <w:b/>
          <w:noProof/>
        </w:rPr>
        <w:t xml:space="preserve"> second hand LDV purchasers and cross-border trade in second hand vehicles</w:t>
      </w:r>
      <w:r>
        <w:rPr>
          <w:noProof/>
        </w:rPr>
        <w:t xml:space="preserve"> when assessing the social impacts of the legislation, very few were opposed.</w:t>
      </w:r>
    </w:p>
    <w:p w:rsidR="00B231CB" w:rsidRDefault="00C71431">
      <w:pPr>
        <w:spacing w:after="120"/>
        <w:rPr>
          <w:i/>
          <w:noProof/>
        </w:rPr>
      </w:pPr>
      <w:r>
        <w:rPr>
          <w:i/>
          <w:noProof/>
        </w:rPr>
        <w:t>Regulatory aspects</w:t>
      </w:r>
    </w:p>
    <w:p w:rsidR="00B231CB" w:rsidRDefault="00C71431">
      <w:pPr>
        <w:spacing w:after="120"/>
        <w:rPr>
          <w:noProof/>
        </w:rPr>
      </w:pPr>
      <w:r>
        <w:rPr>
          <w:noProof/>
        </w:rPr>
        <w:t>R</w:t>
      </w:r>
      <w:r>
        <w:rPr>
          <w:noProof/>
        </w:rPr>
        <w:t>egarding the scope of the future CO</w:t>
      </w:r>
      <w:r>
        <w:rPr>
          <w:noProof/>
          <w:vertAlign w:val="subscript"/>
        </w:rPr>
        <w:t>2</w:t>
      </w:r>
      <w:r>
        <w:rPr>
          <w:noProof/>
        </w:rPr>
        <w:t xml:space="preserve"> legislation nearly all car manufacturers were opposed (or neutral) to </w:t>
      </w:r>
      <w:r>
        <w:rPr>
          <w:b/>
          <w:noProof/>
        </w:rPr>
        <w:t>extending the scope to heavier vehicles (N2) or to include small light commercial vehicles.</w:t>
      </w:r>
      <w:r>
        <w:rPr>
          <w:noProof/>
        </w:rPr>
        <w:t xml:space="preserve"> Most consumer organisations, stakeholders from the petrol</w:t>
      </w:r>
      <w:r>
        <w:rPr>
          <w:noProof/>
        </w:rPr>
        <w:t xml:space="preserve">eum industry and public authorities were in favour of extending the scope. </w:t>
      </w:r>
    </w:p>
    <w:p w:rsidR="00B231CB" w:rsidRDefault="00C71431">
      <w:pPr>
        <w:spacing w:after="120"/>
        <w:rPr>
          <w:noProof/>
        </w:rPr>
      </w:pPr>
      <w:r>
        <w:rPr>
          <w:noProof/>
        </w:rPr>
        <w:t xml:space="preserve">As to whether </w:t>
      </w:r>
      <w:r>
        <w:rPr>
          <w:b/>
          <w:noProof/>
        </w:rPr>
        <w:t>cars and light commercial vehicles should be covered by the same Regulation</w:t>
      </w:r>
      <w:r>
        <w:rPr>
          <w:noProof/>
        </w:rPr>
        <w:t xml:space="preserve"> a majority of respondents was in favour, but there was no clear trend among stakeholder gr</w:t>
      </w:r>
      <w:r>
        <w:rPr>
          <w:noProof/>
        </w:rPr>
        <w:t xml:space="preserve">oups except for car manufacturers and many consumer organisations which were against such an approach. Most stakeholders, including all car manufacturers, did not agree that </w:t>
      </w:r>
      <w:r>
        <w:rPr>
          <w:b/>
          <w:noProof/>
        </w:rPr>
        <w:t>manufacturers should be replaced by manufacturer groups</w:t>
      </w:r>
      <w:r>
        <w:rPr>
          <w:noProof/>
        </w:rPr>
        <w:t xml:space="preserve"> as the regulated entity.</w:t>
      </w:r>
    </w:p>
    <w:p w:rsidR="00B231CB" w:rsidRDefault="00C71431">
      <w:pPr>
        <w:spacing w:after="120"/>
        <w:rPr>
          <w:noProof/>
        </w:rPr>
      </w:pPr>
      <w:r>
        <w:rPr>
          <w:noProof/>
        </w:rPr>
        <w:t>W</w:t>
      </w:r>
      <w:r>
        <w:rPr>
          <w:noProof/>
        </w:rPr>
        <w:t xml:space="preserve">hen asked whether the </w:t>
      </w:r>
      <w:r>
        <w:rPr>
          <w:b/>
          <w:noProof/>
        </w:rPr>
        <w:t>current Tank to Wheel (TTW) metric should be replaced by a Well to Wheel (WTW) metric</w:t>
      </w:r>
      <w:r>
        <w:rPr>
          <w:noProof/>
        </w:rPr>
        <w:t xml:space="preserve">, all but one of the stakeholders representing the fuels industry as well as some component suppliers supported such a change. By contrast, consumer </w:t>
      </w:r>
      <w:r>
        <w:rPr>
          <w:noProof/>
        </w:rPr>
        <w:t xml:space="preserve">organisations, car manufacturers and stakeholders from the power sector were mostly in favour of keeping the current TTW metric. Public authorities had mixed views. </w:t>
      </w:r>
    </w:p>
    <w:p w:rsidR="00B231CB" w:rsidRDefault="00C71431">
      <w:pPr>
        <w:spacing w:after="120"/>
        <w:rPr>
          <w:noProof/>
        </w:rPr>
      </w:pPr>
      <w:r>
        <w:rPr>
          <w:noProof/>
        </w:rPr>
        <w:t xml:space="preserve">The majority of all stakeholder groups was against (or neutral) </w:t>
      </w:r>
      <w:r>
        <w:rPr>
          <w:b/>
          <w:noProof/>
        </w:rPr>
        <w:t xml:space="preserve">changing the current </w:t>
      </w:r>
      <w:r>
        <w:rPr>
          <w:b/>
          <w:noProof/>
        </w:rPr>
        <w:t>approach based on CO</w:t>
      </w:r>
      <w:r>
        <w:rPr>
          <w:b/>
          <w:noProof/>
          <w:vertAlign w:val="subscript"/>
        </w:rPr>
        <w:t>2</w:t>
      </w:r>
      <w:r>
        <w:rPr>
          <w:b/>
          <w:noProof/>
        </w:rPr>
        <w:t xml:space="preserve"> emissions to be replaced by an approach based on energy use</w:t>
      </w:r>
      <w:r>
        <w:rPr>
          <w:noProof/>
        </w:rPr>
        <w:t xml:space="preserve">. </w:t>
      </w:r>
    </w:p>
    <w:p w:rsidR="00B231CB" w:rsidRDefault="00C71431">
      <w:pPr>
        <w:spacing w:after="120"/>
        <w:rPr>
          <w:noProof/>
        </w:rPr>
      </w:pPr>
      <w:r>
        <w:rPr>
          <w:noProof/>
        </w:rPr>
        <w:t xml:space="preserve">In response to the question whether </w:t>
      </w:r>
      <w:r>
        <w:rPr>
          <w:b/>
          <w:noProof/>
        </w:rPr>
        <w:t>emissions occurring during manufacturing and at the time of disposal</w:t>
      </w:r>
      <w:r>
        <w:rPr>
          <w:noProof/>
        </w:rPr>
        <w:t xml:space="preserve"> should be included, most car manufacturers were against this approa</w:t>
      </w:r>
      <w:r>
        <w:rPr>
          <w:noProof/>
        </w:rPr>
        <w:t xml:space="preserve">ch, whereas other stakeholder groups had diverging views. </w:t>
      </w:r>
    </w:p>
    <w:p w:rsidR="00B231CB" w:rsidRDefault="00C71431">
      <w:pPr>
        <w:spacing w:after="120"/>
        <w:rPr>
          <w:noProof/>
        </w:rPr>
      </w:pPr>
      <w:r>
        <w:rPr>
          <w:noProof/>
        </w:rPr>
        <w:t xml:space="preserve">Across all stakeholder groups there was very strong support for the </w:t>
      </w:r>
      <w:r>
        <w:rPr>
          <w:b/>
          <w:noProof/>
        </w:rPr>
        <w:t>Commission to explore which potential exists to further reduce the divergence between the test cycles and real world emissions</w:t>
      </w:r>
      <w:r>
        <w:rPr>
          <w:noProof/>
        </w:rPr>
        <w:t>. O</w:t>
      </w:r>
      <w:r>
        <w:rPr>
          <w:noProof/>
        </w:rPr>
        <w:t xml:space="preserve">nly representatives of car manufacturers and one component supplier were against. </w:t>
      </w:r>
    </w:p>
    <w:p w:rsidR="00B231CB" w:rsidRDefault="00C71431">
      <w:pPr>
        <w:spacing w:after="120"/>
        <w:rPr>
          <w:noProof/>
        </w:rPr>
      </w:pPr>
      <w:r>
        <w:rPr>
          <w:noProof/>
        </w:rPr>
        <w:t xml:space="preserve">Similarly, all stakeholder groups supported </w:t>
      </w:r>
      <w:r>
        <w:rPr>
          <w:b/>
          <w:noProof/>
        </w:rPr>
        <w:t>additional driving tests to give values closer to real emissions</w:t>
      </w:r>
      <w:r>
        <w:rPr>
          <w:noProof/>
        </w:rPr>
        <w:t xml:space="preserve"> except for car manufacturers and one component supplier who oppo</w:t>
      </w:r>
      <w:r>
        <w:rPr>
          <w:noProof/>
        </w:rPr>
        <w:t>sed this idea. More specifically, many environmental and transport NGOs, car drivers associations and public authorities from one Member State called for the extension of real-driving emission (RDE) tests to include CO</w:t>
      </w:r>
      <w:r>
        <w:rPr>
          <w:noProof/>
          <w:vertAlign w:val="subscript"/>
        </w:rPr>
        <w:t>2</w:t>
      </w:r>
      <w:r>
        <w:rPr>
          <w:noProof/>
        </w:rPr>
        <w:t xml:space="preserve"> emissions, often in combination with</w:t>
      </w:r>
      <w:r>
        <w:rPr>
          <w:noProof/>
        </w:rPr>
        <w:t xml:space="preserve"> a not-to-exceed limit. </w:t>
      </w:r>
    </w:p>
    <w:p w:rsidR="00B231CB" w:rsidRDefault="00C71431">
      <w:pPr>
        <w:spacing w:after="120"/>
        <w:rPr>
          <w:noProof/>
        </w:rPr>
      </w:pPr>
      <w:r>
        <w:rPr>
          <w:noProof/>
        </w:rPr>
        <w:t xml:space="preserve">The </w:t>
      </w:r>
      <w:r>
        <w:rPr>
          <w:b/>
          <w:noProof/>
        </w:rPr>
        <w:t>use of mass monitoring of fuel consumption in vehicles for monitoring purposes</w:t>
      </w:r>
      <w:r>
        <w:rPr>
          <w:noProof/>
        </w:rPr>
        <w:t xml:space="preserve"> was opposed by car manufacturers and a national car drivers association and some local authorities, whereas environmental and transport NGOs were la</w:t>
      </w:r>
      <w:r>
        <w:rPr>
          <w:noProof/>
        </w:rPr>
        <w:t>rgely in favour of this. Consumer organisations, the automotive supply industry as well as the majority of public authorities were neutral on this issue.</w:t>
      </w:r>
    </w:p>
    <w:p w:rsidR="00B231CB" w:rsidRDefault="00C71431">
      <w:pPr>
        <w:pStyle w:val="Heading3"/>
        <w:spacing w:after="120"/>
        <w:rPr>
          <w:noProof/>
        </w:rPr>
      </w:pPr>
      <w:bookmarkStart w:id="22" w:name="_Toc496688612"/>
      <w:r>
        <w:rPr>
          <w:noProof/>
        </w:rPr>
        <w:t>Technology specific requirements</w:t>
      </w:r>
      <w:bookmarkEnd w:id="22"/>
    </w:p>
    <w:p w:rsidR="00B231CB" w:rsidRDefault="00C71431">
      <w:pPr>
        <w:spacing w:after="120"/>
        <w:rPr>
          <w:noProof/>
        </w:rPr>
      </w:pPr>
      <w:r>
        <w:rPr>
          <w:noProof/>
        </w:rPr>
        <w:t xml:space="preserve">When asked whether </w:t>
      </w:r>
      <w:r>
        <w:rPr>
          <w:b/>
          <w:noProof/>
        </w:rPr>
        <w:t xml:space="preserve">manufacturers should be given the freedom to </w:t>
      </w:r>
      <w:r>
        <w:rPr>
          <w:b/>
          <w:noProof/>
        </w:rPr>
        <w:t>choose the mix of technologies and emission levels for their vehicles provided they meet the overall target set for them</w:t>
      </w:r>
      <w:r>
        <w:rPr>
          <w:noProof/>
        </w:rPr>
        <w:t>, the majority of all stakeholder groups and citizens were in favour of providing manufacturers with that freedom. Among the respondents</w:t>
      </w:r>
      <w:r>
        <w:rPr>
          <w:noProof/>
        </w:rPr>
        <w:t xml:space="preserve"> all research institutions, consumer organisations, car manufacturers and public authorities supported such an approach. A comparatively small number of respondents were against.</w:t>
      </w:r>
    </w:p>
    <w:p w:rsidR="00B231CB" w:rsidRDefault="00C71431">
      <w:pPr>
        <w:spacing w:after="120"/>
        <w:rPr>
          <w:noProof/>
        </w:rPr>
      </w:pPr>
      <w:r>
        <w:rPr>
          <w:noProof/>
        </w:rPr>
        <w:t xml:space="preserve">There were rather mixed views across stakeholder groups on whether </w:t>
      </w:r>
      <w:r>
        <w:rPr>
          <w:b/>
          <w:noProof/>
        </w:rPr>
        <w:t>specific C</w:t>
      </w:r>
      <w:r>
        <w:rPr>
          <w:b/>
          <w:noProof/>
        </w:rPr>
        <w:t>O</w:t>
      </w:r>
      <w:r>
        <w:rPr>
          <w:b/>
          <w:noProof/>
          <w:vertAlign w:val="subscript"/>
        </w:rPr>
        <w:t>2</w:t>
      </w:r>
      <w:r>
        <w:rPr>
          <w:b/>
          <w:noProof/>
        </w:rPr>
        <w:t xml:space="preserve"> targets for different fuel types or technologies</w:t>
      </w:r>
      <w:r>
        <w:rPr>
          <w:noProof/>
        </w:rPr>
        <w:t xml:space="preserve"> should be set. While all car manufacturers and the majority of all stakeholder groups were not in favour of such specific targets, some environmental NGOs, some component suppliers, one oil company, and t</w:t>
      </w:r>
      <w:r>
        <w:rPr>
          <w:noProof/>
        </w:rPr>
        <w:t>wo public authorities supported specific targets. Consumer organisations were neutral on that point.</w:t>
      </w:r>
    </w:p>
    <w:p w:rsidR="00B231CB" w:rsidRDefault="00C71431">
      <w:pPr>
        <w:spacing w:after="120"/>
        <w:rPr>
          <w:noProof/>
        </w:rPr>
      </w:pPr>
      <w:r>
        <w:rPr>
          <w:noProof/>
        </w:rPr>
        <w:t xml:space="preserve">The majority in all stakeholder groups were in favour of continuing </w:t>
      </w:r>
      <w:r>
        <w:rPr>
          <w:b/>
          <w:noProof/>
        </w:rPr>
        <w:t>setting manufacturer's targets based on their sales weighted average registrations</w:t>
      </w:r>
      <w:r>
        <w:rPr>
          <w:noProof/>
        </w:rPr>
        <w:t>. All</w:t>
      </w:r>
      <w:r>
        <w:rPr>
          <w:noProof/>
        </w:rPr>
        <w:t xml:space="preserve"> car manufacturers and consumer organisations were in favour, whereas car drivers associations were neutral on that issue. Some environmental NGOs and all respondents representing specifically the biogas sector were against continuing with the current targ</w:t>
      </w:r>
      <w:r>
        <w:rPr>
          <w:noProof/>
        </w:rPr>
        <w:t>et-setting approach.</w:t>
      </w:r>
    </w:p>
    <w:p w:rsidR="00B231CB" w:rsidRDefault="00C71431">
      <w:pPr>
        <w:spacing w:after="120"/>
        <w:rPr>
          <w:noProof/>
        </w:rPr>
      </w:pPr>
      <w:r>
        <w:rPr>
          <w:noProof/>
        </w:rPr>
        <w:t xml:space="preserve">Stakeholder views were very mixed on the question whether </w:t>
      </w:r>
      <w:r>
        <w:rPr>
          <w:b/>
          <w:noProof/>
        </w:rPr>
        <w:t>average mileage by fuel and vehicle segment should be taken into account when establishing targets</w:t>
      </w:r>
      <w:r>
        <w:rPr>
          <w:noProof/>
        </w:rPr>
        <w:t xml:space="preserve"> A number of environmental and transport NGOs, some research institutions, and </w:t>
      </w:r>
      <w:r>
        <w:rPr>
          <w:noProof/>
        </w:rPr>
        <w:t>all respondents from the petroleum sector were in favour of that option. By contrast, one NGO and the majority of car manufacturers were against this option. Most consumer organisations were neutral on that issue, whereas public authorities were equally sp</w:t>
      </w:r>
      <w:r>
        <w:rPr>
          <w:noProof/>
        </w:rPr>
        <w:t>lit on this issue.</w:t>
      </w:r>
    </w:p>
    <w:p w:rsidR="00B231CB" w:rsidRDefault="00C71431">
      <w:pPr>
        <w:pStyle w:val="Heading3"/>
        <w:rPr>
          <w:noProof/>
        </w:rPr>
      </w:pPr>
      <w:bookmarkStart w:id="23" w:name="_Toc496688613"/>
      <w:r>
        <w:rPr>
          <w:noProof/>
        </w:rPr>
        <w:t>Distribution of efforts between different actors</w:t>
      </w:r>
      <w:bookmarkEnd w:id="23"/>
    </w:p>
    <w:p w:rsidR="00B231CB" w:rsidRDefault="00C71431">
      <w:pPr>
        <w:spacing w:after="120"/>
        <w:rPr>
          <w:noProof/>
        </w:rPr>
      </w:pPr>
      <w:r>
        <w:rPr>
          <w:noProof/>
        </w:rPr>
        <w:t xml:space="preserve">Most car manufacturers and consumer organisations were in favour of using a </w:t>
      </w:r>
      <w:r>
        <w:rPr>
          <w:b/>
          <w:noProof/>
        </w:rPr>
        <w:t>utility parameter to distribute the effort between different vehicle manufacturers</w:t>
      </w:r>
      <w:r>
        <w:rPr>
          <w:noProof/>
        </w:rPr>
        <w:t xml:space="preserve"> (as in the current legislatio</w:t>
      </w:r>
      <w:r>
        <w:rPr>
          <w:noProof/>
        </w:rPr>
        <w:t xml:space="preserve">n). Most of the other respondents across different stakeholder groups were neutral on this question. A relatively small number of respondents from different stakeholder groups were against the use of a utility parameter. </w:t>
      </w:r>
    </w:p>
    <w:p w:rsidR="00B231CB" w:rsidRDefault="00C71431">
      <w:pPr>
        <w:spacing w:after="120"/>
        <w:rPr>
          <w:noProof/>
        </w:rPr>
      </w:pPr>
      <w:r>
        <w:rPr>
          <w:noProof/>
        </w:rPr>
        <w:t>When asked which utility parameter</w:t>
      </w:r>
      <w:r>
        <w:rPr>
          <w:noProof/>
        </w:rPr>
        <w:t xml:space="preserve"> should be used, the majority of respondents did therefore not provide answer. Among those that provided an answer, all consumer organisations, some environmental and transport NGOs as well as stakeholders from the petroleum sector supported </w:t>
      </w:r>
      <w:r>
        <w:rPr>
          <w:b/>
          <w:noProof/>
        </w:rPr>
        <w:t>footprint as u</w:t>
      </w:r>
      <w:r>
        <w:rPr>
          <w:b/>
          <w:noProof/>
        </w:rPr>
        <w:t>tility parameter</w:t>
      </w:r>
      <w:r>
        <w:rPr>
          <w:noProof/>
        </w:rPr>
        <w:t xml:space="preserve">. Most car manufacturers supported </w:t>
      </w:r>
      <w:r>
        <w:rPr>
          <w:b/>
          <w:noProof/>
        </w:rPr>
        <w:t>mass as utility parameter</w:t>
      </w:r>
      <w:r>
        <w:rPr>
          <w:noProof/>
        </w:rPr>
        <w:t>. One car manufacturer commented that any utility parameter should not discriminate against light-weighting efforts. Two stakeholders (a professional organisation and a national pu</w:t>
      </w:r>
      <w:r>
        <w:rPr>
          <w:noProof/>
        </w:rPr>
        <w:t>blic authority) suggested that the loading capacity could be used for light commercial vehicles as utility parameter.</w:t>
      </w:r>
    </w:p>
    <w:p w:rsidR="00B231CB" w:rsidRDefault="00C71431">
      <w:pPr>
        <w:pStyle w:val="Heading3"/>
        <w:rPr>
          <w:noProof/>
        </w:rPr>
      </w:pPr>
      <w:bookmarkStart w:id="24" w:name="_Toc496688614"/>
      <w:r>
        <w:rPr>
          <w:noProof/>
        </w:rPr>
        <w:t>Incentivising low- and zero-emission vehicles</w:t>
      </w:r>
      <w:bookmarkEnd w:id="24"/>
    </w:p>
    <w:p w:rsidR="00B231CB" w:rsidRDefault="00C71431">
      <w:pPr>
        <w:spacing w:after="120"/>
        <w:rPr>
          <w:noProof/>
        </w:rPr>
      </w:pPr>
      <w:r>
        <w:rPr>
          <w:noProof/>
        </w:rPr>
        <w:t xml:space="preserve">A majority of stakeholders across all stakeholder groups thought there should be a </w:t>
      </w:r>
      <w:r>
        <w:rPr>
          <w:b/>
          <w:noProof/>
        </w:rPr>
        <w:t>mechanism</w:t>
      </w:r>
      <w:r>
        <w:rPr>
          <w:b/>
          <w:noProof/>
        </w:rPr>
        <w:t xml:space="preserve"> to encourage the deployment of low and zero emission vehicles </w:t>
      </w:r>
      <w:r>
        <w:rPr>
          <w:noProof/>
        </w:rPr>
        <w:t>(LEVs/ZEVs) except for consumer organisations which were mostly neutral on whether and how LEVs/ZEVs should be incentivised. Only one trade union, the works council of a German car manufacturer</w:t>
      </w:r>
      <w:r>
        <w:rPr>
          <w:noProof/>
        </w:rPr>
        <w:t xml:space="preserve">, two oil companies and one public authority were against such a mechanism.  </w:t>
      </w:r>
    </w:p>
    <w:p w:rsidR="00B231CB" w:rsidRDefault="00C71431">
      <w:pPr>
        <w:spacing w:after="120"/>
        <w:rPr>
          <w:noProof/>
        </w:rPr>
      </w:pPr>
      <w:r>
        <w:rPr>
          <w:noProof/>
        </w:rPr>
        <w:t xml:space="preserve">A </w:t>
      </w:r>
      <w:r>
        <w:rPr>
          <w:b/>
          <w:noProof/>
        </w:rPr>
        <w:t>mandate to produce and sell a minimum proportion of LEVs/ZEVs</w:t>
      </w:r>
      <w:r>
        <w:rPr>
          <w:noProof/>
        </w:rPr>
        <w:t xml:space="preserve"> was opposed by car manufacturers but supported by most environmental and transport NGOs. When asked what kind of i</w:t>
      </w:r>
      <w:r>
        <w:rPr>
          <w:noProof/>
        </w:rPr>
        <w:t>ncentive should be introduced for LEVs/ZEVs, most environmental and transport NGOs were in favour of a flexible mandate that differentiates between LEVs and ZEVs and allows trading among manufacturers. Some car manufacturers were in favour of super credits</w:t>
      </w:r>
      <w:r>
        <w:rPr>
          <w:noProof/>
        </w:rPr>
        <w:t>, one manufacturer referred to the need for public support for charging infrastructure. Public authorities were split on this issue.</w:t>
      </w:r>
    </w:p>
    <w:p w:rsidR="00B231CB" w:rsidRDefault="00C71431">
      <w:pPr>
        <w:spacing w:after="120"/>
        <w:rPr>
          <w:noProof/>
        </w:rPr>
      </w:pPr>
      <w:r>
        <w:rPr>
          <w:noProof/>
        </w:rPr>
        <w:t xml:space="preserve">Concerning the </w:t>
      </w:r>
      <w:r>
        <w:rPr>
          <w:b/>
          <w:noProof/>
        </w:rPr>
        <w:t>definition of LEVs/ZEVs</w:t>
      </w:r>
      <w:r>
        <w:rPr>
          <w:noProof/>
        </w:rPr>
        <w:t>, the majority of respondents across stakeholder groups supported the use of CO</w:t>
      </w:r>
      <w:r>
        <w:rPr>
          <w:noProof/>
          <w:vertAlign w:val="subscript"/>
        </w:rPr>
        <w:t>2</w:t>
      </w:r>
      <w:r>
        <w:rPr>
          <w:noProof/>
        </w:rPr>
        <w:t xml:space="preserve"> emis</w:t>
      </w:r>
      <w:r>
        <w:rPr>
          <w:noProof/>
        </w:rPr>
        <w:t xml:space="preserve">sion performance as criterion but this was opposed by two environmental NGOs and two stakeholders representing natural gas based transport modes. </w:t>
      </w:r>
      <w:r>
        <w:rPr>
          <w:b/>
          <w:noProof/>
        </w:rPr>
        <w:t>Zero emission range (km)</w:t>
      </w:r>
      <w:r>
        <w:rPr>
          <w:noProof/>
        </w:rPr>
        <w:t xml:space="preserve"> as criterion to define LEVs/ZEVs was opposed by a majority across stakeholder groups,</w:t>
      </w:r>
      <w:r>
        <w:rPr>
          <w:noProof/>
        </w:rPr>
        <w:t xml:space="preserve"> while individuals were more in favour of this criterion. Some respondents, mostly environmental and transport NGOs, proposed a specific criterion on how to define LEVs with thresholds ranging from 15g/km to 50g/km (in 2030). However, one research institut</w:t>
      </w:r>
      <w:r>
        <w:rPr>
          <w:noProof/>
        </w:rPr>
        <w:t>ion argued that 50g/km was likely too high as it would overly incentivise plug-in hybrid vehicles with a very low electric driving range and therefore proposed 30g/km. The European car manufacturers association argued that the 50g/km (NEDC) threshold as cu</w:t>
      </w:r>
      <w:r>
        <w:rPr>
          <w:noProof/>
        </w:rPr>
        <w:t>rrently used for super-credits should be used to define LEVs.</w:t>
      </w:r>
    </w:p>
    <w:p w:rsidR="00B231CB" w:rsidRDefault="00C71431">
      <w:pPr>
        <w:pStyle w:val="Heading3"/>
        <w:rPr>
          <w:noProof/>
        </w:rPr>
      </w:pPr>
      <w:bookmarkStart w:id="25" w:name="_Toc496688615"/>
      <w:r>
        <w:rPr>
          <w:noProof/>
        </w:rPr>
        <w:t>Modalities (eco-innovations and derogations)</w:t>
      </w:r>
      <w:bookmarkEnd w:id="25"/>
    </w:p>
    <w:p w:rsidR="00B231CB" w:rsidRDefault="00C71431">
      <w:pPr>
        <w:spacing w:after="120"/>
        <w:rPr>
          <w:noProof/>
        </w:rPr>
      </w:pPr>
      <w:r>
        <w:rPr>
          <w:noProof/>
        </w:rPr>
        <w:t>A majority of stakeholders across all stakeholder groups was in favour of taking account of CO</w:t>
      </w:r>
      <w:r>
        <w:rPr>
          <w:noProof/>
          <w:vertAlign w:val="subscript"/>
        </w:rPr>
        <w:t>2</w:t>
      </w:r>
      <w:r>
        <w:rPr>
          <w:noProof/>
        </w:rPr>
        <w:t xml:space="preserve"> emission reduction arising from the deployment of tec</w:t>
      </w:r>
      <w:r>
        <w:rPr>
          <w:noProof/>
        </w:rPr>
        <w:t xml:space="preserve">hnology which reduces emissions in normal driving but whose benefit is not shown in the normal test cycle . A few environmental NGOs and public authorities were however against such an approach. When asked more specifically on how </w:t>
      </w:r>
      <w:r>
        <w:rPr>
          <w:b/>
          <w:noProof/>
        </w:rPr>
        <w:t>eco-innovations</w:t>
      </w:r>
      <w:r>
        <w:rPr>
          <w:noProof/>
        </w:rPr>
        <w:t xml:space="preserve"> should be</w:t>
      </w:r>
      <w:r>
        <w:rPr>
          <w:noProof/>
        </w:rPr>
        <w:t xml:space="preserve"> considered in the future legislation, only few respondents provided an answer. Environmental and transport NGOs were in favour of continuing the current eco-innovation scheme but some of them argued for measuring eco-innovation savings during real-driving</w:t>
      </w:r>
      <w:r>
        <w:rPr>
          <w:noProof/>
        </w:rPr>
        <w:t xml:space="preserve"> emission tests for CO</w:t>
      </w:r>
      <w:r>
        <w:rPr>
          <w:noProof/>
          <w:vertAlign w:val="subscript"/>
        </w:rPr>
        <w:t>2</w:t>
      </w:r>
      <w:r>
        <w:rPr>
          <w:noProof/>
        </w:rPr>
        <w:t>. Some stakeholders, mainly representing the steel industry, argued that the eco-innovation scheme should be complemented with an LCA credit option. The European car manufacturers association argued for the revision of some of the th</w:t>
      </w:r>
      <w:r>
        <w:rPr>
          <w:noProof/>
        </w:rPr>
        <w:t>resholds currently set in the legislation and supported the introduction of a pre-defined list of off-cycle CO</w:t>
      </w:r>
      <w:r>
        <w:rPr>
          <w:noProof/>
          <w:vertAlign w:val="subscript"/>
        </w:rPr>
        <w:t>2</w:t>
      </w:r>
      <w:r>
        <w:rPr>
          <w:noProof/>
        </w:rPr>
        <w:t xml:space="preserve"> reduction technologies as well as the inclusion of technologies that are affected by the driver's behaviour.</w:t>
      </w:r>
    </w:p>
    <w:p w:rsidR="00B231CB" w:rsidRDefault="00C71431">
      <w:pPr>
        <w:spacing w:after="120"/>
        <w:rPr>
          <w:noProof/>
          <w:lang w:val="en"/>
        </w:rPr>
      </w:pPr>
      <w:r>
        <w:rPr>
          <w:noProof/>
        </w:rPr>
        <w:t xml:space="preserve">Concerning the current </w:t>
      </w:r>
      <w:r>
        <w:rPr>
          <w:b/>
          <w:noProof/>
        </w:rPr>
        <w:t xml:space="preserve">derogation </w:t>
      </w:r>
      <w:r>
        <w:rPr>
          <w:b/>
          <w:noProof/>
        </w:rPr>
        <w:t>regime,</w:t>
      </w:r>
      <w:r>
        <w:rPr>
          <w:noProof/>
        </w:rPr>
        <w:t xml:space="preserve"> car manufacturers were broadly in support of its continuation. Most other stakeholders also supported the current derogation regime for small volume car </w:t>
      </w:r>
      <w:r>
        <w:rPr>
          <w:b/>
          <w:noProof/>
        </w:rPr>
        <w:t>manufacturers (less than 10 000 registrations per year)</w:t>
      </w:r>
      <w:r>
        <w:rPr>
          <w:noProof/>
        </w:rPr>
        <w:t>, although some environmental NGOs and p</w:t>
      </w:r>
      <w:r>
        <w:rPr>
          <w:noProof/>
        </w:rPr>
        <w:t xml:space="preserve">ublic authorities were opposed. By contrast, a majority of environmental and transport NGOs as well as all consumer organisations were against the continuation of the current derogation regime for </w:t>
      </w:r>
      <w:r>
        <w:rPr>
          <w:b/>
          <w:noProof/>
        </w:rPr>
        <w:t>niche manufacturers (10 000 to 300 000 car registrations pe</w:t>
      </w:r>
      <w:r>
        <w:rPr>
          <w:b/>
          <w:noProof/>
        </w:rPr>
        <w:t>r year)</w:t>
      </w:r>
      <w:r>
        <w:rPr>
          <w:noProof/>
        </w:rPr>
        <w:t xml:space="preserve">. Most consumer organisations but also a trade union and a works council as well as some public authorities supported to base the derogation regime on </w:t>
      </w:r>
      <w:r>
        <w:rPr>
          <w:b/>
          <w:noProof/>
        </w:rPr>
        <w:t>worldwide sales instead of EU sales</w:t>
      </w:r>
      <w:r>
        <w:rPr>
          <w:noProof/>
        </w:rPr>
        <w:t xml:space="preserve">. There was no strong support to grant derogations for certain </w:t>
      </w:r>
      <w:r>
        <w:rPr>
          <w:noProof/>
        </w:rPr>
        <w:t>types of vehicles rather than for manufacturers.</w:t>
      </w:r>
    </w:p>
    <w:p w:rsidR="00B231CB" w:rsidRDefault="00C71431">
      <w:pPr>
        <w:pStyle w:val="Heading2"/>
        <w:rPr>
          <w:noProof/>
          <w:lang w:val="en"/>
        </w:rPr>
      </w:pPr>
      <w:bookmarkStart w:id="26" w:name="_Toc496688616"/>
      <w:r>
        <w:rPr>
          <w:noProof/>
          <w:lang w:val="en"/>
        </w:rPr>
        <w:t>Dedicated stakeholder event on jobs and skills</w:t>
      </w:r>
      <w:bookmarkEnd w:id="26"/>
    </w:p>
    <w:p w:rsidR="00B231CB" w:rsidRDefault="00C71431">
      <w:pPr>
        <w:spacing w:after="120"/>
        <w:rPr>
          <w:noProof/>
        </w:rPr>
      </w:pPr>
      <w:r>
        <w:rPr>
          <w:noProof/>
        </w:rPr>
        <w:t>A stakeholder meeting dedicated on jobs and skills was organised on 26 June 2017. The objective of the meeting was to seek experts' and stakeholders' views to e</w:t>
      </w:r>
      <w:r>
        <w:rPr>
          <w:noProof/>
        </w:rPr>
        <w:t>nsure that all aspects are well covered in the impact assessment. The meeting was structured in two panels followed by an open discussion to allow all participants to present their views. In the first panel authors of relevant studies presented the methodo</w:t>
      </w:r>
      <w:r>
        <w:rPr>
          <w:noProof/>
        </w:rPr>
        <w:t>logy and key conclusions of their analysis, whereas the second panel was composed of representatives of the main stakeholder groups (vehicle manufacturers, component and materials suppliers, trade union, environmental and transport NGO) allowing them to pr</w:t>
      </w:r>
      <w:r>
        <w:rPr>
          <w:noProof/>
        </w:rPr>
        <w:t xml:space="preserve">esent their perspective.  </w:t>
      </w:r>
    </w:p>
    <w:p w:rsidR="00B231CB" w:rsidRDefault="00C71431">
      <w:pPr>
        <w:spacing w:after="120"/>
        <w:rPr>
          <w:noProof/>
        </w:rPr>
      </w:pPr>
      <w:r>
        <w:rPr>
          <w:noProof/>
        </w:rPr>
        <w:t>The key messages of the meeting can be summarised as follows:</w:t>
      </w:r>
    </w:p>
    <w:p w:rsidR="00B231CB" w:rsidRDefault="00C71431">
      <w:pPr>
        <w:pStyle w:val="ListParagraph"/>
        <w:numPr>
          <w:ilvl w:val="0"/>
          <w:numId w:val="7"/>
        </w:numPr>
        <w:spacing w:after="120"/>
        <w:ind w:left="714" w:hanging="357"/>
        <w:contextualSpacing w:val="0"/>
        <w:jc w:val="left"/>
        <w:rPr>
          <w:noProof/>
        </w:rPr>
      </w:pPr>
      <w:r>
        <w:rPr>
          <w:noProof/>
        </w:rPr>
        <w:t>Broad agreement that alternative powertrains will play an important role in the future. There is a need for new qualifications (upskilling) and also higher participati</w:t>
      </w:r>
      <w:r>
        <w:rPr>
          <w:noProof/>
        </w:rPr>
        <w:t>on rates in light of the demographic changes.</w:t>
      </w:r>
    </w:p>
    <w:p w:rsidR="00B231CB" w:rsidRDefault="00C71431">
      <w:pPr>
        <w:pStyle w:val="ListParagraph"/>
        <w:numPr>
          <w:ilvl w:val="0"/>
          <w:numId w:val="7"/>
        </w:numPr>
        <w:spacing w:after="120"/>
        <w:ind w:left="714" w:hanging="357"/>
        <w:contextualSpacing w:val="0"/>
        <w:jc w:val="left"/>
        <w:rPr>
          <w:noProof/>
        </w:rPr>
      </w:pPr>
      <w:r>
        <w:rPr>
          <w:noProof/>
        </w:rPr>
        <w:t xml:space="preserve">Taking a macroeconomic perspective, the uptake of alternative powertrains will help consumers to save money (around EUR 500 p.a.) which they will spend in other sectors which will in turn create employment due </w:t>
      </w:r>
      <w:r>
        <w:rPr>
          <w:noProof/>
        </w:rPr>
        <w:t xml:space="preserve">low employment intensity of the refinery industry (around 500,000 net employment effect for EU). </w:t>
      </w:r>
    </w:p>
    <w:p w:rsidR="00B231CB" w:rsidRDefault="00C71431">
      <w:pPr>
        <w:pStyle w:val="ListParagraph"/>
        <w:numPr>
          <w:ilvl w:val="0"/>
          <w:numId w:val="7"/>
        </w:numPr>
        <w:spacing w:after="120"/>
        <w:ind w:left="714" w:hanging="357"/>
        <w:contextualSpacing w:val="0"/>
        <w:jc w:val="left"/>
        <w:rPr>
          <w:noProof/>
        </w:rPr>
      </w:pPr>
      <w:r>
        <w:rPr>
          <w:noProof/>
        </w:rPr>
        <w:t xml:space="preserve">The creation of a large EU EV market with the help of ambitious policies will ensure that alternative powertrains will be manufactured in the EU with net job </w:t>
      </w:r>
      <w:r>
        <w:rPr>
          <w:noProof/>
        </w:rPr>
        <w:t xml:space="preserve">increase in the EU instead of importing alternative powertrains from other world regions with lead markets already in place that attract the production of alternative powertrains. </w:t>
      </w:r>
    </w:p>
    <w:p w:rsidR="00B231CB" w:rsidRDefault="00C71431">
      <w:pPr>
        <w:pStyle w:val="ListParagraph"/>
        <w:numPr>
          <w:ilvl w:val="0"/>
          <w:numId w:val="7"/>
        </w:numPr>
        <w:spacing w:after="120"/>
        <w:ind w:left="714" w:hanging="357"/>
        <w:contextualSpacing w:val="0"/>
        <w:jc w:val="left"/>
        <w:rPr>
          <w:noProof/>
        </w:rPr>
      </w:pPr>
      <w:r>
        <w:rPr>
          <w:noProof/>
        </w:rPr>
        <w:t>manufacturers are faced with several transformative challenges including di</w:t>
      </w:r>
      <w:r>
        <w:rPr>
          <w:noProof/>
        </w:rPr>
        <w:t xml:space="preserve">gitalisation and alternative powertrains which all require major investments in the coming years and new skills. </w:t>
      </w:r>
    </w:p>
    <w:p w:rsidR="00B231CB" w:rsidRDefault="00C71431">
      <w:pPr>
        <w:pStyle w:val="ListParagraph"/>
        <w:numPr>
          <w:ilvl w:val="0"/>
          <w:numId w:val="7"/>
        </w:numPr>
        <w:spacing w:after="120"/>
        <w:ind w:left="714" w:hanging="357"/>
        <w:contextualSpacing w:val="0"/>
        <w:jc w:val="left"/>
        <w:rPr>
          <w:noProof/>
        </w:rPr>
      </w:pPr>
      <w:r>
        <w:rPr>
          <w:noProof/>
        </w:rPr>
        <w:t>SMEs provide a significant part of the employment and are faced with particular challenges to adjust to the new market.</w:t>
      </w:r>
    </w:p>
    <w:p w:rsidR="00B231CB" w:rsidRDefault="00C71431">
      <w:pPr>
        <w:pStyle w:val="ListParagraph"/>
        <w:numPr>
          <w:ilvl w:val="0"/>
          <w:numId w:val="7"/>
        </w:numPr>
        <w:spacing w:after="120"/>
        <w:ind w:left="714" w:hanging="357"/>
        <w:contextualSpacing w:val="0"/>
        <w:jc w:val="left"/>
        <w:rPr>
          <w:noProof/>
        </w:rPr>
      </w:pPr>
      <w:r>
        <w:rPr>
          <w:noProof/>
        </w:rPr>
        <w:t>Labour intensity of IC</w:t>
      </w:r>
      <w:r>
        <w:rPr>
          <w:noProof/>
        </w:rPr>
        <w:t xml:space="preserve">E compared to BEV (7:1) coupled with lower maintenance requirements for BEVs (1 million BEVs reduce number of employees in maintenance by 1000). </w:t>
      </w:r>
    </w:p>
    <w:p w:rsidR="00B231CB" w:rsidRDefault="00C71431">
      <w:pPr>
        <w:pStyle w:val="ListParagraph"/>
        <w:numPr>
          <w:ilvl w:val="0"/>
          <w:numId w:val="7"/>
        </w:numPr>
        <w:spacing w:after="120"/>
        <w:ind w:left="714" w:hanging="357"/>
        <w:contextualSpacing w:val="0"/>
        <w:jc w:val="left"/>
        <w:rPr>
          <w:noProof/>
        </w:rPr>
      </w:pPr>
      <w:r>
        <w:rPr>
          <w:noProof/>
        </w:rPr>
        <w:t>It is important to allow the workforce to adapt to the new qualification needs and to make the transition soci</w:t>
      </w:r>
      <w:r>
        <w:rPr>
          <w:noProof/>
        </w:rPr>
        <w:t>ally fair, e.g. organise social dialogues and provide for necessary supporting instruments.</w:t>
      </w:r>
    </w:p>
    <w:p w:rsidR="00B231CB" w:rsidRDefault="00C71431">
      <w:pPr>
        <w:pStyle w:val="ListParagraph"/>
        <w:numPr>
          <w:ilvl w:val="0"/>
          <w:numId w:val="7"/>
        </w:numPr>
        <w:spacing w:after="120"/>
        <w:ind w:left="714" w:hanging="357"/>
        <w:contextualSpacing w:val="0"/>
        <w:jc w:val="left"/>
        <w:rPr>
          <w:noProof/>
        </w:rPr>
      </w:pPr>
      <w:r>
        <w:rPr>
          <w:noProof/>
        </w:rPr>
        <w:t>Impacts may be very different for different regions in the EU, e.g. regional clusters focussing on ICE.</w:t>
      </w:r>
    </w:p>
    <w:p w:rsidR="00B231CB" w:rsidRDefault="00C71431">
      <w:pPr>
        <w:spacing w:after="120"/>
        <w:rPr>
          <w:noProof/>
        </w:rPr>
      </w:pPr>
      <w:r>
        <w:rPr>
          <w:noProof/>
        </w:rPr>
        <w:t xml:space="preserve">The meeting was attended by more than 70 stakeholders </w:t>
      </w:r>
      <w:r>
        <w:rPr>
          <w:noProof/>
        </w:rPr>
        <w:t>representing all relevant stakeholder groups.</w:t>
      </w:r>
    </w:p>
    <w:p w:rsidR="00B231CB" w:rsidRDefault="00C71431">
      <w:pPr>
        <w:pStyle w:val="Heading2"/>
        <w:rPr>
          <w:noProof/>
        </w:rPr>
      </w:pPr>
      <w:bookmarkStart w:id="27" w:name="_Toc496688617"/>
      <w:r>
        <w:rPr>
          <w:noProof/>
        </w:rPr>
        <w:t>Use of the stakeholder input for the impact assessment</w:t>
      </w:r>
      <w:bookmarkEnd w:id="27"/>
      <w:r>
        <w:rPr>
          <w:noProof/>
        </w:rPr>
        <w:t xml:space="preserve"> </w:t>
      </w:r>
    </w:p>
    <w:p w:rsidR="00B231CB" w:rsidRDefault="00C71431">
      <w:pPr>
        <w:rPr>
          <w:noProof/>
          <w:lang w:val="en"/>
        </w:rPr>
      </w:pPr>
      <w:r>
        <w:rPr>
          <w:noProof/>
          <w:sz w:val="23"/>
          <w:szCs w:val="23"/>
        </w:rPr>
        <w:t>Stakeholder input received during the stakeholder consultation was an important tool during the impact assessment. The results from the analysis of the st</w:t>
      </w:r>
      <w:r>
        <w:rPr>
          <w:noProof/>
          <w:sz w:val="23"/>
          <w:szCs w:val="23"/>
        </w:rPr>
        <w:t>akeholder input have been used to develop and assess the policy options. Statements or positions brought forward by certain stakeholders have been clearly highlighted as such.</w:t>
      </w:r>
    </w:p>
    <w:p w:rsidR="00B231CB" w:rsidRDefault="00C71431">
      <w:pPr>
        <w:spacing w:after="200" w:line="276" w:lineRule="auto"/>
        <w:jc w:val="left"/>
        <w:rPr>
          <w:b/>
          <w:bCs/>
          <w:i/>
          <w:iCs/>
          <w:noProof/>
          <w:lang w:val="en"/>
        </w:rPr>
      </w:pPr>
      <w:r>
        <w:rPr>
          <w:b/>
          <w:bCs/>
          <w:i/>
          <w:iCs/>
          <w:noProof/>
          <w:lang w:val="en"/>
        </w:rPr>
        <w:br w:type="page"/>
      </w:r>
    </w:p>
    <w:p w:rsidR="00B231CB" w:rsidRDefault="00C71431">
      <w:pPr>
        <w:pStyle w:val="Heading1"/>
        <w:rPr>
          <w:noProof/>
        </w:rPr>
      </w:pPr>
      <w:bookmarkStart w:id="28" w:name="_Toc496688618"/>
      <w:r>
        <w:rPr>
          <w:noProof/>
        </w:rPr>
        <w:t>Annex 3: Who is affected by the initiative and how</w:t>
      </w:r>
      <w:bookmarkEnd w:id="28"/>
    </w:p>
    <w:p w:rsidR="00B231CB" w:rsidRDefault="00C71431">
      <w:pPr>
        <w:spacing w:after="120"/>
        <w:rPr>
          <w:noProof/>
          <w:szCs w:val="24"/>
          <w:lang w:eastAsia="en-GB"/>
        </w:rPr>
      </w:pPr>
      <w:r>
        <w:rPr>
          <w:noProof/>
          <w:szCs w:val="24"/>
          <w:lang w:eastAsia="en-GB"/>
        </w:rPr>
        <w:t>The following key target gr</w:t>
      </w:r>
      <w:r>
        <w:rPr>
          <w:noProof/>
          <w:szCs w:val="24"/>
          <w:lang w:eastAsia="en-GB"/>
        </w:rPr>
        <w:t>oups of this initiative have been identified.</w:t>
      </w:r>
    </w:p>
    <w:p w:rsidR="00B231CB" w:rsidRDefault="00C71431">
      <w:pPr>
        <w:numPr>
          <w:ilvl w:val="0"/>
          <w:numId w:val="36"/>
        </w:numPr>
        <w:spacing w:after="120"/>
        <w:rPr>
          <w:noProof/>
          <w:szCs w:val="24"/>
          <w:lang w:eastAsia="en-GB"/>
        </w:rPr>
      </w:pPr>
      <w:r>
        <w:rPr>
          <w:noProof/>
          <w:szCs w:val="24"/>
          <w:lang w:eastAsia="en-GB"/>
        </w:rPr>
        <w:t xml:space="preserve">Vehicle Manufacturers </w:t>
      </w:r>
    </w:p>
    <w:p w:rsidR="00B231CB" w:rsidRDefault="00C71431">
      <w:pPr>
        <w:numPr>
          <w:ilvl w:val="0"/>
          <w:numId w:val="36"/>
        </w:numPr>
        <w:spacing w:after="120"/>
        <w:rPr>
          <w:noProof/>
          <w:szCs w:val="24"/>
          <w:lang w:eastAsia="en-GB"/>
        </w:rPr>
      </w:pPr>
      <w:r>
        <w:rPr>
          <w:noProof/>
          <w:szCs w:val="24"/>
          <w:lang w:eastAsia="en-GB"/>
        </w:rPr>
        <w:t>Suppliers of components and materials from which vehicles are constructed</w:t>
      </w:r>
    </w:p>
    <w:p w:rsidR="00B231CB" w:rsidRDefault="00C71431">
      <w:pPr>
        <w:numPr>
          <w:ilvl w:val="0"/>
          <w:numId w:val="36"/>
        </w:numPr>
        <w:spacing w:after="120"/>
        <w:rPr>
          <w:noProof/>
          <w:szCs w:val="24"/>
          <w:lang w:eastAsia="en-GB"/>
        </w:rPr>
      </w:pPr>
      <w:r>
        <w:rPr>
          <w:noProof/>
          <w:szCs w:val="24"/>
          <w:lang w:eastAsia="en-GB"/>
        </w:rPr>
        <w:t>Users of vehicles, both individuals and businesses</w:t>
      </w:r>
    </w:p>
    <w:p w:rsidR="00B231CB" w:rsidRDefault="00C71431">
      <w:pPr>
        <w:numPr>
          <w:ilvl w:val="0"/>
          <w:numId w:val="36"/>
        </w:numPr>
        <w:spacing w:after="120"/>
        <w:rPr>
          <w:noProof/>
          <w:szCs w:val="24"/>
          <w:lang w:eastAsia="en-GB"/>
        </w:rPr>
      </w:pPr>
      <w:r>
        <w:rPr>
          <w:noProof/>
          <w:szCs w:val="24"/>
          <w:lang w:eastAsia="en-GB"/>
        </w:rPr>
        <w:t xml:space="preserve">Suppliers of fuels and energy suppliers </w:t>
      </w:r>
    </w:p>
    <w:p w:rsidR="00B231CB" w:rsidRDefault="00C71431">
      <w:pPr>
        <w:numPr>
          <w:ilvl w:val="0"/>
          <w:numId w:val="36"/>
        </w:numPr>
        <w:spacing w:after="120"/>
        <w:rPr>
          <w:noProof/>
          <w:szCs w:val="24"/>
          <w:lang w:eastAsia="en-GB"/>
        </w:rPr>
      </w:pPr>
      <w:r>
        <w:rPr>
          <w:noProof/>
          <w:szCs w:val="24"/>
          <w:lang w:eastAsia="en-GB"/>
        </w:rPr>
        <w:t>Vehicle repair and ma</w:t>
      </w:r>
      <w:r>
        <w:rPr>
          <w:noProof/>
          <w:szCs w:val="24"/>
          <w:lang w:eastAsia="en-GB"/>
        </w:rPr>
        <w:t>intenance businesses</w:t>
      </w:r>
    </w:p>
    <w:p w:rsidR="00B231CB" w:rsidRDefault="00C71431">
      <w:pPr>
        <w:numPr>
          <w:ilvl w:val="0"/>
          <w:numId w:val="36"/>
        </w:numPr>
        <w:spacing w:after="120"/>
        <w:rPr>
          <w:noProof/>
          <w:szCs w:val="24"/>
          <w:lang w:eastAsia="en-GB"/>
        </w:rPr>
      </w:pPr>
      <w:r>
        <w:rPr>
          <w:noProof/>
          <w:szCs w:val="24"/>
          <w:lang w:eastAsia="en-GB"/>
        </w:rPr>
        <w:t>Workforce</w:t>
      </w:r>
    </w:p>
    <w:p w:rsidR="00B231CB" w:rsidRDefault="00C71431">
      <w:pPr>
        <w:numPr>
          <w:ilvl w:val="0"/>
          <w:numId w:val="36"/>
        </w:numPr>
        <w:spacing w:after="120"/>
        <w:rPr>
          <w:noProof/>
          <w:szCs w:val="24"/>
          <w:lang w:eastAsia="en-GB"/>
        </w:rPr>
      </w:pPr>
      <w:r>
        <w:rPr>
          <w:noProof/>
          <w:szCs w:val="24"/>
          <w:lang w:eastAsia="en-GB"/>
        </w:rPr>
        <w:t xml:space="preserve">Other users of fuel and oil-related products (e.g. chemical industry, heating) </w:t>
      </w:r>
    </w:p>
    <w:p w:rsidR="00B231CB" w:rsidRDefault="00C71431">
      <w:pPr>
        <w:numPr>
          <w:ilvl w:val="0"/>
          <w:numId w:val="36"/>
        </w:numPr>
        <w:spacing w:after="120"/>
        <w:rPr>
          <w:noProof/>
          <w:szCs w:val="24"/>
          <w:lang w:eastAsia="en-GB"/>
        </w:rPr>
      </w:pPr>
      <w:r>
        <w:rPr>
          <w:noProof/>
          <w:szCs w:val="24"/>
          <w:lang w:eastAsia="en-GB"/>
        </w:rPr>
        <w:t>Society at large</w:t>
      </w:r>
    </w:p>
    <w:p w:rsidR="00B231CB" w:rsidRDefault="00C71431">
      <w:pPr>
        <w:rPr>
          <w:noProof/>
          <w:szCs w:val="24"/>
        </w:rPr>
      </w:pPr>
      <w:r>
        <w:rPr>
          <w:noProof/>
        </w:rPr>
        <w:t>The below table summarises how these target groups are affected by this policy initiative. In some cases the analysis showed ove</w:t>
      </w:r>
      <w:r>
        <w:rPr>
          <w:noProof/>
        </w:rPr>
        <w:t>rlaps between identified target groups (e.g. vehicle manufacturers and suppliers of components and materials) as a result of which certain effects may be repeated. Section 6 of the Impact Assessment provides a more detailed analysis on cost and benefits fo</w:t>
      </w:r>
      <w:r>
        <w:rPr>
          <w:noProof/>
        </w:rPr>
        <w:t>r the different target groups.</w:t>
      </w:r>
    </w:p>
    <w:tbl>
      <w:tblPr>
        <w:tblStyle w:val="TableGrid"/>
        <w:tblW w:w="0" w:type="auto"/>
        <w:tblLook w:val="04A0" w:firstRow="1" w:lastRow="0" w:firstColumn="1" w:lastColumn="0" w:noHBand="0" w:noVBand="1"/>
      </w:tblPr>
      <w:tblGrid>
        <w:gridCol w:w="2089"/>
        <w:gridCol w:w="7153"/>
      </w:tblGrid>
      <w:tr w:rsidR="00B231CB">
        <w:tc>
          <w:tcPr>
            <w:tcW w:w="2089" w:type="dxa"/>
          </w:tcPr>
          <w:p w:rsidR="00B231CB" w:rsidRDefault="00C71431">
            <w:pPr>
              <w:spacing w:after="120"/>
              <w:rPr>
                <w:b/>
                <w:noProof/>
                <w:szCs w:val="24"/>
              </w:rPr>
            </w:pPr>
            <w:r>
              <w:rPr>
                <w:b/>
                <w:noProof/>
                <w:szCs w:val="24"/>
              </w:rPr>
              <w:t>Type of stakeholder</w:t>
            </w:r>
          </w:p>
        </w:tc>
        <w:tc>
          <w:tcPr>
            <w:tcW w:w="7153" w:type="dxa"/>
          </w:tcPr>
          <w:p w:rsidR="00B231CB" w:rsidRDefault="00C71431">
            <w:pPr>
              <w:spacing w:after="120"/>
              <w:rPr>
                <w:b/>
                <w:noProof/>
                <w:szCs w:val="24"/>
              </w:rPr>
            </w:pPr>
            <w:r>
              <w:rPr>
                <w:b/>
                <w:noProof/>
                <w:szCs w:val="24"/>
              </w:rPr>
              <w:t>Practical implications</w:t>
            </w:r>
          </w:p>
        </w:tc>
      </w:tr>
      <w:tr w:rsidR="00B231CB">
        <w:tc>
          <w:tcPr>
            <w:tcW w:w="2089" w:type="dxa"/>
          </w:tcPr>
          <w:p w:rsidR="00B231CB" w:rsidRDefault="00C71431">
            <w:pPr>
              <w:spacing w:after="120"/>
              <w:rPr>
                <w:b/>
                <w:noProof/>
                <w:szCs w:val="24"/>
              </w:rPr>
            </w:pPr>
            <w:r>
              <w:rPr>
                <w:b/>
                <w:noProof/>
                <w:szCs w:val="24"/>
              </w:rPr>
              <w:t xml:space="preserve">Vehicle Manufacturers </w:t>
            </w:r>
          </w:p>
        </w:tc>
        <w:tc>
          <w:tcPr>
            <w:tcW w:w="7153" w:type="dxa"/>
          </w:tcPr>
          <w:p w:rsidR="00B231CB" w:rsidRDefault="00C71431">
            <w:pPr>
              <w:spacing w:after="120"/>
              <w:rPr>
                <w:noProof/>
                <w:szCs w:val="24"/>
                <w:u w:val="single"/>
              </w:rPr>
            </w:pPr>
            <w:r>
              <w:rPr>
                <w:noProof/>
                <w:szCs w:val="24"/>
                <w:u w:val="single"/>
              </w:rPr>
              <w:t xml:space="preserve">Investment needs / manufacturing costs </w:t>
            </w:r>
          </w:p>
          <w:p w:rsidR="00B231CB" w:rsidRDefault="00C71431">
            <w:pPr>
              <w:spacing w:after="120"/>
              <w:rPr>
                <w:noProof/>
                <w:szCs w:val="24"/>
              </w:rPr>
            </w:pPr>
            <w:r>
              <w:rPr>
                <w:noProof/>
                <w:szCs w:val="24"/>
              </w:rPr>
              <w:t>CO</w:t>
            </w:r>
            <w:r>
              <w:rPr>
                <w:noProof/>
                <w:szCs w:val="24"/>
                <w:vertAlign w:val="subscript"/>
              </w:rPr>
              <w:t>2</w:t>
            </w:r>
            <w:r>
              <w:rPr>
                <w:noProof/>
                <w:szCs w:val="24"/>
              </w:rPr>
              <w:t xml:space="preserve"> standards require vehicle manufacturers to reduce CO</w:t>
            </w:r>
            <w:r>
              <w:rPr>
                <w:noProof/>
                <w:szCs w:val="24"/>
                <w:vertAlign w:val="subscript"/>
              </w:rPr>
              <w:t>2</w:t>
            </w:r>
            <w:r>
              <w:rPr>
                <w:noProof/>
                <w:szCs w:val="24"/>
              </w:rPr>
              <w:t xml:space="preserve"> emissions as a result of which they will have to introduce technical CO</w:t>
            </w:r>
            <w:r>
              <w:rPr>
                <w:noProof/>
                <w:szCs w:val="24"/>
                <w:vertAlign w:val="subscript"/>
              </w:rPr>
              <w:t>2</w:t>
            </w:r>
            <w:r>
              <w:rPr>
                <w:noProof/>
                <w:szCs w:val="24"/>
              </w:rPr>
              <w:t xml:space="preserve"> reduction measures. In the short-term, this is likely to result in increased production costs and could affect the structure of their product portfolios. As a consequence, they will </w:t>
            </w:r>
            <w:r>
              <w:rPr>
                <w:noProof/>
                <w:szCs w:val="24"/>
              </w:rPr>
              <w:t>have increased investment costs for production capacity and new technologies.</w:t>
            </w:r>
          </w:p>
          <w:p w:rsidR="00B231CB" w:rsidRDefault="00C71431">
            <w:pPr>
              <w:spacing w:after="120"/>
              <w:rPr>
                <w:noProof/>
                <w:szCs w:val="24"/>
                <w:u w:val="single"/>
              </w:rPr>
            </w:pPr>
            <w:r>
              <w:rPr>
                <w:noProof/>
                <w:szCs w:val="24"/>
                <w:u w:val="single"/>
              </w:rPr>
              <w:t>Benefits</w:t>
            </w:r>
          </w:p>
          <w:p w:rsidR="00B231CB" w:rsidRDefault="00C71431">
            <w:pPr>
              <w:spacing w:after="120"/>
              <w:rPr>
                <w:noProof/>
                <w:szCs w:val="24"/>
              </w:rPr>
            </w:pPr>
            <w:r>
              <w:rPr>
                <w:noProof/>
                <w:szCs w:val="24"/>
              </w:rPr>
              <w:t>Demand for low- and zero-emission CO</w:t>
            </w:r>
            <w:r>
              <w:rPr>
                <w:noProof/>
                <w:szCs w:val="24"/>
                <w:vertAlign w:val="subscript"/>
              </w:rPr>
              <w:t>2</w:t>
            </w:r>
            <w:r>
              <w:rPr>
                <w:noProof/>
                <w:szCs w:val="24"/>
              </w:rPr>
              <w:t xml:space="preserve"> vehicles is expected to increase throughout the world as climate change and air quality policies develop and other jurisdictions in</w:t>
            </w:r>
            <w:r>
              <w:rPr>
                <w:noProof/>
                <w:szCs w:val="24"/>
              </w:rPr>
              <w:t>troduce similar or even more ambitious standards. European automotive manufacturers have an opportunity to gain first mover advantage and the potential to sell advanced low CO</w:t>
            </w:r>
            <w:r>
              <w:rPr>
                <w:noProof/>
                <w:szCs w:val="24"/>
                <w:vertAlign w:val="subscript"/>
              </w:rPr>
              <w:t>2</w:t>
            </w:r>
            <w:r>
              <w:rPr>
                <w:noProof/>
                <w:szCs w:val="24"/>
              </w:rPr>
              <w:t xml:space="preserve"> vehicles in other markets, i.e. the new regulatory framework will help them to </w:t>
            </w:r>
            <w:r>
              <w:rPr>
                <w:noProof/>
                <w:szCs w:val="24"/>
              </w:rPr>
              <w:t>retain or even increase their global market in particular in markets for ZEV/LEV with very dynamic growth rates.</w:t>
            </w:r>
          </w:p>
          <w:p w:rsidR="00B231CB" w:rsidRDefault="00C71431">
            <w:pPr>
              <w:spacing w:after="120"/>
              <w:rPr>
                <w:noProof/>
                <w:szCs w:val="24"/>
                <w:u w:val="single"/>
              </w:rPr>
            </w:pPr>
            <w:r>
              <w:rPr>
                <w:noProof/>
                <w:szCs w:val="24"/>
                <w:u w:val="single"/>
              </w:rPr>
              <w:t>Cost / benefits</w:t>
            </w:r>
          </w:p>
          <w:p w:rsidR="00B231CB" w:rsidRDefault="00C71431">
            <w:pPr>
              <w:spacing w:after="120"/>
              <w:rPr>
                <w:noProof/>
                <w:szCs w:val="24"/>
              </w:rPr>
            </w:pPr>
            <w:r>
              <w:rPr>
                <w:noProof/>
                <w:szCs w:val="24"/>
              </w:rPr>
              <w:t>Manufacturers and suppliers are expected to largely benefit from increased revenues from the increase sales of low- and zero-em</w:t>
            </w:r>
            <w:r>
              <w:rPr>
                <w:noProof/>
                <w:szCs w:val="24"/>
              </w:rPr>
              <w:t>ission vehicles, with revenues being distributed among businesses involved in the manufacturing, marketing and sales of vehicles (including vehicle dealers). Benefits will largely outweigh cost.</w:t>
            </w:r>
          </w:p>
        </w:tc>
      </w:tr>
      <w:tr w:rsidR="00B231CB">
        <w:tc>
          <w:tcPr>
            <w:tcW w:w="2089" w:type="dxa"/>
          </w:tcPr>
          <w:p w:rsidR="00B231CB" w:rsidRDefault="00C71431">
            <w:pPr>
              <w:spacing w:after="120"/>
              <w:rPr>
                <w:b/>
                <w:noProof/>
                <w:szCs w:val="24"/>
              </w:rPr>
            </w:pPr>
            <w:r>
              <w:rPr>
                <w:b/>
                <w:noProof/>
                <w:szCs w:val="24"/>
              </w:rPr>
              <w:t>Suppliers of components and materials from which vehicles ar</w:t>
            </w:r>
            <w:r>
              <w:rPr>
                <w:b/>
                <w:noProof/>
                <w:szCs w:val="24"/>
              </w:rPr>
              <w:t>e constructed</w:t>
            </w:r>
          </w:p>
        </w:tc>
        <w:tc>
          <w:tcPr>
            <w:tcW w:w="7153" w:type="dxa"/>
          </w:tcPr>
          <w:p w:rsidR="00B231CB" w:rsidRDefault="00C71431">
            <w:pPr>
              <w:spacing w:after="120"/>
              <w:rPr>
                <w:noProof/>
                <w:szCs w:val="24"/>
                <w:u w:val="single"/>
              </w:rPr>
            </w:pPr>
            <w:r>
              <w:rPr>
                <w:noProof/>
                <w:szCs w:val="24"/>
                <w:u w:val="single"/>
              </w:rPr>
              <w:t>Investment costs / new technologies</w:t>
            </w:r>
          </w:p>
          <w:p w:rsidR="00B231CB" w:rsidRDefault="00C71431">
            <w:pPr>
              <w:spacing w:after="120"/>
              <w:rPr>
                <w:noProof/>
                <w:szCs w:val="24"/>
              </w:rPr>
            </w:pPr>
            <w:r>
              <w:rPr>
                <w:noProof/>
                <w:szCs w:val="24"/>
              </w:rPr>
              <w:t>Suppliers of components and materials from which vehicles are constructed will be affected by changing demands on them. Component suppliers have a key role in researching and developing technologies and mar</w:t>
            </w:r>
            <w:r>
              <w:rPr>
                <w:noProof/>
                <w:szCs w:val="24"/>
              </w:rPr>
              <w:t>keting them to vehicle manufacturers. Investment costs will not be evenly spread across the supply chain. In particular suppliers for conventional vehicle technologies will have to adapt. Manufacturers and suppliers will have to invest into higher producti</w:t>
            </w:r>
            <w:r>
              <w:rPr>
                <w:noProof/>
                <w:szCs w:val="24"/>
              </w:rPr>
              <w:t xml:space="preserve">on capacities and technology development. These suppliers will also have to invest in skilling their workforce. </w:t>
            </w:r>
          </w:p>
          <w:p w:rsidR="00B231CB" w:rsidRDefault="00C71431">
            <w:pPr>
              <w:spacing w:after="120"/>
              <w:rPr>
                <w:noProof/>
                <w:szCs w:val="24"/>
                <w:u w:val="single"/>
              </w:rPr>
            </w:pPr>
            <w:r>
              <w:rPr>
                <w:noProof/>
                <w:szCs w:val="24"/>
                <w:u w:val="single"/>
              </w:rPr>
              <w:t>Benefits</w:t>
            </w:r>
          </w:p>
          <w:p w:rsidR="00B231CB" w:rsidRDefault="00C71431">
            <w:pPr>
              <w:spacing w:after="120"/>
              <w:rPr>
                <w:noProof/>
                <w:szCs w:val="24"/>
              </w:rPr>
            </w:pPr>
            <w:r>
              <w:rPr>
                <w:noProof/>
                <w:szCs w:val="24"/>
              </w:rPr>
              <w:t>Requirements leading to the uptake of additional technologies or materials (e.g. aluminium, advanced construction materials) may creat</w:t>
            </w:r>
            <w:r>
              <w:rPr>
                <w:noProof/>
                <w:szCs w:val="24"/>
              </w:rPr>
              <w:t>e extra business activity for suppliers in these sectors. In particular suppliers for non-conventional vehicle technologies will largely benefit.</w:t>
            </w:r>
          </w:p>
        </w:tc>
      </w:tr>
      <w:tr w:rsidR="00B231CB">
        <w:tc>
          <w:tcPr>
            <w:tcW w:w="2089" w:type="dxa"/>
          </w:tcPr>
          <w:p w:rsidR="00B231CB" w:rsidRDefault="00C71431">
            <w:pPr>
              <w:spacing w:after="120"/>
              <w:rPr>
                <w:b/>
                <w:noProof/>
                <w:szCs w:val="24"/>
              </w:rPr>
            </w:pPr>
            <w:r>
              <w:rPr>
                <w:b/>
                <w:noProof/>
                <w:szCs w:val="24"/>
              </w:rPr>
              <w:t>Users of vehicles, both individuals and businesses</w:t>
            </w:r>
          </w:p>
        </w:tc>
        <w:tc>
          <w:tcPr>
            <w:tcW w:w="7153" w:type="dxa"/>
          </w:tcPr>
          <w:p w:rsidR="00B231CB" w:rsidRDefault="00C71431">
            <w:pPr>
              <w:spacing w:after="120"/>
              <w:rPr>
                <w:noProof/>
                <w:szCs w:val="24"/>
                <w:u w:val="single"/>
              </w:rPr>
            </w:pPr>
            <w:r>
              <w:rPr>
                <w:noProof/>
                <w:szCs w:val="24"/>
                <w:u w:val="single"/>
              </w:rPr>
              <w:t>Transport costs/prices</w:t>
            </w:r>
          </w:p>
          <w:p w:rsidR="00B231CB" w:rsidRDefault="00C71431">
            <w:pPr>
              <w:spacing w:after="120"/>
              <w:rPr>
                <w:i/>
                <w:noProof/>
                <w:szCs w:val="24"/>
              </w:rPr>
            </w:pPr>
            <w:r>
              <w:rPr>
                <w:noProof/>
                <w:szCs w:val="24"/>
              </w:rPr>
              <w:t>The use of technology to reduce in-</w:t>
            </w:r>
            <w:r>
              <w:rPr>
                <w:noProof/>
                <w:szCs w:val="24"/>
              </w:rPr>
              <w:t xml:space="preserve">use GHG emissions has a cost which is expected to be passed on to the vehicle purchaser. The purchase cost for new more fuel-efficient vehicles, in particular zero/low emission vehicles, is expected to be higher compared to less fuel-efficient vehicles. </w:t>
            </w:r>
          </w:p>
          <w:p w:rsidR="00B231CB" w:rsidRDefault="00C71431">
            <w:pPr>
              <w:spacing w:after="120"/>
              <w:rPr>
                <w:i/>
                <w:noProof/>
                <w:szCs w:val="24"/>
              </w:rPr>
            </w:pPr>
            <w:r>
              <w:rPr>
                <w:noProof/>
                <w:szCs w:val="24"/>
                <w:u w:val="single"/>
              </w:rPr>
              <w:t>B</w:t>
            </w:r>
            <w:r>
              <w:rPr>
                <w:noProof/>
                <w:szCs w:val="24"/>
                <w:u w:val="single"/>
              </w:rPr>
              <w:t>enefits</w:t>
            </w:r>
          </w:p>
          <w:p w:rsidR="00B231CB" w:rsidRDefault="00C71431">
            <w:pPr>
              <w:spacing w:after="120"/>
              <w:rPr>
                <w:i/>
                <w:noProof/>
                <w:szCs w:val="24"/>
              </w:rPr>
            </w:pPr>
            <w:r>
              <w:rPr>
                <w:noProof/>
                <w:szCs w:val="24"/>
              </w:rPr>
              <w:t>Reducing the vehicle's CO</w:t>
            </w:r>
            <w:r>
              <w:rPr>
                <w:noProof/>
                <w:szCs w:val="24"/>
                <w:vertAlign w:val="subscript"/>
              </w:rPr>
              <w:t>2</w:t>
            </w:r>
            <w:r>
              <w:rPr>
                <w:noProof/>
                <w:szCs w:val="24"/>
              </w:rPr>
              <w:t xml:space="preserve"> emissions will reduce the energy required and in turn increase fuel cost savings for vehicle users. Over the vehicles' lifetime, operational cost savings, including lower O&amp;M costs for battery electric vehicles, will comp</w:t>
            </w:r>
            <w:r>
              <w:rPr>
                <w:noProof/>
                <w:szCs w:val="24"/>
              </w:rPr>
              <w:t xml:space="preserve">ensate the higher procurement costs.  </w:t>
            </w:r>
          </w:p>
        </w:tc>
      </w:tr>
      <w:tr w:rsidR="00B231CB">
        <w:tc>
          <w:tcPr>
            <w:tcW w:w="2089" w:type="dxa"/>
          </w:tcPr>
          <w:p w:rsidR="00B231CB" w:rsidRDefault="00C71431">
            <w:pPr>
              <w:rPr>
                <w:b/>
                <w:noProof/>
                <w:szCs w:val="24"/>
              </w:rPr>
            </w:pPr>
            <w:r>
              <w:rPr>
                <w:b/>
                <w:noProof/>
                <w:szCs w:val="24"/>
              </w:rPr>
              <w:t xml:space="preserve">Suppliers of fuels and energy suppliers </w:t>
            </w:r>
          </w:p>
          <w:p w:rsidR="00B231CB" w:rsidRDefault="00B231CB">
            <w:pPr>
              <w:spacing w:after="120"/>
              <w:rPr>
                <w:b/>
                <w:noProof/>
                <w:szCs w:val="24"/>
              </w:rPr>
            </w:pPr>
          </w:p>
        </w:tc>
        <w:tc>
          <w:tcPr>
            <w:tcW w:w="7153" w:type="dxa"/>
          </w:tcPr>
          <w:p w:rsidR="00B231CB" w:rsidRDefault="00C71431">
            <w:pPr>
              <w:spacing w:after="120"/>
              <w:rPr>
                <w:noProof/>
                <w:szCs w:val="24"/>
                <w:u w:val="single"/>
              </w:rPr>
            </w:pPr>
            <w:r>
              <w:rPr>
                <w:noProof/>
                <w:szCs w:val="24"/>
                <w:u w:val="single"/>
              </w:rPr>
              <w:t>Adjustment costs</w:t>
            </w:r>
          </w:p>
          <w:p w:rsidR="00B231CB" w:rsidRDefault="00C71431">
            <w:pPr>
              <w:spacing w:after="120"/>
              <w:rPr>
                <w:noProof/>
                <w:szCs w:val="24"/>
              </w:rPr>
            </w:pPr>
            <w:r>
              <w:rPr>
                <w:noProof/>
                <w:szCs w:val="24"/>
              </w:rPr>
              <w:t>Suppliers of fuels are affected by reduced energy demand leading to less utilisation of existing infrastructure. If demand shifts to vehicles supplied with a</w:t>
            </w:r>
            <w:r>
              <w:rPr>
                <w:noProof/>
                <w:szCs w:val="24"/>
              </w:rPr>
              <w:t xml:space="preserve">lternative energy sources, this may potentially increase the need for other types of infrastructure and create new business opportunities and challenges for electricity supply companies and network operators. </w:t>
            </w:r>
          </w:p>
          <w:p w:rsidR="00B231CB" w:rsidRDefault="00C71431">
            <w:pPr>
              <w:spacing w:after="120"/>
              <w:rPr>
                <w:noProof/>
                <w:szCs w:val="24"/>
                <w:u w:val="single"/>
              </w:rPr>
            </w:pPr>
            <w:r>
              <w:rPr>
                <w:noProof/>
                <w:szCs w:val="24"/>
                <w:u w:val="single"/>
              </w:rPr>
              <w:t>Investment needs</w:t>
            </w:r>
          </w:p>
          <w:p w:rsidR="00B231CB" w:rsidRDefault="00C71431">
            <w:pPr>
              <w:spacing w:after="120"/>
              <w:rPr>
                <w:noProof/>
                <w:szCs w:val="24"/>
              </w:rPr>
            </w:pPr>
            <w:r>
              <w:rPr>
                <w:noProof/>
                <w:szCs w:val="24"/>
              </w:rPr>
              <w:t xml:space="preserve">Energy suppliers/grid operators will have to invest into grid expansion and innovative technologies (e.g. smart metering) to cope with increased demand from recharging of vehicles. </w:t>
            </w:r>
          </w:p>
          <w:p w:rsidR="00B231CB" w:rsidRDefault="00C71431">
            <w:pPr>
              <w:spacing w:after="120"/>
              <w:rPr>
                <w:noProof/>
                <w:szCs w:val="24"/>
                <w:u w:val="single"/>
              </w:rPr>
            </w:pPr>
            <w:r>
              <w:rPr>
                <w:noProof/>
                <w:szCs w:val="24"/>
                <w:u w:val="single"/>
              </w:rPr>
              <w:t xml:space="preserve">Benefits </w:t>
            </w:r>
          </w:p>
          <w:p w:rsidR="00B231CB" w:rsidRDefault="00C71431">
            <w:pPr>
              <w:spacing w:after="120"/>
              <w:rPr>
                <w:noProof/>
                <w:szCs w:val="24"/>
              </w:rPr>
            </w:pPr>
            <w:r>
              <w:rPr>
                <w:noProof/>
                <w:szCs w:val="24"/>
              </w:rPr>
              <w:t xml:space="preserve">There will be new business opportunities for (alternative) fuel </w:t>
            </w:r>
            <w:r>
              <w:rPr>
                <w:noProof/>
                <w:szCs w:val="24"/>
              </w:rPr>
              <w:t>suppliers and energy suppliers as a result of the increase in electricity demand from electric vehicles.</w:t>
            </w:r>
          </w:p>
        </w:tc>
      </w:tr>
      <w:tr w:rsidR="00B231CB">
        <w:tc>
          <w:tcPr>
            <w:tcW w:w="2089" w:type="dxa"/>
          </w:tcPr>
          <w:p w:rsidR="00B231CB" w:rsidRDefault="00C71431">
            <w:pPr>
              <w:rPr>
                <w:b/>
                <w:noProof/>
                <w:szCs w:val="24"/>
              </w:rPr>
            </w:pPr>
            <w:r>
              <w:rPr>
                <w:b/>
                <w:noProof/>
                <w:szCs w:val="24"/>
              </w:rPr>
              <w:t>Vehicle repair and maintenance businesses</w:t>
            </w:r>
          </w:p>
        </w:tc>
        <w:tc>
          <w:tcPr>
            <w:tcW w:w="7153" w:type="dxa"/>
          </w:tcPr>
          <w:p w:rsidR="00B231CB" w:rsidRDefault="00C71431">
            <w:pPr>
              <w:spacing w:after="120"/>
              <w:rPr>
                <w:noProof/>
                <w:szCs w:val="24"/>
              </w:rPr>
            </w:pPr>
            <w:r>
              <w:rPr>
                <w:noProof/>
                <w:szCs w:val="24"/>
              </w:rPr>
              <w:t xml:space="preserve">With the uptake of battery electric vehicles there will be lower demand for maintenance requirements which </w:t>
            </w:r>
            <w:r>
              <w:rPr>
                <w:noProof/>
                <w:szCs w:val="24"/>
              </w:rPr>
              <w:t>will negatively affect vehicle repair and maintenance businesses. On the other hand, the uptake of plug-in hybrid electric vehicles will increase the complexity of the vehicle technology and require at least the same vehicle repair and maintenance as conve</w:t>
            </w:r>
            <w:r>
              <w:rPr>
                <w:noProof/>
                <w:szCs w:val="24"/>
              </w:rPr>
              <w:t>ntional powertrains. Moreover, the repair and maintenance of plug-in hybrid electric vehicles will require additional skills to deal with the electric and electronic components.</w:t>
            </w:r>
          </w:p>
        </w:tc>
      </w:tr>
      <w:tr w:rsidR="00B231CB">
        <w:tc>
          <w:tcPr>
            <w:tcW w:w="2089" w:type="dxa"/>
          </w:tcPr>
          <w:p w:rsidR="00B231CB" w:rsidRDefault="00C71431">
            <w:pPr>
              <w:rPr>
                <w:b/>
                <w:noProof/>
                <w:szCs w:val="24"/>
              </w:rPr>
            </w:pPr>
            <w:r>
              <w:rPr>
                <w:b/>
                <w:noProof/>
                <w:szCs w:val="24"/>
              </w:rPr>
              <w:t>Workforce</w:t>
            </w:r>
          </w:p>
        </w:tc>
        <w:tc>
          <w:tcPr>
            <w:tcW w:w="7153" w:type="dxa"/>
          </w:tcPr>
          <w:p w:rsidR="00B231CB" w:rsidRDefault="00C71431">
            <w:pPr>
              <w:widowControl w:val="0"/>
              <w:spacing w:after="120"/>
              <w:rPr>
                <w:noProof/>
                <w:szCs w:val="24"/>
              </w:rPr>
            </w:pPr>
            <w:r>
              <w:rPr>
                <w:noProof/>
                <w:szCs w:val="24"/>
              </w:rPr>
              <w:t>The production and maintenance of vehicles with an electrified powe</w:t>
            </w:r>
            <w:r>
              <w:rPr>
                <w:noProof/>
                <w:szCs w:val="24"/>
              </w:rPr>
              <w:t>rtrain will pose important challenges to the workforce in the automotive sector including manufacturers and component suppliers as well as repair and maintenance businesses. The workforce will need additional and/or different skills ("upskilling" and "resk</w:t>
            </w:r>
            <w:r>
              <w:rPr>
                <w:noProof/>
                <w:szCs w:val="24"/>
              </w:rPr>
              <w:t>illing") to deal with new components and manufacturing processes.</w:t>
            </w:r>
          </w:p>
        </w:tc>
      </w:tr>
      <w:tr w:rsidR="00B231CB">
        <w:tc>
          <w:tcPr>
            <w:tcW w:w="2089" w:type="dxa"/>
          </w:tcPr>
          <w:p w:rsidR="00B231CB" w:rsidRDefault="00C71431">
            <w:pPr>
              <w:rPr>
                <w:b/>
                <w:noProof/>
                <w:szCs w:val="24"/>
              </w:rPr>
            </w:pPr>
            <w:r>
              <w:rPr>
                <w:b/>
                <w:noProof/>
                <w:szCs w:val="24"/>
              </w:rPr>
              <w:t xml:space="preserve">Other users of fuel and oil-related products (e.g. chemical industry, heating) </w:t>
            </w:r>
          </w:p>
          <w:p w:rsidR="00B231CB" w:rsidRDefault="00B231CB">
            <w:pPr>
              <w:spacing w:after="120"/>
              <w:rPr>
                <w:b/>
                <w:noProof/>
                <w:szCs w:val="24"/>
              </w:rPr>
            </w:pPr>
          </w:p>
        </w:tc>
        <w:tc>
          <w:tcPr>
            <w:tcW w:w="7153" w:type="dxa"/>
          </w:tcPr>
          <w:p w:rsidR="00B231CB" w:rsidRDefault="00C71431">
            <w:pPr>
              <w:spacing w:after="120"/>
              <w:rPr>
                <w:noProof/>
                <w:szCs w:val="24"/>
                <w:u w:val="single"/>
              </w:rPr>
            </w:pPr>
            <w:r>
              <w:rPr>
                <w:noProof/>
                <w:szCs w:val="24"/>
                <w:u w:val="single"/>
              </w:rPr>
              <w:t>Benefits from reduced oil prices</w:t>
            </w:r>
          </w:p>
          <w:p w:rsidR="00B231CB" w:rsidRDefault="00C71431">
            <w:pPr>
              <w:spacing w:after="120"/>
              <w:rPr>
                <w:noProof/>
                <w:szCs w:val="24"/>
              </w:rPr>
            </w:pPr>
            <w:r>
              <w:rPr>
                <w:noProof/>
                <w:szCs w:val="24"/>
              </w:rPr>
              <w:t>Other users of fuel and oil-related products (e.g. chemical industry, heati</w:t>
            </w:r>
            <w:r>
              <w:rPr>
                <w:noProof/>
                <w:szCs w:val="24"/>
              </w:rPr>
              <w:t>ng) are expected to benefit from lower prices if demand from the transport sector decreases. Sectors other than transport that emit GHGs will avoid demands to further reduce emissions to compensate for increased transport emissions. In so far as these sect</w:t>
            </w:r>
            <w:r>
              <w:rPr>
                <w:noProof/>
                <w:szCs w:val="24"/>
              </w:rPr>
              <w:t>ors are exposed to competition, this will be important for their competitiveness.</w:t>
            </w:r>
          </w:p>
        </w:tc>
      </w:tr>
      <w:tr w:rsidR="00B231CB">
        <w:tc>
          <w:tcPr>
            <w:tcW w:w="2089" w:type="dxa"/>
          </w:tcPr>
          <w:p w:rsidR="00B231CB" w:rsidRDefault="00C71431">
            <w:pPr>
              <w:rPr>
                <w:b/>
                <w:noProof/>
                <w:szCs w:val="24"/>
              </w:rPr>
            </w:pPr>
            <w:r>
              <w:rPr>
                <w:b/>
                <w:noProof/>
                <w:szCs w:val="24"/>
              </w:rPr>
              <w:t>Society at large</w:t>
            </w:r>
          </w:p>
        </w:tc>
        <w:tc>
          <w:tcPr>
            <w:tcW w:w="7153" w:type="dxa"/>
          </w:tcPr>
          <w:p w:rsidR="00B231CB" w:rsidRDefault="00C71431">
            <w:pPr>
              <w:spacing w:after="120"/>
              <w:rPr>
                <w:noProof/>
                <w:szCs w:val="24"/>
              </w:rPr>
            </w:pPr>
            <w:r>
              <w:rPr>
                <w:noProof/>
                <w:szCs w:val="24"/>
              </w:rPr>
              <w:t>Citizens, especially those living in urban areas with high concentrations of pollutants, will benefit from better air quality and less associated health pro</w:t>
            </w:r>
            <w:r>
              <w:rPr>
                <w:noProof/>
                <w:szCs w:val="24"/>
              </w:rPr>
              <w:t>blems due to reduced air pollutant emissions, in particular when the uptake of zero-emission vehicles increases.</w:t>
            </w:r>
          </w:p>
        </w:tc>
      </w:tr>
    </w:tbl>
    <w:p w:rsidR="00B231CB" w:rsidRDefault="00B231CB">
      <w:pPr>
        <w:spacing w:after="120"/>
        <w:rPr>
          <w:noProof/>
          <w:szCs w:val="24"/>
        </w:rPr>
      </w:pPr>
    </w:p>
    <w:p w:rsidR="00B231CB" w:rsidRDefault="00B231CB">
      <w:pPr>
        <w:spacing w:after="120"/>
        <w:rPr>
          <w:noProof/>
          <w:szCs w:val="24"/>
        </w:rPr>
      </w:pPr>
    </w:p>
    <w:p w:rsidR="00B231CB" w:rsidRDefault="00C71431">
      <w:pPr>
        <w:spacing w:after="200" w:line="276" w:lineRule="auto"/>
        <w:jc w:val="left"/>
        <w:rPr>
          <w:b/>
          <w:i/>
          <w:noProof/>
        </w:rPr>
      </w:pPr>
      <w:r>
        <w:rPr>
          <w:b/>
          <w:i/>
          <w:noProof/>
        </w:rPr>
        <w:br w:type="page"/>
      </w:r>
    </w:p>
    <w:p w:rsidR="00B231CB" w:rsidRDefault="00C71431">
      <w:pPr>
        <w:pStyle w:val="Heading1"/>
        <w:rPr>
          <w:noProof/>
        </w:rPr>
      </w:pPr>
      <w:bookmarkStart w:id="29" w:name="_Toc496688619"/>
      <w:r>
        <w:rPr>
          <w:noProof/>
        </w:rPr>
        <w:t xml:space="preserve">Annex 4: </w:t>
      </w:r>
      <w:bookmarkStart w:id="30" w:name="_Toc472885627"/>
      <w:bookmarkStart w:id="31" w:name="_Ref475295086"/>
      <w:bookmarkStart w:id="32" w:name="_Toc481863594"/>
      <w:r>
        <w:rPr>
          <w:noProof/>
        </w:rPr>
        <w:t>Analytical models used in preparing the impact assessment</w:t>
      </w:r>
      <w:bookmarkEnd w:id="29"/>
    </w:p>
    <w:bookmarkEnd w:id="30"/>
    <w:bookmarkEnd w:id="31"/>
    <w:bookmarkEnd w:id="32"/>
    <w:p w:rsidR="00B231CB" w:rsidRDefault="00C71431">
      <w:pPr>
        <w:spacing w:after="120"/>
        <w:rPr>
          <w:noProof/>
          <w:color w:val="000000" w:themeColor="text1"/>
        </w:rPr>
      </w:pPr>
      <w:r>
        <w:rPr>
          <w:noProof/>
          <w:color w:val="000000" w:themeColor="text1"/>
        </w:rPr>
        <w:t xml:space="preserve">The analytical work underpinning this Impact Assessment uses a series of models: PRIMES-TREMOVE, E3ME, GEM-E3, JRC DIONE. </w:t>
      </w:r>
      <w:r>
        <w:rPr>
          <w:noProof/>
          <w:color w:val="000000" w:themeColor="text1"/>
          <w:lang w:eastAsia="en-GB"/>
        </w:rPr>
        <w:t>They have a successful record of use in the Commission's transport, energy and climate policy impact assessments – including for the 2</w:t>
      </w:r>
      <w:r>
        <w:rPr>
          <w:noProof/>
          <w:color w:val="000000" w:themeColor="text1"/>
          <w:lang w:eastAsia="en-GB"/>
        </w:rPr>
        <w:t xml:space="preserve">020 climate and energy package, the 2030 climate and energy policy framework, the ESR and EED proposals, and for the analytical work in the SWD of the  Low Emission Mobility Strategy. </w:t>
      </w:r>
    </w:p>
    <w:p w:rsidR="00B231CB" w:rsidRDefault="00C71431">
      <w:pPr>
        <w:rPr>
          <w:i/>
          <w:noProof/>
          <w:color w:val="000000" w:themeColor="text1"/>
        </w:rPr>
      </w:pPr>
      <w:r>
        <w:rPr>
          <w:noProof/>
          <w:color w:val="000000" w:themeColor="text1"/>
        </w:rPr>
        <w:t>A brief description of each model is provided below.</w:t>
      </w:r>
    </w:p>
    <w:p w:rsidR="00B231CB" w:rsidRDefault="00C71431">
      <w:pPr>
        <w:pStyle w:val="Heading2"/>
        <w:rPr>
          <w:noProof/>
        </w:rPr>
      </w:pPr>
      <w:bookmarkStart w:id="33" w:name="_Toc481863597"/>
      <w:bookmarkStart w:id="34" w:name="_Toc496688620"/>
      <w:r>
        <w:rPr>
          <w:noProof/>
        </w:rPr>
        <w:t>PRIMES-TREMOVE tra</w:t>
      </w:r>
      <w:r>
        <w:rPr>
          <w:noProof/>
        </w:rPr>
        <w:t>nsport model</w:t>
      </w:r>
      <w:bookmarkEnd w:id="33"/>
      <w:bookmarkEnd w:id="34"/>
    </w:p>
    <w:p w:rsidR="00B231CB" w:rsidRDefault="00C71431">
      <w:pPr>
        <w:spacing w:after="120"/>
        <w:rPr>
          <w:noProof/>
          <w:color w:val="000000" w:themeColor="text1"/>
          <w:lang w:eastAsia="en-GB"/>
        </w:rPr>
      </w:pPr>
      <w:r>
        <w:rPr>
          <w:noProof/>
          <w:color w:val="000000" w:themeColor="text1"/>
          <w:lang w:eastAsia="en-GB"/>
        </w:rPr>
        <w:t>PRIMES-TREMOVE is a private model that has been developed and is maintained by E3MLab/ICCS of National Technical University of Athens</w:t>
      </w:r>
      <w:r>
        <w:rPr>
          <w:rStyle w:val="FootnoteReference"/>
          <w:noProof/>
          <w:color w:val="000000" w:themeColor="text1"/>
          <w:lang w:eastAsia="en-GB"/>
        </w:rPr>
        <w:footnoteReference w:id="7"/>
      </w:r>
      <w:r>
        <w:rPr>
          <w:noProof/>
          <w:color w:val="000000" w:themeColor="text1"/>
          <w:lang w:eastAsia="en-GB"/>
        </w:rPr>
        <w:t>, based on, but extending features of the open source TREMOVE model developed by the TREMOVE</w:t>
      </w:r>
      <w:r>
        <w:rPr>
          <w:rStyle w:val="FootnoteReference"/>
          <w:noProof/>
          <w:color w:val="000000" w:themeColor="text1"/>
        </w:rPr>
        <w:footnoteReference w:id="8"/>
      </w:r>
      <w:r>
        <w:rPr>
          <w:noProof/>
          <w:color w:val="000000" w:themeColor="text1"/>
          <w:lang w:eastAsia="en-GB"/>
        </w:rPr>
        <w:t xml:space="preserve"> modelling community. </w:t>
      </w:r>
      <w:r>
        <w:rPr>
          <w:noProof/>
          <w:color w:val="000000" w:themeColor="text1"/>
        </w:rPr>
        <w:t>Part of the model (e.g. the utility nested tree) was built following the TREMOVE model</w:t>
      </w:r>
      <w:r>
        <w:rPr>
          <w:rStyle w:val="FootnoteReference"/>
          <w:noProof/>
          <w:color w:val="000000" w:themeColor="text1"/>
        </w:rPr>
        <w:footnoteReference w:id="9"/>
      </w:r>
      <w:r>
        <w:rPr>
          <w:noProof/>
          <w:color w:val="000000" w:themeColor="text1"/>
        </w:rPr>
        <w:t xml:space="preserve">. Other parts, like the component on fuel consumption and emissions, follow the COPERT model. </w:t>
      </w:r>
      <w:r>
        <w:rPr>
          <w:noProof/>
          <w:color w:val="000000" w:themeColor="text1"/>
          <w:lang w:eastAsia="en-GB"/>
        </w:rPr>
        <w:t xml:space="preserve">When used as a module which contributes to a broader </w:t>
      </w:r>
      <w:r>
        <w:rPr>
          <w:noProof/>
          <w:color w:val="000000" w:themeColor="text1"/>
          <w:lang w:eastAsia="en-GB"/>
        </w:rPr>
        <w:t>PRIMES scenario, it can show how policies and trends in the field of transport contribute to economy wide trends in energy use and emissions. As module of the PRIMES energy system model, PRIMES-TREMOVE</w:t>
      </w:r>
      <w:r>
        <w:rPr>
          <w:rStyle w:val="FootnoteReference"/>
          <w:noProof/>
          <w:color w:val="000000" w:themeColor="text1"/>
        </w:rPr>
        <w:footnoteReference w:id="10"/>
      </w:r>
      <w:r>
        <w:rPr>
          <w:noProof/>
          <w:color w:val="000000" w:themeColor="text1"/>
          <w:lang w:eastAsia="en-GB"/>
        </w:rPr>
        <w:t xml:space="preserve"> has been successfully peer reviewed</w:t>
      </w:r>
      <w:r>
        <w:rPr>
          <w:noProof/>
          <w:color w:val="000000" w:themeColor="text1"/>
          <w:vertAlign w:val="superscript"/>
          <w:lang w:eastAsia="en-GB"/>
        </w:rPr>
        <w:footnoteReference w:id="11"/>
      </w:r>
      <w:r>
        <w:rPr>
          <w:noProof/>
          <w:color w:val="000000" w:themeColor="text1"/>
          <w:lang w:eastAsia="en-GB"/>
        </w:rPr>
        <w:t>, most recently i</w:t>
      </w:r>
      <w:r>
        <w:rPr>
          <w:noProof/>
          <w:color w:val="000000" w:themeColor="text1"/>
          <w:lang w:eastAsia="en-GB"/>
        </w:rPr>
        <w:t>n 2011</w:t>
      </w:r>
      <w:r>
        <w:rPr>
          <w:noProof/>
          <w:color w:val="000000" w:themeColor="text1"/>
          <w:vertAlign w:val="superscript"/>
          <w:lang w:eastAsia="en-GB"/>
        </w:rPr>
        <w:footnoteReference w:id="12"/>
      </w:r>
      <w:r>
        <w:rPr>
          <w:noProof/>
          <w:color w:val="000000" w:themeColor="text1"/>
          <w:lang w:eastAsia="en-GB"/>
        </w:rPr>
        <w:t xml:space="preserve">. </w:t>
      </w:r>
      <w:r>
        <w:rPr>
          <w:noProof/>
          <w:color w:val="000000" w:themeColor="text1"/>
        </w:rPr>
        <w:t>PRIMES-TREMOVE has been used for the 2011 White Paper on Transport, Low Carbon Economy and Energy 2050 Roadmaps, the 2030 policy framework for climate and energy and more recently for the Effort Sharing Regulation, the review of the Energy Efficie</w:t>
      </w:r>
      <w:r>
        <w:rPr>
          <w:noProof/>
          <w:color w:val="000000" w:themeColor="text1"/>
        </w:rPr>
        <w:t>ncy Directive, the recast of the Renewables Energy Directive and for the European strategy on low-emission mobility.</w:t>
      </w:r>
      <w:r>
        <w:rPr>
          <w:noProof/>
          <w:color w:val="000000" w:themeColor="text1"/>
          <w:lang w:eastAsia="en-GB"/>
        </w:rPr>
        <w:t xml:space="preserve"> </w:t>
      </w:r>
    </w:p>
    <w:p w:rsidR="00B231CB" w:rsidRDefault="00C71431">
      <w:pPr>
        <w:keepNext/>
        <w:spacing w:after="120"/>
        <w:rPr>
          <w:noProof/>
          <w:color w:val="000000" w:themeColor="text1"/>
          <w:lang w:eastAsia="en-GB"/>
        </w:rPr>
      </w:pPr>
      <w:r>
        <w:rPr>
          <w:noProof/>
          <w:color w:val="000000" w:themeColor="text1"/>
          <w:lang w:eastAsia="en-GB"/>
        </w:rPr>
        <w:t>The PRIMES-TREMOVE transport model projects the evolution of demand for passengers and freight transport by transport mode and transport m</w:t>
      </w:r>
      <w:r>
        <w:rPr>
          <w:noProof/>
          <w:color w:val="000000" w:themeColor="text1"/>
          <w:lang w:eastAsia="en-GB"/>
        </w:rPr>
        <w:t xml:space="preserve">ean. It is a dynamic system of multi-agent choices under several constraints, which are not necessarily binding simultaneously. </w:t>
      </w:r>
    </w:p>
    <w:p w:rsidR="00B231CB" w:rsidRDefault="00C71431">
      <w:pPr>
        <w:spacing w:after="120"/>
        <w:rPr>
          <w:iCs/>
          <w:noProof/>
          <w:color w:val="000000" w:themeColor="text1"/>
        </w:rPr>
      </w:pPr>
      <w:r>
        <w:rPr>
          <w:noProof/>
          <w:color w:val="000000" w:themeColor="text1"/>
          <w:lang w:eastAsia="en-GB"/>
        </w:rPr>
        <w:t xml:space="preserve">PRIMES-TREMOVE is suitable for modelling </w:t>
      </w:r>
      <w:r>
        <w:rPr>
          <w:i/>
          <w:noProof/>
          <w:color w:val="000000" w:themeColor="text1"/>
          <w:lang w:eastAsia="en-GB"/>
        </w:rPr>
        <w:t>soft measures</w:t>
      </w:r>
      <w:r>
        <w:rPr>
          <w:noProof/>
          <w:color w:val="000000" w:themeColor="text1"/>
          <w:lang w:eastAsia="en-GB"/>
        </w:rPr>
        <w:t xml:space="preserve"> (e.g. eco-driving, deployment of Intelligent Transport Systems, labellin</w:t>
      </w:r>
      <w:r>
        <w:rPr>
          <w:noProof/>
          <w:color w:val="000000" w:themeColor="text1"/>
          <w:lang w:eastAsia="en-GB"/>
        </w:rPr>
        <w:t xml:space="preserve">g), </w:t>
      </w:r>
      <w:r>
        <w:rPr>
          <w:i/>
          <w:noProof/>
          <w:color w:val="000000" w:themeColor="text1"/>
          <w:lang w:eastAsia="en-GB"/>
        </w:rPr>
        <w:t>economic measures</w:t>
      </w:r>
      <w:r>
        <w:rPr>
          <w:noProof/>
          <w:color w:val="000000" w:themeColor="text1"/>
          <w:lang w:eastAsia="en-GB"/>
        </w:rPr>
        <w:t xml:space="preserve"> (e.g. subsidies and taxes on fuels, vehicles, emissions, pricing of congestion and other externalities such as air pollution, accidents and noise; </w:t>
      </w:r>
      <w:r>
        <w:rPr>
          <w:noProof/>
          <w:color w:val="000000" w:themeColor="text1"/>
        </w:rPr>
        <w:t>measures supporting R&amp;D</w:t>
      </w:r>
      <w:r>
        <w:rPr>
          <w:noProof/>
          <w:color w:val="000000" w:themeColor="text1"/>
          <w:lang w:eastAsia="en-GB"/>
        </w:rPr>
        <w:t xml:space="preserve">), </w:t>
      </w:r>
      <w:r>
        <w:rPr>
          <w:i/>
          <w:iCs/>
          <w:noProof/>
          <w:color w:val="000000" w:themeColor="text1"/>
        </w:rPr>
        <w:t>infrastructure policies for alternative fuels</w:t>
      </w:r>
      <w:r>
        <w:rPr>
          <w:iCs/>
          <w:noProof/>
          <w:color w:val="000000" w:themeColor="text1"/>
        </w:rPr>
        <w:t xml:space="preserve"> (e.g. deploymen</w:t>
      </w:r>
      <w:r>
        <w:rPr>
          <w:iCs/>
          <w:noProof/>
          <w:color w:val="000000" w:themeColor="text1"/>
        </w:rPr>
        <w:t xml:space="preserve">t of refuelling/recharging infrastructure for electricity, hydrogen, LNG, CNG) and </w:t>
      </w:r>
      <w:r>
        <w:rPr>
          <w:i/>
          <w:iCs/>
          <w:noProof/>
          <w:color w:val="000000" w:themeColor="text1"/>
        </w:rPr>
        <w:t>regulatory measures</w:t>
      </w:r>
      <w:r>
        <w:rPr>
          <w:iCs/>
          <w:noProof/>
          <w:color w:val="000000" w:themeColor="text1"/>
        </w:rPr>
        <w:t xml:space="preserve">. </w:t>
      </w:r>
    </w:p>
    <w:p w:rsidR="00B231CB" w:rsidRDefault="00C71431">
      <w:pPr>
        <w:spacing w:after="120"/>
        <w:rPr>
          <w:noProof/>
          <w:color w:val="000000" w:themeColor="text1"/>
          <w:lang w:eastAsia="en-GB"/>
        </w:rPr>
      </w:pPr>
      <w:r>
        <w:rPr>
          <w:iCs/>
          <w:noProof/>
          <w:color w:val="000000" w:themeColor="text1"/>
        </w:rPr>
        <w:t>R</w:t>
      </w:r>
      <w:r>
        <w:rPr>
          <w:noProof/>
          <w:color w:val="000000" w:themeColor="text1"/>
          <w:lang w:eastAsia="en-GB"/>
        </w:rPr>
        <w:t>egulatory measures include EU Regulations No 443/2009 and No 510/2011 setting CO</w:t>
      </w:r>
      <w:r>
        <w:rPr>
          <w:noProof/>
          <w:color w:val="000000" w:themeColor="text1"/>
          <w:vertAlign w:val="subscript"/>
          <w:lang w:eastAsia="en-GB"/>
        </w:rPr>
        <w:t>2</w:t>
      </w:r>
      <w:r>
        <w:rPr>
          <w:noProof/>
          <w:color w:val="000000" w:themeColor="text1"/>
          <w:lang w:eastAsia="en-GB"/>
        </w:rPr>
        <w:t xml:space="preserve"> emission performance standards for new passenger cars and new light </w:t>
      </w:r>
      <w:r>
        <w:rPr>
          <w:noProof/>
          <w:color w:val="000000" w:themeColor="text1"/>
          <w:lang w:eastAsia="en-GB"/>
        </w:rPr>
        <w:t xml:space="preserve">commercial vehicles. </w:t>
      </w:r>
    </w:p>
    <w:p w:rsidR="00B231CB" w:rsidRDefault="00C71431">
      <w:pPr>
        <w:spacing w:after="120"/>
        <w:rPr>
          <w:noProof/>
          <w:color w:val="000000" w:themeColor="text1"/>
          <w:lang w:eastAsia="en-GB"/>
        </w:rPr>
      </w:pPr>
      <w:r>
        <w:rPr>
          <w:iCs/>
          <w:noProof/>
          <w:color w:val="000000" w:themeColor="text1"/>
        </w:rPr>
        <w:t>PRIMES-TREMOVE</w:t>
      </w:r>
      <w:r>
        <w:rPr>
          <w:rStyle w:val="FootnoteReference"/>
          <w:iCs/>
          <w:noProof/>
          <w:color w:val="000000" w:themeColor="text1"/>
        </w:rPr>
        <w:footnoteReference w:id="13"/>
      </w:r>
      <w:r>
        <w:rPr>
          <w:iCs/>
          <w:noProof/>
          <w:color w:val="000000" w:themeColor="text1"/>
        </w:rPr>
        <w:t xml:space="preserve"> </w:t>
      </w:r>
      <w:r>
        <w:rPr>
          <w:noProof/>
          <w:color w:val="000000" w:themeColor="text1"/>
          <w:lang w:eastAsia="en-GB"/>
        </w:rPr>
        <w:t>simulates the equilibrium of the transport market</w:t>
      </w:r>
      <w:r>
        <w:rPr>
          <w:iCs/>
          <w:noProof/>
          <w:color w:val="000000" w:themeColor="text1"/>
        </w:rPr>
        <w:t xml:space="preserve">. It has a modular </w:t>
      </w:r>
      <w:r>
        <w:rPr>
          <w:noProof/>
          <w:color w:val="000000" w:themeColor="text1"/>
          <w:lang w:eastAsia="en-GB"/>
        </w:rPr>
        <w:t>structure, featuring a module projecting demand for transportation services for passenger and freight mobility and a supply module deriving ways of me</w:t>
      </w:r>
      <w:r>
        <w:rPr>
          <w:noProof/>
          <w:color w:val="000000" w:themeColor="text1"/>
          <w:lang w:eastAsia="en-GB"/>
        </w:rPr>
        <w:t xml:space="preserve">eting the demand. </w:t>
      </w:r>
    </w:p>
    <w:p w:rsidR="00B231CB" w:rsidRDefault="00C71431">
      <w:pPr>
        <w:spacing w:after="120"/>
        <w:rPr>
          <w:noProof/>
          <w:color w:val="000000" w:themeColor="text1"/>
          <w:lang w:eastAsia="en-GB"/>
        </w:rPr>
      </w:pPr>
      <w:r>
        <w:rPr>
          <w:noProof/>
          <w:color w:val="000000" w:themeColor="text1"/>
          <w:lang w:eastAsia="en-GB"/>
        </w:rPr>
        <w:t>The supply module projects the optimum technology and fuel mix to produce transportation services which meet demand. It includes a vehicle stock sub-module which considers stock of transport means inherited from previous time periods and</w:t>
      </w:r>
      <w:r>
        <w:rPr>
          <w:noProof/>
          <w:color w:val="000000" w:themeColor="text1"/>
          <w:lang w:eastAsia="en-GB"/>
        </w:rPr>
        <w:t xml:space="preserve"> determines the necessary changes to meet demand. </w:t>
      </w:r>
    </w:p>
    <w:p w:rsidR="00B231CB" w:rsidRDefault="00C71431">
      <w:pPr>
        <w:spacing w:after="120"/>
        <w:rPr>
          <w:noProof/>
          <w:color w:val="000000" w:themeColor="text1"/>
          <w:lang w:eastAsia="en-GB"/>
        </w:rPr>
      </w:pPr>
      <w:r>
        <w:rPr>
          <w:noProof/>
          <w:color w:val="000000" w:themeColor="text1"/>
          <w:lang w:eastAsia="en-GB"/>
        </w:rPr>
        <w:t xml:space="preserve">PRIMES-TREMOVE tracks car vintages and formulates the dynamics of vehicle stock turnover by combining scrapping and new registrations. </w:t>
      </w:r>
    </w:p>
    <w:p w:rsidR="00B231CB" w:rsidRDefault="00C71431">
      <w:pPr>
        <w:spacing w:after="120"/>
        <w:rPr>
          <w:noProof/>
          <w:color w:val="000000" w:themeColor="text1"/>
          <w:lang w:eastAsia="en-GB"/>
        </w:rPr>
      </w:pPr>
      <w:r>
        <w:rPr>
          <w:noProof/>
          <w:color w:val="000000" w:themeColor="text1"/>
          <w:lang w:eastAsia="en-GB"/>
        </w:rPr>
        <w:t xml:space="preserve">The supply module of PRIMES-TREMOVE interacts with the demand module </w:t>
      </w:r>
      <w:r>
        <w:rPr>
          <w:noProof/>
          <w:color w:val="000000" w:themeColor="text1"/>
          <w:lang w:eastAsia="en-GB"/>
        </w:rPr>
        <w:t xml:space="preserve">through the so-called generalised prices of transportation (measured in Euro per passenger km). </w:t>
      </w:r>
      <w:r>
        <w:rPr>
          <w:noProof/>
        </w:rPr>
        <w:t xml:space="preserve">Different generalised prices are calculated for the various alternative trip possibilities included in the decision tree of the demand module (e.g. area, time, </w:t>
      </w:r>
      <w:r>
        <w:rPr>
          <w:noProof/>
        </w:rPr>
        <w:t xml:space="preserve">distance) by transport mode. When the generalised prices differ from the baseline scenario, the model determines the new demand (for each of the various possible trips) based on the price differential relative to the baseline scenario and the elasticities </w:t>
      </w:r>
      <w:r>
        <w:rPr>
          <w:noProof/>
        </w:rPr>
        <w:t>of substitution (different among the various options) by respecting the overall budget (microeconomic foundation).</w:t>
      </w:r>
    </w:p>
    <w:p w:rsidR="00B231CB" w:rsidRDefault="00C71431">
      <w:pPr>
        <w:spacing w:after="120"/>
        <w:rPr>
          <w:noProof/>
          <w:lang w:val="en-US"/>
        </w:rPr>
      </w:pPr>
      <w:r>
        <w:rPr>
          <w:noProof/>
          <w:color w:val="000000" w:themeColor="text1"/>
          <w:lang w:eastAsia="en-GB"/>
        </w:rPr>
        <w:t>Regarding the purchasing of new vehicles, a menu of technology options is considered; for private cars, the available technology portfolio in</w:t>
      </w:r>
      <w:r>
        <w:rPr>
          <w:noProof/>
          <w:color w:val="000000" w:themeColor="text1"/>
          <w:lang w:eastAsia="en-GB"/>
        </w:rPr>
        <w:t xml:space="preserve">cludes different car sizes and different powertrain technologies and fuel types.  The choice of car type follows the approach of discrete choice modelling. A Weibull functional form is used to determine the frequency of choice of a certain car type. </w:t>
      </w:r>
      <w:r>
        <w:rPr>
          <w:noProof/>
          <w:lang w:val="en-US"/>
        </w:rPr>
        <w:t xml:space="preserve">The </w:t>
      </w:r>
      <w:r>
        <w:rPr>
          <w:noProof/>
          <w:lang w:val="en-US"/>
        </w:rPr>
        <w:t>cost indices entering the Weibull function include several elements in two main categories: (1) i</w:t>
      </w:r>
      <w:r>
        <w:rPr>
          <w:bCs/>
          <w:noProof/>
          <w:lang w:val="en-US"/>
        </w:rPr>
        <w:t xml:space="preserve">nternal costs, </w:t>
      </w:r>
      <w:r>
        <w:rPr>
          <w:noProof/>
          <w:lang w:val="en-US"/>
        </w:rPr>
        <w:t xml:space="preserve">(2) </w:t>
      </w:r>
      <w:r>
        <w:rPr>
          <w:bCs/>
          <w:noProof/>
          <w:lang w:val="en-US"/>
        </w:rPr>
        <w:t>perceived costs, i.e. m</w:t>
      </w:r>
      <w:r>
        <w:rPr>
          <w:noProof/>
          <w:lang w:val="en-US"/>
        </w:rPr>
        <w:t xml:space="preserve">arket acceptance for each technology, range anxiety, density of the refueling/recharging infrastructure. </w:t>
      </w:r>
    </w:p>
    <w:p w:rsidR="00B231CB" w:rsidRDefault="00C71431">
      <w:pPr>
        <w:spacing w:after="120"/>
        <w:rPr>
          <w:noProof/>
          <w:lang w:val="en-US"/>
        </w:rPr>
      </w:pPr>
      <w:r>
        <w:rPr>
          <w:noProof/>
          <w:lang w:val="en-US"/>
        </w:rPr>
        <w:t>Internal co</w:t>
      </w:r>
      <w:r>
        <w:rPr>
          <w:noProof/>
          <w:lang w:val="en-US"/>
        </w:rPr>
        <w:t xml:space="preserve">sts (true payable costs) include all cost elements over the lifetime of the candidate transport means: purchasing cost, annual </w:t>
      </w:r>
      <w:r>
        <w:rPr>
          <w:bCs/>
          <w:noProof/>
          <w:lang w:val="en-US"/>
        </w:rPr>
        <w:t>fixed</w:t>
      </w:r>
      <w:r>
        <w:rPr>
          <w:noProof/>
          <w:lang w:val="en-US"/>
        </w:rPr>
        <w:t xml:space="preserve"> costs for maintenance, insurance and ownership/circulation taxation, variable costs for </w:t>
      </w:r>
      <w:r>
        <w:rPr>
          <w:bCs/>
          <w:noProof/>
          <w:lang w:val="en-US"/>
        </w:rPr>
        <w:t>fuel</w:t>
      </w:r>
      <w:r>
        <w:rPr>
          <w:noProof/>
          <w:lang w:val="en-US"/>
        </w:rPr>
        <w:t xml:space="preserve"> consumption depending on trip </w:t>
      </w:r>
      <w:r>
        <w:rPr>
          <w:noProof/>
          <w:lang w:val="en-US"/>
        </w:rPr>
        <w:t xml:space="preserve">type and operation conditions, </w:t>
      </w:r>
      <w:r>
        <w:rPr>
          <w:bCs/>
          <w:noProof/>
          <w:lang w:val="en-US"/>
        </w:rPr>
        <w:t>other variable costs</w:t>
      </w:r>
      <w:r>
        <w:rPr>
          <w:noProof/>
          <w:lang w:val="en-US"/>
        </w:rPr>
        <w:t xml:space="preserve"> including congestion fees, parking fees and tolled roads. </w:t>
      </w:r>
    </w:p>
    <w:p w:rsidR="00B231CB" w:rsidRDefault="00C71431">
      <w:pPr>
        <w:spacing w:after="120"/>
        <w:rPr>
          <w:noProof/>
          <w:lang w:val="en-US"/>
        </w:rPr>
      </w:pPr>
      <w:r>
        <w:rPr>
          <w:bCs/>
          <w:noProof/>
          <w:lang w:val="en-US"/>
        </w:rPr>
        <w:t>Market acceptance factors</w:t>
      </w:r>
      <w:r>
        <w:rPr>
          <w:noProof/>
          <w:lang w:val="en-US"/>
        </w:rPr>
        <w:t xml:space="preserve"> are used to simulate circumstances where consumers have risk avert behaviours regarding new technologies when they are </w:t>
      </w:r>
      <w:r>
        <w:rPr>
          <w:noProof/>
          <w:lang w:val="en-US"/>
        </w:rPr>
        <w:t>still in early stages of market deployment. Perception of risk usually concerns technical performance, maintenance costs and operation convenience. When market penetration exceeds a certain threshold, consumers imitating each other change behaviour and inc</w:t>
      </w:r>
      <w:r>
        <w:rPr>
          <w:noProof/>
          <w:lang w:val="en-US"/>
        </w:rPr>
        <w:t>reasingly accept the innovative technologies giving rise to rapid market diffusion. Therefore, the model simulates reluctance to adopt new technologies in early stages of diffusion and more rapid market penetration in later stages. The decision-making is a</w:t>
      </w:r>
      <w:r>
        <w:rPr>
          <w:noProof/>
          <w:lang w:val="en-US"/>
        </w:rPr>
        <w:t>lso influenced by the availability of infrastructure and the range provided by each vehicle technology. For the analysis in this impact assessment, the availability of infrastructure is assumed: n</w:t>
      </w:r>
      <w:r>
        <w:rPr>
          <w:bCs/>
          <w:noProof/>
        </w:rPr>
        <w:t>o specific restriction of infrastructure availability allows</w:t>
      </w:r>
      <w:r>
        <w:rPr>
          <w:bCs/>
          <w:noProof/>
        </w:rPr>
        <w:t xml:space="preserve"> to determine for each policy scenario the requirements in terms of infrastructure needed to support the projected market penetration of vehicles. </w:t>
      </w:r>
      <w:r>
        <w:rPr>
          <w:noProof/>
          <w:lang w:val="en-US"/>
        </w:rPr>
        <w:t>In order to represent in a more refined manner the true effects of the range limitations of some vehicle tech</w:t>
      </w:r>
      <w:r>
        <w:rPr>
          <w:noProof/>
          <w:lang w:val="en-US"/>
        </w:rPr>
        <w:t>nologies, the trip categories represented into the model are assumed to follow a frequency distribution of trip distances. The model assumes that decision makers compare the range possibilities of each vehicle technology for all classes of trip types and t</w:t>
      </w:r>
      <w:r>
        <w:rPr>
          <w:noProof/>
          <w:lang w:val="en-US"/>
        </w:rPr>
        <w:t>rip distances and applies cost penalties in case of mismatches between range limitations. Because of range anxiety issues, based on the frequency distribution of trips existing in the model, certain consumer categories observe high penalties when selecting</w:t>
      </w:r>
      <w:r>
        <w:rPr>
          <w:noProof/>
          <w:lang w:val="en-US"/>
        </w:rPr>
        <w:t xml:space="preserve"> vehicles with range limitations. For such trip profiles, electric vehicles are not a viable option. </w:t>
      </w:r>
    </w:p>
    <w:p w:rsidR="00B231CB" w:rsidRDefault="00C71431">
      <w:pPr>
        <w:spacing w:after="120"/>
        <w:rPr>
          <w:noProof/>
          <w:lang w:val="en-US"/>
        </w:rPr>
      </w:pPr>
      <w:r>
        <w:rPr>
          <w:noProof/>
          <w:lang w:val="en-US"/>
        </w:rPr>
        <w:t>When a CO</w:t>
      </w:r>
      <w:r>
        <w:rPr>
          <w:noProof/>
          <w:vertAlign w:val="subscript"/>
          <w:lang w:val="en-US"/>
        </w:rPr>
        <w:t>2</w:t>
      </w:r>
      <w:r>
        <w:rPr>
          <w:noProof/>
          <w:lang w:val="en-US"/>
        </w:rPr>
        <w:t xml:space="preserve"> target for new cars and vans is set, a representative seller is assumed to offer to the market a variety of vehicle types which on average have</w:t>
      </w:r>
      <w:r>
        <w:rPr>
          <w:noProof/>
          <w:lang w:val="en-US"/>
        </w:rPr>
        <w:t xml:space="preserve"> to respect the target. The average performance against the standard is endogenously calculated depending on consumer choice of </w:t>
      </w:r>
      <w:r>
        <w:rPr>
          <w:noProof/>
        </w:rPr>
        <w:t xml:space="preserve">vehicle </w:t>
      </w:r>
      <w:r>
        <w:rPr>
          <w:noProof/>
          <w:lang w:val="en-US"/>
        </w:rPr>
        <w:t>types. The average performance of the new fleet has to be below the value of the CO</w:t>
      </w:r>
      <w:r>
        <w:rPr>
          <w:noProof/>
          <w:vertAlign w:val="subscript"/>
          <w:lang w:val="en-US"/>
        </w:rPr>
        <w:t>2</w:t>
      </w:r>
      <w:r>
        <w:rPr>
          <w:noProof/>
          <w:lang w:val="en-US"/>
        </w:rPr>
        <w:t xml:space="preserve"> standard. Otherwise, the representa</w:t>
      </w:r>
      <w:r>
        <w:rPr>
          <w:noProof/>
          <w:lang w:val="en-US"/>
        </w:rPr>
        <w:t>tive seller increases the prices of non-complying</w:t>
      </w:r>
      <w:r>
        <w:rPr>
          <w:noProof/>
          <w:sz w:val="22"/>
          <w:szCs w:val="22"/>
          <w:lang w:val="en-US"/>
        </w:rPr>
        <w:t xml:space="preserve"> </w:t>
      </w:r>
      <w:r>
        <w:rPr>
          <w:noProof/>
        </w:rPr>
        <w:t xml:space="preserve">vehicle </w:t>
      </w:r>
      <w:r>
        <w:rPr>
          <w:noProof/>
          <w:lang w:val="en-US"/>
        </w:rPr>
        <w:t xml:space="preserve">types (in the form of a penalty). This penalty factor is estimated endogenously and depends on the difference between the value of the standard and the performance of the particular </w:t>
      </w:r>
      <w:r>
        <w:rPr>
          <w:noProof/>
        </w:rPr>
        <w:t xml:space="preserve">vehicle </w:t>
      </w:r>
      <w:r>
        <w:rPr>
          <w:noProof/>
          <w:lang w:val="en-US"/>
        </w:rPr>
        <w:t>type. Th</w:t>
      </w:r>
      <w:r>
        <w:rPr>
          <w:noProof/>
          <w:lang w:val="en-US"/>
        </w:rPr>
        <w:t>is procedure is repeated until average performance of the new fleet is below the value of the standard.</w:t>
      </w:r>
    </w:p>
    <w:p w:rsidR="00B231CB" w:rsidRDefault="00C71431">
      <w:pPr>
        <w:spacing w:after="120"/>
        <w:rPr>
          <w:noProof/>
        </w:rPr>
      </w:pPr>
      <w:r>
        <w:rPr>
          <w:noProof/>
        </w:rPr>
        <w:t>The PRIMES-TREMOVE model has been updated to handle a mandate on LEV shares, meaning that all manufacturers need to achieve a specific share of their to</w:t>
      </w:r>
      <w:r>
        <w:rPr>
          <w:noProof/>
        </w:rPr>
        <w:t xml:space="preserve">tal vehicle sales via sales of LEVs. The mandate is formulated similarly to the already existing implementation of the regulations regarding the emissions standards for new vehicle sales. </w:t>
      </w:r>
    </w:p>
    <w:p w:rsidR="00B231CB" w:rsidRDefault="00C71431">
      <w:pPr>
        <w:spacing w:after="120"/>
        <w:rPr>
          <w:noProof/>
          <w:color w:val="000000" w:themeColor="text1"/>
          <w:lang w:eastAsia="en-GB"/>
        </w:rPr>
      </w:pPr>
      <w:r>
        <w:rPr>
          <w:noProof/>
          <w:color w:val="000000" w:themeColor="text1"/>
          <w:lang w:eastAsia="en-GB"/>
        </w:rPr>
        <w:t>In a similar way, energy efficiency performance standards for all r</w:t>
      </w:r>
      <w:r>
        <w:rPr>
          <w:noProof/>
          <w:color w:val="000000" w:themeColor="text1"/>
          <w:lang w:eastAsia="en-GB"/>
        </w:rPr>
        <w:t xml:space="preserve">oad transport modes are integrated in the model, setting an efficiency constraint on new vehicle registrations. </w:t>
      </w:r>
    </w:p>
    <w:p w:rsidR="00B231CB" w:rsidRDefault="00C71431">
      <w:pPr>
        <w:spacing w:after="120"/>
        <w:rPr>
          <w:noProof/>
          <w:color w:val="000000" w:themeColor="text1"/>
          <w:lang w:eastAsia="en-GB"/>
        </w:rPr>
      </w:pPr>
      <w:r>
        <w:rPr>
          <w:noProof/>
          <w:color w:val="000000" w:themeColor="text1"/>
          <w:lang w:eastAsia="en-GB"/>
        </w:rPr>
        <w:t>The current EURO standards on road transport vehicles are explicitly implemented and are important for projecting the future volume of air poll</w:t>
      </w:r>
      <w:r>
        <w:rPr>
          <w:noProof/>
          <w:color w:val="000000" w:themeColor="text1"/>
          <w:lang w:eastAsia="en-GB"/>
        </w:rPr>
        <w:t xml:space="preserve">utants in the transport sector and determining the structure of the fleet. </w:t>
      </w:r>
    </w:p>
    <w:p w:rsidR="00B231CB" w:rsidRDefault="00C71431">
      <w:pPr>
        <w:spacing w:after="120"/>
        <w:rPr>
          <w:noProof/>
          <w:color w:val="000000" w:themeColor="text1"/>
          <w:lang w:eastAsia="en-GB"/>
        </w:rPr>
      </w:pPr>
      <w:r>
        <w:rPr>
          <w:noProof/>
          <w:color w:val="000000" w:themeColor="text1"/>
          <w:lang w:eastAsia="en-GB"/>
        </w:rPr>
        <w:t>The PRIMES-TREMOVE projections, used for the analysis presented in Section 6 of the Impact Assessment, include details for a large number of transport means, technologies and fuels</w:t>
      </w:r>
      <w:r>
        <w:rPr>
          <w:noProof/>
          <w:color w:val="000000" w:themeColor="text1"/>
          <w:lang w:eastAsia="en-GB"/>
        </w:rPr>
        <w:t xml:space="preserve"> (both conventional and alternative types), and their penetration in various transport market segments. They include details about greenhouse gas and air pollution emissions (e.g. NO</w:t>
      </w:r>
      <w:r>
        <w:rPr>
          <w:noProof/>
          <w:color w:val="000000" w:themeColor="text1"/>
          <w:vertAlign w:val="subscript"/>
          <w:lang w:eastAsia="en-GB"/>
        </w:rPr>
        <w:t>x</w:t>
      </w:r>
      <w:r>
        <w:rPr>
          <w:noProof/>
          <w:color w:val="000000" w:themeColor="text1"/>
          <w:lang w:eastAsia="en-GB"/>
        </w:rPr>
        <w:t>, PM, SO</w:t>
      </w:r>
      <w:r>
        <w:rPr>
          <w:noProof/>
          <w:color w:val="000000" w:themeColor="text1"/>
          <w:vertAlign w:val="subscript"/>
          <w:lang w:eastAsia="en-GB"/>
        </w:rPr>
        <w:t>x</w:t>
      </w:r>
      <w:r>
        <w:rPr>
          <w:noProof/>
          <w:color w:val="000000" w:themeColor="text1"/>
          <w:lang w:eastAsia="en-GB"/>
        </w:rPr>
        <w:t>, CO), final energy demand.</w:t>
      </w:r>
    </w:p>
    <w:p w:rsidR="00B231CB" w:rsidRDefault="00C71431">
      <w:pPr>
        <w:pStyle w:val="Heading2"/>
        <w:rPr>
          <w:noProof/>
        </w:rPr>
      </w:pPr>
      <w:bookmarkStart w:id="35" w:name="_Toc496688621"/>
      <w:r>
        <w:rPr>
          <w:noProof/>
        </w:rPr>
        <w:t>DIONE model (JRC)</w:t>
      </w:r>
      <w:bookmarkEnd w:id="35"/>
    </w:p>
    <w:p w:rsidR="00B231CB" w:rsidRDefault="00C71431">
      <w:pPr>
        <w:spacing w:after="120"/>
        <w:rPr>
          <w:noProof/>
        </w:rPr>
      </w:pPr>
      <w:r>
        <w:rPr>
          <w:noProof/>
        </w:rPr>
        <w:t>The DIONE model su</w:t>
      </w:r>
      <w:r>
        <w:rPr>
          <w:noProof/>
        </w:rPr>
        <w:t>ite is developed, maintained and run by the JRC. It has been used for the assessment of capital and operating costs presented in Chapter 6 of the Impact Assessment. The suite consists of different modules, some of which developed specifically for the analy</w:t>
      </w:r>
      <w:r>
        <w:rPr>
          <w:noProof/>
        </w:rPr>
        <w:t>sis in this Impact Assessment, such as:</w:t>
      </w:r>
    </w:p>
    <w:p w:rsidR="00B231CB" w:rsidRDefault="00C71431">
      <w:pPr>
        <w:pStyle w:val="ListParagraph"/>
        <w:numPr>
          <w:ilvl w:val="0"/>
          <w:numId w:val="38"/>
        </w:numPr>
        <w:spacing w:after="120"/>
        <w:contextualSpacing w:val="0"/>
        <w:rPr>
          <w:noProof/>
        </w:rPr>
      </w:pPr>
      <w:r>
        <w:rPr>
          <w:noProof/>
        </w:rPr>
        <w:t>DIONE Fleet Impact Model</w:t>
      </w:r>
    </w:p>
    <w:p w:rsidR="00B231CB" w:rsidRDefault="00C71431">
      <w:pPr>
        <w:pStyle w:val="ListParagraph"/>
        <w:numPr>
          <w:ilvl w:val="0"/>
          <w:numId w:val="38"/>
        </w:numPr>
        <w:spacing w:after="120"/>
        <w:contextualSpacing w:val="0"/>
        <w:rPr>
          <w:noProof/>
        </w:rPr>
      </w:pPr>
      <w:r>
        <w:rPr>
          <w:noProof/>
        </w:rPr>
        <w:t>DIONE Cost Curve Model</w:t>
      </w:r>
    </w:p>
    <w:p w:rsidR="00B231CB" w:rsidRDefault="00C71431">
      <w:pPr>
        <w:pStyle w:val="ListParagraph"/>
        <w:numPr>
          <w:ilvl w:val="0"/>
          <w:numId w:val="38"/>
        </w:numPr>
        <w:spacing w:after="120"/>
        <w:contextualSpacing w:val="0"/>
        <w:rPr>
          <w:noProof/>
        </w:rPr>
      </w:pPr>
      <w:r>
        <w:rPr>
          <w:noProof/>
        </w:rPr>
        <w:t>DIONE Cross-Optimization Module</w:t>
      </w:r>
    </w:p>
    <w:p w:rsidR="00B231CB" w:rsidRDefault="00C71431">
      <w:pPr>
        <w:pStyle w:val="ListParagraph"/>
        <w:numPr>
          <w:ilvl w:val="0"/>
          <w:numId w:val="38"/>
        </w:numPr>
        <w:spacing w:after="120"/>
        <w:contextualSpacing w:val="0"/>
        <w:rPr>
          <w:noProof/>
        </w:rPr>
      </w:pPr>
      <w:r>
        <w:rPr>
          <w:noProof/>
        </w:rPr>
        <w:t>DIONE Fuel and Energy Cost Module</w:t>
      </w:r>
    </w:p>
    <w:p w:rsidR="00B231CB" w:rsidRDefault="00C71431">
      <w:pPr>
        <w:pStyle w:val="ListParagraph"/>
        <w:numPr>
          <w:ilvl w:val="0"/>
          <w:numId w:val="38"/>
        </w:numPr>
        <w:spacing w:after="120"/>
        <w:contextualSpacing w:val="0"/>
        <w:rPr>
          <w:noProof/>
        </w:rPr>
      </w:pPr>
      <w:r>
        <w:rPr>
          <w:noProof/>
        </w:rPr>
        <w:t>DIONE TCO and Payback Module</w:t>
      </w:r>
    </w:p>
    <w:p w:rsidR="00B231CB" w:rsidRDefault="00C71431">
      <w:pPr>
        <w:spacing w:after="120"/>
        <w:rPr>
          <w:noProof/>
        </w:rPr>
      </w:pPr>
      <w:r>
        <w:rPr>
          <w:noProof/>
        </w:rPr>
        <w:t>The technology costs and CO</w:t>
      </w:r>
      <w:r>
        <w:rPr>
          <w:noProof/>
          <w:vertAlign w:val="subscript"/>
        </w:rPr>
        <w:t xml:space="preserve">2 </w:t>
      </w:r>
      <w:r>
        <w:rPr>
          <w:noProof/>
        </w:rPr>
        <w:t xml:space="preserve">saving potentials developed during the project </w:t>
      </w:r>
      <w:r>
        <w:rPr>
          <w:b/>
          <w:noProof/>
        </w:rPr>
        <w:t>"</w:t>
      </w:r>
      <w:r>
        <w:rPr>
          <w:noProof/>
        </w:rPr>
        <w:t>Supporting Analysis on Improving Understanding of Technology and Costs for CO</w:t>
      </w:r>
      <w:r>
        <w:rPr>
          <w:noProof/>
          <w:vertAlign w:val="subscript"/>
        </w:rPr>
        <w:t>2</w:t>
      </w:r>
      <w:r>
        <w:rPr>
          <w:noProof/>
        </w:rPr>
        <w:t xml:space="preserve"> Reductions from Cars and LCVs in the Period to 2030 and Development of Cost Curves"</w:t>
      </w:r>
      <w:r>
        <w:rPr>
          <w:rStyle w:val="FootnoteReference"/>
          <w:noProof/>
        </w:rPr>
        <w:footnoteReference w:id="14"/>
      </w:r>
      <w:r>
        <w:rPr>
          <w:noProof/>
        </w:rPr>
        <w:t xml:space="preserve"> were used as an input to the DIONE Cost Curve Model. Hundreds of cost curves were developed and used for the Impact Assessment, covering ten powertrains (SI, CI, SI HEV, CI HEV, SI PHEV, SI REEV, CI PHEV, CI REEV, BEV, FCEV), 7 vehicle segments (small, lo</w:t>
      </w:r>
      <w:r>
        <w:rPr>
          <w:noProof/>
        </w:rPr>
        <w:t xml:space="preserve">wer medium, upper medium and large car; small medium and large LCV), and 4 cost scenarios (high, medium, low and very low for batteries). </w:t>
      </w:r>
    </w:p>
    <w:p w:rsidR="00B231CB" w:rsidRDefault="00C71431">
      <w:pPr>
        <w:spacing w:after="120"/>
        <w:rPr>
          <w:noProof/>
        </w:rPr>
      </w:pPr>
      <w:r>
        <w:rPr>
          <w:noProof/>
        </w:rPr>
        <w:t>On the basis of the defined cost curves, the DIONE Cross-Optimization Module determines the optimal (i.e. cost minimi</w:t>
      </w:r>
      <w:r>
        <w:rPr>
          <w:noProof/>
        </w:rPr>
        <w:t>zing) CO</w:t>
      </w:r>
      <w:r>
        <w:rPr>
          <w:noProof/>
          <w:vertAlign w:val="subscript"/>
        </w:rPr>
        <w:t>2</w:t>
      </w:r>
      <w:r>
        <w:rPr>
          <w:noProof/>
        </w:rPr>
        <w:t xml:space="preserve"> and energy consumption reduction for each manufacturer category, powertrain and segment, given the relevant targets, fleet compositions and cost curves. As the cost curves have positive first and second derivatives, this is a mathematical problem</w:t>
      </w:r>
      <w:r>
        <w:rPr>
          <w:noProof/>
        </w:rPr>
        <w:t xml:space="preserve"> with a unique solution that can be solved by a standard optimization algorithm. Outputs from the Cross-Optimization Module are optimal CO</w:t>
      </w:r>
      <w:r>
        <w:rPr>
          <w:noProof/>
          <w:vertAlign w:val="subscript"/>
        </w:rPr>
        <w:t>2</w:t>
      </w:r>
      <w:r>
        <w:rPr>
          <w:noProof/>
        </w:rPr>
        <w:t xml:space="preserve"> (for conventional vehicles and PHEV, REEV) or energy consumption (for BEV, FCEV) reduction (xopt) per manufacturer c</w:t>
      </w:r>
      <w:r>
        <w:rPr>
          <w:noProof/>
        </w:rPr>
        <w:t>ategory, segment and powertrain and the corresponding manufacturing costs (copt), which represent the capital costs shown in Chapter 6 of the Impact Assessment.</w:t>
      </w:r>
    </w:p>
    <w:p w:rsidR="00B231CB" w:rsidRDefault="00C71431">
      <w:pPr>
        <w:spacing w:after="120"/>
        <w:rPr>
          <w:b/>
          <w:noProof/>
        </w:rPr>
      </w:pPr>
      <w:r>
        <w:rPr>
          <w:noProof/>
        </w:rPr>
        <w:t xml:space="preserve">The DIONE Energy Cost Module is used to calculate Fuel and Energy costs. For each manufacturer </w:t>
      </w:r>
      <w:r>
        <w:rPr>
          <w:noProof/>
        </w:rPr>
        <w:t>category, powertrain and segment, the WLTP energy consumption (MJ/km) is</w:t>
      </w:r>
      <w:r>
        <w:rPr>
          <w:noProof/>
          <w:lang w:eastAsia="en-IE"/>
        </w:rPr>
        <w:t xml:space="preserve"> derived from the CO</w:t>
      </w:r>
      <w:r>
        <w:rPr>
          <w:noProof/>
          <w:vertAlign w:val="subscript"/>
          <w:lang w:eastAsia="en-IE"/>
        </w:rPr>
        <w:t>2</w:t>
      </w:r>
      <w:r>
        <w:rPr>
          <w:noProof/>
          <w:lang w:eastAsia="en-IE"/>
        </w:rPr>
        <w:t xml:space="preserve"> emission reduction (to comply with the targets) using specific energy conversion factors. The </w:t>
      </w:r>
      <w:r>
        <w:rPr>
          <w:noProof/>
        </w:rPr>
        <w:t>WLTP energy consumption figures are converted to real world energy c</w:t>
      </w:r>
      <w:r>
        <w:rPr>
          <w:noProof/>
        </w:rPr>
        <w:t>onsumption by multiplying for the real world over WLTP uplift factors for each powertrain and segment, in 2025 and 2030.</w:t>
      </w:r>
      <w:r>
        <w:rPr>
          <w:b/>
          <w:noProof/>
        </w:rPr>
        <w:t xml:space="preserve"> </w:t>
      </w:r>
    </w:p>
    <w:p w:rsidR="00B231CB" w:rsidRDefault="00C71431">
      <w:pPr>
        <w:spacing w:after="120"/>
        <w:rPr>
          <w:noProof/>
        </w:rPr>
      </w:pPr>
      <w:r>
        <w:rPr>
          <w:noProof/>
        </w:rPr>
        <w:t>The fuel and energy cost per powertrain and segment is calculated taking into account the specific energy consumption, the vehicles mi</w:t>
      </w:r>
      <w:r>
        <w:rPr>
          <w:noProof/>
        </w:rPr>
        <w:t>leage, the fuel costs. Vehicle mileages per segment and powertrain as well as mileage profiles over vehicle lifetime are based on PRIMES-TREMOVE. Costs of conventional fuels, and electricity and hydrogen (EUR/MJ) are aligned with PRIMES-TREMOVE. They are d</w:t>
      </w:r>
      <w:r>
        <w:rPr>
          <w:noProof/>
        </w:rPr>
        <w:t>iscounted and weighted by powertrain / segment activity over vehicle age, such that they can be used as multiplicators within the calculation.</w:t>
      </w:r>
    </w:p>
    <w:p w:rsidR="00B231CB" w:rsidRDefault="00C71431">
      <w:pPr>
        <w:spacing w:after="120"/>
        <w:rPr>
          <w:noProof/>
        </w:rPr>
      </w:pPr>
      <w:r>
        <w:rPr>
          <w:noProof/>
        </w:rPr>
        <w:t>In the DIONE TCO (total cost of ownership) and Payback Module, technology costs and operating costs are aggregate</w:t>
      </w:r>
      <w:r>
        <w:rPr>
          <w:noProof/>
        </w:rPr>
        <w:t xml:space="preserve">d, discounted and weighted where appropriate, to calculate total costs of ownership from an end-user and societal perspective. </w:t>
      </w:r>
    </w:p>
    <w:p w:rsidR="00B231CB" w:rsidRDefault="00C71431">
      <w:pPr>
        <w:spacing w:after="120"/>
        <w:rPr>
          <w:noProof/>
        </w:rPr>
      </w:pPr>
      <w:r>
        <w:rPr>
          <w:noProof/>
        </w:rPr>
        <w:fldChar w:fldCharType="begin"/>
      </w:r>
      <w:r>
        <w:rPr>
          <w:noProof/>
        </w:rPr>
        <w:instrText xml:space="preserve"> REF _Ref494117369 \h  \* MERGEFORMAT </w:instrText>
      </w:r>
      <w:r>
        <w:rPr>
          <w:noProof/>
        </w:rPr>
      </w:r>
      <w:r>
        <w:rPr>
          <w:noProof/>
        </w:rPr>
        <w:fldChar w:fldCharType="separate"/>
      </w:r>
      <w:r>
        <w:rPr>
          <w:noProof/>
        </w:rPr>
        <w:t>Table 2</w:t>
      </w:r>
      <w:r>
        <w:rPr>
          <w:noProof/>
        </w:rPr>
        <w:fldChar w:fldCharType="end"/>
      </w:r>
      <w:r>
        <w:rPr>
          <w:noProof/>
        </w:rPr>
        <w:t xml:space="preserve"> shows the main </w:t>
      </w:r>
      <w:r>
        <w:rPr>
          <w:noProof/>
        </w:rPr>
        <w:t>assumptions made for the costs assessment by DIONE.</w:t>
      </w:r>
    </w:p>
    <w:p w:rsidR="00B231CB" w:rsidRDefault="00C71431">
      <w:pPr>
        <w:pStyle w:val="Caption"/>
        <w:keepNext/>
        <w:rPr>
          <w:noProof/>
        </w:rPr>
      </w:pPr>
      <w:bookmarkStart w:id="36" w:name="_Ref494117369"/>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36"/>
      <w:r>
        <w:rPr>
          <w:noProof/>
        </w:rPr>
        <w:t>: Main assumptions made for the costs assessment by DIONE</w:t>
      </w:r>
    </w:p>
    <w:tbl>
      <w:tblPr>
        <w:tblStyle w:val="TableGrid1"/>
        <w:tblW w:w="9201" w:type="dxa"/>
        <w:tblLayout w:type="fixed"/>
        <w:tblCellMar>
          <w:left w:w="57" w:type="dxa"/>
          <w:right w:w="57" w:type="dxa"/>
        </w:tblCellMar>
        <w:tblLook w:val="04A0" w:firstRow="1" w:lastRow="0" w:firstColumn="1" w:lastColumn="0" w:noHBand="0" w:noVBand="1"/>
      </w:tblPr>
      <w:tblGrid>
        <w:gridCol w:w="1681"/>
        <w:gridCol w:w="1701"/>
        <w:gridCol w:w="1595"/>
        <w:gridCol w:w="4224"/>
      </w:tblGrid>
      <w:tr w:rsidR="00B231CB">
        <w:tc>
          <w:tcPr>
            <w:tcW w:w="1681" w:type="dxa"/>
          </w:tcPr>
          <w:p w:rsidR="00B231CB" w:rsidRDefault="00C71431">
            <w:pPr>
              <w:keepNext/>
              <w:spacing w:after="120"/>
              <w:rPr>
                <w:b/>
                <w:noProof/>
                <w:szCs w:val="24"/>
              </w:rPr>
            </w:pPr>
            <w:r>
              <w:rPr>
                <w:b/>
                <w:noProof/>
                <w:szCs w:val="24"/>
              </w:rPr>
              <w:t>Element</w:t>
            </w:r>
          </w:p>
        </w:tc>
        <w:tc>
          <w:tcPr>
            <w:tcW w:w="1701" w:type="dxa"/>
          </w:tcPr>
          <w:p w:rsidR="00B231CB" w:rsidRDefault="00C71431">
            <w:pPr>
              <w:keepNext/>
              <w:spacing w:after="120"/>
              <w:jc w:val="left"/>
              <w:rPr>
                <w:b/>
                <w:noProof/>
                <w:szCs w:val="24"/>
              </w:rPr>
            </w:pPr>
            <w:r>
              <w:rPr>
                <w:b/>
                <w:noProof/>
                <w:szCs w:val="24"/>
              </w:rPr>
              <w:t>Sub-category</w:t>
            </w:r>
          </w:p>
        </w:tc>
        <w:tc>
          <w:tcPr>
            <w:tcW w:w="1595" w:type="dxa"/>
          </w:tcPr>
          <w:p w:rsidR="00B231CB" w:rsidRDefault="00C71431">
            <w:pPr>
              <w:keepNext/>
              <w:spacing w:after="120"/>
              <w:jc w:val="center"/>
              <w:rPr>
                <w:b/>
                <w:noProof/>
                <w:szCs w:val="24"/>
              </w:rPr>
            </w:pPr>
            <w:r>
              <w:rPr>
                <w:b/>
                <w:noProof/>
                <w:szCs w:val="24"/>
              </w:rPr>
              <w:t>Assumption</w:t>
            </w:r>
          </w:p>
        </w:tc>
        <w:tc>
          <w:tcPr>
            <w:tcW w:w="4224" w:type="dxa"/>
          </w:tcPr>
          <w:p w:rsidR="00B231CB" w:rsidRDefault="00C71431">
            <w:pPr>
              <w:keepNext/>
              <w:spacing w:after="120"/>
              <w:jc w:val="left"/>
              <w:rPr>
                <w:b/>
                <w:noProof/>
                <w:szCs w:val="24"/>
              </w:rPr>
            </w:pPr>
            <w:r>
              <w:rPr>
                <w:b/>
                <w:noProof/>
                <w:szCs w:val="24"/>
              </w:rPr>
              <w:t>Notes</w:t>
            </w:r>
          </w:p>
        </w:tc>
      </w:tr>
      <w:tr w:rsidR="00B231CB">
        <w:tc>
          <w:tcPr>
            <w:tcW w:w="1681" w:type="dxa"/>
            <w:vMerge w:val="restart"/>
          </w:tcPr>
          <w:p w:rsidR="00B231CB" w:rsidRDefault="00C71431">
            <w:pPr>
              <w:keepNext/>
              <w:spacing w:after="120"/>
              <w:jc w:val="left"/>
              <w:rPr>
                <w:b/>
                <w:noProof/>
                <w:szCs w:val="24"/>
              </w:rPr>
            </w:pPr>
            <w:r>
              <w:rPr>
                <w:b/>
                <w:noProof/>
                <w:szCs w:val="24"/>
              </w:rPr>
              <w:t>Discount Rate, %</w:t>
            </w:r>
          </w:p>
        </w:tc>
        <w:tc>
          <w:tcPr>
            <w:tcW w:w="1701" w:type="dxa"/>
          </w:tcPr>
          <w:p w:rsidR="00B231CB" w:rsidRDefault="00C71431">
            <w:pPr>
              <w:keepNext/>
              <w:spacing w:after="120"/>
              <w:jc w:val="left"/>
              <w:rPr>
                <w:noProof/>
                <w:szCs w:val="24"/>
              </w:rPr>
            </w:pPr>
            <w:r>
              <w:rPr>
                <w:noProof/>
                <w:szCs w:val="24"/>
              </w:rPr>
              <w:t>Societal</w:t>
            </w:r>
          </w:p>
        </w:tc>
        <w:tc>
          <w:tcPr>
            <w:tcW w:w="1595" w:type="dxa"/>
          </w:tcPr>
          <w:p w:rsidR="00B231CB" w:rsidRDefault="00C71431">
            <w:pPr>
              <w:keepNext/>
              <w:spacing w:after="120"/>
              <w:jc w:val="center"/>
              <w:rPr>
                <w:noProof/>
                <w:szCs w:val="24"/>
              </w:rPr>
            </w:pPr>
            <w:r>
              <w:rPr>
                <w:noProof/>
                <w:szCs w:val="24"/>
              </w:rPr>
              <w:t>4%</w:t>
            </w:r>
          </w:p>
        </w:tc>
        <w:tc>
          <w:tcPr>
            <w:tcW w:w="4224" w:type="dxa"/>
          </w:tcPr>
          <w:p w:rsidR="00B231CB" w:rsidRDefault="00C71431">
            <w:pPr>
              <w:keepNext/>
              <w:spacing w:after="120"/>
              <w:jc w:val="left"/>
              <w:rPr>
                <w:noProof/>
                <w:szCs w:val="24"/>
              </w:rPr>
            </w:pPr>
            <w:r>
              <w:rPr>
                <w:noProof/>
                <w:szCs w:val="24"/>
              </w:rPr>
              <w:t xml:space="preserve">This social discount rate is recommended for </w:t>
            </w:r>
            <w:r>
              <w:rPr>
                <w:noProof/>
                <w:szCs w:val="24"/>
              </w:rPr>
              <w:t>Impact Assessments in the Commission’s Better Regulation guidelines</w:t>
            </w:r>
            <w:r>
              <w:rPr>
                <w:rStyle w:val="FootnoteReference"/>
                <w:noProof/>
                <w:szCs w:val="24"/>
              </w:rPr>
              <w:footnoteReference w:id="15"/>
            </w:r>
            <w:r>
              <w:rPr>
                <w:noProof/>
                <w:szCs w:val="24"/>
              </w:rPr>
              <w:t>.</w:t>
            </w:r>
          </w:p>
        </w:tc>
      </w:tr>
      <w:tr w:rsidR="00B231CB">
        <w:tc>
          <w:tcPr>
            <w:tcW w:w="1681" w:type="dxa"/>
            <w:vMerge/>
          </w:tcPr>
          <w:p w:rsidR="00B231CB" w:rsidRDefault="00B231CB">
            <w:pPr>
              <w:spacing w:after="120"/>
              <w:jc w:val="left"/>
              <w:rPr>
                <w:b/>
                <w:noProof/>
                <w:szCs w:val="24"/>
              </w:rPr>
            </w:pPr>
          </w:p>
        </w:tc>
        <w:tc>
          <w:tcPr>
            <w:tcW w:w="1701" w:type="dxa"/>
          </w:tcPr>
          <w:p w:rsidR="00B231CB" w:rsidRDefault="00C71431">
            <w:pPr>
              <w:spacing w:after="120"/>
              <w:jc w:val="left"/>
              <w:rPr>
                <w:noProof/>
                <w:szCs w:val="24"/>
              </w:rPr>
            </w:pPr>
            <w:r>
              <w:rPr>
                <w:noProof/>
                <w:szCs w:val="24"/>
              </w:rPr>
              <w:t>End user (cars)</w:t>
            </w:r>
          </w:p>
        </w:tc>
        <w:tc>
          <w:tcPr>
            <w:tcW w:w="1595" w:type="dxa"/>
          </w:tcPr>
          <w:p w:rsidR="00B231CB" w:rsidRDefault="00C71431">
            <w:pPr>
              <w:spacing w:after="120"/>
              <w:jc w:val="center"/>
              <w:rPr>
                <w:noProof/>
                <w:szCs w:val="24"/>
              </w:rPr>
            </w:pPr>
            <w:r>
              <w:rPr>
                <w:noProof/>
                <w:szCs w:val="24"/>
              </w:rPr>
              <w:t>11%</w:t>
            </w:r>
          </w:p>
        </w:tc>
        <w:tc>
          <w:tcPr>
            <w:tcW w:w="4224" w:type="dxa"/>
          </w:tcPr>
          <w:p w:rsidR="00B231CB" w:rsidRDefault="00C71431">
            <w:pPr>
              <w:spacing w:after="120"/>
              <w:jc w:val="left"/>
              <w:rPr>
                <w:noProof/>
                <w:szCs w:val="24"/>
              </w:rPr>
            </w:pPr>
            <w:r>
              <w:rPr>
                <w:noProof/>
                <w:szCs w:val="24"/>
              </w:rPr>
              <w:t>Consistent with the Reference Scenario 2016</w:t>
            </w:r>
            <w:r>
              <w:rPr>
                <w:rStyle w:val="FootnoteReference"/>
                <w:noProof/>
                <w:szCs w:val="24"/>
              </w:rPr>
              <w:footnoteReference w:id="16"/>
            </w:r>
          </w:p>
        </w:tc>
      </w:tr>
      <w:tr w:rsidR="00B231CB">
        <w:tc>
          <w:tcPr>
            <w:tcW w:w="1681" w:type="dxa"/>
            <w:vMerge/>
          </w:tcPr>
          <w:p w:rsidR="00B231CB" w:rsidRDefault="00B231CB">
            <w:pPr>
              <w:spacing w:after="120"/>
              <w:jc w:val="left"/>
              <w:rPr>
                <w:b/>
                <w:noProof/>
                <w:szCs w:val="24"/>
              </w:rPr>
            </w:pPr>
          </w:p>
        </w:tc>
        <w:tc>
          <w:tcPr>
            <w:tcW w:w="1701" w:type="dxa"/>
          </w:tcPr>
          <w:p w:rsidR="00B231CB" w:rsidRDefault="00C71431">
            <w:pPr>
              <w:spacing w:after="120"/>
              <w:jc w:val="left"/>
              <w:rPr>
                <w:noProof/>
                <w:szCs w:val="24"/>
              </w:rPr>
            </w:pPr>
            <w:r>
              <w:rPr>
                <w:noProof/>
                <w:szCs w:val="24"/>
              </w:rPr>
              <w:t>End-user (LCVs)</w:t>
            </w:r>
          </w:p>
        </w:tc>
        <w:tc>
          <w:tcPr>
            <w:tcW w:w="1595" w:type="dxa"/>
          </w:tcPr>
          <w:p w:rsidR="00B231CB" w:rsidRDefault="00C71431">
            <w:pPr>
              <w:spacing w:after="120"/>
              <w:jc w:val="center"/>
              <w:rPr>
                <w:noProof/>
                <w:szCs w:val="24"/>
              </w:rPr>
            </w:pPr>
            <w:r>
              <w:rPr>
                <w:noProof/>
                <w:szCs w:val="24"/>
              </w:rPr>
              <w:t>9.5%</w:t>
            </w:r>
          </w:p>
        </w:tc>
        <w:tc>
          <w:tcPr>
            <w:tcW w:w="4224" w:type="dxa"/>
          </w:tcPr>
          <w:p w:rsidR="00B231CB" w:rsidRDefault="00C71431">
            <w:pPr>
              <w:spacing w:after="120"/>
              <w:jc w:val="left"/>
              <w:rPr>
                <w:noProof/>
                <w:szCs w:val="24"/>
              </w:rPr>
            </w:pPr>
            <w:r>
              <w:rPr>
                <w:noProof/>
                <w:szCs w:val="24"/>
              </w:rPr>
              <w:t>Consistent with the Reference Scenario 2016</w:t>
            </w:r>
          </w:p>
        </w:tc>
      </w:tr>
      <w:tr w:rsidR="00B231CB">
        <w:tc>
          <w:tcPr>
            <w:tcW w:w="1681" w:type="dxa"/>
            <w:vMerge w:val="restart"/>
          </w:tcPr>
          <w:p w:rsidR="00B231CB" w:rsidRDefault="00C71431">
            <w:pPr>
              <w:spacing w:after="120"/>
              <w:jc w:val="left"/>
              <w:rPr>
                <w:b/>
                <w:noProof/>
                <w:szCs w:val="24"/>
              </w:rPr>
            </w:pPr>
            <w:r>
              <w:rPr>
                <w:b/>
                <w:noProof/>
                <w:szCs w:val="24"/>
              </w:rPr>
              <w:t>Period/age, years</w:t>
            </w:r>
          </w:p>
        </w:tc>
        <w:tc>
          <w:tcPr>
            <w:tcW w:w="1701" w:type="dxa"/>
          </w:tcPr>
          <w:p w:rsidR="00B231CB" w:rsidRDefault="00C71431">
            <w:pPr>
              <w:spacing w:after="120"/>
              <w:jc w:val="left"/>
              <w:rPr>
                <w:noProof/>
                <w:szCs w:val="24"/>
              </w:rPr>
            </w:pPr>
            <w:r>
              <w:rPr>
                <w:noProof/>
                <w:szCs w:val="24"/>
              </w:rPr>
              <w:t>Lifetime</w:t>
            </w:r>
          </w:p>
        </w:tc>
        <w:tc>
          <w:tcPr>
            <w:tcW w:w="1595" w:type="dxa"/>
          </w:tcPr>
          <w:p w:rsidR="00B231CB" w:rsidRDefault="00C71431">
            <w:pPr>
              <w:spacing w:after="120"/>
              <w:jc w:val="center"/>
              <w:rPr>
                <w:noProof/>
                <w:szCs w:val="24"/>
              </w:rPr>
            </w:pPr>
            <w:r>
              <w:rPr>
                <w:noProof/>
                <w:szCs w:val="24"/>
              </w:rPr>
              <w:t>15</w:t>
            </w:r>
          </w:p>
        </w:tc>
        <w:tc>
          <w:tcPr>
            <w:tcW w:w="4224" w:type="dxa"/>
          </w:tcPr>
          <w:p w:rsidR="00B231CB" w:rsidRDefault="00B231CB">
            <w:pPr>
              <w:spacing w:after="120"/>
              <w:jc w:val="left"/>
              <w:rPr>
                <w:noProof/>
                <w:szCs w:val="24"/>
              </w:rPr>
            </w:pPr>
          </w:p>
        </w:tc>
      </w:tr>
      <w:tr w:rsidR="00B231CB">
        <w:tc>
          <w:tcPr>
            <w:tcW w:w="1681" w:type="dxa"/>
            <w:vMerge/>
          </w:tcPr>
          <w:p w:rsidR="00B231CB" w:rsidRDefault="00B231CB">
            <w:pPr>
              <w:spacing w:after="120"/>
              <w:jc w:val="left"/>
              <w:rPr>
                <w:b/>
                <w:noProof/>
                <w:szCs w:val="24"/>
              </w:rPr>
            </w:pPr>
          </w:p>
        </w:tc>
        <w:tc>
          <w:tcPr>
            <w:tcW w:w="1701" w:type="dxa"/>
          </w:tcPr>
          <w:p w:rsidR="00B231CB" w:rsidRDefault="00C71431">
            <w:pPr>
              <w:spacing w:after="120"/>
              <w:jc w:val="left"/>
              <w:rPr>
                <w:noProof/>
                <w:szCs w:val="24"/>
              </w:rPr>
            </w:pPr>
            <w:r>
              <w:rPr>
                <w:noProof/>
                <w:szCs w:val="24"/>
              </w:rPr>
              <w:t>First end-user</w:t>
            </w:r>
          </w:p>
        </w:tc>
        <w:tc>
          <w:tcPr>
            <w:tcW w:w="1595" w:type="dxa"/>
          </w:tcPr>
          <w:p w:rsidR="00B231CB" w:rsidRDefault="00C71431">
            <w:pPr>
              <w:spacing w:after="120"/>
              <w:jc w:val="center"/>
              <w:rPr>
                <w:noProof/>
                <w:szCs w:val="24"/>
              </w:rPr>
            </w:pPr>
            <w:r>
              <w:rPr>
                <w:noProof/>
                <w:szCs w:val="24"/>
              </w:rPr>
              <w:t>0-5</w:t>
            </w:r>
          </w:p>
        </w:tc>
        <w:tc>
          <w:tcPr>
            <w:tcW w:w="4224" w:type="dxa"/>
          </w:tcPr>
          <w:p w:rsidR="00B231CB" w:rsidRDefault="00B231CB">
            <w:pPr>
              <w:spacing w:after="120"/>
              <w:jc w:val="left"/>
              <w:rPr>
                <w:noProof/>
                <w:szCs w:val="24"/>
              </w:rPr>
            </w:pPr>
          </w:p>
        </w:tc>
      </w:tr>
      <w:tr w:rsidR="00B231CB">
        <w:tc>
          <w:tcPr>
            <w:tcW w:w="1681" w:type="dxa"/>
            <w:vMerge/>
          </w:tcPr>
          <w:p w:rsidR="00B231CB" w:rsidRDefault="00B231CB">
            <w:pPr>
              <w:spacing w:after="120"/>
              <w:jc w:val="left"/>
              <w:rPr>
                <w:b/>
                <w:noProof/>
                <w:szCs w:val="24"/>
              </w:rPr>
            </w:pPr>
          </w:p>
        </w:tc>
        <w:tc>
          <w:tcPr>
            <w:tcW w:w="1701" w:type="dxa"/>
          </w:tcPr>
          <w:p w:rsidR="00B231CB" w:rsidRDefault="00C71431">
            <w:pPr>
              <w:spacing w:after="120"/>
              <w:jc w:val="left"/>
              <w:rPr>
                <w:noProof/>
                <w:szCs w:val="24"/>
              </w:rPr>
            </w:pPr>
            <w:r>
              <w:rPr>
                <w:noProof/>
                <w:szCs w:val="24"/>
              </w:rPr>
              <w:t>Second end-user</w:t>
            </w:r>
          </w:p>
        </w:tc>
        <w:tc>
          <w:tcPr>
            <w:tcW w:w="1595" w:type="dxa"/>
          </w:tcPr>
          <w:p w:rsidR="00B231CB" w:rsidRDefault="00C71431">
            <w:pPr>
              <w:spacing w:after="120"/>
              <w:jc w:val="center"/>
              <w:rPr>
                <w:noProof/>
                <w:szCs w:val="24"/>
              </w:rPr>
            </w:pPr>
            <w:r>
              <w:rPr>
                <w:noProof/>
                <w:szCs w:val="24"/>
              </w:rPr>
              <w:t>6-10</w:t>
            </w:r>
          </w:p>
        </w:tc>
        <w:tc>
          <w:tcPr>
            <w:tcW w:w="4224" w:type="dxa"/>
          </w:tcPr>
          <w:p w:rsidR="00B231CB" w:rsidRDefault="00B231CB">
            <w:pPr>
              <w:spacing w:after="120"/>
              <w:jc w:val="left"/>
              <w:rPr>
                <w:noProof/>
                <w:szCs w:val="24"/>
              </w:rPr>
            </w:pPr>
          </w:p>
        </w:tc>
      </w:tr>
      <w:tr w:rsidR="00B231CB">
        <w:tc>
          <w:tcPr>
            <w:tcW w:w="1681" w:type="dxa"/>
          </w:tcPr>
          <w:p w:rsidR="00B231CB" w:rsidRDefault="00C71431">
            <w:pPr>
              <w:spacing w:after="120"/>
              <w:jc w:val="left"/>
              <w:rPr>
                <w:b/>
                <w:noProof/>
                <w:szCs w:val="24"/>
              </w:rPr>
            </w:pPr>
            <w:r>
              <w:rPr>
                <w:b/>
                <w:noProof/>
                <w:szCs w:val="24"/>
              </w:rPr>
              <w:t>Capital costs</w:t>
            </w:r>
          </w:p>
        </w:tc>
        <w:tc>
          <w:tcPr>
            <w:tcW w:w="1701" w:type="dxa"/>
          </w:tcPr>
          <w:p w:rsidR="00B231CB" w:rsidRDefault="00B231CB">
            <w:pPr>
              <w:spacing w:after="120"/>
              <w:jc w:val="left"/>
              <w:rPr>
                <w:noProof/>
                <w:szCs w:val="24"/>
              </w:rPr>
            </w:pPr>
          </w:p>
        </w:tc>
        <w:tc>
          <w:tcPr>
            <w:tcW w:w="1595" w:type="dxa"/>
          </w:tcPr>
          <w:p w:rsidR="00B231CB" w:rsidRDefault="00C71431">
            <w:pPr>
              <w:spacing w:after="120"/>
              <w:jc w:val="center"/>
              <w:rPr>
                <w:noProof/>
                <w:szCs w:val="24"/>
              </w:rPr>
            </w:pPr>
            <w:r>
              <w:rPr>
                <w:noProof/>
                <w:szCs w:val="24"/>
              </w:rPr>
              <w:t>% sales weighted average from DIONE</w:t>
            </w:r>
          </w:p>
        </w:tc>
        <w:tc>
          <w:tcPr>
            <w:tcW w:w="4224" w:type="dxa"/>
          </w:tcPr>
          <w:p w:rsidR="00B231CB" w:rsidRDefault="00C71431">
            <w:pPr>
              <w:spacing w:after="120"/>
              <w:jc w:val="left"/>
              <w:rPr>
                <w:noProof/>
                <w:szCs w:val="24"/>
              </w:rPr>
            </w:pPr>
            <w:r>
              <w:rPr>
                <w:noProof/>
                <w:szCs w:val="24"/>
              </w:rPr>
              <w:t>Average marginal vehicle manufacturing costs (including manufacturer cateogory profit margins) calculated by DIONE  for a given scenario.</w:t>
            </w:r>
          </w:p>
        </w:tc>
      </w:tr>
      <w:tr w:rsidR="00B231CB">
        <w:tc>
          <w:tcPr>
            <w:tcW w:w="1681" w:type="dxa"/>
          </w:tcPr>
          <w:p w:rsidR="00B231CB" w:rsidRDefault="00C71431">
            <w:pPr>
              <w:spacing w:after="120"/>
              <w:jc w:val="left"/>
              <w:rPr>
                <w:b/>
                <w:noProof/>
                <w:szCs w:val="24"/>
              </w:rPr>
            </w:pPr>
            <w:r>
              <w:rPr>
                <w:b/>
                <w:noProof/>
                <w:szCs w:val="24"/>
              </w:rPr>
              <w:t>Depreciation</w:t>
            </w:r>
          </w:p>
        </w:tc>
        <w:tc>
          <w:tcPr>
            <w:tcW w:w="1701" w:type="dxa"/>
          </w:tcPr>
          <w:p w:rsidR="00B231CB" w:rsidRDefault="00B231CB">
            <w:pPr>
              <w:spacing w:after="120"/>
              <w:jc w:val="left"/>
              <w:rPr>
                <w:noProof/>
                <w:szCs w:val="24"/>
              </w:rPr>
            </w:pPr>
          </w:p>
        </w:tc>
        <w:tc>
          <w:tcPr>
            <w:tcW w:w="1595" w:type="dxa"/>
          </w:tcPr>
          <w:p w:rsidR="00B231CB" w:rsidRDefault="00B231CB">
            <w:pPr>
              <w:spacing w:after="120"/>
              <w:jc w:val="center"/>
              <w:rPr>
                <w:noProof/>
                <w:szCs w:val="24"/>
              </w:rPr>
            </w:pPr>
          </w:p>
        </w:tc>
        <w:tc>
          <w:tcPr>
            <w:tcW w:w="4224" w:type="dxa"/>
          </w:tcPr>
          <w:p w:rsidR="00B231CB" w:rsidRDefault="00C71431">
            <w:pPr>
              <w:spacing w:after="120"/>
              <w:jc w:val="left"/>
              <w:rPr>
                <w:noProof/>
                <w:szCs w:val="24"/>
              </w:rPr>
            </w:pPr>
            <w:r>
              <w:rPr>
                <w:noProof/>
                <w:szCs w:val="24"/>
                <w:lang w:val="fr-BE"/>
              </w:rPr>
              <w:t xml:space="preserve">Based on CE Delft et al. </w:t>
            </w:r>
            <w:r>
              <w:rPr>
                <w:noProof/>
                <w:szCs w:val="24"/>
              </w:rPr>
              <w:t>(2017)</w:t>
            </w:r>
            <w:r>
              <w:rPr>
                <w:rStyle w:val="FootnoteReference"/>
                <w:noProof/>
                <w:szCs w:val="24"/>
              </w:rPr>
              <w:footnoteReference w:id="17"/>
            </w:r>
          </w:p>
        </w:tc>
      </w:tr>
      <w:tr w:rsidR="00B231CB">
        <w:trPr>
          <w:trHeight w:val="1440"/>
        </w:trPr>
        <w:tc>
          <w:tcPr>
            <w:tcW w:w="1681" w:type="dxa"/>
          </w:tcPr>
          <w:p w:rsidR="00B231CB" w:rsidRDefault="00C71431">
            <w:pPr>
              <w:spacing w:after="120"/>
              <w:jc w:val="left"/>
              <w:rPr>
                <w:b/>
                <w:noProof/>
                <w:szCs w:val="24"/>
              </w:rPr>
            </w:pPr>
            <w:r>
              <w:rPr>
                <w:b/>
                <w:noProof/>
                <w:szCs w:val="24"/>
              </w:rPr>
              <w:t>Mileage profile</w:t>
            </w:r>
          </w:p>
        </w:tc>
        <w:tc>
          <w:tcPr>
            <w:tcW w:w="1701" w:type="dxa"/>
          </w:tcPr>
          <w:p w:rsidR="00B231CB" w:rsidRDefault="00C71431">
            <w:pPr>
              <w:spacing w:after="120"/>
              <w:jc w:val="left"/>
              <w:rPr>
                <w:noProof/>
                <w:szCs w:val="24"/>
              </w:rPr>
            </w:pPr>
            <w:r>
              <w:rPr>
                <w:noProof/>
                <w:szCs w:val="24"/>
              </w:rPr>
              <w:t>Total, and by age profile</w:t>
            </w:r>
          </w:p>
        </w:tc>
        <w:tc>
          <w:tcPr>
            <w:tcW w:w="1595" w:type="dxa"/>
          </w:tcPr>
          <w:p w:rsidR="00B231CB" w:rsidRDefault="00B231CB">
            <w:pPr>
              <w:spacing w:after="120"/>
              <w:jc w:val="center"/>
              <w:rPr>
                <w:noProof/>
                <w:szCs w:val="24"/>
              </w:rPr>
            </w:pPr>
          </w:p>
        </w:tc>
        <w:tc>
          <w:tcPr>
            <w:tcW w:w="4224" w:type="dxa"/>
          </w:tcPr>
          <w:p w:rsidR="00B231CB" w:rsidRDefault="00C71431">
            <w:pPr>
              <w:spacing w:after="120"/>
              <w:jc w:val="left"/>
              <w:rPr>
                <w:noProof/>
                <w:szCs w:val="24"/>
              </w:rPr>
            </w:pPr>
            <w:r>
              <w:rPr>
                <w:noProof/>
                <w:szCs w:val="24"/>
              </w:rPr>
              <w:t xml:space="preserve">The overall mileage is distributed over the assumed lifetime of the vehicle in the analysis, according to an age-dependant mileage profile estimated based on PRIMES-TREMOVE </w:t>
            </w:r>
          </w:p>
        </w:tc>
      </w:tr>
      <w:tr w:rsidR="00B231CB">
        <w:trPr>
          <w:trHeight w:val="874"/>
        </w:trPr>
        <w:tc>
          <w:tcPr>
            <w:tcW w:w="1681" w:type="dxa"/>
            <w:vMerge w:val="restart"/>
            <w:shd w:val="clear" w:color="auto" w:fill="FFFFFF" w:themeFill="background1"/>
          </w:tcPr>
          <w:p w:rsidR="00B231CB" w:rsidRDefault="00C71431">
            <w:pPr>
              <w:spacing w:after="120"/>
              <w:jc w:val="left"/>
              <w:rPr>
                <w:b/>
                <w:noProof/>
                <w:szCs w:val="24"/>
              </w:rPr>
            </w:pPr>
            <w:r>
              <w:rPr>
                <w:b/>
                <w:noProof/>
                <w:szCs w:val="24"/>
              </w:rPr>
              <w:t>Mark-up factor</w:t>
            </w:r>
          </w:p>
        </w:tc>
        <w:tc>
          <w:tcPr>
            <w:tcW w:w="1701" w:type="dxa"/>
          </w:tcPr>
          <w:p w:rsidR="00B231CB" w:rsidRDefault="00C71431">
            <w:pPr>
              <w:spacing w:after="120"/>
              <w:jc w:val="left"/>
              <w:rPr>
                <w:noProof/>
                <w:szCs w:val="24"/>
              </w:rPr>
            </w:pPr>
            <w:r>
              <w:rPr>
                <w:noProof/>
                <w:szCs w:val="24"/>
              </w:rPr>
              <w:t>Cars</w:t>
            </w:r>
          </w:p>
        </w:tc>
        <w:tc>
          <w:tcPr>
            <w:tcW w:w="1595" w:type="dxa"/>
          </w:tcPr>
          <w:p w:rsidR="00B231CB" w:rsidRDefault="00C71431">
            <w:pPr>
              <w:spacing w:after="120"/>
              <w:jc w:val="center"/>
              <w:rPr>
                <w:noProof/>
                <w:szCs w:val="24"/>
              </w:rPr>
            </w:pPr>
            <w:r>
              <w:rPr>
                <w:noProof/>
                <w:szCs w:val="24"/>
              </w:rPr>
              <w:t>1.40</w:t>
            </w:r>
          </w:p>
        </w:tc>
        <w:tc>
          <w:tcPr>
            <w:tcW w:w="4224" w:type="dxa"/>
            <w:vMerge w:val="restart"/>
            <w:shd w:val="clear" w:color="auto" w:fill="FFFFFF" w:themeFill="background1"/>
          </w:tcPr>
          <w:p w:rsidR="00B231CB" w:rsidRDefault="00C71431">
            <w:pPr>
              <w:spacing w:after="120"/>
              <w:jc w:val="left"/>
              <w:rPr>
                <w:noProof/>
                <w:szCs w:val="24"/>
              </w:rPr>
            </w:pPr>
            <w:r>
              <w:rPr>
                <w:noProof/>
                <w:szCs w:val="24"/>
              </w:rPr>
              <w:t>Used to convert total manufacturing costs to prices, including dealer margins, logistics and marketing costs and relevant taxes. Consistent with values used in previous IA analysis according to (TNO et al., 2011)</w:t>
            </w:r>
            <w:r>
              <w:rPr>
                <w:rStyle w:val="FootnoteReference"/>
                <w:noProof/>
                <w:szCs w:val="24"/>
              </w:rPr>
              <w:footnoteReference w:id="18"/>
            </w:r>
            <w:r>
              <w:rPr>
                <w:noProof/>
                <w:szCs w:val="24"/>
              </w:rPr>
              <w:t>, (AEA/TNO et al.,</w:t>
            </w:r>
            <w:r>
              <w:rPr>
                <w:noProof/>
                <w:szCs w:val="24"/>
              </w:rPr>
              <w:t xml:space="preserve"> 2009)</w:t>
            </w:r>
            <w:r>
              <w:rPr>
                <w:rStyle w:val="FootnoteReference"/>
                <w:noProof/>
                <w:szCs w:val="24"/>
              </w:rPr>
              <w:footnoteReference w:id="19"/>
            </w:r>
            <w:r>
              <w:rPr>
                <w:noProof/>
                <w:szCs w:val="24"/>
              </w:rPr>
              <w:t>. The mark-up for LCVs excludes VAT, as the vast majority of new purchases of LCVs are by businesses, where VAT is not applicable.</w:t>
            </w:r>
          </w:p>
        </w:tc>
      </w:tr>
      <w:tr w:rsidR="00B231CB">
        <w:tc>
          <w:tcPr>
            <w:tcW w:w="1681" w:type="dxa"/>
            <w:vMerge/>
          </w:tcPr>
          <w:p w:rsidR="00B231CB" w:rsidRDefault="00B231CB">
            <w:pPr>
              <w:spacing w:after="120"/>
              <w:rPr>
                <w:b/>
                <w:noProof/>
                <w:szCs w:val="24"/>
              </w:rPr>
            </w:pPr>
          </w:p>
        </w:tc>
        <w:tc>
          <w:tcPr>
            <w:tcW w:w="1701" w:type="dxa"/>
          </w:tcPr>
          <w:p w:rsidR="00B231CB" w:rsidRDefault="00C71431">
            <w:pPr>
              <w:spacing w:after="120"/>
              <w:jc w:val="left"/>
              <w:rPr>
                <w:noProof/>
                <w:szCs w:val="24"/>
              </w:rPr>
            </w:pPr>
            <w:r>
              <w:rPr>
                <w:noProof/>
                <w:szCs w:val="24"/>
              </w:rPr>
              <w:t>LCVs</w:t>
            </w:r>
          </w:p>
        </w:tc>
        <w:tc>
          <w:tcPr>
            <w:tcW w:w="1595" w:type="dxa"/>
          </w:tcPr>
          <w:p w:rsidR="00B231CB" w:rsidRDefault="00C71431">
            <w:pPr>
              <w:spacing w:after="120"/>
              <w:jc w:val="center"/>
              <w:rPr>
                <w:noProof/>
                <w:szCs w:val="24"/>
              </w:rPr>
            </w:pPr>
            <w:r>
              <w:rPr>
                <w:noProof/>
                <w:szCs w:val="24"/>
              </w:rPr>
              <w:t>1.11</w:t>
            </w:r>
          </w:p>
        </w:tc>
        <w:tc>
          <w:tcPr>
            <w:tcW w:w="4224" w:type="dxa"/>
            <w:vMerge/>
          </w:tcPr>
          <w:p w:rsidR="00B231CB" w:rsidRDefault="00B231CB">
            <w:pPr>
              <w:spacing w:after="120"/>
              <w:jc w:val="left"/>
              <w:rPr>
                <w:noProof/>
                <w:szCs w:val="24"/>
              </w:rPr>
            </w:pPr>
          </w:p>
        </w:tc>
      </w:tr>
      <w:tr w:rsidR="00B231CB">
        <w:tc>
          <w:tcPr>
            <w:tcW w:w="1681" w:type="dxa"/>
          </w:tcPr>
          <w:p w:rsidR="00B231CB" w:rsidRDefault="00C71431">
            <w:pPr>
              <w:spacing w:after="120"/>
              <w:rPr>
                <w:b/>
                <w:noProof/>
                <w:szCs w:val="24"/>
              </w:rPr>
            </w:pPr>
            <w:r>
              <w:rPr>
                <w:b/>
                <w:noProof/>
                <w:szCs w:val="24"/>
              </w:rPr>
              <w:t>O&amp;M costs</w:t>
            </w:r>
          </w:p>
        </w:tc>
        <w:tc>
          <w:tcPr>
            <w:tcW w:w="1701" w:type="dxa"/>
          </w:tcPr>
          <w:p w:rsidR="00B231CB" w:rsidRDefault="00C71431">
            <w:pPr>
              <w:spacing w:after="120"/>
              <w:jc w:val="left"/>
              <w:rPr>
                <w:noProof/>
                <w:szCs w:val="24"/>
              </w:rPr>
            </w:pPr>
            <w:r>
              <w:rPr>
                <w:noProof/>
                <w:szCs w:val="24"/>
              </w:rPr>
              <w:t>By LDV segment, powertrain type.</w:t>
            </w:r>
          </w:p>
        </w:tc>
        <w:tc>
          <w:tcPr>
            <w:tcW w:w="1595" w:type="dxa"/>
          </w:tcPr>
          <w:p w:rsidR="00B231CB" w:rsidRDefault="00C71431">
            <w:pPr>
              <w:spacing w:after="120"/>
              <w:jc w:val="center"/>
              <w:rPr>
                <w:noProof/>
                <w:szCs w:val="24"/>
              </w:rPr>
            </w:pPr>
            <w:r>
              <w:rPr>
                <w:noProof/>
                <w:szCs w:val="24"/>
              </w:rPr>
              <w:t>% sales weighted average of updated O&amp;M costs.</w:t>
            </w:r>
          </w:p>
        </w:tc>
        <w:tc>
          <w:tcPr>
            <w:tcW w:w="4224" w:type="dxa"/>
          </w:tcPr>
          <w:p w:rsidR="00B231CB" w:rsidRDefault="00C71431">
            <w:pPr>
              <w:spacing w:after="120"/>
              <w:jc w:val="left"/>
              <w:rPr>
                <w:noProof/>
                <w:szCs w:val="24"/>
              </w:rPr>
            </w:pPr>
            <w:r>
              <w:rPr>
                <w:noProof/>
                <w:szCs w:val="24"/>
              </w:rPr>
              <w:t>The calculation of the O&amp;M costs is based on the assumptions made in PrimesTremove, which were used already for the Low Emission Mobility Strategy. These are based on the TRACCS project database and  have been  revised in light of new evidence with respect</w:t>
            </w:r>
            <w:r>
              <w:rPr>
                <w:noProof/>
                <w:szCs w:val="24"/>
              </w:rPr>
              <w:t xml:space="preserve"> to the costs for electrified powertrain types. </w:t>
            </w:r>
            <w:r>
              <w:rPr>
                <w:rStyle w:val="message"/>
                <w:noProof/>
                <w:szCs w:val="24"/>
              </w:rPr>
              <w:t>The O&amp;M costs are subdivided into three main components: (1) annual insurance costs, (2) annual maintenance costs, (3) other ownership costs, mainly including fixed annual taxes. The maintenance and insurance</w:t>
            </w:r>
            <w:r>
              <w:rPr>
                <w:rStyle w:val="message"/>
                <w:noProof/>
                <w:szCs w:val="24"/>
              </w:rPr>
              <w:t xml:space="preserve"> costs comprise the largest shares of the overall total O&amp;M costs. The O&amp;M costs assumptions used are based on recent estimates for maintenance and insurance costs</w:t>
            </w:r>
            <w:r>
              <w:rPr>
                <w:rStyle w:val="FootnoteReference"/>
                <w:noProof/>
                <w:szCs w:val="24"/>
              </w:rPr>
              <w:footnoteReference w:id="20"/>
            </w:r>
            <w:r>
              <w:rPr>
                <w:noProof/>
                <w:szCs w:val="24"/>
              </w:rPr>
              <w:t>. No assumption is made on the evolution of the O&amp;M costs over time for a new vehicle of 202</w:t>
            </w:r>
            <w:r>
              <w:rPr>
                <w:noProof/>
                <w:szCs w:val="24"/>
              </w:rPr>
              <w:t>5 or 2030, due to lack of available quantitative data.</w:t>
            </w:r>
          </w:p>
        </w:tc>
      </w:tr>
      <w:tr w:rsidR="00B231CB">
        <w:tc>
          <w:tcPr>
            <w:tcW w:w="1681" w:type="dxa"/>
          </w:tcPr>
          <w:p w:rsidR="00B231CB" w:rsidRDefault="00C71431">
            <w:pPr>
              <w:spacing w:after="120"/>
              <w:rPr>
                <w:b/>
                <w:noProof/>
                <w:szCs w:val="24"/>
              </w:rPr>
            </w:pPr>
            <w:r>
              <w:rPr>
                <w:b/>
                <w:noProof/>
                <w:szCs w:val="24"/>
              </w:rPr>
              <w:t>VAT % rate</w:t>
            </w:r>
          </w:p>
        </w:tc>
        <w:tc>
          <w:tcPr>
            <w:tcW w:w="1701" w:type="dxa"/>
          </w:tcPr>
          <w:p w:rsidR="00B231CB" w:rsidRDefault="00B231CB">
            <w:pPr>
              <w:spacing w:after="120"/>
              <w:jc w:val="left"/>
              <w:rPr>
                <w:noProof/>
                <w:szCs w:val="24"/>
              </w:rPr>
            </w:pPr>
          </w:p>
        </w:tc>
        <w:tc>
          <w:tcPr>
            <w:tcW w:w="1595" w:type="dxa"/>
          </w:tcPr>
          <w:p w:rsidR="00B231CB" w:rsidRDefault="00C71431">
            <w:pPr>
              <w:spacing w:after="120"/>
              <w:jc w:val="center"/>
              <w:rPr>
                <w:noProof/>
                <w:szCs w:val="24"/>
              </w:rPr>
            </w:pPr>
            <w:r>
              <w:rPr>
                <w:noProof/>
                <w:szCs w:val="24"/>
              </w:rPr>
              <w:t>20%</w:t>
            </w:r>
          </w:p>
        </w:tc>
        <w:tc>
          <w:tcPr>
            <w:tcW w:w="4224" w:type="dxa"/>
          </w:tcPr>
          <w:p w:rsidR="00B231CB" w:rsidRDefault="00C71431">
            <w:pPr>
              <w:spacing w:after="120"/>
              <w:jc w:val="left"/>
              <w:rPr>
                <w:noProof/>
                <w:szCs w:val="24"/>
              </w:rPr>
            </w:pPr>
            <w:r>
              <w:rPr>
                <w:noProof/>
                <w:szCs w:val="24"/>
              </w:rPr>
              <w:t>Used to convert O&amp;M costs including tax, to values excluding tax for social perspective.</w:t>
            </w:r>
          </w:p>
        </w:tc>
      </w:tr>
    </w:tbl>
    <w:p w:rsidR="00B231CB" w:rsidRDefault="00C71431">
      <w:pPr>
        <w:pStyle w:val="Heading2"/>
        <w:rPr>
          <w:noProof/>
        </w:rPr>
      </w:pPr>
      <w:bookmarkStart w:id="37" w:name="_Toc496688622"/>
      <w:r>
        <w:rPr>
          <w:noProof/>
        </w:rPr>
        <w:t>Macroeconomic models (E3ME and GEM-E3)</w:t>
      </w:r>
      <w:bookmarkEnd w:id="37"/>
    </w:p>
    <w:p w:rsidR="00B231CB" w:rsidRDefault="00C71431">
      <w:pPr>
        <w:spacing w:after="120"/>
        <w:rPr>
          <w:noProof/>
          <w:lang w:eastAsia="ar-SA"/>
        </w:rPr>
      </w:pPr>
      <w:r>
        <w:rPr>
          <w:noProof/>
          <w:lang w:eastAsia="ar-SA"/>
        </w:rPr>
        <w:t xml:space="preserve">Two macroeconomic models have been used, representing </w:t>
      </w:r>
      <w:r>
        <w:rPr>
          <w:noProof/>
          <w:lang w:eastAsia="ar-SA"/>
        </w:rPr>
        <w:t>two main different schools of economic thought. E3ME is a macro-econometric model, based on a post-Keynesian demand-driven non-optimisation non-equilibrium framework; GEM-E3 is a general equilibrium model that draws strongly on supply-driven neoclassical e</w:t>
      </w:r>
      <w:r>
        <w:rPr>
          <w:noProof/>
          <w:lang w:eastAsia="ar-SA"/>
        </w:rPr>
        <w:t>conomic theory and optimising behaviour of rational economic agents who ensure that markets always clear</w:t>
      </w:r>
      <w:r>
        <w:rPr>
          <w:rStyle w:val="FootnoteReference"/>
          <w:noProof/>
          <w:lang w:eastAsia="ar-SA"/>
        </w:rPr>
        <w:footnoteReference w:id="21"/>
      </w:r>
      <w:r>
        <w:rPr>
          <w:noProof/>
          <w:lang w:eastAsia="ar-SA"/>
        </w:rPr>
        <w:t>. GEM-E3 assumes that capital resources are optimally allocated in the economy (given existing tax "distortions"), and a policy intervention to increas</w:t>
      </w:r>
      <w:r>
        <w:rPr>
          <w:noProof/>
          <w:lang w:eastAsia="ar-SA"/>
        </w:rPr>
        <w:t>e investments in a particular sector (e.g. energy efficiency) is likely to take place at the expense of limiting capital availability, as a factor of production, for other profitable sectors ("crowding out" effect).</w:t>
      </w:r>
      <w:r>
        <w:rPr>
          <w:noProof/>
        </w:rPr>
        <w:t xml:space="preserve"> In other words, in GEM-E3, the total eff</w:t>
      </w:r>
      <w:r>
        <w:rPr>
          <w:noProof/>
        </w:rPr>
        <w:t xml:space="preserve">ect on the economy depends on the net effect of core offsetting factors, particularly between positive improved energy efficiency and economic expansion effects (Keynesian multiplier), on one hand, and negative economic effects stemming from crowding out, </w:t>
      </w:r>
      <w:r>
        <w:rPr>
          <w:noProof/>
        </w:rPr>
        <w:t xml:space="preserve">pressures on primary factor markets and competitiveness losses, on the other hand. A </w:t>
      </w:r>
      <w:r>
        <w:rPr>
          <w:noProof/>
          <w:lang w:eastAsia="ar-SA"/>
        </w:rPr>
        <w:t>very detailed financial model has been added to GEM-E3 to represent the banking system, the bonds, the borrowing and lending mechanisms, projecting into the future interes</w:t>
      </w:r>
      <w:r>
        <w:rPr>
          <w:noProof/>
          <w:lang w:eastAsia="ar-SA"/>
        </w:rPr>
        <w:t xml:space="preserve">t rates of equilibrium both for public sector finance and for the private sector. This changes the dynamics of crowding out effects as opposed to standard CGE models without a banking sector. E3ME does not adhere to the ‘general’ equilibrium rule; instead </w:t>
      </w:r>
      <w:r>
        <w:rPr>
          <w:noProof/>
          <w:lang w:eastAsia="ar-SA"/>
        </w:rPr>
        <w:t xml:space="preserve">demand and supply only partly adjust due to persistent market imperfections and resulting imbalances may remain a long-run feature of the economy. </w:t>
      </w:r>
      <w:r>
        <w:rPr>
          <w:noProof/>
        </w:rPr>
        <w:t>It also allows for the possibility of non-optimal allocation of capital, accounting for the existing spare ca</w:t>
      </w:r>
      <w:r>
        <w:rPr>
          <w:noProof/>
        </w:rPr>
        <w:t>pacity in the economy</w:t>
      </w:r>
      <w:r>
        <w:rPr>
          <w:rStyle w:val="FootnoteReference"/>
          <w:noProof/>
        </w:rPr>
        <w:footnoteReference w:id="22"/>
      </w:r>
      <w:r>
        <w:rPr>
          <w:noProof/>
        </w:rPr>
        <w:t>.</w:t>
      </w:r>
      <w:r>
        <w:rPr>
          <w:noProof/>
          <w:lang w:eastAsia="ar-SA"/>
        </w:rPr>
        <w:t xml:space="preserve"> Therefore, the level of output, which is a function of the level of demand, may continue to be less than potential supply or a scenario in which demand increases can also see an increase in output.</w:t>
      </w:r>
    </w:p>
    <w:p w:rsidR="00B231CB" w:rsidRDefault="00C71431">
      <w:pPr>
        <w:spacing w:after="120"/>
        <w:rPr>
          <w:noProof/>
          <w:lang w:eastAsia="ar-SA"/>
        </w:rPr>
      </w:pPr>
      <w:r>
        <w:rPr>
          <w:noProof/>
        </w:rPr>
        <w:t>While the macro-economic modelling</w:t>
      </w:r>
      <w:r>
        <w:rPr>
          <w:noProof/>
        </w:rPr>
        <w:t xml:space="preserve"> takes into account the wider economic and employment effects for the different policy options for the CO</w:t>
      </w:r>
      <w:r>
        <w:rPr>
          <w:noProof/>
          <w:vertAlign w:val="subscript"/>
        </w:rPr>
        <w:t>2</w:t>
      </w:r>
      <w:r>
        <w:rPr>
          <w:noProof/>
        </w:rPr>
        <w:t xml:space="preserve"> vans/cars regulation, it does not analyse trade balance effects (export/import of cars) as a result of changed competitiveness of individual manufact</w:t>
      </w:r>
      <w:r>
        <w:rPr>
          <w:noProof/>
        </w:rPr>
        <w:t>urers. This would require detailed knowledge on (1) the expertise, R&amp;D capabilities and competitiveness of individual car manufacturers; (2) expected regulatory changes in third countries in a 2030 perspective</w:t>
      </w:r>
      <w:r>
        <w:rPr>
          <w:rStyle w:val="FootnoteReference"/>
          <w:noProof/>
        </w:rPr>
        <w:footnoteReference w:id="23"/>
      </w:r>
      <w:r>
        <w:rPr>
          <w:noProof/>
        </w:rPr>
        <w:t xml:space="preserve">. </w:t>
      </w:r>
    </w:p>
    <w:p w:rsidR="00B231CB" w:rsidRDefault="00C71431">
      <w:pPr>
        <w:pStyle w:val="Heading3"/>
        <w:rPr>
          <w:noProof/>
        </w:rPr>
      </w:pPr>
      <w:bookmarkStart w:id="38" w:name="_Toc496688623"/>
      <w:r>
        <w:rPr>
          <w:noProof/>
        </w:rPr>
        <w:t>E3ME</w:t>
      </w:r>
      <w:bookmarkEnd w:id="38"/>
    </w:p>
    <w:p w:rsidR="00B231CB" w:rsidRDefault="00C71431">
      <w:pPr>
        <w:spacing w:after="120"/>
        <w:rPr>
          <w:noProof/>
        </w:rPr>
      </w:pPr>
      <w:r>
        <w:rPr>
          <w:noProof/>
        </w:rPr>
        <w:t>E3ME is a computer-based model of Euro</w:t>
      </w:r>
      <w:r>
        <w:rPr>
          <w:noProof/>
        </w:rPr>
        <w:t>pe’s economies, linked to their energy systems and the environment. The model was originally developed through the European Commission’s research framework programmes in the 1990s and is now widely used in collaboration with a range of European institution</w:t>
      </w:r>
      <w:r>
        <w:rPr>
          <w:noProof/>
        </w:rPr>
        <w:t xml:space="preserve">s for policy assessment, for forecasting and for research purposes. </w:t>
      </w:r>
    </w:p>
    <w:p w:rsidR="00B231CB" w:rsidRDefault="00C71431">
      <w:pPr>
        <w:pStyle w:val="Default"/>
        <w:spacing w:after="120"/>
        <w:jc w:val="both"/>
        <w:rPr>
          <w:noProof/>
        </w:rPr>
      </w:pPr>
      <w:r>
        <w:rPr>
          <w:noProof/>
        </w:rPr>
        <w:t xml:space="preserve">The model is </w:t>
      </w:r>
      <w:r>
        <w:rPr>
          <w:rFonts w:eastAsia="Times New Roman"/>
          <w:noProof/>
          <w:color w:val="auto"/>
          <w:szCs w:val="20"/>
        </w:rPr>
        <w:t xml:space="preserve">run by Cambridge Econometrics, and its detailed description is available </w:t>
      </w:r>
      <w:r>
        <w:rPr>
          <w:noProof/>
        </w:rPr>
        <w:t xml:space="preserve">at </w:t>
      </w:r>
      <w:hyperlink r:id="rId16" w:history="1">
        <w:r>
          <w:rPr>
            <w:rStyle w:val="Hyperlink"/>
            <w:noProof/>
          </w:rPr>
          <w:t>https://www.cam</w:t>
        </w:r>
        <w:r>
          <w:rPr>
            <w:rStyle w:val="Hyperlink"/>
            <w:noProof/>
          </w:rPr>
          <w:t>econ.com/wp-content/uploads/2016/09/E3ME-Manual.pdf</w:t>
        </w:r>
      </w:hyperlink>
      <w:r>
        <w:rPr>
          <w:noProof/>
        </w:rPr>
        <w:t>.</w:t>
      </w:r>
    </w:p>
    <w:p w:rsidR="00B231CB" w:rsidRDefault="00C71431">
      <w:pPr>
        <w:spacing w:after="120"/>
        <w:rPr>
          <w:noProof/>
        </w:rPr>
      </w:pPr>
      <w:r>
        <w:rPr>
          <w:noProof/>
        </w:rPr>
        <w:t>The economic structure of E3ME is based on the system of national accounts, as defined by ESA95 (European Commission, 1996). In total there are 33 sets of econometrically estimated equations, also includ</w:t>
      </w:r>
      <w:r>
        <w:rPr>
          <w:noProof/>
        </w:rPr>
        <w:t xml:space="preserve">ing the components of GDP (consumption, investment and international trade), prices, energy demand and materials demand. Each equation set is disaggregated by country and by sector. </w:t>
      </w:r>
    </w:p>
    <w:p w:rsidR="00B231CB" w:rsidRDefault="00C71431">
      <w:pPr>
        <w:spacing w:after="120"/>
        <w:rPr>
          <w:noProof/>
        </w:rPr>
      </w:pPr>
      <w:r>
        <w:rPr>
          <w:noProof/>
        </w:rPr>
        <w:t>The labour market is also covered in detail, with estimated sets of equat</w:t>
      </w:r>
      <w:r>
        <w:rPr>
          <w:noProof/>
        </w:rPr>
        <w:t xml:space="preserve">ions for labour demand, supply, wages and working hours. For the assessment of employment impacts across the different sectors, labour intensities (number of persons per unit of output) are based on Eurostat Structural Business Statistics (sbs_na_ind_r2). </w:t>
      </w:r>
      <w:r>
        <w:rPr>
          <w:noProof/>
        </w:rPr>
        <w:t>As a starting point, the labour intensity of battery manufacture (which is included in the electrical equipment manufacturing sector) at the EU28 level is around 3 jobs per €1 million output, compared to a labour intensity of around 5 jobs per €1 million o</w:t>
      </w:r>
      <w:r>
        <w:rPr>
          <w:noProof/>
        </w:rPr>
        <w:t>utput in the wider electrical equipment manufacturing sector. The labour intensity of the automotive sector (excluding the battery manufacturing) is about 3.5 jobs per €1 million output, reflecting a high labour intensity for manufacture of vehicle parts a</w:t>
      </w:r>
      <w:r>
        <w:rPr>
          <w:noProof/>
        </w:rPr>
        <w:t>nd engines (5 jobs per €1 million output) but lower labour intensity for the assembly of the vehicle itself (less than 2 jobs per €1 million output). The model also accounts for labour productivity improvements (i.e. the ratio of sectoral employment to gro</w:t>
      </w:r>
      <w:r>
        <w:rPr>
          <w:noProof/>
        </w:rPr>
        <w:t>ss output over the projection period), based on PRIMES projections for output by sector and CEDEFOP projections for employment by sector.</w:t>
      </w:r>
    </w:p>
    <w:p w:rsidR="00B231CB" w:rsidRDefault="00C71431">
      <w:pPr>
        <w:pStyle w:val="Heading3"/>
        <w:rPr>
          <w:noProof/>
        </w:rPr>
      </w:pPr>
      <w:bookmarkStart w:id="39" w:name="_Toc496688624"/>
      <w:r>
        <w:rPr>
          <w:noProof/>
        </w:rPr>
        <w:t>GEM-E3</w:t>
      </w:r>
      <w:bookmarkEnd w:id="39"/>
    </w:p>
    <w:p w:rsidR="00B231CB" w:rsidRDefault="00C71431">
      <w:pPr>
        <w:spacing w:after="120"/>
        <w:rPr>
          <w:noProof/>
          <w:lang w:eastAsia="en-GB"/>
        </w:rPr>
      </w:pPr>
      <w:r>
        <w:rPr>
          <w:noProof/>
          <w:lang w:eastAsia="en-GB"/>
        </w:rPr>
        <w:t>The GEM-E3 model has been developed and is maintained by E3MLab/ICCS of National Technical University of Athens</w:t>
      </w:r>
      <w:r>
        <w:rPr>
          <w:rStyle w:val="FootnoteReference"/>
          <w:noProof/>
          <w:sz w:val="22"/>
          <w:lang w:eastAsia="en-GB"/>
        </w:rPr>
        <w:footnoteReference w:id="24"/>
      </w:r>
      <w:r>
        <w:rPr>
          <w:noProof/>
          <w:lang w:eastAsia="en-GB"/>
        </w:rPr>
        <w:t>, JRC-IPTS</w:t>
      </w:r>
      <w:r>
        <w:rPr>
          <w:rStyle w:val="FootnoteReference"/>
          <w:noProof/>
          <w:sz w:val="22"/>
          <w:lang w:eastAsia="en-GB"/>
        </w:rPr>
        <w:footnoteReference w:id="25"/>
      </w:r>
      <w:r>
        <w:rPr>
          <w:noProof/>
          <w:lang w:eastAsia="en-GB"/>
        </w:rPr>
        <w:t xml:space="preserve"> and others. It is documented in detail but the specific versions are private. A </w:t>
      </w:r>
      <w:r>
        <w:rPr>
          <w:noProof/>
        </w:rPr>
        <w:t xml:space="preserve">full description of the model is available at </w:t>
      </w:r>
      <w:hyperlink r:id="rId17" w:history="1">
        <w:r>
          <w:rPr>
            <w:rStyle w:val="Hyperlink"/>
            <w:noProof/>
            <w:lang w:eastAsia="en-GB"/>
          </w:rPr>
          <w:t>https://ec.europa.eu/jrc/en/gem-e3/model</w:t>
        </w:r>
      </w:hyperlink>
    </w:p>
    <w:p w:rsidR="00B231CB" w:rsidRDefault="00C71431">
      <w:pPr>
        <w:spacing w:after="120"/>
        <w:rPr>
          <w:noProof/>
          <w:lang w:eastAsia="en-GB"/>
        </w:rPr>
      </w:pPr>
      <w:r>
        <w:rPr>
          <w:noProof/>
          <w:lang w:eastAsia="en-GB"/>
        </w:rPr>
        <w:t xml:space="preserve">The model has been </w:t>
      </w:r>
      <w:r>
        <w:rPr>
          <w:noProof/>
          <w:lang w:eastAsia="en-GB"/>
        </w:rPr>
        <w:t>used by E3MLab/ICCS to provide the macro assumptions for the Reference scenario and for the policy scenarios. It has also been used by JRC-IPTS to assess macroeconomic impacts of target setting based on GDP per capita.</w:t>
      </w:r>
    </w:p>
    <w:p w:rsidR="00B231CB" w:rsidRDefault="00C71431">
      <w:pPr>
        <w:spacing w:after="120"/>
        <w:rPr>
          <w:noProof/>
        </w:rPr>
      </w:pPr>
      <w:r>
        <w:rPr>
          <w:noProof/>
        </w:rPr>
        <w:t>The GEM-E3 model is a multi-regional,</w:t>
      </w:r>
      <w:r>
        <w:rPr>
          <w:noProof/>
        </w:rPr>
        <w:t xml:space="preserve"> multi-sectoral, recursive dynamic computable general equilibrium (CGE) model which provides details on the macro-economy and its interaction with the environment and the energy system. It is an empirical, large scale model, written entirely in structural </w:t>
      </w:r>
      <w:r>
        <w:rPr>
          <w:noProof/>
        </w:rPr>
        <w:t>form. GEM-E3 allows for a consistent comparative analysis of policy scenarios since it ensures that in all scenarios, the economic system remains in general equilibrium. In addition it incorporates micro-economic mechanisms and institutional features withi</w:t>
      </w:r>
      <w:r>
        <w:rPr>
          <w:noProof/>
        </w:rPr>
        <w:t>n a consistent macro-economic framework and avoids the representation of behaviour in reduced form. The model is built on rigorous microeconomic foundations and is able to provide in a transparent way insights on the distributional aspects of long-term str</w:t>
      </w:r>
      <w:r>
        <w:rPr>
          <w:noProof/>
        </w:rPr>
        <w:t xml:space="preserve">uctural adjustments. The GEM-E3 model is extensively used as a tool of policy analysis and impact assessment. It is updated regularly using the latest revisions of the GTAP database and Eurostat statistics for the EU Member States. </w:t>
      </w:r>
    </w:p>
    <w:p w:rsidR="00B231CB" w:rsidRDefault="00C71431">
      <w:pPr>
        <w:spacing w:after="120"/>
        <w:rPr>
          <w:noProof/>
        </w:rPr>
      </w:pPr>
      <w:r>
        <w:rPr>
          <w:noProof/>
        </w:rPr>
        <w:t>The version of the GEM-</w:t>
      </w:r>
      <w:r>
        <w:rPr>
          <w:noProof/>
        </w:rPr>
        <w:t>E3 model used for this Impact assessment features a significantly enhanced representation of the transport sector. The enhanced model version is referred to as GEM-E3T. The model is detailed regarding the transport sectors, representing explicitly transpor</w:t>
      </w:r>
      <w:r>
        <w:rPr>
          <w:noProof/>
        </w:rPr>
        <w:t>t by mode, separating private from business transport services, and representing in detail fuel production and distribution including biofuels linked to production by agricultural sectors.</w:t>
      </w:r>
    </w:p>
    <w:p w:rsidR="00B231CB" w:rsidRDefault="00C71431">
      <w:pPr>
        <w:spacing w:after="120"/>
        <w:rPr>
          <w:noProof/>
        </w:rPr>
      </w:pPr>
      <w:r>
        <w:rPr>
          <w:noProof/>
        </w:rPr>
        <w:t>GEM-E3 formulates separately the supply or demand behaviour of the economic agents who are considered to optimise individually their objective while market derived prices guarantee global equilibrium, allowing the consistent evaluation of distributional ef</w:t>
      </w:r>
      <w:r>
        <w:rPr>
          <w:noProof/>
        </w:rPr>
        <w:t xml:space="preserve">fects of policies. It also considers explicitly the market clearing mechanism and the related price formation in the energy, environment and economy markets: prices are computed by the model as a result of supply and demand interactions in the markets and </w:t>
      </w:r>
      <w:r>
        <w:rPr>
          <w:noProof/>
        </w:rPr>
        <w:t xml:space="preserve">different market clearing mechanisms, in addition to perfect competition, are allowed. </w:t>
      </w:r>
    </w:p>
    <w:p w:rsidR="00B231CB" w:rsidRDefault="00C71431">
      <w:pPr>
        <w:spacing w:after="120"/>
        <w:rPr>
          <w:noProof/>
        </w:rPr>
      </w:pPr>
      <w:r>
        <w:rPr>
          <w:noProof/>
        </w:rPr>
        <w:t>GEM-E3 has a detailed representation of the labour markets being able to project effects on employment. Labour intensities for 2015 were calculated by dividing the full</w:t>
      </w:r>
      <w:r>
        <w:rPr>
          <w:noProof/>
        </w:rPr>
        <w:t xml:space="preserve"> time jobs by the value of production of each sector. The economic and employment data are from the Eurostat database. For 2015, the direct labour intensity for conventional vehicle is 3.6 person per million output (excluding the number of persons required</w:t>
      </w:r>
      <w:r>
        <w:rPr>
          <w:noProof/>
        </w:rPr>
        <w:t xml:space="preserve"> to produce all the intermediate inputs, which are accounted for in the respective sectors), while for electric vehicles it is 2.8 person per million output (excluding the number of persons required to produce all the intermediate inputs, which are account</w:t>
      </w:r>
      <w:r>
        <w:rPr>
          <w:noProof/>
        </w:rPr>
        <w:t xml:space="preserve">ed for in the respective sectors). Labour intensity projections are based on the results of the GEM-E3 that includes sectoral production and employment by 5-year period until 2050. </w:t>
      </w:r>
      <w:bookmarkStart w:id="40" w:name="_Ref475177619"/>
      <w:bookmarkStart w:id="41" w:name="_Toc481863600"/>
    </w:p>
    <w:p w:rsidR="00B231CB" w:rsidRDefault="00C71431">
      <w:pPr>
        <w:pStyle w:val="Heading2"/>
        <w:rPr>
          <w:noProof/>
        </w:rPr>
      </w:pPr>
      <w:bookmarkStart w:id="42" w:name="_Toc482873180"/>
      <w:bookmarkStart w:id="43" w:name="_Toc482882278"/>
      <w:bookmarkStart w:id="44" w:name="_Toc496688625"/>
      <w:r>
        <w:rPr>
          <w:noProof/>
        </w:rPr>
        <w:t>Baseline scenario</w:t>
      </w:r>
      <w:bookmarkEnd w:id="42"/>
      <w:bookmarkEnd w:id="43"/>
      <w:bookmarkEnd w:id="44"/>
      <w:r>
        <w:rPr>
          <w:noProof/>
        </w:rPr>
        <w:t xml:space="preserve"> </w:t>
      </w:r>
    </w:p>
    <w:p w:rsidR="00B231CB" w:rsidRDefault="00C71431">
      <w:pPr>
        <w:pStyle w:val="Heading3"/>
        <w:rPr>
          <w:noProof/>
        </w:rPr>
      </w:pPr>
      <w:bookmarkStart w:id="45" w:name="_Toc482873181"/>
      <w:bookmarkStart w:id="46" w:name="_Toc496688626"/>
      <w:r>
        <w:rPr>
          <w:noProof/>
        </w:rPr>
        <w:t>Scenario design, consultation process and quality assur</w:t>
      </w:r>
      <w:r>
        <w:rPr>
          <w:noProof/>
        </w:rPr>
        <w:t>ance</w:t>
      </w:r>
      <w:bookmarkEnd w:id="45"/>
      <w:bookmarkEnd w:id="46"/>
    </w:p>
    <w:p w:rsidR="00B231CB" w:rsidRDefault="00C71431">
      <w:pPr>
        <w:spacing w:after="120"/>
        <w:rPr>
          <w:noProof/>
        </w:rPr>
      </w:pPr>
      <w:r>
        <w:rPr>
          <w:noProof/>
        </w:rPr>
        <w:t>The Baseline scenario used in this impact assessment builds on the EU Reference scenario 2016 but additionally includes few policy measures adopted after its cut-off date (end of 2014) and some updates in the technology costs assumptions.</w:t>
      </w:r>
    </w:p>
    <w:p w:rsidR="00B231CB" w:rsidRDefault="00C71431">
      <w:pPr>
        <w:spacing w:after="120"/>
        <w:rPr>
          <w:noProof/>
        </w:rPr>
      </w:pPr>
      <w:r>
        <w:rPr>
          <w:noProof/>
        </w:rPr>
        <w:t xml:space="preserve">Building an </w:t>
      </w:r>
      <w:r>
        <w:rPr>
          <w:noProof/>
        </w:rPr>
        <w:t xml:space="preserve">EU Reference scenario is a regular exercise by the Commission. It is coordinated by DGs ENER, CLIMA and MOVE in association with the JRC, and the involvement of other services via a specific inter-service group. </w:t>
      </w:r>
    </w:p>
    <w:p w:rsidR="00B231CB" w:rsidRDefault="00C71431">
      <w:pPr>
        <w:spacing w:after="120"/>
        <w:rPr>
          <w:noProof/>
        </w:rPr>
      </w:pPr>
      <w:r>
        <w:rPr>
          <w:rFonts w:eastAsia="Calibri"/>
          <w:noProof/>
          <w:lang w:eastAsia="en-GB"/>
        </w:rPr>
        <w:t xml:space="preserve">For the EU Reference scenario 2016, </w:t>
      </w:r>
      <w:r>
        <w:rPr>
          <w:noProof/>
        </w:rPr>
        <w:t xml:space="preserve">Member </w:t>
      </w:r>
      <w:r>
        <w:rPr>
          <w:noProof/>
        </w:rPr>
        <w:t>States were consulted throughout the development process through a specific Reference scenario expert group which met three times during its development. Member States provided information about adopted national policies via a specific questionnaire, key a</w:t>
      </w:r>
      <w:r>
        <w:rPr>
          <w:noProof/>
        </w:rPr>
        <w:t>ssumptions have been discussed and in each modelling step, draft Member State specific results were sent for consultation. Comments of Member States were addressed to the extent possible, keeping in mind the need for overall comparability and consistency o</w:t>
      </w:r>
      <w:r>
        <w:rPr>
          <w:noProof/>
        </w:rPr>
        <w:t>f the results.</w:t>
      </w:r>
    </w:p>
    <w:p w:rsidR="00B231CB" w:rsidRDefault="00C71431">
      <w:pPr>
        <w:keepNext/>
        <w:spacing w:after="120"/>
        <w:rPr>
          <w:b/>
          <w:noProof/>
        </w:rPr>
      </w:pPr>
      <w:r>
        <w:rPr>
          <w:noProof/>
        </w:rPr>
        <w:t>Quality of modelling results was assured by using state of the art modelling tools, detailed checks of assumptions and results by the coordinating Commission services as well as by the country specific comments by Member States.</w:t>
      </w:r>
    </w:p>
    <w:p w:rsidR="00B231CB" w:rsidRDefault="00C71431">
      <w:pPr>
        <w:spacing w:after="120"/>
        <w:rPr>
          <w:noProof/>
        </w:rPr>
      </w:pPr>
      <w:r>
        <w:rPr>
          <w:noProof/>
        </w:rPr>
        <w:t>The EU Refer</w:t>
      </w:r>
      <w:r>
        <w:rPr>
          <w:noProof/>
        </w:rPr>
        <w:t>ence scenario 2016</w:t>
      </w:r>
      <w:r>
        <w:rPr>
          <w:rFonts w:eastAsia="Calibri"/>
          <w:noProof/>
          <w:lang w:eastAsia="en-GB"/>
        </w:rPr>
        <w:t xml:space="preserve"> </w:t>
      </w:r>
      <w:r>
        <w:rPr>
          <w:noProof/>
        </w:rPr>
        <w:t>projects EU and Member States energy, transport and GHG emission-related developments up to 2050, given current global and EU market trends and adopted EU and Member States' energy, transport, climate and related relevant policies. "Adop</w:t>
      </w:r>
      <w:r>
        <w:rPr>
          <w:noProof/>
        </w:rPr>
        <w:t>ted policies" refer to those that have been cast in legislation in the EU or in MS (with a cut-off date end of 2014</w:t>
      </w:r>
      <w:r>
        <w:rPr>
          <w:rStyle w:val="FootnoteReference"/>
          <w:noProof/>
        </w:rPr>
        <w:footnoteReference w:id="26"/>
      </w:r>
      <w:r>
        <w:rPr>
          <w:noProof/>
        </w:rPr>
        <w:t xml:space="preserve">). Therefore, the binding 2020 targets are assumed to be reached in the projection. This concerns greenhouse gas emission reduction targets </w:t>
      </w:r>
      <w:r>
        <w:rPr>
          <w:noProof/>
        </w:rPr>
        <w:t>as well as renewables targets, including renewables energy in transport. The EU Reference scenario 2016 provides projections, not forecasts. Unlike forecasts, projections do not make predictions about what the future will be. They rather indicate what woul</w:t>
      </w:r>
      <w:r>
        <w:rPr>
          <w:noProof/>
        </w:rPr>
        <w:t xml:space="preserve">d happen if the assumptions which underpin the projection actually occur. Still, the scenario allows for a consistent approach in the assessment of energy and climate trends across the EU and its Member States.  </w:t>
      </w:r>
    </w:p>
    <w:p w:rsidR="00B231CB" w:rsidRDefault="00C71431">
      <w:pPr>
        <w:spacing w:after="120"/>
        <w:rPr>
          <w:noProof/>
        </w:rPr>
      </w:pPr>
      <w:r>
        <w:rPr>
          <w:noProof/>
        </w:rPr>
        <w:t>The report "EU Reference Scenario 2016: Ene</w:t>
      </w:r>
      <w:r>
        <w:rPr>
          <w:noProof/>
        </w:rPr>
        <w:t>rgy, transport and GHG emissions - Trends to 2050"</w:t>
      </w:r>
      <w:r>
        <w:rPr>
          <w:rStyle w:val="FootnoteReference"/>
          <w:noProof/>
        </w:rPr>
        <w:footnoteReference w:id="27"/>
      </w:r>
      <w:r>
        <w:rPr>
          <w:noProof/>
        </w:rPr>
        <w:t xml:space="preserve"> describes the inputs and results in detail. In addition, its main messages are summarised in the impact assessments accompanying the Effort Sharing Regulation</w:t>
      </w:r>
      <w:r>
        <w:rPr>
          <w:rStyle w:val="FootnoteReference"/>
          <w:noProof/>
        </w:rPr>
        <w:footnoteReference w:id="28"/>
      </w:r>
      <w:r>
        <w:rPr>
          <w:noProof/>
        </w:rPr>
        <w:t xml:space="preserve"> and the revision of the Energy Efficiency Di</w:t>
      </w:r>
      <w:r>
        <w:rPr>
          <w:noProof/>
        </w:rPr>
        <w:t>rective</w:t>
      </w:r>
      <w:r>
        <w:rPr>
          <w:rStyle w:val="FootnoteReference"/>
          <w:noProof/>
        </w:rPr>
        <w:footnoteReference w:id="29"/>
      </w:r>
      <w:r>
        <w:rPr>
          <w:noProof/>
        </w:rPr>
        <w:t>, and the analytical work accompanying the European strategy on low-emission mobility</w:t>
      </w:r>
      <w:r>
        <w:rPr>
          <w:rStyle w:val="FootnoteReference"/>
          <w:noProof/>
        </w:rPr>
        <w:footnoteReference w:id="30"/>
      </w:r>
      <w:r>
        <w:rPr>
          <w:noProof/>
        </w:rPr>
        <w:t xml:space="preserve">.  </w:t>
      </w:r>
    </w:p>
    <w:p w:rsidR="00B231CB" w:rsidRDefault="00C71431">
      <w:pPr>
        <w:spacing w:after="120"/>
        <w:rPr>
          <w:noProof/>
        </w:rPr>
      </w:pPr>
      <w:r>
        <w:rPr>
          <w:noProof/>
        </w:rPr>
        <w:t>PRIMES-TREMOVE is one of the core models of the modelling framework used for developing the EU Reference scenario 2016 and has also been used for developing t</w:t>
      </w:r>
      <w:r>
        <w:rPr>
          <w:noProof/>
        </w:rPr>
        <w:t xml:space="preserve">he Baseline scenario of this impact assessment. </w:t>
      </w:r>
      <w:r>
        <w:rPr>
          <w:rFonts w:eastAsia="Calibri"/>
          <w:noProof/>
          <w:lang w:eastAsia="en-GB"/>
        </w:rPr>
        <w:t>The model was calibrated on transport and energy data up to year 2013 from Eurostat and other sources.</w:t>
      </w:r>
    </w:p>
    <w:p w:rsidR="00B231CB" w:rsidRDefault="00C71431">
      <w:pPr>
        <w:pStyle w:val="Heading3"/>
        <w:rPr>
          <w:noProof/>
        </w:rPr>
      </w:pPr>
      <w:bookmarkStart w:id="47" w:name="_Toc482873182"/>
      <w:bookmarkStart w:id="48" w:name="_Toc496688627"/>
      <w:r>
        <w:rPr>
          <w:noProof/>
        </w:rPr>
        <w:t>Main assumptions of the Baseline scenario</w:t>
      </w:r>
      <w:bookmarkEnd w:id="47"/>
      <w:bookmarkEnd w:id="48"/>
    </w:p>
    <w:p w:rsidR="00B231CB" w:rsidRDefault="00C71431">
      <w:pPr>
        <w:keepNext/>
        <w:keepLines/>
        <w:spacing w:after="120"/>
        <w:rPr>
          <w:noProof/>
        </w:rPr>
      </w:pPr>
      <w:r>
        <w:rPr>
          <w:noProof/>
        </w:rPr>
        <w:t>The projections are based on a set of assumptions, including on</w:t>
      </w:r>
      <w:r>
        <w:rPr>
          <w:noProof/>
        </w:rPr>
        <w:t xml:space="preserve"> population growth, macroeconomic and oil price developments, technology improvements, and policies. </w:t>
      </w:r>
    </w:p>
    <w:p w:rsidR="00B231CB" w:rsidRDefault="00C71431">
      <w:pPr>
        <w:keepNext/>
        <w:keepLines/>
        <w:spacing w:after="120"/>
        <w:rPr>
          <w:i/>
          <w:noProof/>
        </w:rPr>
      </w:pPr>
      <w:r>
        <w:rPr>
          <w:i/>
          <w:noProof/>
        </w:rPr>
        <w:t>Macroeconomic assumptions</w:t>
      </w:r>
    </w:p>
    <w:p w:rsidR="00B231CB" w:rsidRDefault="00C71431">
      <w:pPr>
        <w:keepNext/>
        <w:keepLines/>
        <w:spacing w:after="120"/>
        <w:rPr>
          <w:noProof/>
        </w:rPr>
      </w:pPr>
      <w:r>
        <w:rPr>
          <w:noProof/>
        </w:rPr>
        <w:t>The Baseline scenario uses the same macroeconomic assumptions as the EU Reference scenario 2016. The population projections draw</w:t>
      </w:r>
      <w:r>
        <w:rPr>
          <w:noProof/>
        </w:rPr>
        <w:t xml:space="preserve"> on the European Population Projections (EUROPOP 2013) by Eurostat. The key drivers for demographic change are: higher life expectancy, convergence in the fertility rates across Member States in the long term, and inward migration. The EU28 population is e</w:t>
      </w:r>
      <w:r>
        <w:rPr>
          <w:noProof/>
        </w:rPr>
        <w:t xml:space="preserve">xpected to grow by 0.2% per year during 2010-2030 (0.1% for 2010-2050), to 516 million in 2030 (522 million by 2050). Elderly people, aged 65 or more, would account for 24% of the total population by 2030 (28% by 2050) as opposed to 18% today. </w:t>
      </w:r>
    </w:p>
    <w:p w:rsidR="00B231CB" w:rsidRDefault="00C71431">
      <w:pPr>
        <w:spacing w:after="120"/>
        <w:rPr>
          <w:noProof/>
        </w:rPr>
      </w:pPr>
      <w:r>
        <w:rPr>
          <w:noProof/>
        </w:rPr>
        <w:t>GDP project</w:t>
      </w:r>
      <w:r>
        <w:rPr>
          <w:noProof/>
        </w:rPr>
        <w:t>ions mirror the joint work of DG ECFIN and the Economic Policy Committee, presented in the 2015 Ageing Report</w:t>
      </w:r>
      <w:r>
        <w:rPr>
          <w:rStyle w:val="FootnoteReference"/>
          <w:noProof/>
        </w:rPr>
        <w:footnoteReference w:id="31"/>
      </w:r>
      <w:r>
        <w:rPr>
          <w:noProof/>
        </w:rPr>
        <w:t>. The average EU GDP growth rate is projected to remain relatively low at 1.2% per year for 2010-2020, down from 1.9% per year during 1995-2010. I</w:t>
      </w:r>
      <w:r>
        <w:rPr>
          <w:noProof/>
        </w:rPr>
        <w:t>n the medium to long term, higher expected growth rates (1.4% per year for 2020-2030 and 1.5% per year for 2030-2050) are taking account of the catching up potential of countries with relatively low GDP per capita, assuming convergence to a total factor pr</w:t>
      </w:r>
      <w:r>
        <w:rPr>
          <w:noProof/>
        </w:rPr>
        <w:t xml:space="preserve">oductivity growth rate of 1% in the long run. </w:t>
      </w:r>
    </w:p>
    <w:p w:rsidR="00B231CB" w:rsidRDefault="00C71431">
      <w:pPr>
        <w:spacing w:after="120"/>
        <w:rPr>
          <w:i/>
          <w:noProof/>
        </w:rPr>
      </w:pPr>
      <w:r>
        <w:rPr>
          <w:i/>
          <w:noProof/>
        </w:rPr>
        <w:t>Fossil fuel price assumptions</w:t>
      </w:r>
    </w:p>
    <w:p w:rsidR="00B231CB" w:rsidRDefault="00C71431">
      <w:pPr>
        <w:spacing w:after="120"/>
        <w:rPr>
          <w:noProof/>
        </w:rPr>
      </w:pPr>
      <w:r>
        <w:rPr>
          <w:noProof/>
        </w:rPr>
        <w:t xml:space="preserve">Oil prices used in the Baseline scenario are the same with those of the EU Reference scenario 2016. Following a gradual adjustment process with reduced investments in upstream </w:t>
      </w:r>
      <w:r>
        <w:rPr>
          <w:noProof/>
        </w:rPr>
        <w:t>productive capacities by non-OPEC</w:t>
      </w:r>
      <w:r>
        <w:rPr>
          <w:rStyle w:val="FootnoteReference"/>
          <w:noProof/>
        </w:rPr>
        <w:footnoteReference w:id="32"/>
      </w:r>
      <w:r>
        <w:rPr>
          <w:noProof/>
        </w:rPr>
        <w:t xml:space="preserve"> countries, the quota discipline is assumed to gradually improve among OPEC members and thus the oil price is projected to reach 87 $/barrel in 2020 (in year 2013-prices). Beyond 2020, as a result of persistent demand grow</w:t>
      </w:r>
      <w:r>
        <w:rPr>
          <w:noProof/>
        </w:rPr>
        <w:t xml:space="preserve">th in non-OECD countries driven by economic growth and the increasing number of passenger cars, oil price would rise to 113 $/barrel by 2030 and 130 $/barrel by 2050. </w:t>
      </w:r>
    </w:p>
    <w:p w:rsidR="00B231CB" w:rsidRDefault="00C71431">
      <w:pPr>
        <w:spacing w:after="120"/>
        <w:rPr>
          <w:noProof/>
        </w:rPr>
      </w:pPr>
      <w:r>
        <w:rPr>
          <w:noProof/>
        </w:rPr>
        <w:t>No specific sensitivities were prepared with respect to oil price developments. Still, i</w:t>
      </w:r>
      <w:r>
        <w:rPr>
          <w:noProof/>
        </w:rPr>
        <w:t>t can be recalled that lower oil price assumptions tend to increase energy consumption and CO</w:t>
      </w:r>
      <w:r>
        <w:rPr>
          <w:noProof/>
          <w:vertAlign w:val="subscript"/>
        </w:rPr>
        <w:t>2</w:t>
      </w:r>
      <w:r>
        <w:rPr>
          <w:noProof/>
        </w:rPr>
        <w:t xml:space="preserve"> emissions not covered by the ETS. The magnitude of the change would depend on the price elasticities and on the share of taxation, like excise duties, in consume</w:t>
      </w:r>
      <w:r>
        <w:rPr>
          <w:noProof/>
        </w:rPr>
        <w:t>r prices. For transport, the high share of excise duties in the consumer prices act as a limiting factor for the increase in energy consumption and CO</w:t>
      </w:r>
      <w:r>
        <w:rPr>
          <w:noProof/>
          <w:vertAlign w:val="subscript"/>
        </w:rPr>
        <w:t>2</w:t>
      </w:r>
      <w:r>
        <w:rPr>
          <w:noProof/>
        </w:rPr>
        <w:t xml:space="preserve"> emissions. </w:t>
      </w:r>
    </w:p>
    <w:p w:rsidR="00B231CB" w:rsidRDefault="00C71431">
      <w:pPr>
        <w:keepLines/>
        <w:spacing w:after="120"/>
        <w:rPr>
          <w:i/>
          <w:noProof/>
        </w:rPr>
      </w:pPr>
      <w:r>
        <w:rPr>
          <w:i/>
          <w:noProof/>
        </w:rPr>
        <w:t>Techno-economic assumptions</w:t>
      </w:r>
    </w:p>
    <w:p w:rsidR="00B231CB" w:rsidRDefault="00C71431">
      <w:pPr>
        <w:keepLines/>
        <w:spacing w:after="120"/>
        <w:rPr>
          <w:noProof/>
        </w:rPr>
      </w:pPr>
      <w:r>
        <w:rPr>
          <w:noProof/>
        </w:rPr>
        <w:t>For all transport means, except for light duty vehicles (i.e. pa</w:t>
      </w:r>
      <w:r>
        <w:rPr>
          <w:noProof/>
        </w:rPr>
        <w:t xml:space="preserve">ssenger cars and light commercial vehicles), the Baseline scenario uses the same technology costs assumptions as the EU Reference scenario 2016. </w:t>
      </w:r>
    </w:p>
    <w:p w:rsidR="00B231CB" w:rsidRDefault="00C71431">
      <w:pPr>
        <w:keepNext/>
        <w:keepLines/>
        <w:spacing w:after="120"/>
        <w:rPr>
          <w:noProof/>
        </w:rPr>
      </w:pPr>
      <w:r>
        <w:rPr>
          <w:noProof/>
        </w:rPr>
        <w:t>For light duty vehicles, the data for technology costs and emissions savings has been updated based on a recen</w:t>
      </w:r>
      <w:r>
        <w:rPr>
          <w:noProof/>
        </w:rPr>
        <w:t>t study commissioned by DG CLIMA</w:t>
      </w:r>
      <w:r>
        <w:rPr>
          <w:rStyle w:val="FootnoteReference"/>
          <w:noProof/>
        </w:rPr>
        <w:footnoteReference w:id="33"/>
      </w:r>
      <w:r>
        <w:rPr>
          <w:noProof/>
        </w:rPr>
        <w:t>. Battery costs for electric vehicles are assumed to go down to 205 euro/kWh by 2030 and 160 euro/kWh by 2050; further reductions in the cost of both spark ignition gasoline and compression ignition diesel are assumed to ta</w:t>
      </w:r>
      <w:r>
        <w:rPr>
          <w:noProof/>
        </w:rPr>
        <w:t>ke place. Technology cost assumptions are based on extensive literature review, modelling and simulation, consultation with relevant stakeholders, and further assessment by the Joint Research Centre (JRC) of the European Commission.</w:t>
      </w:r>
    </w:p>
    <w:p w:rsidR="00B231CB" w:rsidRDefault="00C71431">
      <w:pPr>
        <w:keepNext/>
        <w:keepLines/>
        <w:spacing w:after="120"/>
        <w:rPr>
          <w:i/>
          <w:noProof/>
        </w:rPr>
      </w:pPr>
      <w:r>
        <w:rPr>
          <w:i/>
          <w:noProof/>
        </w:rPr>
        <w:t>Specific policy assumpt</w:t>
      </w:r>
      <w:r>
        <w:rPr>
          <w:i/>
          <w:noProof/>
        </w:rPr>
        <w:t>ions</w:t>
      </w:r>
    </w:p>
    <w:p w:rsidR="00B231CB" w:rsidRDefault="00C71431">
      <w:pPr>
        <w:keepNext/>
        <w:keepLines/>
        <w:spacing w:after="120"/>
        <w:rPr>
          <w:noProof/>
          <w:szCs w:val="24"/>
        </w:rPr>
      </w:pPr>
      <w:r>
        <w:rPr>
          <w:noProof/>
          <w:szCs w:val="24"/>
        </w:rPr>
        <w:t>The key policies included in the Baseline scenario, similarly to the EU Reference scenario 2016, are</w:t>
      </w:r>
      <w:r>
        <w:rPr>
          <w:rStyle w:val="FootnoteReference"/>
          <w:noProof/>
          <w:szCs w:val="24"/>
        </w:rPr>
        <w:footnoteReference w:id="34"/>
      </w:r>
      <w:r>
        <w:rPr>
          <w:noProof/>
          <w:szCs w:val="24"/>
        </w:rPr>
        <w:t xml:space="preserve">:  </w:t>
      </w:r>
    </w:p>
    <w:p w:rsidR="00B231CB" w:rsidRDefault="00C71431">
      <w:pPr>
        <w:pStyle w:val="ListBullet"/>
        <w:keepNext/>
        <w:keepLines/>
        <w:spacing w:after="120"/>
        <w:ind w:left="284" w:hanging="284"/>
        <w:rPr>
          <w:noProof/>
          <w:szCs w:val="24"/>
        </w:rPr>
      </w:pPr>
      <w:r>
        <w:rPr>
          <w:noProof/>
          <w:szCs w:val="24"/>
        </w:rPr>
        <w:t>CO</w:t>
      </w:r>
      <w:r>
        <w:rPr>
          <w:noProof/>
          <w:szCs w:val="24"/>
          <w:vertAlign w:val="subscript"/>
        </w:rPr>
        <w:t>2</w:t>
      </w:r>
      <w:r>
        <w:rPr>
          <w:noProof/>
          <w:szCs w:val="24"/>
        </w:rPr>
        <w:t xml:space="preserve"> standards for cars and vans regulations (</w:t>
      </w:r>
      <w:hyperlink r:id="rId18" w:tgtFrame="_blank" w:history="1">
        <w:r>
          <w:rPr>
            <w:noProof/>
            <w:szCs w:val="24"/>
          </w:rPr>
          <w:t>Regulation (EC) No 443/2009</w:t>
        </w:r>
      </w:hyperlink>
      <w:r>
        <w:rPr>
          <w:noProof/>
          <w:szCs w:val="24"/>
        </w:rPr>
        <w:t>, amended by Regulation (EU) No 333/2014 and Regulation (EU) No 510/2011, amended by Regulation (EU) No 253/2014); CO</w:t>
      </w:r>
      <w:r>
        <w:rPr>
          <w:noProof/>
          <w:szCs w:val="24"/>
          <w:vertAlign w:val="subscript"/>
        </w:rPr>
        <w:t>2</w:t>
      </w:r>
      <w:r>
        <w:rPr>
          <w:noProof/>
          <w:szCs w:val="24"/>
        </w:rPr>
        <w:t xml:space="preserve"> standards for cars are assumed to be 95 gCO</w:t>
      </w:r>
      <w:r>
        <w:rPr>
          <w:noProof/>
          <w:szCs w:val="24"/>
          <w:vertAlign w:val="subscript"/>
        </w:rPr>
        <w:t>2</w:t>
      </w:r>
      <w:r>
        <w:rPr>
          <w:noProof/>
          <w:szCs w:val="24"/>
        </w:rPr>
        <w:t>/km as of 2021 and for vans 147 gCO</w:t>
      </w:r>
      <w:r>
        <w:rPr>
          <w:noProof/>
          <w:szCs w:val="24"/>
          <w:vertAlign w:val="subscript"/>
        </w:rPr>
        <w:t>2</w:t>
      </w:r>
      <w:r>
        <w:rPr>
          <w:noProof/>
          <w:szCs w:val="24"/>
        </w:rPr>
        <w:t xml:space="preserve">/km as of 2020, based on </w:t>
      </w:r>
      <w:r>
        <w:rPr>
          <w:noProof/>
          <w:szCs w:val="24"/>
        </w:rPr>
        <w:t>the NEDC test cycle, in line with current legislation. No policy action to strengthen the stringency of the target is assumed after 2020/2021.</w:t>
      </w:r>
    </w:p>
    <w:p w:rsidR="00B231CB" w:rsidRDefault="00C71431">
      <w:pPr>
        <w:pStyle w:val="ListBullet"/>
        <w:spacing w:after="120"/>
        <w:ind w:left="284" w:hanging="284"/>
        <w:rPr>
          <w:noProof/>
          <w:szCs w:val="24"/>
        </w:rPr>
      </w:pPr>
      <w:r>
        <w:rPr>
          <w:noProof/>
          <w:szCs w:val="24"/>
        </w:rPr>
        <w:t>The Renewable Energy Directive (Directive 2009/28/EC) and Fuel Quality Directive (Directive 2009/30/EC) including</w:t>
      </w:r>
      <w:r>
        <w:rPr>
          <w:noProof/>
          <w:szCs w:val="24"/>
        </w:rPr>
        <w:t xml:space="preserve"> ILUC amendment (Directive 2015/1513/EU): achievement of the legally binding RES target for 2020 (10% RES in transport target) for each Member State, taking into account the use of flexibility mechanisms when relevant as well as of the cap on the amount of</w:t>
      </w:r>
      <w:r>
        <w:rPr>
          <w:noProof/>
          <w:szCs w:val="24"/>
        </w:rPr>
        <w:t xml:space="preserve"> food or feed based biofuels (7%). Member States' specific renewable energy policies for the heating and cooling sector are also reflected where relevant.</w:t>
      </w:r>
    </w:p>
    <w:p w:rsidR="00B231CB" w:rsidRDefault="00C71431">
      <w:pPr>
        <w:pStyle w:val="ListBullet"/>
        <w:spacing w:after="120"/>
        <w:rPr>
          <w:noProof/>
          <w:szCs w:val="24"/>
        </w:rPr>
      </w:pPr>
      <w:r>
        <w:rPr>
          <w:rStyle w:val="message"/>
          <w:rFonts w:eastAsiaTheme="majorEastAsia"/>
          <w:noProof/>
          <w:szCs w:val="24"/>
        </w:rPr>
        <w:t>Directive on the deployment of alternative fuels infrastructure (</w:t>
      </w:r>
      <w:hyperlink r:id="rId19" w:history="1">
        <w:r>
          <w:rPr>
            <w:noProof/>
            <w:szCs w:val="24"/>
            <w:lang w:eastAsia="en-GB"/>
          </w:rPr>
          <w:t>Directive 2014/94/EU</w:t>
        </w:r>
      </w:hyperlink>
      <w:r>
        <w:rPr>
          <w:noProof/>
          <w:szCs w:val="24"/>
          <w:lang w:eastAsia="en-GB"/>
        </w:rPr>
        <w:t>).</w:t>
      </w:r>
    </w:p>
    <w:p w:rsidR="00B231CB" w:rsidRDefault="00C71431">
      <w:pPr>
        <w:pStyle w:val="ListBullet"/>
        <w:spacing w:after="120"/>
        <w:rPr>
          <w:noProof/>
          <w:szCs w:val="24"/>
        </w:rPr>
      </w:pPr>
      <w:r>
        <w:rPr>
          <w:noProof/>
          <w:szCs w:val="24"/>
        </w:rPr>
        <w:t xml:space="preserve">Directive on the charging of heavy goods vehicles for the use of certain infrastructures (Directive 2011/76/EU amending Directive 1999/62/EC). </w:t>
      </w:r>
    </w:p>
    <w:p w:rsidR="00B231CB" w:rsidRDefault="00C71431">
      <w:pPr>
        <w:pStyle w:val="ListBullet"/>
        <w:spacing w:after="120"/>
        <w:rPr>
          <w:noProof/>
          <w:szCs w:val="24"/>
        </w:rPr>
      </w:pPr>
      <w:r>
        <w:rPr>
          <w:rStyle w:val="message"/>
          <w:rFonts w:eastAsiaTheme="majorEastAsia"/>
          <w:noProof/>
          <w:szCs w:val="24"/>
        </w:rPr>
        <w:t>Relevant national polici</w:t>
      </w:r>
      <w:r>
        <w:rPr>
          <w:rStyle w:val="message"/>
          <w:rFonts w:eastAsiaTheme="majorEastAsia"/>
          <w:noProof/>
          <w:szCs w:val="24"/>
        </w:rPr>
        <w:t xml:space="preserve">es, </w:t>
      </w:r>
      <w:r>
        <w:rPr>
          <w:noProof/>
          <w:szCs w:val="24"/>
        </w:rPr>
        <w:t xml:space="preserve">for instance on the promotion of renewable energy, on fuel and vehicle taxation, are taken into account. </w:t>
      </w:r>
    </w:p>
    <w:p w:rsidR="00B231CB" w:rsidRDefault="00C71431">
      <w:pPr>
        <w:spacing w:after="120"/>
        <w:rPr>
          <w:noProof/>
        </w:rPr>
      </w:pPr>
      <w:r>
        <w:rPr>
          <w:noProof/>
        </w:rPr>
        <w:t>In addition, a few policy measures adopted after the cut-off date of the EU Reference scenario 2016 at both EU and Member State level, have been i</w:t>
      </w:r>
      <w:r>
        <w:rPr>
          <w:noProof/>
        </w:rPr>
        <w:t>ncluded in the Baseline scenario:</w:t>
      </w:r>
    </w:p>
    <w:p w:rsidR="00B231CB" w:rsidRDefault="00C71431">
      <w:pPr>
        <w:pStyle w:val="ListBullet"/>
        <w:spacing w:after="120"/>
        <w:ind w:left="284" w:hanging="284"/>
        <w:rPr>
          <w:rStyle w:val="message"/>
          <w:rFonts w:eastAsiaTheme="majorEastAsia"/>
          <w:noProof/>
          <w:szCs w:val="24"/>
        </w:rPr>
      </w:pPr>
      <w:r>
        <w:rPr>
          <w:rStyle w:val="message"/>
          <w:rFonts w:eastAsiaTheme="majorEastAsia"/>
          <w:noProof/>
          <w:szCs w:val="24"/>
        </w:rPr>
        <w:t>Directive on weights &amp; dimensions (Directive 2015/719/EU);</w:t>
      </w:r>
    </w:p>
    <w:p w:rsidR="00B231CB" w:rsidRDefault="00C71431">
      <w:pPr>
        <w:pStyle w:val="ListBullet"/>
        <w:spacing w:after="120"/>
        <w:ind w:left="284" w:hanging="284"/>
        <w:rPr>
          <w:rStyle w:val="message"/>
          <w:rFonts w:eastAsiaTheme="majorEastAsia"/>
          <w:noProof/>
          <w:szCs w:val="24"/>
        </w:rPr>
      </w:pPr>
      <w:r>
        <w:rPr>
          <w:rStyle w:val="message"/>
          <w:rFonts w:eastAsiaTheme="majorEastAsia"/>
          <w:noProof/>
          <w:szCs w:val="24"/>
        </w:rPr>
        <w:t>Directive as regards the opening of the market for domestic passenger transport services by rail and the governance of the railway infrastructure (Directive 2016/2</w:t>
      </w:r>
      <w:r>
        <w:rPr>
          <w:rStyle w:val="message"/>
          <w:rFonts w:eastAsiaTheme="majorEastAsia"/>
          <w:noProof/>
          <w:szCs w:val="24"/>
        </w:rPr>
        <w:t>370/EU);</w:t>
      </w:r>
    </w:p>
    <w:p w:rsidR="00B231CB" w:rsidRDefault="00C71431">
      <w:pPr>
        <w:pStyle w:val="ListBullet"/>
        <w:spacing w:after="120"/>
        <w:ind w:left="284" w:hanging="284"/>
        <w:rPr>
          <w:rStyle w:val="message"/>
          <w:rFonts w:eastAsiaTheme="majorEastAsia"/>
          <w:noProof/>
          <w:szCs w:val="24"/>
        </w:rPr>
      </w:pPr>
      <w:r>
        <w:rPr>
          <w:rStyle w:val="message"/>
          <w:rFonts w:eastAsiaTheme="majorEastAsia"/>
          <w:noProof/>
          <w:szCs w:val="24"/>
        </w:rPr>
        <w:t>Directive on technical requirements for inland waterway vessels (Directive 2016/1629/EU), part of the Naiades II package;</w:t>
      </w:r>
    </w:p>
    <w:p w:rsidR="00B231CB" w:rsidRDefault="00C71431">
      <w:pPr>
        <w:pStyle w:val="ListBullet"/>
        <w:spacing w:after="120"/>
        <w:ind w:left="284" w:hanging="284"/>
        <w:rPr>
          <w:rStyle w:val="message"/>
          <w:rFonts w:eastAsiaTheme="majorEastAsia"/>
          <w:noProof/>
          <w:szCs w:val="24"/>
        </w:rPr>
      </w:pPr>
      <w:r>
        <w:rPr>
          <w:rStyle w:val="message"/>
          <w:rFonts w:eastAsiaTheme="majorEastAsia"/>
          <w:noProof/>
          <w:szCs w:val="24"/>
        </w:rPr>
        <w:t>Regulation establishing a framework on market access to port services and financial transparency of ports</w:t>
      </w:r>
      <w:r>
        <w:rPr>
          <w:rStyle w:val="FootnoteReference"/>
          <w:noProof/>
          <w:szCs w:val="24"/>
        </w:rPr>
        <w:footnoteReference w:id="35"/>
      </w:r>
      <w:r>
        <w:rPr>
          <w:rStyle w:val="message"/>
          <w:rFonts w:eastAsiaTheme="majorEastAsia"/>
          <w:noProof/>
          <w:szCs w:val="24"/>
        </w:rPr>
        <w:t>;</w:t>
      </w:r>
    </w:p>
    <w:p w:rsidR="00B231CB" w:rsidRDefault="00C71431">
      <w:pPr>
        <w:numPr>
          <w:ilvl w:val="0"/>
          <w:numId w:val="37"/>
        </w:numPr>
        <w:spacing w:after="120"/>
        <w:ind w:left="284" w:hanging="284"/>
        <w:rPr>
          <w:noProof/>
        </w:rPr>
      </w:pPr>
      <w:r>
        <w:rPr>
          <w:rStyle w:val="message"/>
          <w:rFonts w:eastAsiaTheme="majorEastAsia"/>
          <w:noProof/>
          <w:szCs w:val="24"/>
        </w:rPr>
        <w:t xml:space="preserve">The replacement of the New European Driving Cycle (NEDC) test cycle by the new Worldwide harmonized Light-vehicles Test Procedure (WLTP) </w:t>
      </w:r>
      <w:r>
        <w:rPr>
          <w:noProof/>
        </w:rPr>
        <w:t>has been implemented in the Baseline scenario, drawing on work by JRC. Estimates by JRC show a WLTP to NEDC CO</w:t>
      </w:r>
      <w:r>
        <w:rPr>
          <w:noProof/>
          <w:vertAlign w:val="subscript"/>
        </w:rPr>
        <w:t>2</w:t>
      </w:r>
      <w:r>
        <w:rPr>
          <w:noProof/>
        </w:rPr>
        <w:t xml:space="preserve"> emissio</w:t>
      </w:r>
      <w:r>
        <w:rPr>
          <w:noProof/>
        </w:rPr>
        <w:t>ns ratio of approximately 1.21 for cars when comparing the sales-weighted fleet-wide average CO</w:t>
      </w:r>
      <w:r>
        <w:rPr>
          <w:noProof/>
          <w:vertAlign w:val="subscript"/>
        </w:rPr>
        <w:t>2</w:t>
      </w:r>
      <w:r>
        <w:rPr>
          <w:noProof/>
        </w:rPr>
        <w:t xml:space="preserve"> emissions. WLTP to NEDC conversion factors are considered by individual vehicle segments, representing different vehicle and technology categories</w:t>
      </w:r>
      <w:r>
        <w:rPr>
          <w:rStyle w:val="FootnoteReference"/>
          <w:noProof/>
        </w:rPr>
        <w:footnoteReference w:id="36"/>
      </w:r>
      <w:r>
        <w:rPr>
          <w:noProof/>
        </w:rPr>
        <w:t xml:space="preserve">. </w:t>
      </w:r>
    </w:p>
    <w:p w:rsidR="00B231CB" w:rsidRDefault="00C71431">
      <w:pPr>
        <w:pStyle w:val="ListBullet"/>
        <w:spacing w:after="120"/>
        <w:ind w:left="284" w:hanging="284"/>
        <w:rPr>
          <w:noProof/>
        </w:rPr>
      </w:pPr>
      <w:r>
        <w:rPr>
          <w:noProof/>
        </w:rPr>
        <w:t>For Germa</w:t>
      </w:r>
      <w:r>
        <w:rPr>
          <w:noProof/>
        </w:rPr>
        <w:t>ny, an extension of the toll network by roughly 40,000 kilometres of federal trunk road from 2018 onwards for all heavy goods vehicles over 7.5t.</w:t>
      </w:r>
      <w:r>
        <w:rPr>
          <w:rStyle w:val="FootnoteReference"/>
          <w:noProof/>
          <w:szCs w:val="24"/>
        </w:rPr>
        <w:footnoteReference w:id="37"/>
      </w:r>
      <w:r>
        <w:rPr>
          <w:noProof/>
        </w:rPr>
        <w:t xml:space="preserve"> </w:t>
      </w:r>
    </w:p>
    <w:p w:rsidR="00B231CB" w:rsidRDefault="00C71431">
      <w:pPr>
        <w:pStyle w:val="ListBullet"/>
        <w:spacing w:after="120"/>
        <w:ind w:left="284" w:hanging="284"/>
        <w:rPr>
          <w:noProof/>
        </w:rPr>
      </w:pPr>
      <w:r>
        <w:rPr>
          <w:noProof/>
        </w:rPr>
        <w:t>For Austria, the incorporation of exhaust emissions and noise pollution in the distance based charges. All f</w:t>
      </w:r>
      <w:r>
        <w:rPr>
          <w:noProof/>
        </w:rPr>
        <w:t xml:space="preserve">ederal highways and motorways, totalling around 2,200 km, are subject to distance based charges. </w:t>
      </w:r>
    </w:p>
    <w:p w:rsidR="00B231CB" w:rsidRDefault="00C71431">
      <w:pPr>
        <w:pStyle w:val="ListBullet"/>
        <w:spacing w:after="120"/>
        <w:ind w:left="284" w:hanging="284"/>
        <w:rPr>
          <w:noProof/>
        </w:rPr>
      </w:pPr>
      <w:r>
        <w:rPr>
          <w:noProof/>
        </w:rPr>
        <w:t>For Belgium, a distance based system replaced the former Eurovignette for heavy goods vehicles over 3.5t from April 2016. The system applies to all inter-urba</w:t>
      </w:r>
      <w:r>
        <w:rPr>
          <w:noProof/>
        </w:rPr>
        <w:t>n motorways, main (national) roads</w:t>
      </w:r>
      <w:r>
        <w:rPr>
          <w:rStyle w:val="FootnoteReference"/>
          <w:noProof/>
          <w:szCs w:val="24"/>
        </w:rPr>
        <w:footnoteReference w:id="38"/>
      </w:r>
      <w:r>
        <w:rPr>
          <w:noProof/>
        </w:rPr>
        <w:t xml:space="preserve"> and all urban roads in Brussels. </w:t>
      </w:r>
    </w:p>
    <w:p w:rsidR="00B231CB" w:rsidRDefault="00C71431">
      <w:pPr>
        <w:pStyle w:val="ListBullet"/>
        <w:spacing w:after="120"/>
        <w:ind w:left="284" w:hanging="284"/>
        <w:rPr>
          <w:noProof/>
        </w:rPr>
      </w:pPr>
      <w:r>
        <w:rPr>
          <w:noProof/>
        </w:rPr>
        <w:t>For Latvia, the introduction of a vignette system applied for goods vehicles below 3.5t on the motorways, starting with 1 January 2017. In addition, for all heavy goods vehicles over 3.5</w:t>
      </w:r>
      <w:r>
        <w:rPr>
          <w:noProof/>
        </w:rPr>
        <w:t>t the vignette rates applied on motorways for the EURO 0, EURO I, EURO II are increased by 10% starting with 1 January 2017.</w:t>
      </w:r>
    </w:p>
    <w:p w:rsidR="00B231CB" w:rsidRDefault="00C71431">
      <w:pPr>
        <w:pStyle w:val="Heading3"/>
        <w:rPr>
          <w:noProof/>
        </w:rPr>
      </w:pPr>
      <w:bookmarkStart w:id="49" w:name="_Toc482873183"/>
      <w:bookmarkStart w:id="50" w:name="_Toc496688628"/>
      <w:r>
        <w:rPr>
          <w:noProof/>
        </w:rPr>
        <w:t>Summary of main results of the Baseline scenario</w:t>
      </w:r>
      <w:bookmarkEnd w:id="49"/>
      <w:bookmarkEnd w:id="50"/>
    </w:p>
    <w:p w:rsidR="00B231CB" w:rsidRDefault="00C71431">
      <w:pPr>
        <w:spacing w:after="120"/>
        <w:rPr>
          <w:noProof/>
          <w:szCs w:val="24"/>
        </w:rPr>
      </w:pPr>
      <w:r>
        <w:rPr>
          <w:b/>
          <w:noProof/>
          <w:szCs w:val="24"/>
        </w:rPr>
        <w:t>EU transport activity is expected to continue growing</w:t>
      </w:r>
      <w:r>
        <w:rPr>
          <w:noProof/>
          <w:szCs w:val="24"/>
        </w:rPr>
        <w:t xml:space="preserve"> under current trends and ado</w:t>
      </w:r>
      <w:r>
        <w:rPr>
          <w:noProof/>
          <w:szCs w:val="24"/>
        </w:rPr>
        <w:t xml:space="preserve">pted policies beyond 2015, albeit at a slower pace than in the past. Freight transport activity for inland modes is projected to increase by 36% between 2010 and 2030 (1.5% per year) and 60% for 2010-2050 (1.2% per year). Passenger traffic growth would be </w:t>
      </w:r>
      <w:r>
        <w:rPr>
          <w:noProof/>
          <w:szCs w:val="24"/>
        </w:rPr>
        <w:t xml:space="preserve">slightly lower than for freight at 23% by 2030 (1% per year) and 42% by 2050 (0.9% per year for 2010-2050). The annual growth rates by mode, for passenger and freight transport, are provided in </w:t>
      </w:r>
      <w:r>
        <w:rPr>
          <w:noProof/>
          <w:szCs w:val="24"/>
        </w:rPr>
        <w:fldChar w:fldCharType="begin"/>
      </w:r>
      <w:r>
        <w:rPr>
          <w:noProof/>
          <w:szCs w:val="24"/>
        </w:rPr>
        <w:instrText xml:space="preserve"> REF _Ref452934831 \h  \* MERGEFORMAT </w:instrText>
      </w:r>
      <w:r>
        <w:rPr>
          <w:noProof/>
          <w:szCs w:val="24"/>
        </w:rPr>
      </w:r>
      <w:r>
        <w:rPr>
          <w:noProof/>
          <w:szCs w:val="24"/>
        </w:rPr>
        <w:fldChar w:fldCharType="separate"/>
      </w:r>
      <w:r>
        <w:rPr>
          <w:b/>
          <w:bCs/>
          <w:noProof/>
          <w:szCs w:val="24"/>
          <w:lang w:val="en-US"/>
        </w:rPr>
        <w:t xml:space="preserve">Error! Reference source </w:t>
      </w:r>
      <w:r>
        <w:rPr>
          <w:b/>
          <w:bCs/>
          <w:noProof/>
          <w:szCs w:val="24"/>
          <w:lang w:val="en-US"/>
        </w:rPr>
        <w:t>not found.</w:t>
      </w:r>
      <w:r>
        <w:rPr>
          <w:noProof/>
          <w:szCs w:val="24"/>
        </w:rPr>
        <w:fldChar w:fldCharType="end"/>
      </w:r>
      <w:r>
        <w:rPr>
          <w:rStyle w:val="FootnoteReference"/>
          <w:noProof/>
          <w:szCs w:val="24"/>
        </w:rPr>
        <w:footnoteReference w:id="39"/>
      </w:r>
      <w:r>
        <w:rPr>
          <w:noProof/>
          <w:szCs w:val="24"/>
        </w:rPr>
        <w:t>.</w:t>
      </w:r>
    </w:p>
    <w:p w:rsidR="00B231CB" w:rsidRDefault="00C71431">
      <w:pPr>
        <w:spacing w:after="120"/>
        <w:rPr>
          <w:noProof/>
          <w:szCs w:val="24"/>
        </w:rPr>
      </w:pPr>
      <w:r>
        <w:rPr>
          <w:noProof/>
          <w:szCs w:val="24"/>
        </w:rPr>
        <w:t>Road transport would maintain its dominant role within the EU. The share of road transport in inland freight is expected to slightly decrease at 70% by 2030 and 69% by 2050. T</w:t>
      </w:r>
      <w:r>
        <w:rPr>
          <w:noProof/>
          <w:szCs w:val="24"/>
        </w:rPr>
        <w:t xml:space="preserve">he activity of heavy goods vehicles expressed in tonnes kilometres is projected to grow by 35% between 2010 and 2030 (56% for 2010-2050) in the Baseline scenario, while light goods vehicles activity would go up by 27% during 2010-2030 (50% for 2010-2050). </w:t>
      </w:r>
      <w:r>
        <w:rPr>
          <w:noProof/>
          <w:szCs w:val="24"/>
        </w:rPr>
        <w:t>For passenger transport, road modal share is projected to decrease by 4 percentage points by 2030 and by additional 3 percentage points by 2050. Passenger cars and vans would still contribute 70% of passenger traffic by 2030 and about two thirds by 2050, d</w:t>
      </w:r>
      <w:r>
        <w:rPr>
          <w:noProof/>
          <w:szCs w:val="24"/>
        </w:rPr>
        <w:t>espite growing at lower pace (17% for 2010-2030 and 31% during 2010-2050) relative to other modes, due to slowdown in car ownership increase which is close to saturation levels in many EU15 Member States and shifts towards rail.</w:t>
      </w:r>
    </w:p>
    <w:p w:rsidR="00B231CB" w:rsidRDefault="00C71431">
      <w:pPr>
        <w:pStyle w:val="Caption"/>
        <w:keepNext/>
        <w:rPr>
          <w:noProof/>
          <w:szCs w:val="24"/>
        </w:rPr>
      </w:pPr>
      <w:bookmarkStart w:id="51" w:name="_Toc456532387"/>
      <w:r>
        <w:rPr>
          <w:noProof/>
        </w:rPr>
        <w:t xml:space="preserve">Figure </w:t>
      </w:r>
      <w:r>
        <w:rPr>
          <w:noProof/>
        </w:rPr>
        <w:fldChar w:fldCharType="begin"/>
      </w:r>
      <w:r>
        <w:rPr>
          <w:noProof/>
        </w:rPr>
        <w:instrText xml:space="preserve"> SEQ Figure \* ARABI</w:instrText>
      </w:r>
      <w:r>
        <w:rPr>
          <w:noProof/>
        </w:rPr>
        <w:instrText xml:space="preserve">C </w:instrText>
      </w:r>
      <w:r>
        <w:rPr>
          <w:noProof/>
        </w:rPr>
        <w:fldChar w:fldCharType="separate"/>
      </w:r>
      <w:r>
        <w:rPr>
          <w:noProof/>
        </w:rPr>
        <w:t>1</w:t>
      </w:r>
      <w:r>
        <w:rPr>
          <w:noProof/>
        </w:rPr>
        <w:fldChar w:fldCharType="end"/>
      </w:r>
      <w:r>
        <w:rPr>
          <w:noProof/>
          <w:szCs w:val="24"/>
        </w:rPr>
        <w:t>: Passenger and freight transport projections (average growth rate per year)</w:t>
      </w:r>
      <w:bookmarkEnd w:id="51"/>
    </w:p>
    <w:p w:rsidR="00B231CB" w:rsidRDefault="00C71431">
      <w:pPr>
        <w:spacing w:after="120"/>
        <w:rPr>
          <w:noProof/>
          <w:szCs w:val="24"/>
          <w:lang w:val="x-none"/>
        </w:rPr>
      </w:pPr>
      <w:r>
        <w:rPr>
          <w:noProof/>
          <w:szCs w:val="24"/>
          <w:lang w:eastAsia="en-GB"/>
        </w:rPr>
        <w:drawing>
          <wp:inline distT="0" distB="0" distL="0" distR="0" wp14:anchorId="2BA69ABC" wp14:editId="318AF8BD">
            <wp:extent cx="2727325" cy="22821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7325" cy="2282190"/>
                    </a:xfrm>
                    <a:prstGeom prst="rect">
                      <a:avLst/>
                    </a:prstGeom>
                    <a:noFill/>
                    <a:ln>
                      <a:noFill/>
                    </a:ln>
                  </pic:spPr>
                </pic:pic>
              </a:graphicData>
            </a:graphic>
          </wp:inline>
        </w:drawing>
      </w:r>
      <w:r>
        <w:rPr>
          <w:noProof/>
          <w:szCs w:val="24"/>
          <w:lang w:val="it-IT"/>
        </w:rPr>
        <w:t xml:space="preserve"> </w:t>
      </w:r>
      <w:r>
        <w:rPr>
          <w:noProof/>
          <w:szCs w:val="24"/>
          <w:lang w:eastAsia="en-GB"/>
        </w:rPr>
        <w:drawing>
          <wp:inline distT="0" distB="0" distL="0" distR="0" wp14:anchorId="3B75275A" wp14:editId="1873867B">
            <wp:extent cx="2727325" cy="22821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7325" cy="2282190"/>
                    </a:xfrm>
                    <a:prstGeom prst="rect">
                      <a:avLst/>
                    </a:prstGeom>
                    <a:noFill/>
                    <a:ln>
                      <a:noFill/>
                    </a:ln>
                  </pic:spPr>
                </pic:pic>
              </a:graphicData>
            </a:graphic>
          </wp:inline>
        </w:drawing>
      </w:r>
    </w:p>
    <w:p w:rsidR="00B231CB" w:rsidRDefault="00C71431">
      <w:pPr>
        <w:keepNext/>
        <w:keepLines/>
        <w:autoSpaceDE w:val="0"/>
        <w:autoSpaceDN w:val="0"/>
        <w:adjustRightInd w:val="0"/>
        <w:spacing w:after="120"/>
        <w:rPr>
          <w:i/>
          <w:noProof/>
          <w:szCs w:val="24"/>
          <w:lang w:val="it-IT"/>
        </w:rPr>
      </w:pPr>
      <w:r>
        <w:rPr>
          <w:i/>
          <w:noProof/>
          <w:szCs w:val="24"/>
          <w:lang w:val="it-IT"/>
        </w:rPr>
        <w:t>Source: Baseline scenario, PRIMES-TREMOVE transport model (ICCS-E3MLab)</w:t>
      </w:r>
    </w:p>
    <w:p w:rsidR="00B231CB" w:rsidRDefault="00C71431">
      <w:pPr>
        <w:keepNext/>
        <w:keepLines/>
        <w:autoSpaceDE w:val="0"/>
        <w:autoSpaceDN w:val="0"/>
        <w:adjustRightInd w:val="0"/>
        <w:spacing w:after="120"/>
        <w:rPr>
          <w:i/>
          <w:noProof/>
          <w:szCs w:val="24"/>
        </w:rPr>
      </w:pPr>
      <w:r>
        <w:rPr>
          <w:i/>
          <w:noProof/>
          <w:szCs w:val="24"/>
        </w:rPr>
        <w:t xml:space="preserve">Note: For aviation, domestic and international intra-EU activity is reported, to maintain the </w:t>
      </w:r>
      <w:r>
        <w:rPr>
          <w:i/>
          <w:noProof/>
          <w:szCs w:val="24"/>
        </w:rPr>
        <w:t>comparability with reported statistics.</w:t>
      </w:r>
    </w:p>
    <w:p w:rsidR="00B231CB" w:rsidRDefault="00C71431">
      <w:pPr>
        <w:spacing w:after="120"/>
        <w:rPr>
          <w:noProof/>
          <w:szCs w:val="24"/>
        </w:rPr>
      </w:pPr>
      <w:r>
        <w:rPr>
          <w:noProof/>
          <w:szCs w:val="24"/>
        </w:rPr>
        <w:t>Rail transport activity is projected to grow significantly faster than for road, driven in particular by the opening of the market for domestic passenger rail transport services and the effective implementation of th</w:t>
      </w:r>
      <w:r>
        <w:rPr>
          <w:noProof/>
          <w:szCs w:val="24"/>
        </w:rPr>
        <w:t>e TEN-T guidelines, supported by the CEF funding, leading to the completion of the TEN-T core network by 2030 and of the comprehensive network by 2050. Passenger rail activity goes up by 44% between 2010 and 2030 (84% for 2010-2050), increasing its modal s</w:t>
      </w:r>
      <w:r>
        <w:rPr>
          <w:noProof/>
          <w:szCs w:val="24"/>
        </w:rPr>
        <w:t>hare by 1 percentage point by 2030 and an additional percentage point by 2050. Rail freight activity grows by 51% by 2030 and 90% during 2010-2050, resulting in 2 percentage points increase in modal share by 2030 and an additional percentage point by 2050.</w:t>
      </w:r>
    </w:p>
    <w:p w:rsidR="00B231CB" w:rsidRDefault="00C71431">
      <w:pPr>
        <w:spacing w:after="120"/>
        <w:rPr>
          <w:noProof/>
          <w:szCs w:val="24"/>
        </w:rPr>
      </w:pPr>
      <w:r>
        <w:rPr>
          <w:noProof/>
          <w:szCs w:val="24"/>
        </w:rPr>
        <w:t>Domestic and international intra-EU air transport would grow significantly (by 59% by 2030 and 118% by 2050) and increase its share in overall transport demand (by 3 percentage points by 2030 and by additional 2 percentage points by 2050). Overall, aviati</w:t>
      </w:r>
      <w:r>
        <w:rPr>
          <w:noProof/>
          <w:szCs w:val="24"/>
        </w:rPr>
        <w:t xml:space="preserve">on activity including international extra-EU flights is projected to go up by 60% by 2030 and 124% by 2050, saturating European skies and airports. </w:t>
      </w:r>
    </w:p>
    <w:p w:rsidR="00B231CB" w:rsidRDefault="00C71431">
      <w:pPr>
        <w:spacing w:after="120"/>
        <w:rPr>
          <w:noProof/>
          <w:szCs w:val="24"/>
        </w:rPr>
      </w:pPr>
      <w:r>
        <w:rPr>
          <w:noProof/>
          <w:szCs w:val="24"/>
        </w:rPr>
        <w:t>Transport activity of freight inland navigation</w:t>
      </w:r>
      <w:r>
        <w:rPr>
          <w:rStyle w:val="FootnoteReference"/>
          <w:noProof/>
          <w:szCs w:val="24"/>
        </w:rPr>
        <w:footnoteReference w:id="40"/>
      </w:r>
      <w:r>
        <w:rPr>
          <w:noProof/>
          <w:szCs w:val="24"/>
        </w:rPr>
        <w:t xml:space="preserve"> also benefits from the completion of the TEN-T core and comprehensive network, the promotion of inland waterway transport and the recovery in the economic activity and would grow by 26% by 2030 (1.2% per year) and by 46% during 2010-2050 (0.9% per year). </w:t>
      </w:r>
    </w:p>
    <w:p w:rsidR="00B231CB" w:rsidRDefault="00C71431">
      <w:pPr>
        <w:spacing w:after="120"/>
        <w:rPr>
          <w:noProof/>
          <w:szCs w:val="24"/>
        </w:rPr>
      </w:pPr>
      <w:r>
        <w:rPr>
          <w:noProof/>
          <w:szCs w:val="24"/>
        </w:rPr>
        <w:t xml:space="preserve">International maritime transport activity is projected to continue growing strongly with rising demand for oil, coal, steel and other primary resources – which would be more distantly sourced – increasing by 37% by 2030 and by 71% during 2010-2050. </w:t>
      </w:r>
    </w:p>
    <w:p w:rsidR="00B231CB" w:rsidRDefault="00C71431">
      <w:pPr>
        <w:spacing w:after="120"/>
        <w:rPr>
          <w:noProof/>
          <w:szCs w:val="24"/>
        </w:rPr>
      </w:pPr>
      <w:r>
        <w:rPr>
          <w:noProof/>
          <w:szCs w:val="24"/>
        </w:rPr>
        <w:t>Trans</w:t>
      </w:r>
      <w:r>
        <w:rPr>
          <w:noProof/>
          <w:szCs w:val="24"/>
        </w:rPr>
        <w:t xml:space="preserve">port accounts today for about one third of final energy consumption. In the context of growing activity, energy use in transport is projected to decrease by 5% between 2010 and 2030 and to stabilise post-2030 (see </w:t>
      </w:r>
      <w:r>
        <w:rPr>
          <w:noProof/>
          <w:szCs w:val="24"/>
        </w:rPr>
        <w:fldChar w:fldCharType="begin"/>
      </w:r>
      <w:r>
        <w:rPr>
          <w:noProof/>
          <w:szCs w:val="24"/>
        </w:rPr>
        <w:instrText xml:space="preserve"> REF _Ref495076928 \h  \* MERGEFORMAT </w:instrText>
      </w:r>
      <w:r>
        <w:rPr>
          <w:noProof/>
          <w:szCs w:val="24"/>
        </w:rPr>
      </w:r>
      <w:r>
        <w:rPr>
          <w:noProof/>
          <w:szCs w:val="24"/>
        </w:rPr>
        <w:fldChar w:fldCharType="separate"/>
      </w:r>
      <w:r>
        <w:rPr>
          <w:noProof/>
        </w:rPr>
        <w:t>Figu</w:t>
      </w:r>
      <w:r>
        <w:rPr>
          <w:noProof/>
        </w:rPr>
        <w:t>re 2</w:t>
      </w:r>
      <w:r>
        <w:rPr>
          <w:noProof/>
          <w:szCs w:val="24"/>
        </w:rPr>
        <w:fldChar w:fldCharType="end"/>
      </w:r>
      <w:r>
        <w:rPr>
          <w:noProof/>
          <w:szCs w:val="24"/>
        </w:rPr>
        <w:t>). These developments are mainly driven by the implementation of the Regulations setting emission performance standards for new light duty vehicles. Light duty vehicles are currently r</w:t>
      </w:r>
      <w:r>
        <w:rPr>
          <w:noProof/>
          <w:szCs w:val="24"/>
        </w:rPr>
        <w:t>esponsible for around 60% of total energy demand in transport but this share is projected to significantly decline over time, to 53% by 2030 and 49% by 2050. Energy use in passenger cars and passenger vans is projected to go down by 19% during 2010-2030 (-</w:t>
      </w:r>
      <w:r>
        <w:rPr>
          <w:noProof/>
          <w:szCs w:val="24"/>
        </w:rPr>
        <w:t>24% for 2010-2050). Heavy goods vehicles are projected to increase their share in final energy demand from 2010 onwards, continuing the historic trend from 1995. Energy demand by heavy goods vehicles would grow by 14% between 2010 and 2030 (23% for 2010-20</w:t>
      </w:r>
      <w:r>
        <w:rPr>
          <w:noProof/>
          <w:szCs w:val="24"/>
        </w:rPr>
        <w:t xml:space="preserve">50).  </w:t>
      </w:r>
    </w:p>
    <w:p w:rsidR="00B231CB" w:rsidRDefault="00C71431">
      <w:pPr>
        <w:spacing w:after="120"/>
        <w:rPr>
          <w:noProof/>
          <w:szCs w:val="24"/>
        </w:rPr>
      </w:pPr>
      <w:r>
        <w:rPr>
          <w:noProof/>
          <w:szCs w:val="24"/>
        </w:rPr>
        <w:t>Bunker fuels for air and maritime transport are projected to increase significantly: by 17% by 2030 (33% for 2010-2050) and 24% by 2030 (42% for 2010-2050), respectively.</w:t>
      </w:r>
    </w:p>
    <w:p w:rsidR="00B231CB" w:rsidRDefault="00C71431">
      <w:pPr>
        <w:pStyle w:val="Caption"/>
        <w:keepNext/>
        <w:keepLines/>
        <w:spacing w:after="120"/>
        <w:rPr>
          <w:noProof/>
          <w:szCs w:val="24"/>
        </w:rPr>
      </w:pPr>
      <w:bookmarkStart w:id="52" w:name="_Ref495076928"/>
      <w:bookmarkStart w:id="53" w:name="_Ref452934874"/>
      <w:bookmarkStart w:id="54" w:name="_Toc456532388"/>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52"/>
      <w:r>
        <w:rPr>
          <w:noProof/>
          <w:szCs w:val="24"/>
        </w:rPr>
        <w:t xml:space="preserve">: </w:t>
      </w:r>
      <w:bookmarkEnd w:id="53"/>
      <w:r>
        <w:rPr>
          <w:noProof/>
          <w:szCs w:val="24"/>
        </w:rPr>
        <w:t>Evolution of total final energy consumption</w:t>
      </w:r>
      <w:r>
        <w:rPr>
          <w:noProof/>
          <w:szCs w:val="24"/>
        </w:rPr>
        <w:t xml:space="preserve"> and GHG emissions for 1995-2050</w:t>
      </w:r>
      <w:bookmarkEnd w:id="54"/>
    </w:p>
    <w:p w:rsidR="00B231CB" w:rsidRDefault="00C71431">
      <w:pPr>
        <w:spacing w:after="120"/>
        <w:rPr>
          <w:noProof/>
          <w:szCs w:val="24"/>
          <w:lang w:val="x-none"/>
        </w:rPr>
      </w:pPr>
      <w:r>
        <w:rPr>
          <w:noProof/>
          <w:szCs w:val="24"/>
          <w:lang w:eastAsia="en-GB"/>
        </w:rPr>
        <w:drawing>
          <wp:inline distT="0" distB="0" distL="0" distR="0" wp14:anchorId="22FAEDE8" wp14:editId="0F85B33A">
            <wp:extent cx="2727325" cy="22821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7325" cy="2282190"/>
                    </a:xfrm>
                    <a:prstGeom prst="rect">
                      <a:avLst/>
                    </a:prstGeom>
                    <a:noFill/>
                    <a:ln>
                      <a:noFill/>
                    </a:ln>
                  </pic:spPr>
                </pic:pic>
              </a:graphicData>
            </a:graphic>
          </wp:inline>
        </w:drawing>
      </w:r>
      <w:r>
        <w:rPr>
          <w:noProof/>
          <w:szCs w:val="24"/>
          <w:lang w:val="it-IT"/>
        </w:rPr>
        <w:t xml:space="preserve"> </w:t>
      </w:r>
      <w:r>
        <w:rPr>
          <w:noProof/>
          <w:szCs w:val="24"/>
          <w:lang w:eastAsia="en-GB"/>
        </w:rPr>
        <w:drawing>
          <wp:inline distT="0" distB="0" distL="0" distR="0" wp14:anchorId="173978A9" wp14:editId="12D6B4E7">
            <wp:extent cx="2727325" cy="22821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7325" cy="2282190"/>
                    </a:xfrm>
                    <a:prstGeom prst="rect">
                      <a:avLst/>
                    </a:prstGeom>
                    <a:noFill/>
                    <a:ln>
                      <a:noFill/>
                    </a:ln>
                  </pic:spPr>
                </pic:pic>
              </a:graphicData>
            </a:graphic>
          </wp:inline>
        </w:drawing>
      </w:r>
    </w:p>
    <w:p w:rsidR="00B231CB" w:rsidRDefault="00C71431">
      <w:pPr>
        <w:keepNext/>
        <w:keepLines/>
        <w:autoSpaceDE w:val="0"/>
        <w:autoSpaceDN w:val="0"/>
        <w:adjustRightInd w:val="0"/>
        <w:spacing w:after="120"/>
        <w:rPr>
          <w:i/>
          <w:noProof/>
          <w:szCs w:val="24"/>
          <w:lang w:val="it-IT"/>
        </w:rPr>
      </w:pPr>
      <w:r>
        <w:rPr>
          <w:i/>
          <w:noProof/>
          <w:szCs w:val="24"/>
          <w:lang w:val="it-IT"/>
        </w:rPr>
        <w:t>Source: Baseline scenario, PRIMES model (ICCS-E3MLab)</w:t>
      </w:r>
    </w:p>
    <w:p w:rsidR="00B231CB" w:rsidRDefault="00C71431">
      <w:pPr>
        <w:autoSpaceDE w:val="0"/>
        <w:autoSpaceDN w:val="0"/>
        <w:spacing w:after="120"/>
        <w:rPr>
          <w:iCs/>
          <w:noProof/>
          <w:szCs w:val="24"/>
        </w:rPr>
      </w:pPr>
      <w:r>
        <w:rPr>
          <w:iCs/>
          <w:noProof/>
          <w:szCs w:val="24"/>
        </w:rPr>
        <w:t>Electricity use in transport is expected to increase steadily as a result of further rail electrification and the uptake of alternative powertrains in road transport</w:t>
      </w:r>
      <w:r>
        <w:rPr>
          <w:iCs/>
          <w:noProof/>
          <w:szCs w:val="24"/>
        </w:rPr>
        <w:t>. Battery electric and plug-in hybrid electric vehicles are expected to see faster growth beyond 2020, in particular in the segment of light duty vehicles, driven by EU and national policies offering various incentives and the decrease in battery costs. Th</w:t>
      </w:r>
      <w:r>
        <w:rPr>
          <w:iCs/>
          <w:noProof/>
          <w:szCs w:val="24"/>
        </w:rPr>
        <w:t xml:space="preserve">e share of battery electric and plug-in hybrid electric vehicles in the total light duty vehicle stock would reach about 6% by 2030 and 15% by 2050 (with the shares of battery electric being 2% in 2030 and 6% in 2050).  </w:t>
      </w:r>
      <w:r>
        <w:rPr>
          <w:noProof/>
          <w:szCs w:val="24"/>
        </w:rPr>
        <w:t>The uptake of hydrogen would be faci</w:t>
      </w:r>
      <w:r>
        <w:rPr>
          <w:noProof/>
          <w:szCs w:val="24"/>
        </w:rPr>
        <w:t>litated by the increased availability of refuelling infrastructure, but its use would remain limited in lack of additional policies beyond those assumed in the Baseline scenario. Fuel cells would represent about 3% of the light duty vehicle stock by 2050.</w:t>
      </w:r>
    </w:p>
    <w:p w:rsidR="00B231CB" w:rsidRDefault="00C71431">
      <w:pPr>
        <w:autoSpaceDE w:val="0"/>
        <w:autoSpaceDN w:val="0"/>
        <w:spacing w:after="120"/>
        <w:rPr>
          <w:iCs/>
          <w:noProof/>
          <w:szCs w:val="24"/>
        </w:rPr>
      </w:pPr>
      <w:r>
        <w:rPr>
          <w:iCs/>
          <w:noProof/>
          <w:szCs w:val="24"/>
        </w:rPr>
        <w:t>LNG becomes a candidate energy carrier for road freight and waterborne transport, especially in the medium to long term, driven by the implementation of the Directive on the deployment of alternative fuels infrastructure and the revised TEN-T guidelines wh</w:t>
      </w:r>
      <w:r>
        <w:rPr>
          <w:iCs/>
          <w:noProof/>
          <w:szCs w:val="24"/>
        </w:rPr>
        <w:t>ich represent important drivers for the higher penetration of alternative fuels in the transport mix. In the Baseline scenario, the share of LNG is projected to go up to 3% by 2030 (8% by 2050) for road freight and 4% by 2030 (7% by 2050) for inland naviga</w:t>
      </w:r>
      <w:r>
        <w:rPr>
          <w:iCs/>
          <w:noProof/>
          <w:szCs w:val="24"/>
        </w:rPr>
        <w:t>tion. LNG would provide about 4% of maritime bunker fuels by 2030 and 10% by 2050 – especially in the segment of short sea shipping.</w:t>
      </w:r>
    </w:p>
    <w:p w:rsidR="00B231CB" w:rsidRDefault="00C71431">
      <w:pPr>
        <w:autoSpaceDE w:val="0"/>
        <w:autoSpaceDN w:val="0"/>
        <w:spacing w:after="120"/>
        <w:rPr>
          <w:iCs/>
          <w:noProof/>
          <w:szCs w:val="24"/>
        </w:rPr>
      </w:pPr>
      <w:r>
        <w:rPr>
          <w:iCs/>
          <w:noProof/>
          <w:szCs w:val="24"/>
        </w:rPr>
        <w:t xml:space="preserve">Biofuels uptake is driven by the legally binding target of 10% renewable energy in transport (Renewables Directive), as amended by the ILUC Directive, and by the requirement for fuel suppliers to reduce the GHG intensity of road transport fuel by 6% (Fuel </w:t>
      </w:r>
      <w:r>
        <w:rPr>
          <w:iCs/>
          <w:noProof/>
          <w:szCs w:val="24"/>
        </w:rPr>
        <w:t xml:space="preserve">Quality Directive). Beyond 2020, biofuel levels would remain relatively stable at around 6% in the Baseline scenario. The Baseline scenario does not take into account the recent proposal by the Commission for a recast of the Renewables Energy Directive. </w:t>
      </w:r>
    </w:p>
    <w:p w:rsidR="00B231CB" w:rsidRDefault="00C71431">
      <w:pPr>
        <w:autoSpaceDE w:val="0"/>
        <w:autoSpaceDN w:val="0"/>
        <w:adjustRightInd w:val="0"/>
        <w:spacing w:after="120"/>
        <w:rPr>
          <w:noProof/>
          <w:szCs w:val="24"/>
        </w:rPr>
      </w:pPr>
      <w:r>
        <w:rPr>
          <w:noProof/>
          <w:szCs w:val="24"/>
        </w:rPr>
        <w:t>I</w:t>
      </w:r>
      <w:r>
        <w:rPr>
          <w:noProof/>
          <w:szCs w:val="24"/>
        </w:rPr>
        <w:t xml:space="preserve">n the Baseline scenario, </w:t>
      </w:r>
      <w:r>
        <w:rPr>
          <w:b/>
          <w:noProof/>
          <w:szCs w:val="24"/>
        </w:rPr>
        <w:t>oil products would still represent about 90% of the EU transport sector needs in 2030</w:t>
      </w:r>
      <w:r>
        <w:rPr>
          <w:noProof/>
          <w:szCs w:val="24"/>
        </w:rPr>
        <w:t xml:space="preserve"> and 85% in 2050, despite the renewables policies and the deployment of alternative fuels infrastructure which support some substitution effects t</w:t>
      </w:r>
      <w:r>
        <w:rPr>
          <w:noProof/>
          <w:szCs w:val="24"/>
        </w:rPr>
        <w:t xml:space="preserve">owards biofuels, electricity, hydrogen and natural gas (see </w:t>
      </w:r>
      <w:r>
        <w:rPr>
          <w:noProof/>
          <w:szCs w:val="24"/>
        </w:rPr>
        <w:fldChar w:fldCharType="begin"/>
      </w:r>
      <w:r>
        <w:rPr>
          <w:noProof/>
          <w:szCs w:val="24"/>
        </w:rPr>
        <w:instrText xml:space="preserve"> REF _Ref495076952 \h  \* MERGEFORMAT </w:instrText>
      </w:r>
      <w:r>
        <w:rPr>
          <w:noProof/>
          <w:szCs w:val="24"/>
        </w:rPr>
      </w:r>
      <w:r>
        <w:rPr>
          <w:noProof/>
          <w:szCs w:val="24"/>
        </w:rPr>
        <w:fldChar w:fldCharType="separate"/>
      </w:r>
      <w:r>
        <w:rPr>
          <w:noProof/>
        </w:rPr>
        <w:t>Figure 3</w:t>
      </w:r>
      <w:r>
        <w:rPr>
          <w:noProof/>
          <w:szCs w:val="24"/>
        </w:rPr>
        <w:fldChar w:fldCharType="end"/>
      </w:r>
      <w:r>
        <w:rPr>
          <w:noProof/>
          <w:szCs w:val="24"/>
        </w:rPr>
        <w:t>.</w:t>
      </w:r>
    </w:p>
    <w:p w:rsidR="00B231CB" w:rsidRDefault="00C71431">
      <w:pPr>
        <w:pStyle w:val="Caption"/>
        <w:keepNext/>
        <w:keepLines/>
        <w:spacing w:after="120"/>
        <w:rPr>
          <w:noProof/>
          <w:szCs w:val="24"/>
        </w:rPr>
      </w:pPr>
      <w:bookmarkStart w:id="55" w:name="_Ref495076952"/>
      <w:bookmarkStart w:id="56" w:name="_Ref452934907"/>
      <w:bookmarkStart w:id="57" w:name="_Toc456532389"/>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55"/>
      <w:r>
        <w:rPr>
          <w:noProof/>
          <w:szCs w:val="24"/>
        </w:rPr>
        <w:t xml:space="preserve">: </w:t>
      </w:r>
      <w:bookmarkEnd w:id="56"/>
      <w:r>
        <w:rPr>
          <w:noProof/>
          <w:szCs w:val="24"/>
        </w:rPr>
        <w:t>Evolution of final energy use in transport by</w:t>
      </w:r>
      <w:r>
        <w:rPr>
          <w:noProof/>
          <w:szCs w:val="24"/>
        </w:rPr>
        <w:t xml:space="preserve"> type of fuel</w:t>
      </w:r>
      <w:bookmarkEnd w:id="57"/>
    </w:p>
    <w:p w:rsidR="00B231CB" w:rsidRDefault="00C71431">
      <w:pPr>
        <w:spacing w:after="120"/>
        <w:jc w:val="center"/>
        <w:rPr>
          <w:noProof/>
          <w:szCs w:val="24"/>
          <w:lang w:val="x-none"/>
        </w:rPr>
      </w:pPr>
      <w:r>
        <w:rPr>
          <w:noProof/>
          <w:szCs w:val="24"/>
          <w:lang w:eastAsia="en-GB"/>
        </w:rPr>
        <w:drawing>
          <wp:inline distT="0" distB="0" distL="0" distR="0" wp14:anchorId="51E6BCA9" wp14:editId="1BE088D2">
            <wp:extent cx="4397375" cy="247269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7375" cy="2472690"/>
                    </a:xfrm>
                    <a:prstGeom prst="rect">
                      <a:avLst/>
                    </a:prstGeom>
                    <a:noFill/>
                    <a:ln>
                      <a:noFill/>
                    </a:ln>
                  </pic:spPr>
                </pic:pic>
              </a:graphicData>
            </a:graphic>
          </wp:inline>
        </w:drawing>
      </w:r>
    </w:p>
    <w:p w:rsidR="00B231CB" w:rsidRDefault="00C71431">
      <w:pPr>
        <w:keepNext/>
        <w:keepLines/>
        <w:autoSpaceDE w:val="0"/>
        <w:autoSpaceDN w:val="0"/>
        <w:adjustRightInd w:val="0"/>
        <w:spacing w:after="120"/>
        <w:rPr>
          <w:i/>
          <w:noProof/>
          <w:szCs w:val="24"/>
          <w:lang w:val="it-IT"/>
        </w:rPr>
      </w:pPr>
      <w:r>
        <w:rPr>
          <w:i/>
          <w:noProof/>
          <w:szCs w:val="24"/>
          <w:lang w:val="it-IT"/>
        </w:rPr>
        <w:t>Source: Baseline scenario, PRIMES-TREMOVE transport model (ICCS-E3MLab)</w:t>
      </w:r>
    </w:p>
    <w:p w:rsidR="00B231CB" w:rsidRDefault="00C71431">
      <w:pPr>
        <w:autoSpaceDE w:val="0"/>
        <w:autoSpaceDN w:val="0"/>
        <w:adjustRightInd w:val="0"/>
        <w:spacing w:after="120"/>
        <w:rPr>
          <w:noProof/>
          <w:szCs w:val="24"/>
        </w:rPr>
      </w:pPr>
      <w:r>
        <w:rPr>
          <w:noProof/>
          <w:szCs w:val="24"/>
        </w:rPr>
        <w:t xml:space="preserve">The </w:t>
      </w:r>
      <w:r>
        <w:rPr>
          <w:b/>
          <w:noProof/>
          <w:szCs w:val="24"/>
        </w:rPr>
        <w:t>declining trend in transport emissions is expected to continue</w:t>
      </w:r>
      <w:r>
        <w:rPr>
          <w:noProof/>
          <w:szCs w:val="24"/>
        </w:rPr>
        <w:t>, leading to 13% lower emissions by 2030 compared to 2005, and 15% by 2050.</w:t>
      </w:r>
      <w:r>
        <w:rPr>
          <w:rStyle w:val="FootnoteReference"/>
          <w:noProof/>
          <w:szCs w:val="24"/>
        </w:rPr>
        <w:footnoteReference w:id="41"/>
      </w:r>
      <w:r>
        <w:rPr>
          <w:noProof/>
          <w:szCs w:val="24"/>
        </w:rPr>
        <w:t xml:space="preserve"> However, relative to 1990</w:t>
      </w:r>
      <w:r>
        <w:rPr>
          <w:noProof/>
          <w:szCs w:val="24"/>
        </w:rPr>
        <w:t xml:space="preserve"> levels, emissions would still be 13% higher by 2030 and 10% by 2050, owing to the fast rise in the transport emissions during the 1990s. The share of transport in total GHG emissions would continue increasing, going up from 23% currently (excluding intern</w:t>
      </w:r>
      <w:r>
        <w:rPr>
          <w:noProof/>
          <w:szCs w:val="24"/>
        </w:rPr>
        <w:t xml:space="preserve">ational maritime) to 25% in 2030 and 31% in 2050, following a relatively lower decline of emissions from transport compared to power generation and other sectors (see </w:t>
      </w:r>
      <w:r>
        <w:rPr>
          <w:noProof/>
          <w:szCs w:val="24"/>
        </w:rPr>
        <w:fldChar w:fldCharType="begin"/>
      </w:r>
      <w:r>
        <w:rPr>
          <w:noProof/>
          <w:szCs w:val="24"/>
        </w:rPr>
        <w:instrText xml:space="preserve"> REF _Ref495076928 \h  \* MERGEFORMAT </w:instrText>
      </w:r>
      <w:r>
        <w:rPr>
          <w:noProof/>
          <w:szCs w:val="24"/>
        </w:rPr>
      </w:r>
      <w:r>
        <w:rPr>
          <w:noProof/>
          <w:szCs w:val="24"/>
        </w:rPr>
        <w:fldChar w:fldCharType="separate"/>
      </w:r>
      <w:r>
        <w:rPr>
          <w:noProof/>
        </w:rPr>
        <w:t>Figure</w:t>
      </w:r>
      <w:r>
        <w:rPr>
          <w:b/>
          <w:noProof/>
        </w:rPr>
        <w:t xml:space="preserve"> </w:t>
      </w:r>
      <w:r>
        <w:rPr>
          <w:noProof/>
        </w:rPr>
        <w:t>2</w:t>
      </w:r>
      <w:r>
        <w:rPr>
          <w:noProof/>
          <w:szCs w:val="24"/>
        </w:rPr>
        <w:fldChar w:fldCharType="end"/>
      </w:r>
      <w:r>
        <w:rPr>
          <w:noProof/>
          <w:szCs w:val="24"/>
        </w:rPr>
        <w:t>). Aviation would contribute an increasing share of transport emissions over time, increasing from 14% today to about 18% in 2030 and 21% in 2050. Maritime bunker fuel emissions are also projected to grow strongly, increasing by 22%</w:t>
      </w:r>
      <w:r>
        <w:rPr>
          <w:noProof/>
          <w:szCs w:val="24"/>
        </w:rPr>
        <w:t xml:space="preserve"> during 2010-2030 (38% for 2010-2050).</w:t>
      </w:r>
    </w:p>
    <w:p w:rsidR="00B231CB" w:rsidRDefault="00C71431">
      <w:pPr>
        <w:autoSpaceDE w:val="0"/>
        <w:autoSpaceDN w:val="0"/>
        <w:adjustRightInd w:val="0"/>
        <w:spacing w:after="120"/>
        <w:rPr>
          <w:noProof/>
          <w:szCs w:val="24"/>
        </w:rPr>
      </w:pPr>
      <w:r>
        <w:rPr>
          <w:noProof/>
          <w:szCs w:val="24"/>
        </w:rPr>
        <w:t>CO</w:t>
      </w:r>
      <w:r>
        <w:rPr>
          <w:noProof/>
          <w:szCs w:val="24"/>
          <w:vertAlign w:val="subscript"/>
        </w:rPr>
        <w:t>2</w:t>
      </w:r>
      <w:r>
        <w:rPr>
          <w:noProof/>
          <w:szCs w:val="24"/>
        </w:rPr>
        <w:t xml:space="preserve"> emissions from road freight transport (heavy goods and light goods vehicles) are projected to increase by 6% between 2010 and 2030 (11% for 2010-2050) in the Baseline scenario. For heavy goods vehicles, the increa</w:t>
      </w:r>
      <w:r>
        <w:rPr>
          <w:noProof/>
          <w:szCs w:val="24"/>
        </w:rPr>
        <w:t>se would be somewhat higher (10% for 2010-2030 and 17% for 2010-2050), in lack of specific measures in place. At the same time, emissions from passenger cars and passenger vans are projected to decrease by 22% between 2010 and 2030 (32% for 2010-2050) than</w:t>
      </w:r>
      <w:r>
        <w:rPr>
          <w:noProof/>
          <w:szCs w:val="24"/>
        </w:rPr>
        <w:t>ks to the CO</w:t>
      </w:r>
      <w:r>
        <w:rPr>
          <w:noProof/>
          <w:szCs w:val="24"/>
          <w:vertAlign w:val="subscript"/>
        </w:rPr>
        <w:t>2</w:t>
      </w:r>
      <w:r>
        <w:rPr>
          <w:noProof/>
          <w:szCs w:val="24"/>
        </w:rPr>
        <w:t xml:space="preserve"> standards in place and the uptake of electromobility. CO</w:t>
      </w:r>
      <w:r>
        <w:rPr>
          <w:noProof/>
          <w:szCs w:val="24"/>
          <w:vertAlign w:val="subscript"/>
        </w:rPr>
        <w:t>2</w:t>
      </w:r>
      <w:r>
        <w:rPr>
          <w:noProof/>
          <w:szCs w:val="24"/>
        </w:rPr>
        <w:t xml:space="preserve"> emissions from buses and coaches are projected to remain relatively unchanged by 2030 compared to their 2010 levels, and to slightly increase post-2030 (3% increase for 2010-2050).</w:t>
      </w:r>
    </w:p>
    <w:p w:rsidR="00B231CB" w:rsidRDefault="00C71431">
      <w:pPr>
        <w:autoSpaceDE w:val="0"/>
        <w:autoSpaceDN w:val="0"/>
        <w:adjustRightInd w:val="0"/>
        <w:spacing w:after="120"/>
        <w:rPr>
          <w:rFonts w:eastAsia="TimesNewRoman"/>
          <w:noProof/>
          <w:szCs w:val="24"/>
          <w:vertAlign w:val="superscript"/>
        </w:rPr>
      </w:pPr>
      <w:r>
        <w:rPr>
          <w:rFonts w:eastAsia="TimesNewRoman"/>
          <w:noProof/>
          <w:szCs w:val="24"/>
        </w:rPr>
        <w:t>The</w:t>
      </w:r>
      <w:r>
        <w:rPr>
          <w:rFonts w:eastAsia="TimesNewRoman"/>
          <w:noProof/>
          <w:szCs w:val="24"/>
        </w:rPr>
        <w:t xml:space="preserve"> overall trend in transport emissions is determined by three broad components: transport activity levels (expressed in passenger or tonne-kilometres), the energy intensity of transport (defined as energy consumption per passenger or tonne-kilometre) and th</w:t>
      </w:r>
      <w:r>
        <w:rPr>
          <w:rFonts w:eastAsia="TimesNewRoman"/>
          <w:noProof/>
          <w:szCs w:val="24"/>
        </w:rPr>
        <w:t>e carbon intensity of the energy used (given by the CO</w:t>
      </w:r>
      <w:r>
        <w:rPr>
          <w:rFonts w:eastAsia="TimesNewRoman"/>
          <w:noProof/>
          <w:szCs w:val="24"/>
          <w:vertAlign w:val="subscript"/>
        </w:rPr>
        <w:t>2</w:t>
      </w:r>
      <w:r>
        <w:rPr>
          <w:rFonts w:eastAsia="TimesNewRoman"/>
          <w:noProof/>
          <w:szCs w:val="24"/>
        </w:rPr>
        <w:t xml:space="preserve"> emissions divided by energy consumption). Following this approach, it has been evaluated how much the projected transport emissions will increase/decrease (in percentage terms or Mt of CO</w:t>
      </w:r>
      <w:r>
        <w:rPr>
          <w:rFonts w:eastAsia="TimesNewRoman"/>
          <w:noProof/>
          <w:szCs w:val="24"/>
          <w:vertAlign w:val="subscript"/>
        </w:rPr>
        <w:t>2</w:t>
      </w:r>
      <w:r>
        <w:rPr>
          <w:rFonts w:eastAsia="TimesNewRoman"/>
          <w:noProof/>
          <w:szCs w:val="24"/>
        </w:rPr>
        <w:t>) between 20</w:t>
      </w:r>
      <w:r>
        <w:rPr>
          <w:rFonts w:eastAsia="TimesNewRoman"/>
          <w:noProof/>
          <w:szCs w:val="24"/>
        </w:rPr>
        <w:t>10 and 2030 due to transport activity growth, improvements in energy intensity and carbon intensity.</w:t>
      </w:r>
      <w:r>
        <w:rPr>
          <w:rStyle w:val="FootnoteReference"/>
          <w:rFonts w:eastAsia="TimesNewRoman"/>
          <w:noProof/>
          <w:szCs w:val="24"/>
        </w:rPr>
        <w:footnoteReference w:id="42"/>
      </w:r>
      <w:r>
        <w:rPr>
          <w:rFonts w:eastAsia="TimesNewRoman"/>
          <w:noProof/>
          <w:szCs w:val="24"/>
          <w:vertAlign w:val="superscript"/>
        </w:rPr>
        <w:t>,</w:t>
      </w:r>
      <w:r>
        <w:rPr>
          <w:rStyle w:val="FootnoteReference"/>
          <w:rFonts w:eastAsia="TimesNewRoman"/>
          <w:noProof/>
          <w:szCs w:val="24"/>
        </w:rPr>
        <w:footnoteReference w:id="43"/>
      </w:r>
    </w:p>
    <w:p w:rsidR="00B231CB" w:rsidRDefault="00C71431">
      <w:pPr>
        <w:autoSpaceDE w:val="0"/>
        <w:autoSpaceDN w:val="0"/>
        <w:adjustRightInd w:val="0"/>
        <w:spacing w:after="120"/>
        <w:rPr>
          <w:noProof/>
          <w:szCs w:val="24"/>
        </w:rPr>
      </w:pPr>
      <w:r>
        <w:rPr>
          <w:rFonts w:eastAsia="TimesNewRoman"/>
          <w:noProof/>
          <w:szCs w:val="24"/>
        </w:rPr>
        <w:t>Overall, CO</w:t>
      </w:r>
      <w:r>
        <w:rPr>
          <w:rFonts w:eastAsia="TimesNewRoman"/>
          <w:noProof/>
          <w:szCs w:val="24"/>
          <w:vertAlign w:val="subscript"/>
        </w:rPr>
        <w:t>2</w:t>
      </w:r>
      <w:r>
        <w:rPr>
          <w:rFonts w:eastAsia="TimesNewRoman"/>
          <w:noProof/>
          <w:szCs w:val="24"/>
        </w:rPr>
        <w:t xml:space="preserve"> emissions from passenger transport decrease by 14% (109 Mt of CO</w:t>
      </w:r>
      <w:r>
        <w:rPr>
          <w:rFonts w:eastAsia="TimesNewRoman"/>
          <w:noProof/>
          <w:szCs w:val="24"/>
          <w:vertAlign w:val="subscript"/>
        </w:rPr>
        <w:t>2</w:t>
      </w:r>
      <w:r>
        <w:rPr>
          <w:rFonts w:eastAsia="TimesNewRoman"/>
          <w:noProof/>
          <w:szCs w:val="24"/>
        </w:rPr>
        <w:t>) between 2010 and 2030 in the Baseline scenario. The 14% decrease in CO</w:t>
      </w:r>
      <w:r>
        <w:rPr>
          <w:rFonts w:eastAsia="TimesNewRoman"/>
          <w:noProof/>
          <w:szCs w:val="24"/>
          <w:vertAlign w:val="subscript"/>
        </w:rPr>
        <w:t>2</w:t>
      </w:r>
      <w:r>
        <w:rPr>
          <w:rFonts w:eastAsia="TimesNewRoman"/>
          <w:noProof/>
          <w:szCs w:val="24"/>
        </w:rPr>
        <w:t xml:space="preserve"> </w:t>
      </w:r>
      <w:r>
        <w:rPr>
          <w:rFonts w:eastAsia="TimesNewRoman"/>
          <w:noProof/>
          <w:szCs w:val="24"/>
        </w:rPr>
        <w:t>emissions from passenger transport is due to transport activity growth (+21%, equivalent to 165 Mt of CO</w:t>
      </w:r>
      <w:r>
        <w:rPr>
          <w:rFonts w:eastAsia="TimesNewRoman"/>
          <w:noProof/>
          <w:szCs w:val="24"/>
          <w:vertAlign w:val="subscript"/>
        </w:rPr>
        <w:t>2</w:t>
      </w:r>
      <w:r>
        <w:rPr>
          <w:rFonts w:eastAsia="TimesNewRoman"/>
          <w:noProof/>
          <w:szCs w:val="24"/>
        </w:rPr>
        <w:t>), improvements in energy intensity (-31%, equivalent to 246 Mt of CO</w:t>
      </w:r>
      <w:r>
        <w:rPr>
          <w:rFonts w:eastAsia="TimesNewRoman"/>
          <w:noProof/>
          <w:szCs w:val="24"/>
          <w:vertAlign w:val="subscript"/>
        </w:rPr>
        <w:t>2</w:t>
      </w:r>
      <w:r>
        <w:rPr>
          <w:rFonts w:eastAsia="TimesNewRoman"/>
          <w:noProof/>
          <w:szCs w:val="24"/>
        </w:rPr>
        <w:t>) and in carbon intensity (-4%, equivalent to 28 Mt of CO</w:t>
      </w:r>
      <w:r>
        <w:rPr>
          <w:rFonts w:eastAsia="TimesNewRoman"/>
          <w:noProof/>
          <w:szCs w:val="24"/>
          <w:vertAlign w:val="subscript"/>
        </w:rPr>
        <w:t>2</w:t>
      </w:r>
      <w:r>
        <w:rPr>
          <w:rFonts w:eastAsia="TimesNewRoman"/>
          <w:noProof/>
          <w:szCs w:val="24"/>
        </w:rPr>
        <w:t>). The trend for the th</w:t>
      </w:r>
      <w:r>
        <w:rPr>
          <w:rFonts w:eastAsia="TimesNewRoman"/>
          <w:noProof/>
          <w:szCs w:val="24"/>
        </w:rPr>
        <w:t>ree components and their contribution to emissions is different by transport mode. Efficiency gains play a decisive role in reducing emissions in road transport, while in aviation they would not offset the activity growth leading to higher fuel use and emi</w:t>
      </w:r>
      <w:r>
        <w:rPr>
          <w:rFonts w:eastAsia="TimesNewRoman"/>
          <w:noProof/>
          <w:szCs w:val="24"/>
        </w:rPr>
        <w:t>ssions. The use of less CO</w:t>
      </w:r>
      <w:r>
        <w:rPr>
          <w:rFonts w:eastAsia="TimesNewRoman"/>
          <w:noProof/>
          <w:szCs w:val="24"/>
          <w:vertAlign w:val="subscript"/>
        </w:rPr>
        <w:t>2</w:t>
      </w:r>
      <w:r>
        <w:rPr>
          <w:rFonts w:eastAsia="TimesNewRoman"/>
          <w:noProof/>
          <w:szCs w:val="24"/>
        </w:rPr>
        <w:t xml:space="preserve"> intensive fuels contributes to a reduction of emissions for road and rail passenger transport with no effect on aviation by 2030.</w:t>
      </w:r>
    </w:p>
    <w:p w:rsidR="00B231CB" w:rsidRDefault="00C71431">
      <w:pPr>
        <w:autoSpaceDE w:val="0"/>
        <w:autoSpaceDN w:val="0"/>
        <w:adjustRightInd w:val="0"/>
        <w:spacing w:after="120"/>
        <w:rPr>
          <w:rFonts w:eastAsia="TimesNewRoman"/>
          <w:noProof/>
          <w:szCs w:val="24"/>
        </w:rPr>
      </w:pPr>
      <w:r>
        <w:rPr>
          <w:rFonts w:eastAsia="TimesNewRoman"/>
          <w:noProof/>
          <w:szCs w:val="24"/>
        </w:rPr>
        <w:t>For freight transport, the 5% (13 Mt of CO</w:t>
      </w:r>
      <w:r>
        <w:rPr>
          <w:rFonts w:eastAsia="TimesNewRoman"/>
          <w:noProof/>
          <w:szCs w:val="24"/>
          <w:vertAlign w:val="subscript"/>
        </w:rPr>
        <w:t>2</w:t>
      </w:r>
      <w:r>
        <w:rPr>
          <w:rFonts w:eastAsia="TimesNewRoman"/>
          <w:noProof/>
          <w:szCs w:val="24"/>
        </w:rPr>
        <w:t>) increase in CO</w:t>
      </w:r>
      <w:r>
        <w:rPr>
          <w:rFonts w:eastAsia="TimesNewRoman"/>
          <w:noProof/>
          <w:szCs w:val="24"/>
          <w:vertAlign w:val="subscript"/>
        </w:rPr>
        <w:t>2</w:t>
      </w:r>
      <w:r>
        <w:rPr>
          <w:rFonts w:eastAsia="TimesNewRoman"/>
          <w:noProof/>
          <w:szCs w:val="24"/>
        </w:rPr>
        <w:t xml:space="preserve"> emissions between 2010 and 2030 is th</w:t>
      </w:r>
      <w:r>
        <w:rPr>
          <w:rFonts w:eastAsia="TimesNewRoman"/>
          <w:noProof/>
          <w:szCs w:val="24"/>
        </w:rPr>
        <w:t>e result of transport activity growth (+30%, equivalent to 75 Mt of CO</w:t>
      </w:r>
      <w:r>
        <w:rPr>
          <w:rFonts w:eastAsia="TimesNewRoman"/>
          <w:noProof/>
          <w:szCs w:val="24"/>
          <w:vertAlign w:val="subscript"/>
        </w:rPr>
        <w:t>2</w:t>
      </w:r>
      <w:r>
        <w:rPr>
          <w:rFonts w:eastAsia="TimesNewRoman"/>
          <w:noProof/>
          <w:szCs w:val="24"/>
        </w:rPr>
        <w:t>), improvements in energy intensity (-20%, equivalent to 49 Mt of CO</w:t>
      </w:r>
      <w:r>
        <w:rPr>
          <w:rFonts w:eastAsia="TimesNewRoman"/>
          <w:noProof/>
          <w:szCs w:val="24"/>
          <w:vertAlign w:val="subscript"/>
        </w:rPr>
        <w:t>2</w:t>
      </w:r>
      <w:r>
        <w:rPr>
          <w:rFonts w:eastAsia="TimesNewRoman"/>
          <w:noProof/>
          <w:szCs w:val="24"/>
        </w:rPr>
        <w:t>) and in carbon intensity (-5%, equivalent to 13 Mt of CO</w:t>
      </w:r>
      <w:r>
        <w:rPr>
          <w:rFonts w:eastAsia="TimesNewRoman"/>
          <w:noProof/>
          <w:szCs w:val="24"/>
          <w:vertAlign w:val="subscript"/>
        </w:rPr>
        <w:t>2</w:t>
      </w:r>
      <w:r>
        <w:rPr>
          <w:rFonts w:eastAsia="TimesNewRoman"/>
          <w:noProof/>
          <w:szCs w:val="24"/>
        </w:rPr>
        <w:t>). The efficiency gains and the uptake of alternative fuel</w:t>
      </w:r>
      <w:r>
        <w:rPr>
          <w:rFonts w:eastAsia="TimesNewRoman"/>
          <w:noProof/>
          <w:szCs w:val="24"/>
        </w:rPr>
        <w:t>s for road freight transport are not sufficient to offset the effects of activity growth, and thus CO</w:t>
      </w:r>
      <w:r>
        <w:rPr>
          <w:rFonts w:eastAsia="TimesNewRoman"/>
          <w:noProof/>
          <w:szCs w:val="24"/>
          <w:vertAlign w:val="subscript"/>
        </w:rPr>
        <w:t>2</w:t>
      </w:r>
      <w:r>
        <w:rPr>
          <w:rFonts w:eastAsia="TimesNewRoman"/>
          <w:noProof/>
          <w:szCs w:val="24"/>
        </w:rPr>
        <w:t xml:space="preserve"> emissions go up between 2010 and 2030. The electrification in rail has positive effects on emissions, despite the growth in traffic volumes. For inland n</w:t>
      </w:r>
      <w:r>
        <w:rPr>
          <w:rFonts w:eastAsia="TimesNewRoman"/>
          <w:noProof/>
          <w:szCs w:val="24"/>
        </w:rPr>
        <w:t xml:space="preserve">avigation, efficiency gains and to some lower extent the uptake of LNG has also positive effects on emissions reduction. </w:t>
      </w:r>
    </w:p>
    <w:p w:rsidR="00B231CB" w:rsidRDefault="00C71431">
      <w:pPr>
        <w:rPr>
          <w:noProof/>
        </w:rPr>
      </w:pPr>
      <w:r>
        <w:rPr>
          <w:b/>
          <w:noProof/>
        </w:rPr>
        <w:t>NOx emissions</w:t>
      </w:r>
      <w:r>
        <w:rPr>
          <w:noProof/>
        </w:rPr>
        <w:t xml:space="preserve"> would drop by about 56% by 2030 (64% by 2050) with respect to 2010 levels. The decline in </w:t>
      </w:r>
      <w:r>
        <w:rPr>
          <w:b/>
          <w:noProof/>
        </w:rPr>
        <w:t>particulate matter</w:t>
      </w:r>
      <w:r>
        <w:rPr>
          <w:noProof/>
        </w:rPr>
        <w:t xml:space="preserve"> (PM2.5) wou</w:t>
      </w:r>
      <w:r>
        <w:rPr>
          <w:noProof/>
        </w:rPr>
        <w:t xml:space="preserve">ld be less pronounced by 2030 at 51% (65% by 2050). By 2030, over 75% of heavy goods vehicle stock is projected to be Euro VI in the Baseline scenario and more than 80% of the passenger cars stock is projected to be Euro 6. Overall, external costs related </w:t>
      </w:r>
      <w:r>
        <w:rPr>
          <w:noProof/>
        </w:rPr>
        <w:t>to air pollutants would decrease by about 56% by 2030 (65% by 2050).</w:t>
      </w:r>
      <w:r>
        <w:rPr>
          <w:rStyle w:val="FootnoteReference"/>
          <w:noProof/>
        </w:rPr>
        <w:footnoteReference w:id="44"/>
      </w:r>
      <w:r>
        <w:rPr>
          <w:noProof/>
        </w:rPr>
        <w:t xml:space="preserve"> </w:t>
      </w:r>
    </w:p>
    <w:p w:rsidR="00B231CB" w:rsidRDefault="00C71431">
      <w:pPr>
        <w:rPr>
          <w:noProof/>
        </w:rPr>
      </w:pPr>
      <w:r>
        <w:rPr>
          <w:b/>
          <w:noProof/>
        </w:rPr>
        <w:t>Noise related external costs</w:t>
      </w:r>
      <w:r>
        <w:rPr>
          <w:noProof/>
        </w:rPr>
        <w:t xml:space="preserve"> of transport would continue to increase, by about 17% during 2010-2030 (24% for 2010-2050), driven by the rise in traffic. Thanks to policies in place, exte</w:t>
      </w:r>
      <w:r>
        <w:rPr>
          <w:noProof/>
        </w:rPr>
        <w:t xml:space="preserve">rnal </w:t>
      </w:r>
      <w:r>
        <w:rPr>
          <w:b/>
          <w:noProof/>
        </w:rPr>
        <w:t>costs of accidents</w:t>
      </w:r>
      <w:r>
        <w:rPr>
          <w:noProof/>
        </w:rPr>
        <w:t xml:space="preserve"> are projected to go down by about 46% by 2030 (-42% for 2010-2050) – but still remain high at over €100 billion in 2050. Overall, external costs</w:t>
      </w:r>
      <w:r>
        <w:rPr>
          <w:rStyle w:val="FootnoteReference"/>
          <w:noProof/>
        </w:rPr>
        <w:footnoteReference w:id="45"/>
      </w:r>
      <w:r>
        <w:rPr>
          <w:noProof/>
        </w:rPr>
        <w:t xml:space="preserve"> are projected to decrease by about 10% by 2030 and to increase post-2030; by 2050 they</w:t>
      </w:r>
      <w:r>
        <w:rPr>
          <w:noProof/>
        </w:rPr>
        <w:t xml:space="preserve"> stabilise around levels observed in 2010.</w:t>
      </w:r>
    </w:p>
    <w:p w:rsidR="00B231CB" w:rsidRDefault="00C71431">
      <w:pPr>
        <w:pStyle w:val="Caption"/>
        <w:keepNext/>
        <w:rPr>
          <w:noProof/>
          <w:szCs w:val="24"/>
        </w:rPr>
      </w:pPr>
      <w:bookmarkStart w:id="58" w:name="_Toc456532390"/>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szCs w:val="24"/>
        </w:rPr>
        <w:t>: Decomposition of CO</w:t>
      </w:r>
      <w:r>
        <w:rPr>
          <w:noProof/>
          <w:szCs w:val="24"/>
          <w:vertAlign w:val="subscript"/>
        </w:rPr>
        <w:t>2</w:t>
      </w:r>
      <w:r>
        <w:rPr>
          <w:noProof/>
          <w:szCs w:val="24"/>
        </w:rPr>
        <w:t xml:space="preserve"> emissions in the Baseline scenario (2010-2030)</w:t>
      </w:r>
      <w:bookmarkEnd w:id="58"/>
    </w:p>
    <w:p w:rsidR="00B231CB" w:rsidRDefault="00C71431">
      <w:pPr>
        <w:spacing w:after="0"/>
        <w:jc w:val="center"/>
        <w:rPr>
          <w:noProof/>
          <w:lang w:val="x-none"/>
        </w:rPr>
      </w:pPr>
      <w:r>
        <w:rPr>
          <w:noProof/>
          <w:lang w:eastAsia="en-GB"/>
        </w:rPr>
        <w:drawing>
          <wp:inline distT="0" distB="0" distL="0" distR="0" wp14:anchorId="0FEDA992" wp14:editId="2B8F123E">
            <wp:extent cx="5029200" cy="3179677"/>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179677"/>
                    </a:xfrm>
                    <a:prstGeom prst="rect">
                      <a:avLst/>
                    </a:prstGeom>
                    <a:noFill/>
                    <a:ln>
                      <a:noFill/>
                    </a:ln>
                  </pic:spPr>
                </pic:pic>
              </a:graphicData>
            </a:graphic>
          </wp:inline>
        </w:drawing>
      </w:r>
    </w:p>
    <w:p w:rsidR="00B231CB" w:rsidRDefault="00C71431">
      <w:pPr>
        <w:spacing w:after="0"/>
        <w:jc w:val="center"/>
        <w:rPr>
          <w:noProof/>
        </w:rPr>
      </w:pPr>
      <w:r>
        <w:rPr>
          <w:noProof/>
          <w:lang w:eastAsia="en-GB"/>
        </w:rPr>
        <w:drawing>
          <wp:inline distT="0" distB="0" distL="0" distR="0" wp14:anchorId="2ABBA3F3" wp14:editId="7B8D696E">
            <wp:extent cx="5029200" cy="317654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176547"/>
                    </a:xfrm>
                    <a:prstGeom prst="rect">
                      <a:avLst/>
                    </a:prstGeom>
                    <a:noFill/>
                    <a:ln>
                      <a:noFill/>
                    </a:ln>
                  </pic:spPr>
                </pic:pic>
              </a:graphicData>
            </a:graphic>
          </wp:inline>
        </w:drawing>
      </w:r>
    </w:p>
    <w:p w:rsidR="00B231CB" w:rsidRDefault="00C71431">
      <w:pPr>
        <w:keepNext/>
        <w:keepLines/>
        <w:autoSpaceDE w:val="0"/>
        <w:autoSpaceDN w:val="0"/>
        <w:adjustRightInd w:val="0"/>
        <w:spacing w:after="120"/>
        <w:rPr>
          <w:i/>
          <w:noProof/>
          <w:sz w:val="20"/>
        </w:rPr>
      </w:pPr>
      <w:r>
        <w:rPr>
          <w:i/>
          <w:noProof/>
          <w:sz w:val="20"/>
        </w:rPr>
        <w:t>Source: EC elaboration based on the Baseline scenario, PRIMES-TREMOVE transport model (ICCS-E3MLab)</w:t>
      </w:r>
    </w:p>
    <w:p w:rsidR="00B231CB" w:rsidRDefault="00C71431">
      <w:pPr>
        <w:autoSpaceDE w:val="0"/>
        <w:autoSpaceDN w:val="0"/>
        <w:adjustRightInd w:val="0"/>
        <w:spacing w:after="0"/>
        <w:rPr>
          <w:rFonts w:eastAsia="TimesNewRoman"/>
          <w:noProof/>
          <w:sz w:val="20"/>
        </w:rPr>
      </w:pPr>
      <w:r>
        <w:rPr>
          <w:rFonts w:eastAsia="TimesNewRoman"/>
          <w:noProof/>
          <w:sz w:val="20"/>
        </w:rPr>
        <w:t xml:space="preserve">Note: </w:t>
      </w:r>
      <w:r>
        <w:rPr>
          <w:rFonts w:eastAsia="TimesNewRoman"/>
          <w:noProof/>
          <w:sz w:val="20"/>
        </w:rPr>
        <w:t>The figures report the changes in CO</w:t>
      </w:r>
      <w:r>
        <w:rPr>
          <w:rFonts w:eastAsia="TimesNewRoman"/>
          <w:noProof/>
          <w:sz w:val="20"/>
          <w:vertAlign w:val="subscript"/>
        </w:rPr>
        <w:t>2</w:t>
      </w:r>
      <w:r>
        <w:rPr>
          <w:rFonts w:eastAsia="TimesNewRoman"/>
          <w:noProof/>
          <w:sz w:val="20"/>
        </w:rPr>
        <w:t xml:space="preserve"> emissions due to the three broad components (transport activity levels, energy intensity of transport and carbon intensity of the energy used) in two ways: in levels and in relative terms compared to 2010. The size of </w:t>
      </w:r>
      <w:r>
        <w:rPr>
          <w:rFonts w:eastAsia="TimesNewRoman"/>
          <w:noProof/>
          <w:sz w:val="20"/>
        </w:rPr>
        <w:t>each column bar, read on the left axis, represents the change in terms of CO</w:t>
      </w:r>
      <w:r>
        <w:rPr>
          <w:rFonts w:eastAsia="TimesNewRoman"/>
          <w:noProof/>
          <w:sz w:val="20"/>
          <w:vertAlign w:val="subscript"/>
        </w:rPr>
        <w:t>2</w:t>
      </w:r>
      <w:r>
        <w:rPr>
          <w:rFonts w:eastAsia="TimesNewRoman"/>
          <w:noProof/>
          <w:sz w:val="20"/>
        </w:rPr>
        <w:t xml:space="preserve"> emissions compared to 2010, expressed in Mt of CO</w:t>
      </w:r>
      <w:r>
        <w:rPr>
          <w:rFonts w:eastAsia="TimesNewRoman"/>
          <w:noProof/>
          <w:sz w:val="20"/>
          <w:vertAlign w:val="subscript"/>
        </w:rPr>
        <w:t>2</w:t>
      </w:r>
      <w:r>
        <w:rPr>
          <w:rFonts w:eastAsia="TimesNewRoman"/>
          <w:noProof/>
          <w:sz w:val="20"/>
        </w:rPr>
        <w:t>. The percentage changes reported above the column bars represent relative changes in these emissions compared to their respecti</w:t>
      </w:r>
      <w:r>
        <w:rPr>
          <w:rFonts w:eastAsia="TimesNewRoman"/>
          <w:noProof/>
          <w:sz w:val="20"/>
        </w:rPr>
        <w:t>ve 2010 levels. Provided that CO</w:t>
      </w:r>
      <w:r>
        <w:rPr>
          <w:rFonts w:eastAsia="TimesNewRoman"/>
          <w:noProof/>
          <w:sz w:val="20"/>
          <w:vertAlign w:val="subscript"/>
        </w:rPr>
        <w:t>2</w:t>
      </w:r>
      <w:r>
        <w:rPr>
          <w:rFonts w:eastAsia="TimesNewRoman"/>
          <w:noProof/>
          <w:sz w:val="20"/>
        </w:rPr>
        <w:t xml:space="preserve"> levels for 2010 corresponding to each transport mode are not comparable in size, the percentage changes reported in the figures are not directly comparable. The figures above include only tank to wheel emissions.</w:t>
      </w:r>
    </w:p>
    <w:bookmarkEnd w:id="40"/>
    <w:bookmarkEnd w:id="41"/>
    <w:p w:rsidR="00B231CB" w:rsidRDefault="00C71431">
      <w:pPr>
        <w:spacing w:after="200" w:line="276" w:lineRule="auto"/>
        <w:jc w:val="left"/>
        <w:rPr>
          <w:noProof/>
          <w:lang w:eastAsia="en-GB"/>
        </w:rPr>
      </w:pPr>
      <w:r>
        <w:rPr>
          <w:noProof/>
          <w:lang w:eastAsia="en-GB"/>
        </w:rPr>
        <w:br w:type="page"/>
      </w:r>
    </w:p>
    <w:p w:rsidR="00B231CB" w:rsidRDefault="00C71431">
      <w:pPr>
        <w:pStyle w:val="Heading2"/>
        <w:rPr>
          <w:noProof/>
        </w:rPr>
      </w:pPr>
      <w:bookmarkStart w:id="59" w:name="_Toc494106520"/>
      <w:bookmarkStart w:id="60" w:name="_Toc494106521"/>
      <w:bookmarkStart w:id="61" w:name="_Toc492541582"/>
      <w:bookmarkStart w:id="62" w:name="_Toc496688629"/>
      <w:bookmarkEnd w:id="59"/>
      <w:bookmarkEnd w:id="60"/>
      <w:r>
        <w:rPr>
          <w:noProof/>
        </w:rPr>
        <w:t>Consist</w:t>
      </w:r>
      <w:r>
        <w:rPr>
          <w:noProof/>
        </w:rPr>
        <w:t>ency with previous analytical work</w:t>
      </w:r>
      <w:bookmarkEnd w:id="61"/>
      <w:bookmarkEnd w:id="62"/>
    </w:p>
    <w:p w:rsidR="00B231CB" w:rsidRDefault="00C71431">
      <w:pPr>
        <w:spacing w:after="120"/>
        <w:rPr>
          <w:noProof/>
          <w:szCs w:val="24"/>
        </w:rPr>
      </w:pPr>
      <w:r>
        <w:rPr>
          <w:noProof/>
          <w:szCs w:val="24"/>
        </w:rPr>
        <w:t>A consistency check was performed between the policy scenarios used for this impact assessment and the "</w:t>
      </w:r>
      <w:r>
        <w:rPr>
          <w:i/>
          <w:noProof/>
          <w:szCs w:val="24"/>
        </w:rPr>
        <w:t>EUCO30</w:t>
      </w:r>
      <w:r>
        <w:rPr>
          <w:noProof/>
          <w:szCs w:val="24"/>
        </w:rPr>
        <w:t>" scenario</w:t>
      </w:r>
      <w:r>
        <w:rPr>
          <w:rStyle w:val="FootnoteReference"/>
          <w:noProof/>
          <w:szCs w:val="24"/>
        </w:rPr>
        <w:footnoteReference w:id="46"/>
      </w:r>
      <w:r>
        <w:rPr>
          <w:noProof/>
          <w:szCs w:val="24"/>
        </w:rPr>
        <w:t>, which is underlying several Commission climate, energy and transport policy proposals adopted in 2</w:t>
      </w:r>
      <w:r>
        <w:rPr>
          <w:noProof/>
          <w:szCs w:val="24"/>
        </w:rPr>
        <w:t>016. This scenario corresponds in particular with the achievement of the EU-wide 2030 targets regarding greenhouse gas emissions in the ESR sectors and regarding final energy demand.</w:t>
      </w:r>
    </w:p>
    <w:p w:rsidR="00B231CB" w:rsidRDefault="00C71431">
      <w:pPr>
        <w:spacing w:after="120"/>
        <w:rPr>
          <w:noProof/>
        </w:rPr>
      </w:pPr>
      <w:r>
        <w:rPr>
          <w:noProof/>
          <w:szCs w:val="24"/>
        </w:rPr>
        <w:t>In addition to the LDV related policies, a number of broader, transport a</w:t>
      </w:r>
      <w:r>
        <w:rPr>
          <w:noProof/>
          <w:szCs w:val="24"/>
        </w:rPr>
        <w:t>nd fuel related policies</w:t>
      </w:r>
      <w:bookmarkStart w:id="63" w:name="_Ref496024032"/>
      <w:r>
        <w:rPr>
          <w:rStyle w:val="FootnoteReference"/>
          <w:noProof/>
          <w:szCs w:val="24"/>
        </w:rPr>
        <w:footnoteReference w:id="47"/>
      </w:r>
      <w:bookmarkEnd w:id="63"/>
      <w:r>
        <w:rPr>
          <w:noProof/>
          <w:szCs w:val="24"/>
        </w:rPr>
        <w:t xml:space="preserve"> were accounted for in order to allow a direct comparison of the results</w:t>
      </w:r>
      <w:r>
        <w:rPr>
          <w:i/>
          <w:noProof/>
          <w:szCs w:val="24"/>
        </w:rPr>
        <w:t xml:space="preserve">. </w:t>
      </w:r>
    </w:p>
    <w:p w:rsidR="00B231CB" w:rsidRDefault="00C71431">
      <w:pPr>
        <w:spacing w:after="120"/>
        <w:rPr>
          <w:noProof/>
          <w:color w:val="000000" w:themeColor="text1"/>
          <w:szCs w:val="24"/>
        </w:rPr>
      </w:pPr>
      <w:r>
        <w:rPr>
          <w:noProof/>
          <w:color w:val="000000" w:themeColor="text1"/>
          <w:szCs w:val="24"/>
        </w:rPr>
        <w:t xml:space="preserve">The tables below show a comparison between the </w:t>
      </w:r>
      <w:r>
        <w:rPr>
          <w:i/>
          <w:noProof/>
          <w:color w:val="000000" w:themeColor="text1"/>
          <w:szCs w:val="24"/>
        </w:rPr>
        <w:t>EUCO30</w:t>
      </w:r>
      <w:r>
        <w:rPr>
          <w:noProof/>
          <w:color w:val="000000" w:themeColor="text1"/>
          <w:szCs w:val="24"/>
        </w:rPr>
        <w:t xml:space="preserve"> scenario, and a scenario where the fleet wide targets for cars and vans are set at the levels of TLC30 and TLV25 (referred to as TL30c/25v).</w:t>
      </w:r>
      <w:r>
        <w:rPr>
          <w:rStyle w:val="FootnoteReference"/>
          <w:noProof/>
          <w:color w:val="000000" w:themeColor="text1"/>
          <w:szCs w:val="24"/>
        </w:rPr>
        <w:footnoteReference w:id="48"/>
      </w:r>
    </w:p>
    <w:p w:rsidR="00B231CB" w:rsidRDefault="00C71431">
      <w:pPr>
        <w:spacing w:after="120"/>
        <w:rPr>
          <w:noProof/>
          <w:color w:val="000000" w:themeColor="text1"/>
          <w:szCs w:val="24"/>
        </w:rPr>
      </w:pPr>
      <w:r>
        <w:rPr>
          <w:noProof/>
          <w:color w:val="000000" w:themeColor="text1"/>
          <w:szCs w:val="24"/>
        </w:rPr>
        <w:t>As the TL30c/25v scenario used for this impact assessment focuses on the LDV related policies, of the aforementio</w:t>
      </w:r>
      <w:r>
        <w:rPr>
          <w:noProof/>
          <w:color w:val="000000" w:themeColor="text1"/>
          <w:szCs w:val="24"/>
        </w:rPr>
        <w:t>ned broader, transport and fuel related policies</w:t>
      </w:r>
      <w:r>
        <w:rPr>
          <w:rStyle w:val="FootnoteReference"/>
          <w:noProof/>
          <w:color w:val="000000" w:themeColor="text1"/>
          <w:szCs w:val="24"/>
        </w:rPr>
        <w:fldChar w:fldCharType="begin"/>
      </w:r>
      <w:r>
        <w:rPr>
          <w:noProof/>
          <w:color w:val="000000" w:themeColor="text1"/>
          <w:szCs w:val="24"/>
          <w:vertAlign w:val="superscript"/>
        </w:rPr>
        <w:instrText xml:space="preserve"> NOTEREF _Ref496024032 \h </w:instrText>
      </w:r>
      <w:r>
        <w:rPr>
          <w:rStyle w:val="FootnoteReference"/>
          <w:noProof/>
          <w:color w:val="000000" w:themeColor="text1"/>
          <w:szCs w:val="24"/>
        </w:rPr>
        <w:instrText xml:space="preserve"> \* MERGEFORMAT </w:instrText>
      </w:r>
      <w:r>
        <w:rPr>
          <w:rStyle w:val="FootnoteReference"/>
          <w:noProof/>
          <w:color w:val="000000" w:themeColor="text1"/>
          <w:szCs w:val="24"/>
        </w:rPr>
      </w:r>
      <w:r>
        <w:rPr>
          <w:rStyle w:val="FootnoteReference"/>
          <w:noProof/>
          <w:color w:val="000000" w:themeColor="text1"/>
          <w:szCs w:val="24"/>
        </w:rPr>
        <w:fldChar w:fldCharType="separate"/>
      </w:r>
      <w:r>
        <w:rPr>
          <w:noProof/>
          <w:color w:val="000000" w:themeColor="text1"/>
          <w:szCs w:val="24"/>
          <w:vertAlign w:val="superscript"/>
        </w:rPr>
        <w:t>47</w:t>
      </w:r>
      <w:r>
        <w:rPr>
          <w:rStyle w:val="FootnoteReference"/>
          <w:noProof/>
          <w:color w:val="000000" w:themeColor="text1"/>
          <w:szCs w:val="24"/>
        </w:rPr>
        <w:fldChar w:fldCharType="end"/>
      </w:r>
      <w:r>
        <w:rPr>
          <w:noProof/>
          <w:color w:val="000000" w:themeColor="text1"/>
          <w:szCs w:val="24"/>
        </w:rPr>
        <w:t xml:space="preserve"> had to be accounted for in order to allow a direct comparison of the PRIMES-TREMOVE outputs wit</w:t>
      </w:r>
      <w:r>
        <w:rPr>
          <w:noProof/>
          <w:color w:val="000000" w:themeColor="text1"/>
          <w:szCs w:val="24"/>
        </w:rPr>
        <w:t xml:space="preserve">h those of </w:t>
      </w:r>
      <w:r>
        <w:rPr>
          <w:i/>
          <w:noProof/>
          <w:color w:val="000000" w:themeColor="text1"/>
          <w:szCs w:val="24"/>
        </w:rPr>
        <w:t xml:space="preserve">EUCO30. </w:t>
      </w:r>
      <w:r>
        <w:rPr>
          <w:noProof/>
          <w:color w:val="000000" w:themeColor="text1"/>
          <w:szCs w:val="24"/>
        </w:rPr>
        <w:t>This is what is referred to below as the " TL30c/25v+" scenario.</w:t>
      </w:r>
    </w:p>
    <w:p w:rsidR="00B231CB" w:rsidRDefault="00C71431">
      <w:pPr>
        <w:spacing w:after="120"/>
        <w:rPr>
          <w:noProof/>
          <w:color w:val="000000" w:themeColor="text1"/>
          <w:szCs w:val="24"/>
        </w:rPr>
      </w:pPr>
      <w:r>
        <w:rPr>
          <w:noProof/>
          <w:color w:val="000000" w:themeColor="text1"/>
          <w:szCs w:val="24"/>
        </w:rPr>
        <w:fldChar w:fldCharType="begin"/>
      </w:r>
      <w:r>
        <w:rPr>
          <w:noProof/>
          <w:color w:val="000000" w:themeColor="text1"/>
          <w:szCs w:val="24"/>
        </w:rPr>
        <w:instrText xml:space="preserve"> REF _Ref495077620 \h </w:instrText>
      </w:r>
      <w:r>
        <w:rPr>
          <w:noProof/>
          <w:color w:val="000000" w:themeColor="text1"/>
          <w:szCs w:val="24"/>
        </w:rPr>
      </w:r>
      <w:r>
        <w:rPr>
          <w:noProof/>
          <w:color w:val="000000" w:themeColor="text1"/>
          <w:szCs w:val="24"/>
        </w:rPr>
        <w:fldChar w:fldCharType="separate"/>
      </w:r>
      <w:r>
        <w:rPr>
          <w:noProof/>
        </w:rPr>
        <w:t>Table 3</w:t>
      </w:r>
      <w:r>
        <w:rPr>
          <w:noProof/>
          <w:color w:val="000000" w:themeColor="text1"/>
          <w:szCs w:val="24"/>
        </w:rPr>
        <w:fldChar w:fldCharType="end"/>
      </w:r>
      <w:r>
        <w:rPr>
          <w:noProof/>
          <w:color w:val="000000" w:themeColor="text1"/>
          <w:szCs w:val="24"/>
        </w:rPr>
        <w:t xml:space="preserve"> provides a comparison of emissions from the sectors covered by the ESR for </w:t>
      </w:r>
      <w:r>
        <w:rPr>
          <w:noProof/>
          <w:color w:val="000000" w:themeColor="text1"/>
          <w:szCs w:val="24"/>
        </w:rPr>
        <w:t>those scenarios, under the assumption that changes in emissions only occur in the transport sector (emission levels remaining the same in all other ESR sectors).</w:t>
      </w:r>
    </w:p>
    <w:p w:rsidR="00B231CB" w:rsidRDefault="00C71431">
      <w:pPr>
        <w:pStyle w:val="Caption"/>
        <w:keepNext/>
        <w:rPr>
          <w:noProof/>
          <w:color w:val="000000" w:themeColor="text1"/>
        </w:rPr>
      </w:pPr>
      <w:bookmarkStart w:id="64" w:name="_Ref495077620"/>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64"/>
      <w:r>
        <w:rPr>
          <w:noProof/>
        </w:rPr>
        <w:t xml:space="preserve">: </w:t>
      </w:r>
      <w:r>
        <w:rPr>
          <w:noProof/>
          <w:color w:val="000000" w:themeColor="text1"/>
        </w:rPr>
        <w:t>Comparison of ESR emissions (Mt CO</w:t>
      </w:r>
      <w:r>
        <w:rPr>
          <w:noProof/>
          <w:color w:val="000000" w:themeColor="text1"/>
          <w:vertAlign w:val="subscript"/>
        </w:rPr>
        <w:t>2</w:t>
      </w:r>
      <w:r>
        <w:rPr>
          <w:noProof/>
          <w:color w:val="000000" w:themeColor="text1"/>
        </w:rPr>
        <w:t>) across scenarios</w:t>
      </w:r>
    </w:p>
    <w:tbl>
      <w:tblPr>
        <w:tblStyle w:val="TableGrid1"/>
        <w:tblW w:w="5000" w:type="pct"/>
        <w:tblBorders>
          <w:top w:val="single" w:sz="2" w:space="0" w:color="0055A0"/>
          <w:left w:val="single" w:sz="2" w:space="0" w:color="0055A0"/>
          <w:bottom w:val="single" w:sz="2" w:space="0" w:color="0055A0"/>
          <w:right w:val="single" w:sz="2" w:space="0" w:color="0055A0"/>
          <w:insideH w:val="single" w:sz="2" w:space="0" w:color="0055A0"/>
          <w:insideV w:val="single" w:sz="2" w:space="0" w:color="0055A0"/>
        </w:tblBorders>
        <w:tblLook w:val="04A0" w:firstRow="1" w:lastRow="0" w:firstColumn="1" w:lastColumn="0" w:noHBand="0" w:noVBand="1"/>
      </w:tblPr>
      <w:tblGrid>
        <w:gridCol w:w="2851"/>
        <w:gridCol w:w="1475"/>
        <w:gridCol w:w="1650"/>
        <w:gridCol w:w="1655"/>
        <w:gridCol w:w="1657"/>
      </w:tblGrid>
      <w:tr w:rsidR="00B231CB">
        <w:trPr>
          <w:cantSplit/>
          <w:trHeight w:val="330"/>
          <w:tblHeader/>
        </w:trPr>
        <w:tc>
          <w:tcPr>
            <w:tcW w:w="1535" w:type="pct"/>
            <w:shd w:val="clear" w:color="auto" w:fill="auto"/>
            <w:noWrap/>
            <w:hideMark/>
          </w:tcPr>
          <w:p w:rsidR="00B231CB" w:rsidRDefault="00C71431">
            <w:pPr>
              <w:spacing w:after="0"/>
              <w:rPr>
                <w:noProof/>
                <w:color w:val="000000" w:themeColor="text1"/>
              </w:rPr>
            </w:pPr>
            <w:r>
              <w:rPr>
                <w:noProof/>
                <w:color w:val="000000" w:themeColor="text1"/>
              </w:rPr>
              <w:t> </w:t>
            </w:r>
          </w:p>
        </w:tc>
        <w:tc>
          <w:tcPr>
            <w:tcW w:w="794" w:type="pct"/>
            <w:shd w:val="clear" w:color="auto" w:fill="auto"/>
            <w:noWrap/>
            <w:hideMark/>
          </w:tcPr>
          <w:p w:rsidR="00B231CB" w:rsidRDefault="00C71431">
            <w:pPr>
              <w:spacing w:after="0"/>
              <w:jc w:val="center"/>
              <w:rPr>
                <w:bCs/>
                <w:noProof/>
                <w:color w:val="000000" w:themeColor="text1"/>
              </w:rPr>
            </w:pPr>
            <w:r>
              <w:rPr>
                <w:bCs/>
                <w:noProof/>
                <w:color w:val="000000" w:themeColor="text1"/>
              </w:rPr>
              <w:t>2005</w:t>
            </w:r>
          </w:p>
        </w:tc>
        <w:tc>
          <w:tcPr>
            <w:tcW w:w="2671" w:type="pct"/>
            <w:gridSpan w:val="3"/>
            <w:shd w:val="clear" w:color="auto" w:fill="auto"/>
            <w:noWrap/>
            <w:hideMark/>
          </w:tcPr>
          <w:p w:rsidR="00B231CB" w:rsidRDefault="00C71431">
            <w:pPr>
              <w:spacing w:after="0"/>
              <w:jc w:val="center"/>
              <w:rPr>
                <w:bCs/>
                <w:noProof/>
                <w:color w:val="000000" w:themeColor="text1"/>
              </w:rPr>
            </w:pPr>
            <w:r>
              <w:rPr>
                <w:bCs/>
                <w:noProof/>
                <w:color w:val="000000" w:themeColor="text1"/>
              </w:rPr>
              <w:t>2030</w:t>
            </w:r>
          </w:p>
        </w:tc>
      </w:tr>
      <w:tr w:rsidR="00B231CB">
        <w:trPr>
          <w:cantSplit/>
          <w:trHeight w:val="330"/>
          <w:tblHeader/>
        </w:trPr>
        <w:tc>
          <w:tcPr>
            <w:tcW w:w="1535" w:type="pct"/>
            <w:shd w:val="clear" w:color="auto" w:fill="auto"/>
            <w:noWrap/>
            <w:hideMark/>
          </w:tcPr>
          <w:p w:rsidR="00B231CB" w:rsidRDefault="00C71431">
            <w:pPr>
              <w:spacing w:after="0"/>
              <w:jc w:val="right"/>
              <w:rPr>
                <w:bCs/>
                <w:noProof/>
                <w:color w:val="000000" w:themeColor="text1"/>
              </w:rPr>
            </w:pPr>
            <w:r>
              <w:rPr>
                <w:bCs/>
                <w:noProof/>
                <w:color w:val="000000" w:themeColor="text1"/>
              </w:rPr>
              <w:t> </w:t>
            </w:r>
          </w:p>
        </w:tc>
        <w:tc>
          <w:tcPr>
            <w:tcW w:w="794" w:type="pct"/>
            <w:shd w:val="clear" w:color="auto" w:fill="auto"/>
            <w:noWrap/>
            <w:hideMark/>
          </w:tcPr>
          <w:p w:rsidR="00B231CB" w:rsidRDefault="00C71431">
            <w:pPr>
              <w:spacing w:after="0"/>
              <w:rPr>
                <w:noProof/>
                <w:color w:val="000000" w:themeColor="text1"/>
              </w:rPr>
            </w:pPr>
            <w:r>
              <w:rPr>
                <w:noProof/>
                <w:color w:val="000000" w:themeColor="text1"/>
              </w:rPr>
              <w:t> </w:t>
            </w:r>
          </w:p>
        </w:tc>
        <w:tc>
          <w:tcPr>
            <w:tcW w:w="888" w:type="pct"/>
            <w:shd w:val="clear" w:color="auto" w:fill="auto"/>
            <w:noWrap/>
            <w:hideMark/>
          </w:tcPr>
          <w:p w:rsidR="00B231CB" w:rsidRDefault="00C71431">
            <w:pPr>
              <w:spacing w:after="0"/>
              <w:jc w:val="center"/>
              <w:rPr>
                <w:bCs/>
                <w:i/>
                <w:noProof/>
                <w:color w:val="000000" w:themeColor="text1"/>
              </w:rPr>
            </w:pPr>
            <w:r>
              <w:rPr>
                <w:bCs/>
                <w:i/>
                <w:noProof/>
                <w:color w:val="000000" w:themeColor="text1"/>
              </w:rPr>
              <w:t>EUCO30</w:t>
            </w:r>
          </w:p>
        </w:tc>
        <w:tc>
          <w:tcPr>
            <w:tcW w:w="891" w:type="pct"/>
            <w:shd w:val="clear" w:color="auto" w:fill="auto"/>
            <w:noWrap/>
            <w:hideMark/>
          </w:tcPr>
          <w:p w:rsidR="00B231CB" w:rsidRDefault="00C71431">
            <w:pPr>
              <w:spacing w:after="0"/>
              <w:jc w:val="center"/>
              <w:rPr>
                <w:bCs/>
                <w:i/>
                <w:noProof/>
                <w:color w:val="000000" w:themeColor="text1"/>
              </w:rPr>
            </w:pPr>
            <w:r>
              <w:rPr>
                <w:noProof/>
                <w:color w:val="000000" w:themeColor="text1"/>
                <w:szCs w:val="24"/>
              </w:rPr>
              <w:t>TL30c/25v</w:t>
            </w:r>
          </w:p>
        </w:tc>
        <w:tc>
          <w:tcPr>
            <w:tcW w:w="891" w:type="pct"/>
            <w:shd w:val="clear" w:color="auto" w:fill="auto"/>
            <w:noWrap/>
            <w:hideMark/>
          </w:tcPr>
          <w:p w:rsidR="00B231CB" w:rsidRDefault="00C71431">
            <w:pPr>
              <w:spacing w:after="0"/>
              <w:jc w:val="center"/>
              <w:rPr>
                <w:bCs/>
                <w:i/>
                <w:noProof/>
                <w:color w:val="000000" w:themeColor="text1"/>
              </w:rPr>
            </w:pPr>
            <w:r>
              <w:rPr>
                <w:noProof/>
                <w:color w:val="000000" w:themeColor="text1"/>
                <w:szCs w:val="24"/>
              </w:rPr>
              <w:t>TL30c/25v</w:t>
            </w:r>
            <w:r>
              <w:rPr>
                <w:bCs/>
                <w:i/>
                <w:noProof/>
                <w:color w:val="000000" w:themeColor="text1"/>
              </w:rPr>
              <w:t>+</w:t>
            </w:r>
          </w:p>
        </w:tc>
      </w:tr>
      <w:tr w:rsidR="00B231CB">
        <w:trPr>
          <w:trHeight w:val="315"/>
        </w:trPr>
        <w:tc>
          <w:tcPr>
            <w:tcW w:w="1535" w:type="pct"/>
            <w:shd w:val="clear" w:color="auto" w:fill="auto"/>
            <w:noWrap/>
            <w:hideMark/>
          </w:tcPr>
          <w:p w:rsidR="00B231CB" w:rsidRDefault="00C71431">
            <w:pPr>
              <w:spacing w:after="0"/>
              <w:jc w:val="left"/>
              <w:rPr>
                <w:bCs/>
                <w:noProof/>
                <w:color w:val="000000" w:themeColor="text1"/>
              </w:rPr>
            </w:pPr>
            <w:r>
              <w:rPr>
                <w:bCs/>
                <w:noProof/>
                <w:color w:val="000000" w:themeColor="text1"/>
              </w:rPr>
              <w:t>ESR emissions [Mt CO</w:t>
            </w:r>
            <w:r>
              <w:rPr>
                <w:bCs/>
                <w:noProof/>
                <w:color w:val="000000" w:themeColor="text1"/>
                <w:vertAlign w:val="subscript"/>
              </w:rPr>
              <w:t>2</w:t>
            </w:r>
            <w:r>
              <w:rPr>
                <w:bCs/>
                <w:noProof/>
                <w:color w:val="000000" w:themeColor="text1"/>
              </w:rPr>
              <w:t>]</w:t>
            </w:r>
          </w:p>
        </w:tc>
        <w:tc>
          <w:tcPr>
            <w:tcW w:w="794" w:type="pct"/>
            <w:shd w:val="clear" w:color="auto" w:fill="auto"/>
            <w:noWrap/>
            <w:hideMark/>
          </w:tcPr>
          <w:p w:rsidR="00B231CB" w:rsidRDefault="00C71431">
            <w:pPr>
              <w:spacing w:after="0"/>
              <w:jc w:val="center"/>
              <w:rPr>
                <w:noProof/>
                <w:color w:val="000000" w:themeColor="text1"/>
              </w:rPr>
            </w:pPr>
            <w:r>
              <w:rPr>
                <w:noProof/>
                <w:color w:val="000000" w:themeColor="text1"/>
              </w:rPr>
              <w:t>2,848</w:t>
            </w:r>
          </w:p>
        </w:tc>
        <w:tc>
          <w:tcPr>
            <w:tcW w:w="888" w:type="pct"/>
            <w:shd w:val="clear" w:color="auto" w:fill="auto"/>
            <w:noWrap/>
            <w:hideMark/>
          </w:tcPr>
          <w:p w:rsidR="00B231CB" w:rsidRDefault="00C71431">
            <w:pPr>
              <w:spacing w:after="0"/>
              <w:jc w:val="center"/>
              <w:rPr>
                <w:noProof/>
                <w:color w:val="000000" w:themeColor="text1"/>
              </w:rPr>
            </w:pPr>
            <w:r>
              <w:rPr>
                <w:noProof/>
                <w:color w:val="000000" w:themeColor="text1"/>
              </w:rPr>
              <w:t>1,985</w:t>
            </w:r>
          </w:p>
        </w:tc>
        <w:tc>
          <w:tcPr>
            <w:tcW w:w="891" w:type="pct"/>
            <w:shd w:val="clear" w:color="auto" w:fill="auto"/>
            <w:noWrap/>
            <w:hideMark/>
          </w:tcPr>
          <w:p w:rsidR="00B231CB" w:rsidRDefault="00C71431">
            <w:pPr>
              <w:spacing w:after="0"/>
              <w:jc w:val="center"/>
              <w:rPr>
                <w:noProof/>
                <w:color w:val="000000" w:themeColor="text1"/>
              </w:rPr>
            </w:pPr>
            <w:r>
              <w:rPr>
                <w:noProof/>
                <w:color w:val="000000" w:themeColor="text1"/>
              </w:rPr>
              <w:t>2,014</w:t>
            </w:r>
          </w:p>
        </w:tc>
        <w:tc>
          <w:tcPr>
            <w:tcW w:w="891" w:type="pct"/>
            <w:shd w:val="clear" w:color="auto" w:fill="auto"/>
            <w:noWrap/>
          </w:tcPr>
          <w:p w:rsidR="00B231CB" w:rsidRDefault="00C71431">
            <w:pPr>
              <w:spacing w:after="0"/>
              <w:jc w:val="center"/>
              <w:rPr>
                <w:noProof/>
                <w:color w:val="000000" w:themeColor="text1"/>
              </w:rPr>
            </w:pPr>
            <w:r>
              <w:rPr>
                <w:noProof/>
                <w:color w:val="000000" w:themeColor="text1"/>
              </w:rPr>
              <w:t>1,999</w:t>
            </w:r>
          </w:p>
        </w:tc>
      </w:tr>
      <w:tr w:rsidR="00B231CB">
        <w:trPr>
          <w:trHeight w:val="315"/>
        </w:trPr>
        <w:tc>
          <w:tcPr>
            <w:tcW w:w="1535" w:type="pct"/>
            <w:shd w:val="clear" w:color="auto" w:fill="auto"/>
            <w:noWrap/>
          </w:tcPr>
          <w:p w:rsidR="00B231CB" w:rsidRDefault="00C71431">
            <w:pPr>
              <w:spacing w:after="0"/>
              <w:jc w:val="right"/>
              <w:rPr>
                <w:bCs/>
                <w:noProof/>
                <w:color w:val="000000" w:themeColor="text1"/>
              </w:rPr>
            </w:pPr>
            <w:r>
              <w:rPr>
                <w:bCs/>
                <w:noProof/>
                <w:color w:val="000000" w:themeColor="text1"/>
              </w:rPr>
              <w:t>% change from 2005</w:t>
            </w:r>
          </w:p>
        </w:tc>
        <w:tc>
          <w:tcPr>
            <w:tcW w:w="794" w:type="pct"/>
            <w:shd w:val="clear" w:color="auto" w:fill="auto"/>
            <w:noWrap/>
          </w:tcPr>
          <w:p w:rsidR="00B231CB" w:rsidRDefault="00B231CB">
            <w:pPr>
              <w:spacing w:after="0"/>
              <w:ind w:firstLineChars="400" w:firstLine="960"/>
              <w:jc w:val="center"/>
              <w:rPr>
                <w:noProof/>
                <w:color w:val="000000" w:themeColor="text1"/>
              </w:rPr>
            </w:pPr>
          </w:p>
        </w:tc>
        <w:tc>
          <w:tcPr>
            <w:tcW w:w="888" w:type="pct"/>
            <w:shd w:val="clear" w:color="auto" w:fill="auto"/>
            <w:noWrap/>
          </w:tcPr>
          <w:p w:rsidR="00B231CB" w:rsidRDefault="00C71431">
            <w:pPr>
              <w:spacing w:after="0"/>
              <w:jc w:val="center"/>
              <w:rPr>
                <w:noProof/>
                <w:color w:val="000000" w:themeColor="text1"/>
              </w:rPr>
            </w:pPr>
            <w:r>
              <w:rPr>
                <w:noProof/>
                <w:color w:val="000000" w:themeColor="text1"/>
              </w:rPr>
              <w:t>-30.3%</w:t>
            </w:r>
          </w:p>
        </w:tc>
        <w:tc>
          <w:tcPr>
            <w:tcW w:w="891" w:type="pct"/>
            <w:shd w:val="clear" w:color="auto" w:fill="auto"/>
            <w:noWrap/>
          </w:tcPr>
          <w:p w:rsidR="00B231CB" w:rsidRDefault="00C71431">
            <w:pPr>
              <w:spacing w:after="0"/>
              <w:jc w:val="center"/>
              <w:rPr>
                <w:noProof/>
                <w:color w:val="000000" w:themeColor="text1"/>
              </w:rPr>
            </w:pPr>
            <w:r>
              <w:rPr>
                <w:noProof/>
                <w:color w:val="000000" w:themeColor="text1"/>
              </w:rPr>
              <w:t>-29.3%</w:t>
            </w:r>
          </w:p>
        </w:tc>
        <w:tc>
          <w:tcPr>
            <w:tcW w:w="891" w:type="pct"/>
            <w:shd w:val="clear" w:color="auto" w:fill="auto"/>
            <w:noWrap/>
          </w:tcPr>
          <w:p w:rsidR="00B231CB" w:rsidRDefault="00C71431">
            <w:pPr>
              <w:spacing w:after="0"/>
              <w:jc w:val="center"/>
              <w:rPr>
                <w:noProof/>
                <w:color w:val="000000" w:themeColor="text1"/>
              </w:rPr>
            </w:pPr>
            <w:r>
              <w:rPr>
                <w:noProof/>
                <w:color w:val="000000" w:themeColor="text1"/>
              </w:rPr>
              <w:t>-29.8%</w:t>
            </w:r>
          </w:p>
        </w:tc>
      </w:tr>
    </w:tbl>
    <w:p w:rsidR="00B231CB" w:rsidRDefault="00C71431">
      <w:pPr>
        <w:spacing w:before="120" w:after="120"/>
        <w:rPr>
          <w:noProof/>
          <w:color w:val="000000" w:themeColor="text1"/>
        </w:rPr>
      </w:pPr>
      <w:r>
        <w:rPr>
          <w:noProof/>
          <w:color w:val="000000" w:themeColor="text1"/>
        </w:rPr>
        <w:t xml:space="preserve">In </w:t>
      </w:r>
      <w:r>
        <w:rPr>
          <w:i/>
          <w:noProof/>
          <w:color w:val="000000" w:themeColor="text1"/>
        </w:rPr>
        <w:t>EUCO30</w:t>
      </w:r>
      <w:r>
        <w:rPr>
          <w:noProof/>
          <w:color w:val="000000" w:themeColor="text1"/>
        </w:rPr>
        <w:t xml:space="preserve">, ESR emissions fall by 30.3% in 2030 compared to 2005 levels, which is in line with the 30% target. In the new </w:t>
      </w:r>
      <w:r>
        <w:rPr>
          <w:noProof/>
          <w:color w:val="000000" w:themeColor="text1"/>
          <w:szCs w:val="24"/>
        </w:rPr>
        <w:t>TL30c/25v</w:t>
      </w:r>
      <w:r>
        <w:rPr>
          <w:noProof/>
          <w:color w:val="000000" w:themeColor="text1"/>
        </w:rPr>
        <w:t xml:space="preserve"> scenario, this reduction becomes 29.3% and, after including all </w:t>
      </w:r>
      <w:r>
        <w:rPr>
          <w:i/>
          <w:noProof/>
          <w:color w:val="000000" w:themeColor="text1"/>
        </w:rPr>
        <w:t>EUCO30</w:t>
      </w:r>
      <w:r>
        <w:rPr>
          <w:noProof/>
          <w:color w:val="000000" w:themeColor="text1"/>
        </w:rPr>
        <w:t xml:space="preserve"> transport related policies and taking account of the Renewable Energy Directive revision (</w:t>
      </w:r>
      <w:r>
        <w:rPr>
          <w:noProof/>
          <w:color w:val="000000" w:themeColor="text1"/>
          <w:szCs w:val="24"/>
        </w:rPr>
        <w:t>TL30c/25v+</w:t>
      </w:r>
      <w:r>
        <w:rPr>
          <w:noProof/>
          <w:color w:val="000000" w:themeColor="text1"/>
        </w:rPr>
        <w:t xml:space="preserve">), reductions are 29.8%. </w:t>
      </w:r>
    </w:p>
    <w:p w:rsidR="00B231CB" w:rsidRDefault="00C71431">
      <w:pPr>
        <w:spacing w:after="120"/>
        <w:rPr>
          <w:noProof/>
          <w:color w:val="000000" w:themeColor="text1"/>
        </w:rPr>
      </w:pPr>
      <w:r>
        <w:rPr>
          <w:noProof/>
          <w:color w:val="000000" w:themeColor="text1"/>
        </w:rPr>
        <w:t xml:space="preserve">As shown in </w:t>
      </w:r>
      <w:r>
        <w:rPr>
          <w:noProof/>
          <w:color w:val="000000" w:themeColor="text1"/>
        </w:rPr>
        <w:fldChar w:fldCharType="begin"/>
      </w:r>
      <w:r>
        <w:rPr>
          <w:noProof/>
          <w:color w:val="000000" w:themeColor="text1"/>
        </w:rPr>
        <w:instrText xml:space="preserve"> REF _Ref495077647 \h </w:instrText>
      </w:r>
      <w:r>
        <w:rPr>
          <w:noProof/>
          <w:color w:val="000000" w:themeColor="text1"/>
        </w:rPr>
      </w:r>
      <w:r>
        <w:rPr>
          <w:noProof/>
          <w:color w:val="000000" w:themeColor="text1"/>
        </w:rPr>
        <w:fldChar w:fldCharType="separate"/>
      </w:r>
      <w:r>
        <w:rPr>
          <w:noProof/>
          <w:color w:val="000000" w:themeColor="text1"/>
        </w:rPr>
        <w:t>Table 4</w:t>
      </w:r>
      <w:r>
        <w:rPr>
          <w:noProof/>
          <w:color w:val="000000" w:themeColor="text1"/>
        </w:rPr>
        <w:fldChar w:fldCharType="end"/>
      </w:r>
      <w:r>
        <w:rPr>
          <w:noProof/>
          <w:color w:val="000000" w:themeColor="text1"/>
        </w:rPr>
        <w:t xml:space="preserve">, the difference between </w:t>
      </w:r>
      <w:r>
        <w:rPr>
          <w:i/>
          <w:noProof/>
          <w:color w:val="000000" w:themeColor="text1"/>
        </w:rPr>
        <w:t>EUCO30</w:t>
      </w:r>
      <w:r>
        <w:rPr>
          <w:noProof/>
          <w:color w:val="000000" w:themeColor="text1"/>
        </w:rPr>
        <w:t xml:space="preserve"> and the new policy scenarios is solely due to road transport, where CO</w:t>
      </w:r>
      <w:r>
        <w:rPr>
          <w:noProof/>
          <w:color w:val="000000" w:themeColor="text1"/>
          <w:vertAlign w:val="subscript"/>
        </w:rPr>
        <w:t>2</w:t>
      </w:r>
      <w:r>
        <w:rPr>
          <w:noProof/>
          <w:color w:val="000000" w:themeColor="text1"/>
        </w:rPr>
        <w:t xml:space="preserve"> emissions in 2030 are 29 Mt higher under the TL30c/25v and 14 Mt under the TL30c/25v</w:t>
      </w:r>
      <w:r>
        <w:rPr>
          <w:i/>
          <w:noProof/>
          <w:color w:val="000000" w:themeColor="text1"/>
        </w:rPr>
        <w:t>+</w:t>
      </w:r>
      <w:r>
        <w:rPr>
          <w:noProof/>
          <w:color w:val="000000" w:themeColor="text1"/>
        </w:rPr>
        <w:t xml:space="preserve"> scenario. </w:t>
      </w:r>
    </w:p>
    <w:p w:rsidR="00B231CB" w:rsidRDefault="00C71431">
      <w:pPr>
        <w:pStyle w:val="Caption"/>
        <w:keepNext/>
        <w:spacing w:after="120"/>
        <w:jc w:val="both"/>
        <w:rPr>
          <w:noProof/>
        </w:rPr>
      </w:pPr>
      <w:bookmarkStart w:id="65" w:name="_Ref495077647"/>
      <w:r>
        <w:rPr>
          <w:noProof/>
          <w:color w:val="000000" w:themeColor="text1"/>
        </w:rPr>
        <w:t xml:space="preserve">Table </w:t>
      </w:r>
      <w:r>
        <w:rPr>
          <w:noProof/>
          <w:color w:val="000000" w:themeColor="text1"/>
        </w:rPr>
        <w:fldChar w:fldCharType="begin"/>
      </w:r>
      <w:r>
        <w:rPr>
          <w:noProof/>
          <w:color w:val="000000" w:themeColor="text1"/>
        </w:rPr>
        <w:instrText xml:space="preserve"> SEQ Table \* ARABIC </w:instrText>
      </w:r>
      <w:r>
        <w:rPr>
          <w:noProof/>
          <w:color w:val="000000" w:themeColor="text1"/>
        </w:rPr>
        <w:fldChar w:fldCharType="separate"/>
      </w:r>
      <w:r>
        <w:rPr>
          <w:noProof/>
          <w:color w:val="000000" w:themeColor="text1"/>
        </w:rPr>
        <w:t>4</w:t>
      </w:r>
      <w:r>
        <w:rPr>
          <w:noProof/>
          <w:color w:val="000000" w:themeColor="text1"/>
        </w:rPr>
        <w:fldChar w:fldCharType="end"/>
      </w:r>
      <w:bookmarkEnd w:id="65"/>
      <w:r>
        <w:rPr>
          <w:noProof/>
          <w:color w:val="000000" w:themeColor="text1"/>
        </w:rPr>
        <w:t xml:space="preserve">: Comparison of transport emissions between </w:t>
      </w:r>
      <w:r>
        <w:rPr>
          <w:i/>
          <w:noProof/>
          <w:color w:val="000000" w:themeColor="text1"/>
        </w:rPr>
        <w:t>EUCO30</w:t>
      </w:r>
      <w:r>
        <w:rPr>
          <w:noProof/>
          <w:color w:val="000000" w:themeColor="text1"/>
        </w:rPr>
        <w:t xml:space="preserve"> and new TL30c/25v </w:t>
      </w:r>
      <w:r>
        <w:rPr>
          <w:noProof/>
        </w:rPr>
        <w:t>scenarios in 2030 (Mt CO</w:t>
      </w:r>
      <w:r>
        <w:rPr>
          <w:noProof/>
          <w:vertAlign w:val="subscript"/>
        </w:rPr>
        <w:t>2</w:t>
      </w:r>
      <w:r>
        <w:rPr>
          <w:noProof/>
        </w:rPr>
        <w:t>)</w:t>
      </w:r>
    </w:p>
    <w:tbl>
      <w:tblPr>
        <w:tblStyle w:val="TableGrid1"/>
        <w:tblW w:w="5000" w:type="pct"/>
        <w:tblLayout w:type="fixed"/>
        <w:tblLook w:val="04A0" w:firstRow="1" w:lastRow="0" w:firstColumn="1" w:lastColumn="0" w:noHBand="0" w:noVBand="1"/>
      </w:tblPr>
      <w:tblGrid>
        <w:gridCol w:w="2266"/>
        <w:gridCol w:w="1200"/>
        <w:gridCol w:w="1321"/>
        <w:gridCol w:w="1560"/>
        <w:gridCol w:w="1440"/>
        <w:gridCol w:w="1501"/>
      </w:tblGrid>
      <w:tr w:rsidR="00B231CB">
        <w:trPr>
          <w:cantSplit/>
          <w:trHeight w:val="421"/>
          <w:tblHeader/>
        </w:trPr>
        <w:tc>
          <w:tcPr>
            <w:tcW w:w="1220" w:type="pct"/>
            <w:tcBorders>
              <w:top w:val="single" w:sz="4" w:space="0" w:color="auto"/>
              <w:left w:val="single" w:sz="4" w:space="0" w:color="auto"/>
              <w:bottom w:val="single" w:sz="4" w:space="0" w:color="auto"/>
              <w:right w:val="single" w:sz="4" w:space="0" w:color="auto"/>
            </w:tcBorders>
            <w:shd w:val="clear" w:color="auto" w:fill="auto"/>
            <w:noWrap/>
          </w:tcPr>
          <w:p w:rsidR="00B231CB" w:rsidRDefault="00B231CB">
            <w:pPr>
              <w:spacing w:after="120"/>
              <w:jc w:val="right"/>
              <w:rPr>
                <w:bCs/>
                <w:noProof/>
                <w:color w:val="000000" w:themeColor="text1"/>
              </w:rPr>
            </w:pPr>
          </w:p>
        </w:tc>
        <w:tc>
          <w:tcPr>
            <w:tcW w:w="2197" w:type="pct"/>
            <w:gridSpan w:val="3"/>
            <w:tcBorders>
              <w:top w:val="single" w:sz="4" w:space="0" w:color="auto"/>
              <w:left w:val="single" w:sz="4" w:space="0" w:color="auto"/>
              <w:bottom w:val="single" w:sz="4" w:space="0" w:color="auto"/>
              <w:right w:val="single" w:sz="4" w:space="0" w:color="auto"/>
            </w:tcBorders>
            <w:shd w:val="clear" w:color="auto" w:fill="auto"/>
            <w:noWrap/>
          </w:tcPr>
          <w:p w:rsidR="00B231CB" w:rsidRDefault="00C71431">
            <w:pPr>
              <w:spacing w:after="120"/>
              <w:jc w:val="center"/>
              <w:rPr>
                <w:bCs/>
                <w:noProof/>
                <w:color w:val="000000" w:themeColor="text1"/>
              </w:rPr>
            </w:pPr>
            <w:r>
              <w:rPr>
                <w:bCs/>
                <w:noProof/>
                <w:color w:val="000000" w:themeColor="text1"/>
              </w:rPr>
              <w:t>2030 emissions</w:t>
            </w:r>
          </w:p>
        </w:tc>
        <w:tc>
          <w:tcPr>
            <w:tcW w:w="1583" w:type="pct"/>
            <w:gridSpan w:val="2"/>
            <w:tcBorders>
              <w:top w:val="single" w:sz="4" w:space="0" w:color="auto"/>
              <w:left w:val="single" w:sz="4" w:space="0" w:color="auto"/>
              <w:bottom w:val="single" w:sz="4" w:space="0" w:color="auto"/>
              <w:right w:val="single" w:sz="4" w:space="0" w:color="auto"/>
            </w:tcBorders>
            <w:shd w:val="clear" w:color="auto" w:fill="auto"/>
          </w:tcPr>
          <w:p w:rsidR="00B231CB" w:rsidRDefault="00C71431">
            <w:pPr>
              <w:spacing w:after="120"/>
              <w:jc w:val="center"/>
              <w:rPr>
                <w:bCs/>
                <w:noProof/>
                <w:color w:val="000000" w:themeColor="text1"/>
              </w:rPr>
            </w:pPr>
            <w:r>
              <w:rPr>
                <w:bCs/>
                <w:noProof/>
                <w:color w:val="000000" w:themeColor="text1"/>
              </w:rPr>
              <w:t>Difference between</w:t>
            </w:r>
          </w:p>
        </w:tc>
      </w:tr>
      <w:tr w:rsidR="00B231CB">
        <w:trPr>
          <w:cantSplit/>
          <w:trHeight w:val="621"/>
          <w:tblHeader/>
        </w:trPr>
        <w:tc>
          <w:tcPr>
            <w:tcW w:w="1220" w:type="pct"/>
            <w:tcBorders>
              <w:top w:val="single" w:sz="4" w:space="0" w:color="auto"/>
              <w:left w:val="single" w:sz="4" w:space="0" w:color="auto"/>
              <w:bottom w:val="single" w:sz="4" w:space="0" w:color="auto"/>
              <w:right w:val="single" w:sz="4" w:space="0" w:color="auto"/>
            </w:tcBorders>
            <w:shd w:val="clear" w:color="auto" w:fill="auto"/>
            <w:noWrap/>
            <w:hideMark/>
          </w:tcPr>
          <w:p w:rsidR="00B231CB" w:rsidRDefault="00C71431">
            <w:pPr>
              <w:spacing w:after="120"/>
              <w:jc w:val="right"/>
              <w:rPr>
                <w:b/>
                <w:bCs/>
                <w:noProof/>
                <w:color w:val="000000" w:themeColor="text1"/>
              </w:rPr>
            </w:pPr>
            <w:r>
              <w:rPr>
                <w:b/>
                <w:bCs/>
                <w:noProof/>
                <w:color w:val="000000" w:themeColor="text1"/>
              </w:rPr>
              <w:t> </w:t>
            </w:r>
          </w:p>
        </w:tc>
        <w:tc>
          <w:tcPr>
            <w:tcW w:w="646" w:type="pct"/>
            <w:tcBorders>
              <w:top w:val="single" w:sz="4" w:space="0" w:color="auto"/>
              <w:left w:val="single" w:sz="4" w:space="0" w:color="auto"/>
              <w:bottom w:val="single" w:sz="4" w:space="0" w:color="auto"/>
              <w:right w:val="single" w:sz="4" w:space="0" w:color="auto"/>
            </w:tcBorders>
            <w:shd w:val="clear" w:color="auto" w:fill="auto"/>
            <w:noWrap/>
            <w:hideMark/>
          </w:tcPr>
          <w:p w:rsidR="00B231CB" w:rsidRDefault="00C71431">
            <w:pPr>
              <w:spacing w:after="120"/>
              <w:jc w:val="center"/>
              <w:rPr>
                <w:bCs/>
                <w:i/>
                <w:noProof/>
                <w:color w:val="000000" w:themeColor="text1"/>
              </w:rPr>
            </w:pPr>
            <w:r>
              <w:rPr>
                <w:bCs/>
                <w:i/>
                <w:noProof/>
                <w:color w:val="000000" w:themeColor="text1"/>
              </w:rPr>
              <w:t>EUCO30</w:t>
            </w:r>
          </w:p>
        </w:tc>
        <w:tc>
          <w:tcPr>
            <w:tcW w:w="711" w:type="pct"/>
            <w:tcBorders>
              <w:top w:val="single" w:sz="4" w:space="0" w:color="auto"/>
              <w:left w:val="single" w:sz="4" w:space="0" w:color="auto"/>
              <w:bottom w:val="single" w:sz="4" w:space="0" w:color="auto"/>
              <w:right w:val="single" w:sz="4" w:space="0" w:color="auto"/>
            </w:tcBorders>
            <w:shd w:val="clear" w:color="auto" w:fill="auto"/>
            <w:noWrap/>
            <w:hideMark/>
          </w:tcPr>
          <w:p w:rsidR="00B231CB" w:rsidRDefault="00C71431">
            <w:pPr>
              <w:spacing w:after="120"/>
              <w:jc w:val="center"/>
              <w:rPr>
                <w:bCs/>
                <w:i/>
                <w:noProof/>
                <w:color w:val="000000" w:themeColor="text1"/>
              </w:rPr>
            </w:pPr>
            <w:r>
              <w:rPr>
                <w:noProof/>
                <w:color w:val="000000" w:themeColor="text1"/>
                <w:szCs w:val="24"/>
              </w:rPr>
              <w:t>TL30c/25v</w:t>
            </w:r>
          </w:p>
        </w:tc>
        <w:tc>
          <w:tcPr>
            <w:tcW w:w="840" w:type="pct"/>
            <w:tcBorders>
              <w:top w:val="single" w:sz="4" w:space="0" w:color="auto"/>
              <w:left w:val="single" w:sz="4" w:space="0" w:color="auto"/>
              <w:bottom w:val="single" w:sz="4" w:space="0" w:color="auto"/>
              <w:right w:val="single" w:sz="4" w:space="0" w:color="auto"/>
            </w:tcBorders>
            <w:shd w:val="clear" w:color="auto" w:fill="auto"/>
            <w:noWrap/>
            <w:hideMark/>
          </w:tcPr>
          <w:p w:rsidR="00B231CB" w:rsidRDefault="00C71431">
            <w:pPr>
              <w:spacing w:after="120"/>
              <w:jc w:val="center"/>
              <w:rPr>
                <w:bCs/>
                <w:i/>
                <w:noProof/>
                <w:color w:val="000000" w:themeColor="text1"/>
              </w:rPr>
            </w:pPr>
            <w:r>
              <w:rPr>
                <w:noProof/>
                <w:color w:val="000000" w:themeColor="text1"/>
                <w:szCs w:val="24"/>
              </w:rPr>
              <w:t>TL30c/25v</w:t>
            </w:r>
            <w:r>
              <w:rPr>
                <w:bCs/>
                <w:i/>
                <w:noProof/>
                <w:color w:val="000000" w:themeColor="text1"/>
              </w:rPr>
              <w:t>+</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rsidR="00B231CB" w:rsidRDefault="00C71431">
            <w:pPr>
              <w:spacing w:after="120"/>
              <w:jc w:val="center"/>
              <w:rPr>
                <w:bCs/>
                <w:i/>
                <w:noProof/>
                <w:color w:val="000000" w:themeColor="text1"/>
              </w:rPr>
            </w:pPr>
            <w:r>
              <w:rPr>
                <w:noProof/>
                <w:color w:val="000000" w:themeColor="text1"/>
                <w:szCs w:val="24"/>
              </w:rPr>
              <w:t>TL30c/25v</w:t>
            </w:r>
            <w:r>
              <w:rPr>
                <w:bCs/>
                <w:i/>
                <w:noProof/>
                <w:color w:val="000000" w:themeColor="text1"/>
              </w:rPr>
              <w:br/>
            </w:r>
            <w:r>
              <w:rPr>
                <w:bCs/>
                <w:noProof/>
                <w:color w:val="000000" w:themeColor="text1"/>
              </w:rPr>
              <w:t>and</w:t>
            </w:r>
            <w:r>
              <w:rPr>
                <w:bCs/>
                <w:noProof/>
                <w:color w:val="000000" w:themeColor="text1"/>
              </w:rPr>
              <w:br/>
            </w:r>
            <w:r>
              <w:rPr>
                <w:bCs/>
                <w:i/>
                <w:noProof/>
                <w:color w:val="000000" w:themeColor="text1"/>
              </w:rPr>
              <w:t>EUCO30</w:t>
            </w:r>
          </w:p>
        </w:tc>
        <w:tc>
          <w:tcPr>
            <w:tcW w:w="808" w:type="pct"/>
            <w:tcBorders>
              <w:top w:val="single" w:sz="4" w:space="0" w:color="auto"/>
              <w:left w:val="single" w:sz="4" w:space="0" w:color="auto"/>
              <w:bottom w:val="single" w:sz="4" w:space="0" w:color="auto"/>
              <w:right w:val="single" w:sz="4" w:space="0" w:color="auto"/>
            </w:tcBorders>
            <w:shd w:val="clear" w:color="auto" w:fill="auto"/>
            <w:hideMark/>
          </w:tcPr>
          <w:p w:rsidR="00B231CB" w:rsidRDefault="00C71431">
            <w:pPr>
              <w:spacing w:after="120"/>
              <w:jc w:val="center"/>
              <w:rPr>
                <w:bCs/>
                <w:i/>
                <w:noProof/>
                <w:color w:val="000000" w:themeColor="text1"/>
              </w:rPr>
            </w:pPr>
            <w:r>
              <w:rPr>
                <w:noProof/>
                <w:color w:val="000000" w:themeColor="text1"/>
                <w:szCs w:val="24"/>
              </w:rPr>
              <w:t>TL30c/25v</w:t>
            </w:r>
            <w:r>
              <w:rPr>
                <w:bCs/>
                <w:i/>
                <w:noProof/>
                <w:color w:val="000000" w:themeColor="text1"/>
              </w:rPr>
              <w:t>+</w:t>
            </w:r>
            <w:r>
              <w:rPr>
                <w:bCs/>
                <w:i/>
                <w:noProof/>
                <w:color w:val="000000" w:themeColor="text1"/>
              </w:rPr>
              <w:br/>
            </w:r>
            <w:r>
              <w:rPr>
                <w:bCs/>
                <w:noProof/>
                <w:color w:val="000000" w:themeColor="text1"/>
              </w:rPr>
              <w:t>and</w:t>
            </w:r>
            <w:r>
              <w:rPr>
                <w:bCs/>
                <w:noProof/>
                <w:color w:val="000000" w:themeColor="text1"/>
              </w:rPr>
              <w:br/>
            </w:r>
            <w:r>
              <w:rPr>
                <w:bCs/>
                <w:i/>
                <w:noProof/>
                <w:color w:val="000000" w:themeColor="text1"/>
              </w:rPr>
              <w:t>EUCO30</w:t>
            </w:r>
          </w:p>
        </w:tc>
      </w:tr>
      <w:tr w:rsidR="00B231CB">
        <w:trPr>
          <w:trHeight w:val="289"/>
        </w:trPr>
        <w:tc>
          <w:tcPr>
            <w:tcW w:w="1220" w:type="pct"/>
            <w:tcBorders>
              <w:top w:val="single" w:sz="4" w:space="0" w:color="auto"/>
              <w:bottom w:val="single" w:sz="24" w:space="0" w:color="0055A0"/>
            </w:tcBorders>
            <w:shd w:val="clear" w:color="auto" w:fill="auto"/>
            <w:noWrap/>
            <w:hideMark/>
          </w:tcPr>
          <w:p w:rsidR="00B231CB" w:rsidRDefault="00C71431">
            <w:pPr>
              <w:spacing w:after="120"/>
              <w:jc w:val="left"/>
              <w:rPr>
                <w:bCs/>
                <w:noProof/>
                <w:color w:val="000000" w:themeColor="text1"/>
              </w:rPr>
            </w:pPr>
            <w:r>
              <w:rPr>
                <w:bCs/>
                <w:noProof/>
                <w:color w:val="000000" w:themeColor="text1"/>
              </w:rPr>
              <w:t xml:space="preserve">Transport total </w:t>
            </w:r>
          </w:p>
        </w:tc>
        <w:tc>
          <w:tcPr>
            <w:tcW w:w="646" w:type="pct"/>
            <w:tcBorders>
              <w:top w:val="single" w:sz="4" w:space="0" w:color="auto"/>
              <w:bottom w:val="single" w:sz="24" w:space="0" w:color="0055A0"/>
            </w:tcBorders>
            <w:shd w:val="clear" w:color="auto" w:fill="auto"/>
            <w:noWrap/>
            <w:hideMark/>
          </w:tcPr>
          <w:p w:rsidR="00B231CB" w:rsidRDefault="00C71431">
            <w:pPr>
              <w:spacing w:after="120"/>
              <w:jc w:val="center"/>
              <w:rPr>
                <w:noProof/>
                <w:color w:val="000000" w:themeColor="text1"/>
              </w:rPr>
            </w:pPr>
            <w:r>
              <w:rPr>
                <w:noProof/>
                <w:color w:val="000000" w:themeColor="text1"/>
              </w:rPr>
              <w:t>871</w:t>
            </w:r>
          </w:p>
        </w:tc>
        <w:tc>
          <w:tcPr>
            <w:tcW w:w="711" w:type="pct"/>
            <w:tcBorders>
              <w:top w:val="single" w:sz="4" w:space="0" w:color="auto"/>
              <w:bottom w:val="single" w:sz="24" w:space="0" w:color="0055A0"/>
            </w:tcBorders>
            <w:shd w:val="clear" w:color="auto" w:fill="auto"/>
            <w:noWrap/>
            <w:hideMark/>
          </w:tcPr>
          <w:p w:rsidR="00B231CB" w:rsidRDefault="00C71431">
            <w:pPr>
              <w:spacing w:after="120"/>
              <w:jc w:val="center"/>
              <w:rPr>
                <w:noProof/>
                <w:color w:val="000000" w:themeColor="text1"/>
              </w:rPr>
            </w:pPr>
            <w:r>
              <w:rPr>
                <w:noProof/>
                <w:color w:val="000000" w:themeColor="text1"/>
              </w:rPr>
              <w:t>900</w:t>
            </w:r>
          </w:p>
        </w:tc>
        <w:tc>
          <w:tcPr>
            <w:tcW w:w="840" w:type="pct"/>
            <w:tcBorders>
              <w:top w:val="single" w:sz="4" w:space="0" w:color="auto"/>
              <w:bottom w:val="single" w:sz="24" w:space="0" w:color="0055A0"/>
            </w:tcBorders>
            <w:shd w:val="clear" w:color="auto" w:fill="auto"/>
            <w:noWrap/>
          </w:tcPr>
          <w:p w:rsidR="00B231CB" w:rsidRDefault="00C71431">
            <w:pPr>
              <w:spacing w:after="120"/>
              <w:jc w:val="center"/>
              <w:rPr>
                <w:noProof/>
                <w:color w:val="000000" w:themeColor="text1"/>
              </w:rPr>
            </w:pPr>
            <w:r>
              <w:rPr>
                <w:noProof/>
                <w:color w:val="000000" w:themeColor="text1"/>
              </w:rPr>
              <w:t>885</w:t>
            </w:r>
          </w:p>
        </w:tc>
        <w:tc>
          <w:tcPr>
            <w:tcW w:w="775" w:type="pct"/>
            <w:tcBorders>
              <w:top w:val="single" w:sz="4" w:space="0" w:color="auto"/>
              <w:bottom w:val="single" w:sz="24" w:space="0" w:color="0055A0"/>
            </w:tcBorders>
            <w:shd w:val="clear" w:color="auto" w:fill="auto"/>
            <w:noWrap/>
            <w:hideMark/>
          </w:tcPr>
          <w:p w:rsidR="00B231CB" w:rsidRDefault="00C71431">
            <w:pPr>
              <w:spacing w:after="120"/>
              <w:jc w:val="center"/>
              <w:rPr>
                <w:noProof/>
                <w:color w:val="000000" w:themeColor="text1"/>
              </w:rPr>
            </w:pPr>
            <w:r>
              <w:rPr>
                <w:noProof/>
                <w:color w:val="000000" w:themeColor="text1"/>
              </w:rPr>
              <w:t>29</w:t>
            </w:r>
          </w:p>
        </w:tc>
        <w:tc>
          <w:tcPr>
            <w:tcW w:w="808" w:type="pct"/>
            <w:tcBorders>
              <w:top w:val="single" w:sz="4" w:space="0" w:color="auto"/>
              <w:bottom w:val="single" w:sz="24" w:space="0" w:color="0055A0"/>
            </w:tcBorders>
            <w:shd w:val="clear" w:color="auto" w:fill="auto"/>
            <w:noWrap/>
            <w:vAlign w:val="bottom"/>
          </w:tcPr>
          <w:p w:rsidR="00B231CB" w:rsidRDefault="00C71431">
            <w:pPr>
              <w:spacing w:after="120"/>
              <w:jc w:val="center"/>
              <w:rPr>
                <w:noProof/>
                <w:color w:val="000000" w:themeColor="text1"/>
              </w:rPr>
            </w:pPr>
            <w:r>
              <w:rPr>
                <w:noProof/>
                <w:color w:val="000000" w:themeColor="text1"/>
              </w:rPr>
              <w:t>14</w:t>
            </w:r>
          </w:p>
        </w:tc>
      </w:tr>
      <w:tr w:rsidR="00B231CB">
        <w:trPr>
          <w:trHeight w:val="303"/>
        </w:trPr>
        <w:tc>
          <w:tcPr>
            <w:tcW w:w="1220" w:type="pct"/>
            <w:tcBorders>
              <w:top w:val="single" w:sz="24" w:space="0" w:color="0055A0"/>
              <w:bottom w:val="single" w:sz="24" w:space="0" w:color="0055A0"/>
            </w:tcBorders>
            <w:shd w:val="clear" w:color="auto" w:fill="auto"/>
            <w:noWrap/>
            <w:hideMark/>
          </w:tcPr>
          <w:p w:rsidR="00B231CB" w:rsidRDefault="00C71431">
            <w:pPr>
              <w:spacing w:after="120"/>
              <w:jc w:val="left"/>
              <w:rPr>
                <w:bCs/>
                <w:noProof/>
                <w:color w:val="000000" w:themeColor="text1"/>
              </w:rPr>
            </w:pPr>
            <w:r>
              <w:rPr>
                <w:bCs/>
                <w:noProof/>
                <w:color w:val="000000" w:themeColor="text1"/>
              </w:rPr>
              <w:t>Road transport</w:t>
            </w:r>
          </w:p>
        </w:tc>
        <w:tc>
          <w:tcPr>
            <w:tcW w:w="646" w:type="pct"/>
            <w:tcBorders>
              <w:top w:val="single" w:sz="24" w:space="0" w:color="0055A0"/>
              <w:bottom w:val="single" w:sz="24" w:space="0" w:color="0055A0"/>
            </w:tcBorders>
            <w:shd w:val="clear" w:color="auto" w:fill="auto"/>
            <w:noWrap/>
            <w:hideMark/>
          </w:tcPr>
          <w:p w:rsidR="00B231CB" w:rsidRDefault="00C71431">
            <w:pPr>
              <w:spacing w:after="120"/>
              <w:jc w:val="center"/>
              <w:rPr>
                <w:noProof/>
                <w:color w:val="000000" w:themeColor="text1"/>
              </w:rPr>
            </w:pPr>
            <w:r>
              <w:rPr>
                <w:noProof/>
                <w:color w:val="000000" w:themeColor="text1"/>
              </w:rPr>
              <w:t>674</w:t>
            </w:r>
          </w:p>
        </w:tc>
        <w:tc>
          <w:tcPr>
            <w:tcW w:w="711" w:type="pct"/>
            <w:tcBorders>
              <w:top w:val="single" w:sz="24" w:space="0" w:color="0055A0"/>
              <w:bottom w:val="single" w:sz="24" w:space="0" w:color="0055A0"/>
            </w:tcBorders>
            <w:shd w:val="clear" w:color="auto" w:fill="auto"/>
            <w:noWrap/>
            <w:hideMark/>
          </w:tcPr>
          <w:p w:rsidR="00B231CB" w:rsidRDefault="00C71431">
            <w:pPr>
              <w:spacing w:after="120"/>
              <w:jc w:val="center"/>
              <w:rPr>
                <w:noProof/>
                <w:color w:val="000000" w:themeColor="text1"/>
              </w:rPr>
            </w:pPr>
            <w:r>
              <w:rPr>
                <w:noProof/>
                <w:color w:val="000000" w:themeColor="text1"/>
              </w:rPr>
              <w:t>703</w:t>
            </w:r>
          </w:p>
        </w:tc>
        <w:tc>
          <w:tcPr>
            <w:tcW w:w="840" w:type="pct"/>
            <w:tcBorders>
              <w:top w:val="single" w:sz="24" w:space="0" w:color="0055A0"/>
              <w:bottom w:val="single" w:sz="24" w:space="0" w:color="0055A0"/>
            </w:tcBorders>
            <w:shd w:val="clear" w:color="auto" w:fill="auto"/>
            <w:noWrap/>
          </w:tcPr>
          <w:p w:rsidR="00B231CB" w:rsidRDefault="00C71431">
            <w:pPr>
              <w:spacing w:after="120"/>
              <w:jc w:val="center"/>
              <w:rPr>
                <w:noProof/>
                <w:color w:val="000000" w:themeColor="text1"/>
              </w:rPr>
            </w:pPr>
            <w:r>
              <w:rPr>
                <w:noProof/>
                <w:color w:val="000000" w:themeColor="text1"/>
              </w:rPr>
              <w:t>687</w:t>
            </w:r>
          </w:p>
        </w:tc>
        <w:tc>
          <w:tcPr>
            <w:tcW w:w="775" w:type="pct"/>
            <w:tcBorders>
              <w:top w:val="single" w:sz="24" w:space="0" w:color="0055A0"/>
              <w:bottom w:val="single" w:sz="24" w:space="0" w:color="0055A0"/>
            </w:tcBorders>
            <w:shd w:val="clear" w:color="auto" w:fill="auto"/>
            <w:noWrap/>
            <w:hideMark/>
          </w:tcPr>
          <w:p w:rsidR="00B231CB" w:rsidRDefault="00C71431">
            <w:pPr>
              <w:spacing w:after="120"/>
              <w:jc w:val="center"/>
              <w:rPr>
                <w:noProof/>
                <w:color w:val="000000" w:themeColor="text1"/>
              </w:rPr>
            </w:pPr>
            <w:r>
              <w:rPr>
                <w:noProof/>
                <w:color w:val="000000" w:themeColor="text1"/>
              </w:rPr>
              <w:t>29</w:t>
            </w:r>
          </w:p>
        </w:tc>
        <w:tc>
          <w:tcPr>
            <w:tcW w:w="808" w:type="pct"/>
            <w:tcBorders>
              <w:top w:val="single" w:sz="24" w:space="0" w:color="0055A0"/>
              <w:bottom w:val="single" w:sz="24" w:space="0" w:color="0055A0"/>
            </w:tcBorders>
            <w:shd w:val="clear" w:color="auto" w:fill="auto"/>
            <w:noWrap/>
            <w:vAlign w:val="bottom"/>
          </w:tcPr>
          <w:p w:rsidR="00B231CB" w:rsidRDefault="00C71431">
            <w:pPr>
              <w:spacing w:after="120"/>
              <w:jc w:val="center"/>
              <w:rPr>
                <w:noProof/>
                <w:color w:val="000000" w:themeColor="text1"/>
              </w:rPr>
            </w:pPr>
            <w:r>
              <w:rPr>
                <w:noProof/>
                <w:color w:val="000000" w:themeColor="text1"/>
              </w:rPr>
              <w:t>13</w:t>
            </w:r>
          </w:p>
        </w:tc>
      </w:tr>
      <w:tr w:rsidR="00B231CB">
        <w:trPr>
          <w:trHeight w:val="289"/>
        </w:trPr>
        <w:tc>
          <w:tcPr>
            <w:tcW w:w="1220" w:type="pct"/>
            <w:tcBorders>
              <w:top w:val="single" w:sz="24" w:space="0" w:color="0055A0"/>
            </w:tcBorders>
            <w:shd w:val="clear" w:color="auto" w:fill="auto"/>
            <w:noWrap/>
            <w:hideMark/>
          </w:tcPr>
          <w:p w:rsidR="00B231CB" w:rsidRDefault="00C71431">
            <w:pPr>
              <w:spacing w:after="120"/>
              <w:jc w:val="left"/>
              <w:rPr>
                <w:bCs/>
                <w:noProof/>
                <w:color w:val="000000" w:themeColor="text1"/>
              </w:rPr>
            </w:pPr>
            <w:r>
              <w:rPr>
                <w:bCs/>
                <w:noProof/>
                <w:color w:val="000000" w:themeColor="text1"/>
              </w:rPr>
              <w:t>Cars</w:t>
            </w:r>
          </w:p>
        </w:tc>
        <w:tc>
          <w:tcPr>
            <w:tcW w:w="646" w:type="pct"/>
            <w:tcBorders>
              <w:top w:val="single" w:sz="24" w:space="0" w:color="0055A0"/>
            </w:tcBorders>
            <w:shd w:val="clear" w:color="auto" w:fill="auto"/>
            <w:noWrap/>
            <w:hideMark/>
          </w:tcPr>
          <w:p w:rsidR="00B231CB" w:rsidRDefault="00C71431">
            <w:pPr>
              <w:spacing w:after="120"/>
              <w:jc w:val="center"/>
              <w:rPr>
                <w:noProof/>
                <w:color w:val="000000" w:themeColor="text1"/>
              </w:rPr>
            </w:pPr>
            <w:r>
              <w:rPr>
                <w:noProof/>
                <w:color w:val="000000" w:themeColor="text1"/>
              </w:rPr>
              <w:t>346</w:t>
            </w:r>
          </w:p>
        </w:tc>
        <w:tc>
          <w:tcPr>
            <w:tcW w:w="711" w:type="pct"/>
            <w:tcBorders>
              <w:top w:val="single" w:sz="24" w:space="0" w:color="0055A0"/>
            </w:tcBorders>
            <w:shd w:val="clear" w:color="auto" w:fill="auto"/>
            <w:noWrap/>
            <w:hideMark/>
          </w:tcPr>
          <w:p w:rsidR="00B231CB" w:rsidRDefault="00C71431">
            <w:pPr>
              <w:spacing w:after="120"/>
              <w:jc w:val="center"/>
              <w:rPr>
                <w:noProof/>
                <w:color w:val="000000" w:themeColor="text1"/>
              </w:rPr>
            </w:pPr>
            <w:r>
              <w:rPr>
                <w:noProof/>
                <w:color w:val="000000" w:themeColor="text1"/>
              </w:rPr>
              <w:t>375</w:t>
            </w:r>
          </w:p>
        </w:tc>
        <w:tc>
          <w:tcPr>
            <w:tcW w:w="840" w:type="pct"/>
            <w:tcBorders>
              <w:top w:val="single" w:sz="24" w:space="0" w:color="0055A0"/>
            </w:tcBorders>
            <w:shd w:val="clear" w:color="auto" w:fill="auto"/>
            <w:noWrap/>
          </w:tcPr>
          <w:p w:rsidR="00B231CB" w:rsidRDefault="00C71431">
            <w:pPr>
              <w:spacing w:after="120"/>
              <w:jc w:val="center"/>
              <w:rPr>
                <w:noProof/>
                <w:color w:val="000000" w:themeColor="text1"/>
              </w:rPr>
            </w:pPr>
            <w:r>
              <w:rPr>
                <w:noProof/>
                <w:color w:val="000000" w:themeColor="text1"/>
              </w:rPr>
              <w:t>368</w:t>
            </w:r>
          </w:p>
        </w:tc>
        <w:tc>
          <w:tcPr>
            <w:tcW w:w="775" w:type="pct"/>
            <w:tcBorders>
              <w:top w:val="single" w:sz="24" w:space="0" w:color="0055A0"/>
            </w:tcBorders>
            <w:shd w:val="clear" w:color="auto" w:fill="auto"/>
            <w:noWrap/>
            <w:hideMark/>
          </w:tcPr>
          <w:p w:rsidR="00B231CB" w:rsidRDefault="00C71431">
            <w:pPr>
              <w:spacing w:after="120"/>
              <w:jc w:val="center"/>
              <w:rPr>
                <w:noProof/>
                <w:color w:val="000000" w:themeColor="text1"/>
              </w:rPr>
            </w:pPr>
            <w:r>
              <w:rPr>
                <w:noProof/>
                <w:color w:val="000000" w:themeColor="text1"/>
              </w:rPr>
              <w:t>29</w:t>
            </w:r>
          </w:p>
        </w:tc>
        <w:tc>
          <w:tcPr>
            <w:tcW w:w="808" w:type="pct"/>
            <w:tcBorders>
              <w:top w:val="single" w:sz="24" w:space="0" w:color="0055A0"/>
            </w:tcBorders>
            <w:shd w:val="clear" w:color="auto" w:fill="auto"/>
            <w:noWrap/>
            <w:vAlign w:val="bottom"/>
          </w:tcPr>
          <w:p w:rsidR="00B231CB" w:rsidRDefault="00C71431">
            <w:pPr>
              <w:spacing w:after="120"/>
              <w:jc w:val="center"/>
              <w:rPr>
                <w:noProof/>
                <w:color w:val="000000" w:themeColor="text1"/>
              </w:rPr>
            </w:pPr>
            <w:r>
              <w:rPr>
                <w:noProof/>
                <w:color w:val="000000" w:themeColor="text1"/>
              </w:rPr>
              <w:t>22</w:t>
            </w:r>
          </w:p>
        </w:tc>
      </w:tr>
      <w:tr w:rsidR="00B231CB">
        <w:trPr>
          <w:trHeight w:val="289"/>
        </w:trPr>
        <w:tc>
          <w:tcPr>
            <w:tcW w:w="1220" w:type="pct"/>
            <w:tcBorders>
              <w:bottom w:val="single" w:sz="4" w:space="0" w:color="auto"/>
            </w:tcBorders>
            <w:shd w:val="clear" w:color="auto" w:fill="auto"/>
            <w:noWrap/>
            <w:hideMark/>
          </w:tcPr>
          <w:p w:rsidR="00B231CB" w:rsidRDefault="00C71431">
            <w:pPr>
              <w:spacing w:after="120"/>
              <w:jc w:val="left"/>
              <w:rPr>
                <w:bCs/>
                <w:noProof/>
                <w:color w:val="000000" w:themeColor="text1"/>
              </w:rPr>
            </w:pPr>
            <w:r>
              <w:rPr>
                <w:bCs/>
                <w:noProof/>
                <w:color w:val="000000" w:themeColor="text1"/>
              </w:rPr>
              <w:t>Vans</w:t>
            </w:r>
          </w:p>
        </w:tc>
        <w:tc>
          <w:tcPr>
            <w:tcW w:w="646" w:type="pct"/>
            <w:tcBorders>
              <w:bottom w:val="single" w:sz="4" w:space="0" w:color="auto"/>
            </w:tcBorders>
            <w:shd w:val="clear" w:color="auto" w:fill="auto"/>
            <w:noWrap/>
            <w:hideMark/>
          </w:tcPr>
          <w:p w:rsidR="00B231CB" w:rsidRDefault="00C71431">
            <w:pPr>
              <w:spacing w:after="120"/>
              <w:jc w:val="center"/>
              <w:rPr>
                <w:noProof/>
                <w:color w:val="000000" w:themeColor="text1"/>
              </w:rPr>
            </w:pPr>
            <w:r>
              <w:rPr>
                <w:noProof/>
                <w:color w:val="000000" w:themeColor="text1"/>
              </w:rPr>
              <w:t>91</w:t>
            </w:r>
          </w:p>
        </w:tc>
        <w:tc>
          <w:tcPr>
            <w:tcW w:w="711" w:type="pct"/>
            <w:tcBorders>
              <w:bottom w:val="single" w:sz="4" w:space="0" w:color="auto"/>
            </w:tcBorders>
            <w:shd w:val="clear" w:color="auto" w:fill="auto"/>
            <w:noWrap/>
            <w:hideMark/>
          </w:tcPr>
          <w:p w:rsidR="00B231CB" w:rsidRDefault="00C71431">
            <w:pPr>
              <w:spacing w:after="120"/>
              <w:jc w:val="center"/>
              <w:rPr>
                <w:noProof/>
                <w:color w:val="000000" w:themeColor="text1"/>
              </w:rPr>
            </w:pPr>
            <w:r>
              <w:rPr>
                <w:noProof/>
                <w:color w:val="000000" w:themeColor="text1"/>
              </w:rPr>
              <w:t>88</w:t>
            </w:r>
          </w:p>
        </w:tc>
        <w:tc>
          <w:tcPr>
            <w:tcW w:w="840" w:type="pct"/>
            <w:tcBorders>
              <w:bottom w:val="single" w:sz="4" w:space="0" w:color="auto"/>
            </w:tcBorders>
            <w:shd w:val="clear" w:color="auto" w:fill="auto"/>
            <w:noWrap/>
          </w:tcPr>
          <w:p w:rsidR="00B231CB" w:rsidRDefault="00C71431">
            <w:pPr>
              <w:spacing w:after="120"/>
              <w:jc w:val="center"/>
              <w:rPr>
                <w:noProof/>
                <w:color w:val="000000" w:themeColor="text1"/>
              </w:rPr>
            </w:pPr>
            <w:r>
              <w:rPr>
                <w:noProof/>
                <w:color w:val="000000" w:themeColor="text1"/>
              </w:rPr>
              <w:t>86</w:t>
            </w:r>
          </w:p>
        </w:tc>
        <w:tc>
          <w:tcPr>
            <w:tcW w:w="775" w:type="pct"/>
            <w:tcBorders>
              <w:bottom w:val="single" w:sz="4" w:space="0" w:color="auto"/>
            </w:tcBorders>
            <w:shd w:val="clear" w:color="auto" w:fill="auto"/>
            <w:noWrap/>
            <w:hideMark/>
          </w:tcPr>
          <w:p w:rsidR="00B231CB" w:rsidRDefault="00C71431">
            <w:pPr>
              <w:spacing w:after="120"/>
              <w:jc w:val="center"/>
              <w:rPr>
                <w:noProof/>
                <w:color w:val="000000" w:themeColor="text1"/>
              </w:rPr>
            </w:pPr>
            <w:r>
              <w:rPr>
                <w:noProof/>
                <w:color w:val="000000" w:themeColor="text1"/>
              </w:rPr>
              <w:t>-3</w:t>
            </w:r>
          </w:p>
        </w:tc>
        <w:tc>
          <w:tcPr>
            <w:tcW w:w="808" w:type="pct"/>
            <w:tcBorders>
              <w:bottom w:val="single" w:sz="4" w:space="0" w:color="auto"/>
            </w:tcBorders>
            <w:shd w:val="clear" w:color="auto" w:fill="auto"/>
            <w:noWrap/>
            <w:vAlign w:val="bottom"/>
          </w:tcPr>
          <w:p w:rsidR="00B231CB" w:rsidRDefault="00C71431">
            <w:pPr>
              <w:spacing w:after="120"/>
              <w:jc w:val="center"/>
              <w:rPr>
                <w:noProof/>
                <w:color w:val="000000" w:themeColor="text1"/>
              </w:rPr>
            </w:pPr>
            <w:r>
              <w:rPr>
                <w:noProof/>
                <w:color w:val="000000" w:themeColor="text1"/>
              </w:rPr>
              <w:t>-5</w:t>
            </w:r>
          </w:p>
        </w:tc>
      </w:tr>
      <w:tr w:rsidR="00B231CB">
        <w:trPr>
          <w:trHeight w:val="303"/>
        </w:trPr>
        <w:tc>
          <w:tcPr>
            <w:tcW w:w="1220" w:type="pct"/>
            <w:tcBorders>
              <w:top w:val="single" w:sz="4" w:space="0" w:color="auto"/>
              <w:bottom w:val="single" w:sz="2" w:space="0" w:color="0055A0"/>
            </w:tcBorders>
            <w:shd w:val="clear" w:color="auto" w:fill="auto"/>
            <w:noWrap/>
            <w:hideMark/>
          </w:tcPr>
          <w:p w:rsidR="00B231CB" w:rsidRDefault="00C71431">
            <w:pPr>
              <w:spacing w:after="120"/>
              <w:jc w:val="left"/>
              <w:rPr>
                <w:bCs/>
                <w:noProof/>
                <w:color w:val="000000" w:themeColor="text1"/>
              </w:rPr>
            </w:pPr>
            <w:r>
              <w:rPr>
                <w:bCs/>
                <w:noProof/>
                <w:color w:val="000000" w:themeColor="text1"/>
              </w:rPr>
              <w:t>Other road transport</w:t>
            </w:r>
          </w:p>
        </w:tc>
        <w:tc>
          <w:tcPr>
            <w:tcW w:w="646" w:type="pct"/>
            <w:tcBorders>
              <w:top w:val="single" w:sz="4" w:space="0" w:color="auto"/>
              <w:bottom w:val="single" w:sz="2" w:space="0" w:color="0055A0"/>
            </w:tcBorders>
            <w:shd w:val="clear" w:color="auto" w:fill="auto"/>
            <w:noWrap/>
            <w:hideMark/>
          </w:tcPr>
          <w:p w:rsidR="00B231CB" w:rsidRDefault="00C71431">
            <w:pPr>
              <w:spacing w:after="120"/>
              <w:jc w:val="center"/>
              <w:rPr>
                <w:noProof/>
                <w:color w:val="000000" w:themeColor="text1"/>
              </w:rPr>
            </w:pPr>
            <w:r>
              <w:rPr>
                <w:noProof/>
                <w:color w:val="000000" w:themeColor="text1"/>
              </w:rPr>
              <w:t>237</w:t>
            </w:r>
          </w:p>
        </w:tc>
        <w:tc>
          <w:tcPr>
            <w:tcW w:w="711" w:type="pct"/>
            <w:tcBorders>
              <w:top w:val="single" w:sz="4" w:space="0" w:color="auto"/>
              <w:bottom w:val="single" w:sz="2" w:space="0" w:color="0055A0"/>
            </w:tcBorders>
            <w:shd w:val="clear" w:color="auto" w:fill="auto"/>
            <w:noWrap/>
            <w:hideMark/>
          </w:tcPr>
          <w:p w:rsidR="00B231CB" w:rsidRDefault="00C71431">
            <w:pPr>
              <w:spacing w:after="120"/>
              <w:jc w:val="center"/>
              <w:rPr>
                <w:noProof/>
                <w:color w:val="000000" w:themeColor="text1"/>
              </w:rPr>
            </w:pPr>
            <w:r>
              <w:rPr>
                <w:noProof/>
                <w:color w:val="000000" w:themeColor="text1"/>
              </w:rPr>
              <w:t>240</w:t>
            </w:r>
          </w:p>
        </w:tc>
        <w:tc>
          <w:tcPr>
            <w:tcW w:w="840" w:type="pct"/>
            <w:tcBorders>
              <w:top w:val="single" w:sz="4" w:space="0" w:color="auto"/>
              <w:bottom w:val="single" w:sz="2" w:space="0" w:color="0055A0"/>
            </w:tcBorders>
            <w:shd w:val="clear" w:color="auto" w:fill="auto"/>
            <w:noWrap/>
          </w:tcPr>
          <w:p w:rsidR="00B231CB" w:rsidRDefault="00C71431">
            <w:pPr>
              <w:spacing w:after="120"/>
              <w:jc w:val="center"/>
              <w:rPr>
                <w:noProof/>
                <w:color w:val="000000" w:themeColor="text1"/>
              </w:rPr>
            </w:pPr>
            <w:r>
              <w:rPr>
                <w:noProof/>
                <w:color w:val="000000" w:themeColor="text1"/>
              </w:rPr>
              <w:t>233</w:t>
            </w:r>
          </w:p>
        </w:tc>
        <w:tc>
          <w:tcPr>
            <w:tcW w:w="775" w:type="pct"/>
            <w:tcBorders>
              <w:top w:val="single" w:sz="4" w:space="0" w:color="auto"/>
              <w:bottom w:val="single" w:sz="2" w:space="0" w:color="0055A0"/>
            </w:tcBorders>
            <w:shd w:val="clear" w:color="auto" w:fill="auto"/>
            <w:noWrap/>
            <w:hideMark/>
          </w:tcPr>
          <w:p w:rsidR="00B231CB" w:rsidRDefault="00C71431">
            <w:pPr>
              <w:spacing w:after="120"/>
              <w:jc w:val="center"/>
              <w:rPr>
                <w:noProof/>
                <w:color w:val="000000" w:themeColor="text1"/>
              </w:rPr>
            </w:pPr>
            <w:r>
              <w:rPr>
                <w:noProof/>
                <w:color w:val="000000" w:themeColor="text1"/>
              </w:rPr>
              <w:t>3</w:t>
            </w:r>
          </w:p>
        </w:tc>
        <w:tc>
          <w:tcPr>
            <w:tcW w:w="808" w:type="pct"/>
            <w:tcBorders>
              <w:top w:val="single" w:sz="4" w:space="0" w:color="auto"/>
              <w:bottom w:val="single" w:sz="2" w:space="0" w:color="0055A0"/>
            </w:tcBorders>
            <w:shd w:val="clear" w:color="auto" w:fill="auto"/>
            <w:noWrap/>
            <w:vAlign w:val="bottom"/>
          </w:tcPr>
          <w:p w:rsidR="00B231CB" w:rsidRDefault="00C71431">
            <w:pPr>
              <w:spacing w:after="120"/>
              <w:jc w:val="center"/>
              <w:rPr>
                <w:noProof/>
                <w:color w:val="000000" w:themeColor="text1"/>
              </w:rPr>
            </w:pPr>
            <w:r>
              <w:rPr>
                <w:noProof/>
                <w:color w:val="000000" w:themeColor="text1"/>
              </w:rPr>
              <w:t>-4</w:t>
            </w:r>
          </w:p>
        </w:tc>
      </w:tr>
    </w:tbl>
    <w:p w:rsidR="00B231CB" w:rsidRDefault="00C71431">
      <w:pPr>
        <w:spacing w:before="120" w:after="120"/>
        <w:rPr>
          <w:noProof/>
          <w:color w:val="000000" w:themeColor="text1"/>
        </w:rPr>
      </w:pPr>
      <w:r>
        <w:rPr>
          <w:noProof/>
          <w:color w:val="000000" w:themeColor="text1"/>
        </w:rPr>
        <w:t xml:space="preserve">Another consistency check with </w:t>
      </w:r>
      <w:r>
        <w:rPr>
          <w:i/>
          <w:noProof/>
          <w:color w:val="000000" w:themeColor="text1"/>
        </w:rPr>
        <w:t>EUCO30</w:t>
      </w:r>
      <w:r>
        <w:rPr>
          <w:noProof/>
          <w:color w:val="000000" w:themeColor="text1"/>
        </w:rPr>
        <w:t xml:space="preserve"> concerns the Energy Efficiency target (30%)</w:t>
      </w:r>
      <w:r>
        <w:rPr>
          <w:rStyle w:val="FootnoteReference"/>
          <w:noProof/>
          <w:color w:val="000000" w:themeColor="text1"/>
        </w:rPr>
        <w:footnoteReference w:id="49"/>
      </w:r>
      <w:r>
        <w:rPr>
          <w:noProof/>
          <w:color w:val="000000" w:themeColor="text1"/>
        </w:rPr>
        <w:t xml:space="preserve"> for 2030. The difference in final energy demand in transport between the TL30c/25v, TL30c/25v+ and </w:t>
      </w:r>
      <w:r>
        <w:rPr>
          <w:i/>
          <w:noProof/>
          <w:color w:val="000000" w:themeColor="text1"/>
        </w:rPr>
        <w:t>EUCO30</w:t>
      </w:r>
      <w:r>
        <w:rPr>
          <w:noProof/>
          <w:color w:val="000000" w:themeColor="text1"/>
        </w:rPr>
        <w:t xml:space="preserve"> in 2030 is 8 ktoe and 5 ktoe, respectively (</w:t>
      </w:r>
      <w:r>
        <w:rPr>
          <w:noProof/>
          <w:color w:val="000000" w:themeColor="text1"/>
        </w:rPr>
        <w:fldChar w:fldCharType="begin"/>
      </w:r>
      <w:r>
        <w:rPr>
          <w:noProof/>
          <w:color w:val="000000" w:themeColor="text1"/>
        </w:rPr>
        <w:instrText xml:space="preserve"> REF _Ref495077682 \h </w:instrText>
      </w:r>
      <w:r>
        <w:rPr>
          <w:noProof/>
          <w:color w:val="000000" w:themeColor="text1"/>
        </w:rPr>
      </w:r>
      <w:r>
        <w:rPr>
          <w:noProof/>
          <w:color w:val="000000" w:themeColor="text1"/>
        </w:rPr>
        <w:fldChar w:fldCharType="separate"/>
      </w:r>
      <w:r>
        <w:rPr>
          <w:noProof/>
          <w:color w:val="000000" w:themeColor="text1"/>
        </w:rPr>
        <w:t>Table 5</w:t>
      </w:r>
      <w:r>
        <w:rPr>
          <w:noProof/>
          <w:color w:val="000000" w:themeColor="text1"/>
        </w:rPr>
        <w:fldChar w:fldCharType="end"/>
      </w:r>
      <w:r>
        <w:rPr>
          <w:noProof/>
          <w:color w:val="000000" w:themeColor="text1"/>
        </w:rPr>
        <w:t>). As th</w:t>
      </w:r>
      <w:r>
        <w:rPr>
          <w:noProof/>
          <w:color w:val="000000" w:themeColor="text1"/>
        </w:rPr>
        <w:t>ese differences are very small compared to the “Gross Inland Consumption (GIC) of energy (minus non-energy uses)”, it can be concluded that the energy efficiency target is also respected under the new policy scenarios.</w:t>
      </w:r>
    </w:p>
    <w:p w:rsidR="00B231CB" w:rsidRDefault="00C71431">
      <w:pPr>
        <w:pStyle w:val="Caption"/>
        <w:keepNext/>
        <w:spacing w:after="120"/>
        <w:jc w:val="both"/>
        <w:rPr>
          <w:noProof/>
          <w:color w:val="000000" w:themeColor="text1"/>
        </w:rPr>
      </w:pPr>
      <w:bookmarkStart w:id="66" w:name="_Ref495077682"/>
      <w:r>
        <w:rPr>
          <w:noProof/>
          <w:color w:val="000000" w:themeColor="text1"/>
        </w:rPr>
        <w:t xml:space="preserve">Table </w:t>
      </w:r>
      <w:r>
        <w:rPr>
          <w:noProof/>
          <w:color w:val="000000" w:themeColor="text1"/>
        </w:rPr>
        <w:fldChar w:fldCharType="begin"/>
      </w:r>
      <w:r>
        <w:rPr>
          <w:noProof/>
          <w:color w:val="000000" w:themeColor="text1"/>
        </w:rPr>
        <w:instrText xml:space="preserve"> SEQ Table \* ARABIC </w:instrText>
      </w:r>
      <w:r>
        <w:rPr>
          <w:noProof/>
          <w:color w:val="000000" w:themeColor="text1"/>
        </w:rPr>
        <w:fldChar w:fldCharType="separate"/>
      </w:r>
      <w:r>
        <w:rPr>
          <w:noProof/>
          <w:color w:val="000000" w:themeColor="text1"/>
        </w:rPr>
        <w:t>5</w:t>
      </w:r>
      <w:r>
        <w:rPr>
          <w:noProof/>
          <w:color w:val="000000" w:themeColor="text1"/>
        </w:rPr>
        <w:fldChar w:fldCharType="end"/>
      </w:r>
      <w:bookmarkEnd w:id="66"/>
      <w:r>
        <w:rPr>
          <w:noProof/>
          <w:color w:val="000000" w:themeColor="text1"/>
        </w:rPr>
        <w:t>: Fina</w:t>
      </w:r>
      <w:r>
        <w:rPr>
          <w:noProof/>
          <w:color w:val="000000" w:themeColor="text1"/>
        </w:rPr>
        <w:t>l energy demand in EU-28 (ktoe)</w:t>
      </w:r>
    </w:p>
    <w:tbl>
      <w:tblPr>
        <w:tblStyle w:val="TableGrid1"/>
        <w:tblW w:w="5000" w:type="pct"/>
        <w:tblLayout w:type="fixed"/>
        <w:tblLook w:val="04A0" w:firstRow="1" w:lastRow="0" w:firstColumn="1" w:lastColumn="0" w:noHBand="0" w:noVBand="1"/>
      </w:tblPr>
      <w:tblGrid>
        <w:gridCol w:w="4068"/>
        <w:gridCol w:w="1200"/>
        <w:gridCol w:w="1200"/>
        <w:gridCol w:w="1319"/>
        <w:gridCol w:w="1501"/>
      </w:tblGrid>
      <w:tr w:rsidR="00B231CB">
        <w:trPr>
          <w:cantSplit/>
          <w:trHeight w:val="315"/>
          <w:tblHeader/>
        </w:trPr>
        <w:tc>
          <w:tcPr>
            <w:tcW w:w="2190" w:type="pct"/>
            <w:tcBorders>
              <w:top w:val="single" w:sz="2" w:space="0" w:color="0055A0"/>
              <w:left w:val="single" w:sz="2" w:space="0" w:color="0055A0"/>
              <w:bottom w:val="single" w:sz="2" w:space="0" w:color="0055A0"/>
              <w:right w:val="single" w:sz="2" w:space="0" w:color="0055A0"/>
            </w:tcBorders>
            <w:shd w:val="clear" w:color="auto" w:fill="auto"/>
            <w:noWrap/>
          </w:tcPr>
          <w:p w:rsidR="00B231CB" w:rsidRDefault="00B231CB">
            <w:pPr>
              <w:spacing w:after="120"/>
              <w:jc w:val="right"/>
              <w:rPr>
                <w:bCs/>
                <w:i/>
                <w:noProof/>
                <w:color w:val="000000" w:themeColor="text1"/>
              </w:rPr>
            </w:pPr>
          </w:p>
        </w:tc>
        <w:tc>
          <w:tcPr>
            <w:tcW w:w="646" w:type="pct"/>
            <w:tcBorders>
              <w:top w:val="single" w:sz="2" w:space="0" w:color="0055A0"/>
              <w:left w:val="single" w:sz="2" w:space="0" w:color="0055A0"/>
              <w:bottom w:val="single" w:sz="2" w:space="0" w:color="0055A0"/>
              <w:right w:val="single" w:sz="2" w:space="0" w:color="0055A0"/>
            </w:tcBorders>
            <w:shd w:val="clear" w:color="auto" w:fill="auto"/>
            <w:noWrap/>
          </w:tcPr>
          <w:p w:rsidR="00B231CB" w:rsidRDefault="00C71431">
            <w:pPr>
              <w:spacing w:after="120"/>
              <w:jc w:val="center"/>
              <w:rPr>
                <w:bCs/>
                <w:noProof/>
                <w:color w:val="000000" w:themeColor="text1"/>
              </w:rPr>
            </w:pPr>
            <w:r>
              <w:rPr>
                <w:bCs/>
                <w:noProof/>
                <w:color w:val="000000" w:themeColor="text1"/>
              </w:rPr>
              <w:t>2007</w:t>
            </w:r>
          </w:p>
        </w:tc>
        <w:tc>
          <w:tcPr>
            <w:tcW w:w="2164" w:type="pct"/>
            <w:gridSpan w:val="3"/>
            <w:tcBorders>
              <w:top w:val="single" w:sz="2" w:space="0" w:color="0055A0"/>
              <w:left w:val="single" w:sz="2" w:space="0" w:color="0055A0"/>
              <w:bottom w:val="single" w:sz="2" w:space="0" w:color="0055A0"/>
              <w:right w:val="single" w:sz="2" w:space="0" w:color="0055A0"/>
            </w:tcBorders>
            <w:shd w:val="clear" w:color="auto" w:fill="auto"/>
            <w:noWrap/>
          </w:tcPr>
          <w:p w:rsidR="00B231CB" w:rsidRDefault="00C71431">
            <w:pPr>
              <w:spacing w:after="120"/>
              <w:jc w:val="center"/>
              <w:rPr>
                <w:bCs/>
                <w:noProof/>
                <w:color w:val="000000" w:themeColor="text1"/>
              </w:rPr>
            </w:pPr>
            <w:r>
              <w:rPr>
                <w:bCs/>
                <w:noProof/>
                <w:color w:val="000000" w:themeColor="text1"/>
              </w:rPr>
              <w:t>2030</w:t>
            </w:r>
          </w:p>
        </w:tc>
      </w:tr>
      <w:tr w:rsidR="00B231CB">
        <w:trPr>
          <w:cantSplit/>
          <w:trHeight w:val="315"/>
          <w:tblHeader/>
        </w:trPr>
        <w:tc>
          <w:tcPr>
            <w:tcW w:w="2190" w:type="pct"/>
            <w:tcBorders>
              <w:top w:val="single" w:sz="2" w:space="0" w:color="0055A0"/>
              <w:left w:val="single" w:sz="2" w:space="0" w:color="0055A0"/>
              <w:bottom w:val="single" w:sz="2" w:space="0" w:color="0055A0"/>
              <w:right w:val="single" w:sz="2" w:space="0" w:color="0055A0"/>
            </w:tcBorders>
            <w:shd w:val="clear" w:color="auto" w:fill="auto"/>
            <w:noWrap/>
            <w:hideMark/>
          </w:tcPr>
          <w:p w:rsidR="00B231CB" w:rsidRDefault="00C71431">
            <w:pPr>
              <w:spacing w:after="120"/>
              <w:jc w:val="right"/>
              <w:rPr>
                <w:bCs/>
                <w:i/>
                <w:noProof/>
                <w:color w:val="000000" w:themeColor="text1"/>
              </w:rPr>
            </w:pPr>
            <w:r>
              <w:rPr>
                <w:bCs/>
                <w:i/>
                <w:noProof/>
                <w:color w:val="000000" w:themeColor="text1"/>
              </w:rPr>
              <w:t> </w:t>
            </w:r>
          </w:p>
        </w:tc>
        <w:tc>
          <w:tcPr>
            <w:tcW w:w="646" w:type="pct"/>
            <w:tcBorders>
              <w:top w:val="single" w:sz="2" w:space="0" w:color="0055A0"/>
              <w:left w:val="single" w:sz="2" w:space="0" w:color="0055A0"/>
              <w:bottom w:val="single" w:sz="2" w:space="0" w:color="0055A0"/>
              <w:right w:val="single" w:sz="2" w:space="0" w:color="0055A0"/>
            </w:tcBorders>
            <w:shd w:val="clear" w:color="auto" w:fill="auto"/>
            <w:noWrap/>
            <w:hideMark/>
          </w:tcPr>
          <w:p w:rsidR="00B231CB" w:rsidRDefault="00C71431">
            <w:pPr>
              <w:spacing w:after="120"/>
              <w:jc w:val="center"/>
              <w:rPr>
                <w:bCs/>
                <w:i/>
                <w:noProof/>
                <w:color w:val="000000" w:themeColor="text1"/>
              </w:rPr>
            </w:pPr>
            <w:r>
              <w:rPr>
                <w:bCs/>
                <w:i/>
                <w:noProof/>
                <w:color w:val="000000" w:themeColor="text1"/>
              </w:rPr>
              <w:t>baseline</w:t>
            </w:r>
          </w:p>
        </w:tc>
        <w:tc>
          <w:tcPr>
            <w:tcW w:w="646" w:type="pct"/>
            <w:tcBorders>
              <w:top w:val="single" w:sz="2" w:space="0" w:color="0055A0"/>
              <w:left w:val="single" w:sz="2" w:space="0" w:color="0055A0"/>
              <w:bottom w:val="single" w:sz="2" w:space="0" w:color="0055A0"/>
              <w:right w:val="single" w:sz="2" w:space="0" w:color="0055A0"/>
            </w:tcBorders>
            <w:shd w:val="clear" w:color="auto" w:fill="auto"/>
            <w:noWrap/>
            <w:hideMark/>
          </w:tcPr>
          <w:p w:rsidR="00B231CB" w:rsidRDefault="00C71431">
            <w:pPr>
              <w:spacing w:after="120"/>
              <w:jc w:val="center"/>
              <w:rPr>
                <w:bCs/>
                <w:i/>
                <w:noProof/>
                <w:color w:val="000000" w:themeColor="text1"/>
              </w:rPr>
            </w:pPr>
            <w:r>
              <w:rPr>
                <w:bCs/>
                <w:i/>
                <w:noProof/>
                <w:color w:val="000000" w:themeColor="text1"/>
              </w:rPr>
              <w:t>EUCO30</w:t>
            </w:r>
          </w:p>
        </w:tc>
        <w:tc>
          <w:tcPr>
            <w:tcW w:w="710" w:type="pct"/>
            <w:tcBorders>
              <w:top w:val="single" w:sz="2" w:space="0" w:color="0055A0"/>
              <w:left w:val="single" w:sz="2" w:space="0" w:color="0055A0"/>
              <w:bottom w:val="single" w:sz="2" w:space="0" w:color="0055A0"/>
              <w:right w:val="single" w:sz="2" w:space="0" w:color="0055A0"/>
            </w:tcBorders>
            <w:shd w:val="clear" w:color="auto" w:fill="auto"/>
            <w:noWrap/>
            <w:hideMark/>
          </w:tcPr>
          <w:p w:rsidR="00B231CB" w:rsidRDefault="00C71431">
            <w:pPr>
              <w:spacing w:after="120"/>
              <w:jc w:val="center"/>
              <w:rPr>
                <w:bCs/>
                <w:i/>
                <w:noProof/>
                <w:color w:val="000000" w:themeColor="text1"/>
              </w:rPr>
            </w:pPr>
            <w:r>
              <w:rPr>
                <w:noProof/>
                <w:color w:val="000000" w:themeColor="text1"/>
                <w:szCs w:val="24"/>
              </w:rPr>
              <w:t>TL30c/25v</w:t>
            </w:r>
          </w:p>
        </w:tc>
        <w:tc>
          <w:tcPr>
            <w:tcW w:w="808" w:type="pct"/>
            <w:tcBorders>
              <w:top w:val="single" w:sz="2" w:space="0" w:color="0055A0"/>
              <w:left w:val="single" w:sz="2" w:space="0" w:color="0055A0"/>
              <w:bottom w:val="single" w:sz="2" w:space="0" w:color="0055A0"/>
              <w:right w:val="single" w:sz="2" w:space="0" w:color="0055A0"/>
            </w:tcBorders>
            <w:shd w:val="clear" w:color="auto" w:fill="auto"/>
            <w:noWrap/>
            <w:hideMark/>
          </w:tcPr>
          <w:p w:rsidR="00B231CB" w:rsidRDefault="00C71431">
            <w:pPr>
              <w:spacing w:after="120"/>
              <w:jc w:val="center"/>
              <w:rPr>
                <w:bCs/>
                <w:i/>
                <w:noProof/>
                <w:color w:val="000000" w:themeColor="text1"/>
              </w:rPr>
            </w:pPr>
            <w:r>
              <w:rPr>
                <w:noProof/>
                <w:color w:val="000000" w:themeColor="text1"/>
                <w:szCs w:val="24"/>
              </w:rPr>
              <w:t>TL30c/25v</w:t>
            </w:r>
            <w:r>
              <w:rPr>
                <w:bCs/>
                <w:i/>
                <w:noProof/>
                <w:color w:val="000000" w:themeColor="text1"/>
              </w:rPr>
              <w:t>+</w:t>
            </w:r>
          </w:p>
        </w:tc>
      </w:tr>
      <w:tr w:rsidR="00B231CB">
        <w:trPr>
          <w:trHeight w:val="315"/>
        </w:trPr>
        <w:tc>
          <w:tcPr>
            <w:tcW w:w="2190" w:type="pct"/>
            <w:tcBorders>
              <w:top w:val="single" w:sz="2" w:space="0" w:color="0055A0"/>
              <w:left w:val="single" w:sz="2" w:space="0" w:color="0055A0"/>
              <w:bottom w:val="single" w:sz="2" w:space="0" w:color="0055A0"/>
              <w:right w:val="single" w:sz="2" w:space="0" w:color="0055A0"/>
            </w:tcBorders>
            <w:shd w:val="clear" w:color="auto" w:fill="auto"/>
            <w:noWrap/>
            <w:hideMark/>
          </w:tcPr>
          <w:p w:rsidR="00B231CB" w:rsidRDefault="00C71431">
            <w:pPr>
              <w:spacing w:after="120"/>
              <w:jc w:val="left"/>
              <w:rPr>
                <w:bCs/>
                <w:noProof/>
                <w:color w:val="000000" w:themeColor="text1"/>
              </w:rPr>
            </w:pPr>
            <w:r>
              <w:rPr>
                <w:bCs/>
                <w:noProof/>
                <w:color w:val="000000" w:themeColor="text1"/>
              </w:rPr>
              <w:t>Final energy demand in transport [ktoe]</w:t>
            </w:r>
          </w:p>
        </w:tc>
        <w:tc>
          <w:tcPr>
            <w:tcW w:w="646" w:type="pct"/>
            <w:tcBorders>
              <w:top w:val="single" w:sz="2" w:space="0" w:color="0055A0"/>
              <w:left w:val="single" w:sz="2" w:space="0" w:color="0055A0"/>
              <w:bottom w:val="single" w:sz="2" w:space="0" w:color="0055A0"/>
              <w:right w:val="single" w:sz="2" w:space="0" w:color="0055A0"/>
            </w:tcBorders>
            <w:shd w:val="clear" w:color="auto" w:fill="auto"/>
            <w:noWrap/>
            <w:hideMark/>
          </w:tcPr>
          <w:p w:rsidR="00B231CB" w:rsidRDefault="00B231CB">
            <w:pPr>
              <w:spacing w:after="120"/>
              <w:jc w:val="center"/>
              <w:rPr>
                <w:noProof/>
                <w:color w:val="000000" w:themeColor="text1"/>
              </w:rPr>
            </w:pPr>
          </w:p>
        </w:tc>
        <w:tc>
          <w:tcPr>
            <w:tcW w:w="646" w:type="pct"/>
            <w:tcBorders>
              <w:top w:val="single" w:sz="2" w:space="0" w:color="0055A0"/>
              <w:left w:val="single" w:sz="2" w:space="0" w:color="0055A0"/>
              <w:bottom w:val="single" w:sz="2" w:space="0" w:color="0055A0"/>
              <w:right w:val="single" w:sz="2" w:space="0" w:color="0055A0"/>
            </w:tcBorders>
            <w:shd w:val="clear" w:color="auto" w:fill="auto"/>
            <w:noWrap/>
            <w:hideMark/>
          </w:tcPr>
          <w:p w:rsidR="00B231CB" w:rsidRDefault="00C71431">
            <w:pPr>
              <w:spacing w:after="120"/>
              <w:jc w:val="center"/>
              <w:rPr>
                <w:noProof/>
                <w:color w:val="000000" w:themeColor="text1"/>
              </w:rPr>
            </w:pPr>
            <w:r>
              <w:rPr>
                <w:noProof/>
                <w:color w:val="000000" w:themeColor="text1"/>
              </w:rPr>
              <w:t>322</w:t>
            </w:r>
          </w:p>
        </w:tc>
        <w:tc>
          <w:tcPr>
            <w:tcW w:w="710" w:type="pct"/>
            <w:tcBorders>
              <w:top w:val="single" w:sz="2" w:space="0" w:color="0055A0"/>
              <w:left w:val="single" w:sz="2" w:space="0" w:color="0055A0"/>
              <w:bottom w:val="single" w:sz="2" w:space="0" w:color="0055A0"/>
              <w:right w:val="single" w:sz="2" w:space="0" w:color="0055A0"/>
            </w:tcBorders>
            <w:shd w:val="clear" w:color="auto" w:fill="auto"/>
            <w:noWrap/>
            <w:hideMark/>
          </w:tcPr>
          <w:p w:rsidR="00B231CB" w:rsidRDefault="00C71431">
            <w:pPr>
              <w:spacing w:after="120"/>
              <w:jc w:val="center"/>
              <w:rPr>
                <w:noProof/>
                <w:color w:val="000000" w:themeColor="text1"/>
              </w:rPr>
            </w:pPr>
            <w:r>
              <w:rPr>
                <w:noProof/>
                <w:color w:val="000000" w:themeColor="text1"/>
              </w:rPr>
              <w:t>329</w:t>
            </w:r>
          </w:p>
        </w:tc>
        <w:tc>
          <w:tcPr>
            <w:tcW w:w="808" w:type="pct"/>
            <w:tcBorders>
              <w:top w:val="single" w:sz="2" w:space="0" w:color="0055A0"/>
              <w:left w:val="single" w:sz="2" w:space="0" w:color="0055A0"/>
              <w:bottom w:val="single" w:sz="2" w:space="0" w:color="0055A0"/>
              <w:right w:val="single" w:sz="2" w:space="0" w:color="0055A0"/>
            </w:tcBorders>
            <w:shd w:val="clear" w:color="auto" w:fill="auto"/>
            <w:noWrap/>
          </w:tcPr>
          <w:p w:rsidR="00B231CB" w:rsidRDefault="00C71431">
            <w:pPr>
              <w:spacing w:after="120"/>
              <w:jc w:val="center"/>
              <w:rPr>
                <w:noProof/>
                <w:color w:val="000000" w:themeColor="text1"/>
              </w:rPr>
            </w:pPr>
            <w:r>
              <w:rPr>
                <w:noProof/>
                <w:color w:val="000000" w:themeColor="text1"/>
              </w:rPr>
              <w:t>326</w:t>
            </w:r>
          </w:p>
        </w:tc>
      </w:tr>
      <w:tr w:rsidR="00B231CB">
        <w:trPr>
          <w:trHeight w:val="315"/>
        </w:trPr>
        <w:tc>
          <w:tcPr>
            <w:tcW w:w="2190" w:type="pct"/>
            <w:tcBorders>
              <w:top w:val="single" w:sz="2" w:space="0" w:color="0055A0"/>
              <w:left w:val="single" w:sz="2" w:space="0" w:color="0055A0"/>
              <w:bottom w:val="single" w:sz="2" w:space="0" w:color="0055A0"/>
              <w:right w:val="single" w:sz="2" w:space="0" w:color="0055A0"/>
            </w:tcBorders>
            <w:shd w:val="clear" w:color="auto" w:fill="auto"/>
            <w:noWrap/>
            <w:hideMark/>
          </w:tcPr>
          <w:p w:rsidR="00B231CB" w:rsidRDefault="00C71431">
            <w:pPr>
              <w:spacing w:after="120"/>
              <w:rPr>
                <w:bCs/>
                <w:noProof/>
                <w:color w:val="000000" w:themeColor="text1"/>
              </w:rPr>
            </w:pPr>
            <w:r>
              <w:rPr>
                <w:bCs/>
                <w:noProof/>
                <w:color w:val="000000" w:themeColor="text1"/>
              </w:rPr>
              <w:t xml:space="preserve">Difference with </w:t>
            </w:r>
            <w:r>
              <w:rPr>
                <w:bCs/>
                <w:i/>
                <w:noProof/>
                <w:color w:val="000000" w:themeColor="text1"/>
              </w:rPr>
              <w:t>EUCO30</w:t>
            </w:r>
          </w:p>
        </w:tc>
        <w:tc>
          <w:tcPr>
            <w:tcW w:w="646" w:type="pct"/>
            <w:tcBorders>
              <w:top w:val="single" w:sz="2" w:space="0" w:color="0055A0"/>
              <w:left w:val="single" w:sz="2" w:space="0" w:color="0055A0"/>
              <w:bottom w:val="single" w:sz="2" w:space="0" w:color="0055A0"/>
              <w:right w:val="single" w:sz="2" w:space="0" w:color="0055A0"/>
            </w:tcBorders>
            <w:shd w:val="clear" w:color="auto" w:fill="auto"/>
            <w:noWrap/>
            <w:hideMark/>
          </w:tcPr>
          <w:p w:rsidR="00B231CB" w:rsidRDefault="00B231CB">
            <w:pPr>
              <w:spacing w:after="120"/>
              <w:jc w:val="center"/>
              <w:rPr>
                <w:noProof/>
                <w:color w:val="000000" w:themeColor="text1"/>
              </w:rPr>
            </w:pPr>
          </w:p>
        </w:tc>
        <w:tc>
          <w:tcPr>
            <w:tcW w:w="646" w:type="pct"/>
            <w:tcBorders>
              <w:top w:val="single" w:sz="2" w:space="0" w:color="0055A0"/>
              <w:left w:val="single" w:sz="2" w:space="0" w:color="0055A0"/>
              <w:bottom w:val="single" w:sz="2" w:space="0" w:color="0055A0"/>
              <w:right w:val="single" w:sz="2" w:space="0" w:color="0055A0"/>
            </w:tcBorders>
            <w:shd w:val="clear" w:color="auto" w:fill="auto"/>
            <w:noWrap/>
            <w:hideMark/>
          </w:tcPr>
          <w:p w:rsidR="00B231CB" w:rsidRDefault="00C71431">
            <w:pPr>
              <w:spacing w:after="120"/>
              <w:jc w:val="center"/>
              <w:rPr>
                <w:noProof/>
                <w:color w:val="000000" w:themeColor="text1"/>
              </w:rPr>
            </w:pPr>
            <w:r>
              <w:rPr>
                <w:noProof/>
                <w:color w:val="000000" w:themeColor="text1"/>
              </w:rPr>
              <w:t>-</w:t>
            </w:r>
          </w:p>
        </w:tc>
        <w:tc>
          <w:tcPr>
            <w:tcW w:w="710" w:type="pct"/>
            <w:tcBorders>
              <w:top w:val="single" w:sz="2" w:space="0" w:color="0055A0"/>
              <w:left w:val="single" w:sz="2" w:space="0" w:color="0055A0"/>
              <w:bottom w:val="single" w:sz="2" w:space="0" w:color="0055A0"/>
              <w:right w:val="single" w:sz="2" w:space="0" w:color="0055A0"/>
            </w:tcBorders>
            <w:shd w:val="clear" w:color="auto" w:fill="auto"/>
            <w:noWrap/>
            <w:hideMark/>
          </w:tcPr>
          <w:p w:rsidR="00B231CB" w:rsidRDefault="00C71431">
            <w:pPr>
              <w:spacing w:after="120"/>
              <w:jc w:val="center"/>
              <w:rPr>
                <w:noProof/>
                <w:color w:val="000000" w:themeColor="text1"/>
              </w:rPr>
            </w:pPr>
            <w:r>
              <w:rPr>
                <w:noProof/>
                <w:color w:val="000000" w:themeColor="text1"/>
              </w:rPr>
              <w:t>8</w:t>
            </w:r>
          </w:p>
        </w:tc>
        <w:tc>
          <w:tcPr>
            <w:tcW w:w="808" w:type="pct"/>
            <w:tcBorders>
              <w:top w:val="single" w:sz="2" w:space="0" w:color="0055A0"/>
              <w:left w:val="single" w:sz="2" w:space="0" w:color="0055A0"/>
              <w:bottom w:val="single" w:sz="2" w:space="0" w:color="0055A0"/>
              <w:right w:val="single" w:sz="2" w:space="0" w:color="0055A0"/>
            </w:tcBorders>
            <w:shd w:val="clear" w:color="auto" w:fill="auto"/>
            <w:noWrap/>
          </w:tcPr>
          <w:p w:rsidR="00B231CB" w:rsidRDefault="00C71431">
            <w:pPr>
              <w:spacing w:after="120"/>
              <w:jc w:val="center"/>
              <w:rPr>
                <w:noProof/>
                <w:color w:val="000000" w:themeColor="text1"/>
              </w:rPr>
            </w:pPr>
            <w:r>
              <w:rPr>
                <w:noProof/>
                <w:color w:val="000000" w:themeColor="text1"/>
              </w:rPr>
              <w:t>5</w:t>
            </w:r>
          </w:p>
        </w:tc>
      </w:tr>
      <w:tr w:rsidR="00B231CB">
        <w:trPr>
          <w:trHeight w:val="315"/>
        </w:trPr>
        <w:tc>
          <w:tcPr>
            <w:tcW w:w="2190" w:type="pct"/>
            <w:tcBorders>
              <w:top w:val="single" w:sz="2" w:space="0" w:color="0055A0"/>
              <w:left w:val="single" w:sz="2" w:space="0" w:color="0055A0"/>
              <w:bottom w:val="single" w:sz="2" w:space="0" w:color="0055A0"/>
              <w:right w:val="single" w:sz="2" w:space="0" w:color="0055A0"/>
            </w:tcBorders>
            <w:shd w:val="clear" w:color="auto" w:fill="auto"/>
            <w:noWrap/>
            <w:hideMark/>
          </w:tcPr>
          <w:p w:rsidR="00B231CB" w:rsidRDefault="00C71431">
            <w:pPr>
              <w:spacing w:after="120"/>
              <w:rPr>
                <w:bCs/>
                <w:noProof/>
                <w:color w:val="000000" w:themeColor="text1"/>
              </w:rPr>
            </w:pPr>
            <w:r>
              <w:rPr>
                <w:bCs/>
                <w:noProof/>
                <w:color w:val="000000" w:themeColor="text1"/>
              </w:rPr>
              <w:t>GIC for energy</w:t>
            </w:r>
          </w:p>
        </w:tc>
        <w:tc>
          <w:tcPr>
            <w:tcW w:w="646" w:type="pct"/>
            <w:tcBorders>
              <w:top w:val="single" w:sz="2" w:space="0" w:color="0055A0"/>
              <w:left w:val="single" w:sz="2" w:space="0" w:color="0055A0"/>
              <w:bottom w:val="single" w:sz="2" w:space="0" w:color="0055A0"/>
              <w:right w:val="single" w:sz="2" w:space="0" w:color="0055A0"/>
            </w:tcBorders>
            <w:shd w:val="clear" w:color="auto" w:fill="auto"/>
            <w:noWrap/>
            <w:hideMark/>
          </w:tcPr>
          <w:p w:rsidR="00B231CB" w:rsidRDefault="00C71431">
            <w:pPr>
              <w:spacing w:after="120"/>
              <w:jc w:val="center"/>
              <w:rPr>
                <w:noProof/>
                <w:color w:val="000000" w:themeColor="text1"/>
              </w:rPr>
            </w:pPr>
            <w:r>
              <w:rPr>
                <w:noProof/>
                <w:color w:val="000000" w:themeColor="text1"/>
              </w:rPr>
              <w:t>1,887</w:t>
            </w:r>
          </w:p>
        </w:tc>
        <w:tc>
          <w:tcPr>
            <w:tcW w:w="646" w:type="pct"/>
            <w:tcBorders>
              <w:top w:val="single" w:sz="2" w:space="0" w:color="0055A0"/>
              <w:left w:val="single" w:sz="2" w:space="0" w:color="0055A0"/>
              <w:bottom w:val="single" w:sz="2" w:space="0" w:color="0055A0"/>
              <w:right w:val="single" w:sz="2" w:space="0" w:color="0055A0"/>
            </w:tcBorders>
            <w:shd w:val="clear" w:color="auto" w:fill="auto"/>
            <w:noWrap/>
            <w:hideMark/>
          </w:tcPr>
          <w:p w:rsidR="00B231CB" w:rsidRDefault="00C71431">
            <w:pPr>
              <w:spacing w:after="120"/>
              <w:jc w:val="center"/>
              <w:rPr>
                <w:noProof/>
                <w:color w:val="000000" w:themeColor="text1"/>
              </w:rPr>
            </w:pPr>
            <w:r>
              <w:rPr>
                <w:noProof/>
                <w:color w:val="000000" w:themeColor="text1"/>
              </w:rPr>
              <w:t>1,321</w:t>
            </w:r>
          </w:p>
          <w:p w:rsidR="00B231CB" w:rsidRDefault="00C71431">
            <w:pPr>
              <w:spacing w:after="120"/>
              <w:jc w:val="center"/>
              <w:rPr>
                <w:noProof/>
                <w:color w:val="000000" w:themeColor="text1"/>
              </w:rPr>
            </w:pPr>
            <w:r>
              <w:rPr>
                <w:noProof/>
                <w:color w:val="000000" w:themeColor="text1"/>
              </w:rPr>
              <w:t>(-30.0%)</w:t>
            </w:r>
          </w:p>
        </w:tc>
        <w:tc>
          <w:tcPr>
            <w:tcW w:w="710" w:type="pct"/>
            <w:tcBorders>
              <w:top w:val="single" w:sz="2" w:space="0" w:color="0055A0"/>
              <w:left w:val="single" w:sz="2" w:space="0" w:color="0055A0"/>
              <w:bottom w:val="single" w:sz="2" w:space="0" w:color="0055A0"/>
              <w:right w:val="single" w:sz="2" w:space="0" w:color="0055A0"/>
            </w:tcBorders>
            <w:shd w:val="clear" w:color="auto" w:fill="auto"/>
            <w:noWrap/>
            <w:hideMark/>
          </w:tcPr>
          <w:p w:rsidR="00B231CB" w:rsidRDefault="00C71431">
            <w:pPr>
              <w:spacing w:after="120"/>
              <w:jc w:val="center"/>
              <w:rPr>
                <w:noProof/>
                <w:color w:val="000000" w:themeColor="text1"/>
              </w:rPr>
            </w:pPr>
            <w:r>
              <w:rPr>
                <w:noProof/>
                <w:color w:val="000000" w:themeColor="text1"/>
              </w:rPr>
              <w:t>1,329</w:t>
            </w:r>
          </w:p>
          <w:p w:rsidR="00B231CB" w:rsidRDefault="00C71431">
            <w:pPr>
              <w:spacing w:after="120"/>
              <w:jc w:val="center"/>
              <w:rPr>
                <w:noProof/>
                <w:color w:val="000000" w:themeColor="text1"/>
              </w:rPr>
            </w:pPr>
            <w:r>
              <w:rPr>
                <w:noProof/>
                <w:color w:val="000000" w:themeColor="text1"/>
              </w:rPr>
              <w:t>(-29.6%)</w:t>
            </w:r>
          </w:p>
        </w:tc>
        <w:tc>
          <w:tcPr>
            <w:tcW w:w="808" w:type="pct"/>
            <w:tcBorders>
              <w:top w:val="single" w:sz="2" w:space="0" w:color="0055A0"/>
              <w:left w:val="single" w:sz="2" w:space="0" w:color="0055A0"/>
              <w:bottom w:val="single" w:sz="2" w:space="0" w:color="0055A0"/>
              <w:right w:val="single" w:sz="2" w:space="0" w:color="0055A0"/>
            </w:tcBorders>
            <w:shd w:val="clear" w:color="auto" w:fill="auto"/>
            <w:noWrap/>
          </w:tcPr>
          <w:p w:rsidR="00B231CB" w:rsidRDefault="00C71431">
            <w:pPr>
              <w:spacing w:after="120"/>
              <w:jc w:val="center"/>
              <w:rPr>
                <w:noProof/>
                <w:color w:val="000000" w:themeColor="text1"/>
              </w:rPr>
            </w:pPr>
            <w:r>
              <w:rPr>
                <w:noProof/>
                <w:color w:val="000000" w:themeColor="text1"/>
              </w:rPr>
              <w:t>1,326</w:t>
            </w:r>
          </w:p>
          <w:p w:rsidR="00B231CB" w:rsidRDefault="00C71431">
            <w:pPr>
              <w:spacing w:after="120"/>
              <w:jc w:val="center"/>
              <w:rPr>
                <w:noProof/>
                <w:color w:val="000000" w:themeColor="text1"/>
              </w:rPr>
            </w:pPr>
            <w:r>
              <w:rPr>
                <w:noProof/>
                <w:color w:val="000000" w:themeColor="text1"/>
              </w:rPr>
              <w:t>(-29.7%)</w:t>
            </w:r>
          </w:p>
        </w:tc>
      </w:tr>
    </w:tbl>
    <w:p w:rsidR="00B231CB" w:rsidRDefault="00C71431">
      <w:pPr>
        <w:spacing w:before="120" w:after="120"/>
        <w:rPr>
          <w:noProof/>
          <w:color w:val="000000" w:themeColor="text1"/>
        </w:rPr>
      </w:pPr>
      <w:r>
        <w:rPr>
          <w:noProof/>
          <w:color w:val="000000" w:themeColor="text1"/>
        </w:rPr>
        <w:fldChar w:fldCharType="begin"/>
      </w:r>
      <w:r>
        <w:rPr>
          <w:noProof/>
          <w:color w:val="000000" w:themeColor="text1"/>
        </w:rPr>
        <w:instrText xml:space="preserve"> REF _Ref495077701 \h  \* MERGEFORMAT </w:instrText>
      </w:r>
      <w:r>
        <w:rPr>
          <w:noProof/>
          <w:color w:val="000000" w:themeColor="text1"/>
        </w:rPr>
      </w:r>
      <w:r>
        <w:rPr>
          <w:noProof/>
          <w:color w:val="000000" w:themeColor="text1"/>
        </w:rPr>
        <w:fldChar w:fldCharType="separate"/>
      </w:r>
      <w:r>
        <w:rPr>
          <w:noProof/>
          <w:color w:val="000000" w:themeColor="text1"/>
        </w:rPr>
        <w:t>Table 6</w:t>
      </w:r>
      <w:r>
        <w:rPr>
          <w:noProof/>
          <w:color w:val="000000" w:themeColor="text1"/>
        </w:rPr>
        <w:fldChar w:fldCharType="end"/>
      </w:r>
      <w:r>
        <w:rPr>
          <w:noProof/>
          <w:color w:val="000000" w:themeColor="text1"/>
        </w:rPr>
        <w:t xml:space="preserve"> shows a comparison for road transport based on the changes of emission reduction and final energy savings with respect to </w:t>
      </w:r>
      <w:r>
        <w:rPr>
          <w:i/>
          <w:noProof/>
          <w:color w:val="000000" w:themeColor="text1"/>
        </w:rPr>
        <w:t>EUCO30</w:t>
      </w:r>
      <w:r>
        <w:rPr>
          <w:noProof/>
          <w:color w:val="000000" w:themeColor="text1"/>
        </w:rPr>
        <w:t xml:space="preserve">. </w:t>
      </w:r>
    </w:p>
    <w:p w:rsidR="00B231CB" w:rsidRDefault="00C71431">
      <w:pPr>
        <w:pStyle w:val="ListParagraph"/>
        <w:spacing w:after="160" w:line="259" w:lineRule="auto"/>
        <w:ind w:left="0"/>
        <w:jc w:val="left"/>
        <w:rPr>
          <w:b/>
          <w:noProof/>
          <w:color w:val="000000" w:themeColor="text1"/>
          <w:lang w:val="en-US"/>
        </w:rPr>
      </w:pPr>
      <w:bookmarkStart w:id="67" w:name="_Ref495077701"/>
      <w:r>
        <w:rPr>
          <w:b/>
          <w:noProof/>
          <w:color w:val="000000" w:themeColor="text1"/>
        </w:rPr>
        <w:t xml:space="preserve">Table </w:t>
      </w:r>
      <w:r>
        <w:rPr>
          <w:b/>
          <w:noProof/>
          <w:color w:val="000000" w:themeColor="text1"/>
        </w:rPr>
        <w:fldChar w:fldCharType="begin"/>
      </w:r>
      <w:r>
        <w:rPr>
          <w:b/>
          <w:noProof/>
          <w:color w:val="000000" w:themeColor="text1"/>
        </w:rPr>
        <w:instrText xml:space="preserve"> SEQ T</w:instrText>
      </w:r>
      <w:r>
        <w:rPr>
          <w:b/>
          <w:noProof/>
          <w:color w:val="000000" w:themeColor="text1"/>
        </w:rPr>
        <w:instrText xml:space="preserve">able \* ARABIC </w:instrText>
      </w:r>
      <w:r>
        <w:rPr>
          <w:b/>
          <w:noProof/>
          <w:color w:val="000000" w:themeColor="text1"/>
        </w:rPr>
        <w:fldChar w:fldCharType="separate"/>
      </w:r>
      <w:r>
        <w:rPr>
          <w:b/>
          <w:noProof/>
          <w:color w:val="000000" w:themeColor="text1"/>
        </w:rPr>
        <w:t>6</w:t>
      </w:r>
      <w:r>
        <w:rPr>
          <w:b/>
          <w:noProof/>
          <w:color w:val="000000" w:themeColor="text1"/>
        </w:rPr>
        <w:fldChar w:fldCharType="end"/>
      </w:r>
      <w:bookmarkEnd w:id="67"/>
      <w:r>
        <w:rPr>
          <w:b/>
          <w:noProof/>
          <w:color w:val="000000" w:themeColor="text1"/>
        </w:rPr>
        <w:t xml:space="preserve">: </w:t>
      </w:r>
      <w:r>
        <w:rPr>
          <w:b/>
          <w:noProof/>
          <w:color w:val="000000" w:themeColor="text1"/>
          <w:lang w:val="en-US"/>
        </w:rPr>
        <w:t>Greenhouse gas savings from 30% reduction in CO</w:t>
      </w:r>
      <w:r>
        <w:rPr>
          <w:b/>
          <w:noProof/>
          <w:color w:val="000000" w:themeColor="text1"/>
          <w:vertAlign w:val="subscript"/>
          <w:lang w:val="en-US"/>
        </w:rPr>
        <w:t>2</w:t>
      </w:r>
      <w:r>
        <w:rPr>
          <w:b/>
          <w:noProof/>
          <w:color w:val="000000" w:themeColor="text1"/>
          <w:lang w:val="en-US"/>
        </w:rPr>
        <w:t xml:space="preserve"> standards for cars </w:t>
      </w:r>
    </w:p>
    <w:tbl>
      <w:tblPr>
        <w:tblStyle w:val="TableGrid"/>
        <w:tblW w:w="0" w:type="auto"/>
        <w:tblInd w:w="307" w:type="dxa"/>
        <w:tblLook w:val="04A0" w:firstRow="1" w:lastRow="0" w:firstColumn="1" w:lastColumn="0" w:noHBand="0" w:noVBand="1"/>
      </w:tblPr>
      <w:tblGrid>
        <w:gridCol w:w="2201"/>
        <w:gridCol w:w="2400"/>
        <w:gridCol w:w="2004"/>
        <w:gridCol w:w="2196"/>
      </w:tblGrid>
      <w:tr w:rsidR="00B231CB">
        <w:tc>
          <w:tcPr>
            <w:tcW w:w="2201" w:type="dxa"/>
            <w:vAlign w:val="center"/>
          </w:tcPr>
          <w:p w:rsidR="00B231CB" w:rsidRDefault="00C71431">
            <w:pPr>
              <w:spacing w:after="120"/>
              <w:jc w:val="center"/>
              <w:rPr>
                <w:b/>
                <w:noProof/>
                <w:color w:val="000000" w:themeColor="text1"/>
                <w:lang w:val="en-US"/>
              </w:rPr>
            </w:pPr>
            <w:r>
              <w:rPr>
                <w:b/>
                <w:noProof/>
                <w:color w:val="000000" w:themeColor="text1"/>
                <w:lang w:val="en-US"/>
              </w:rPr>
              <w:t>Scenario</w:t>
            </w:r>
          </w:p>
        </w:tc>
        <w:tc>
          <w:tcPr>
            <w:tcW w:w="2400" w:type="dxa"/>
            <w:vAlign w:val="center"/>
          </w:tcPr>
          <w:p w:rsidR="00B231CB" w:rsidRDefault="00C71431">
            <w:pPr>
              <w:spacing w:after="120"/>
              <w:jc w:val="center"/>
              <w:rPr>
                <w:b/>
                <w:noProof/>
                <w:color w:val="000000" w:themeColor="text1"/>
                <w:lang w:val="en-US"/>
              </w:rPr>
            </w:pPr>
            <w:r>
              <w:rPr>
                <w:b/>
                <w:noProof/>
                <w:color w:val="000000" w:themeColor="text1"/>
                <w:lang w:val="en-US"/>
              </w:rPr>
              <w:t>Emissions savings 2005-2030</w:t>
            </w:r>
          </w:p>
        </w:tc>
        <w:tc>
          <w:tcPr>
            <w:tcW w:w="2004" w:type="dxa"/>
            <w:vAlign w:val="center"/>
          </w:tcPr>
          <w:p w:rsidR="00B231CB" w:rsidRDefault="00C71431">
            <w:pPr>
              <w:spacing w:after="120"/>
              <w:jc w:val="center"/>
              <w:rPr>
                <w:b/>
                <w:noProof/>
                <w:color w:val="000000" w:themeColor="text1"/>
                <w:lang w:val="en-US"/>
              </w:rPr>
            </w:pPr>
            <w:r>
              <w:rPr>
                <w:b/>
                <w:noProof/>
                <w:color w:val="000000" w:themeColor="text1"/>
                <w:lang w:val="en-US"/>
              </w:rPr>
              <w:t xml:space="preserve">Lower emission savings in 2030 </w:t>
            </w:r>
          </w:p>
        </w:tc>
        <w:tc>
          <w:tcPr>
            <w:tcW w:w="2196" w:type="dxa"/>
            <w:vAlign w:val="center"/>
          </w:tcPr>
          <w:p w:rsidR="00B231CB" w:rsidRDefault="00C71431">
            <w:pPr>
              <w:spacing w:after="120"/>
              <w:jc w:val="center"/>
              <w:rPr>
                <w:b/>
                <w:noProof/>
                <w:color w:val="000000" w:themeColor="text1"/>
                <w:lang w:val="en-US"/>
              </w:rPr>
            </w:pPr>
            <w:r>
              <w:rPr>
                <w:b/>
                <w:noProof/>
                <w:color w:val="000000" w:themeColor="text1"/>
                <w:lang w:val="en-US"/>
              </w:rPr>
              <w:t xml:space="preserve">Higher final energy demand </w:t>
            </w:r>
          </w:p>
        </w:tc>
      </w:tr>
      <w:tr w:rsidR="00B231CB">
        <w:tc>
          <w:tcPr>
            <w:tcW w:w="2201" w:type="dxa"/>
            <w:vAlign w:val="center"/>
          </w:tcPr>
          <w:p w:rsidR="00B231CB" w:rsidRDefault="00C71431">
            <w:pPr>
              <w:spacing w:after="120"/>
              <w:rPr>
                <w:noProof/>
                <w:color w:val="000000" w:themeColor="text1"/>
                <w:lang w:val="en-US"/>
              </w:rPr>
            </w:pPr>
            <w:r>
              <w:rPr>
                <w:i/>
                <w:noProof/>
                <w:color w:val="000000" w:themeColor="text1"/>
                <w:lang w:val="en-US"/>
              </w:rPr>
              <w:t>EUCO30</w:t>
            </w:r>
          </w:p>
        </w:tc>
        <w:tc>
          <w:tcPr>
            <w:tcW w:w="2400" w:type="dxa"/>
            <w:vAlign w:val="center"/>
          </w:tcPr>
          <w:p w:rsidR="00B231CB" w:rsidRDefault="00C71431">
            <w:pPr>
              <w:spacing w:after="120"/>
              <w:jc w:val="center"/>
              <w:rPr>
                <w:b/>
                <w:noProof/>
                <w:color w:val="000000" w:themeColor="text1"/>
                <w:lang w:val="en-US"/>
              </w:rPr>
            </w:pPr>
            <w:r>
              <w:rPr>
                <w:b/>
                <w:noProof/>
                <w:color w:val="000000" w:themeColor="text1"/>
                <w:lang w:val="en-US"/>
              </w:rPr>
              <w:t>24.7%</w:t>
            </w:r>
          </w:p>
        </w:tc>
        <w:tc>
          <w:tcPr>
            <w:tcW w:w="2004" w:type="dxa"/>
            <w:vAlign w:val="center"/>
          </w:tcPr>
          <w:p w:rsidR="00B231CB" w:rsidRDefault="00B231CB">
            <w:pPr>
              <w:spacing w:after="120"/>
              <w:jc w:val="center"/>
              <w:rPr>
                <w:noProof/>
                <w:color w:val="000000" w:themeColor="text1"/>
                <w:lang w:val="en-US"/>
              </w:rPr>
            </w:pPr>
          </w:p>
        </w:tc>
        <w:tc>
          <w:tcPr>
            <w:tcW w:w="2196" w:type="dxa"/>
            <w:vAlign w:val="center"/>
          </w:tcPr>
          <w:p w:rsidR="00B231CB" w:rsidRDefault="00B231CB">
            <w:pPr>
              <w:spacing w:after="120"/>
              <w:jc w:val="center"/>
              <w:rPr>
                <w:noProof/>
                <w:color w:val="000000" w:themeColor="text1"/>
                <w:lang w:val="en-US"/>
              </w:rPr>
            </w:pPr>
          </w:p>
        </w:tc>
      </w:tr>
      <w:tr w:rsidR="00B231CB">
        <w:tc>
          <w:tcPr>
            <w:tcW w:w="2201" w:type="dxa"/>
            <w:vAlign w:val="center"/>
          </w:tcPr>
          <w:p w:rsidR="00B231CB" w:rsidRDefault="00C71431">
            <w:pPr>
              <w:spacing w:after="120"/>
              <w:rPr>
                <w:noProof/>
                <w:color w:val="000000" w:themeColor="text1"/>
                <w:lang w:val="en-US"/>
              </w:rPr>
            </w:pPr>
            <w:r>
              <w:rPr>
                <w:i/>
                <w:noProof/>
                <w:color w:val="000000" w:themeColor="text1"/>
                <w:lang w:val="en-US"/>
              </w:rPr>
              <w:t>TL30c/25v</w:t>
            </w:r>
          </w:p>
        </w:tc>
        <w:tc>
          <w:tcPr>
            <w:tcW w:w="2400" w:type="dxa"/>
            <w:vAlign w:val="center"/>
          </w:tcPr>
          <w:p w:rsidR="00B231CB" w:rsidRDefault="00C71431">
            <w:pPr>
              <w:spacing w:after="120"/>
              <w:jc w:val="center"/>
              <w:rPr>
                <w:b/>
                <w:noProof/>
                <w:color w:val="000000" w:themeColor="text1"/>
                <w:lang w:val="en-US"/>
              </w:rPr>
            </w:pPr>
            <w:r>
              <w:rPr>
                <w:b/>
                <w:noProof/>
                <w:color w:val="000000" w:themeColor="text1"/>
                <w:lang w:val="en-US"/>
              </w:rPr>
              <w:t>21.3%</w:t>
            </w:r>
          </w:p>
        </w:tc>
        <w:tc>
          <w:tcPr>
            <w:tcW w:w="2004" w:type="dxa"/>
            <w:vAlign w:val="center"/>
          </w:tcPr>
          <w:p w:rsidR="00B231CB" w:rsidRDefault="00C71431">
            <w:pPr>
              <w:spacing w:after="120"/>
              <w:jc w:val="center"/>
              <w:rPr>
                <w:noProof/>
                <w:color w:val="000000" w:themeColor="text1"/>
                <w:lang w:val="en-US"/>
              </w:rPr>
            </w:pPr>
            <w:r>
              <w:rPr>
                <w:noProof/>
                <w:color w:val="000000" w:themeColor="text1"/>
                <w:lang w:val="en-US"/>
              </w:rPr>
              <w:t>-3.4%</w:t>
            </w:r>
          </w:p>
        </w:tc>
        <w:tc>
          <w:tcPr>
            <w:tcW w:w="2196" w:type="dxa"/>
            <w:vAlign w:val="center"/>
          </w:tcPr>
          <w:p w:rsidR="00B231CB" w:rsidRDefault="00C71431">
            <w:pPr>
              <w:spacing w:after="120"/>
              <w:jc w:val="center"/>
              <w:rPr>
                <w:noProof/>
                <w:color w:val="000000" w:themeColor="text1"/>
                <w:lang w:val="en-US"/>
              </w:rPr>
            </w:pPr>
            <w:r>
              <w:rPr>
                <w:noProof/>
                <w:color w:val="000000" w:themeColor="text1"/>
                <w:lang w:val="en-US"/>
              </w:rPr>
              <w:t>+3.2%</w:t>
            </w:r>
          </w:p>
        </w:tc>
      </w:tr>
      <w:tr w:rsidR="00B231CB">
        <w:tc>
          <w:tcPr>
            <w:tcW w:w="2201" w:type="dxa"/>
            <w:vAlign w:val="center"/>
          </w:tcPr>
          <w:p w:rsidR="00B231CB" w:rsidRDefault="00C71431">
            <w:pPr>
              <w:spacing w:after="120"/>
              <w:rPr>
                <w:noProof/>
                <w:color w:val="000000" w:themeColor="text1"/>
              </w:rPr>
            </w:pPr>
            <w:r>
              <w:rPr>
                <w:i/>
                <w:noProof/>
                <w:color w:val="000000" w:themeColor="text1"/>
                <w:lang w:val="en-US"/>
              </w:rPr>
              <w:t>TL30c/25v</w:t>
            </w:r>
            <w:r>
              <w:rPr>
                <w:noProof/>
                <w:color w:val="000000" w:themeColor="text1"/>
              </w:rPr>
              <w:t>+</w:t>
            </w:r>
          </w:p>
        </w:tc>
        <w:tc>
          <w:tcPr>
            <w:tcW w:w="2400" w:type="dxa"/>
            <w:vAlign w:val="center"/>
          </w:tcPr>
          <w:p w:rsidR="00B231CB" w:rsidRDefault="00C71431">
            <w:pPr>
              <w:spacing w:after="120"/>
              <w:jc w:val="center"/>
              <w:rPr>
                <w:b/>
                <w:noProof/>
                <w:color w:val="000000" w:themeColor="text1"/>
              </w:rPr>
            </w:pPr>
            <w:r>
              <w:rPr>
                <w:b/>
                <w:noProof/>
                <w:color w:val="000000" w:themeColor="text1"/>
              </w:rPr>
              <w:t>23.0%</w:t>
            </w:r>
          </w:p>
        </w:tc>
        <w:tc>
          <w:tcPr>
            <w:tcW w:w="2004" w:type="dxa"/>
            <w:vAlign w:val="center"/>
          </w:tcPr>
          <w:p w:rsidR="00B231CB" w:rsidRDefault="00C71431">
            <w:pPr>
              <w:spacing w:after="120"/>
              <w:jc w:val="center"/>
              <w:rPr>
                <w:noProof/>
                <w:color w:val="000000" w:themeColor="text1"/>
              </w:rPr>
            </w:pPr>
            <w:r>
              <w:rPr>
                <w:noProof/>
                <w:color w:val="000000" w:themeColor="text1"/>
              </w:rPr>
              <w:t>-1.7%</w:t>
            </w:r>
          </w:p>
        </w:tc>
        <w:tc>
          <w:tcPr>
            <w:tcW w:w="2196" w:type="dxa"/>
            <w:vAlign w:val="center"/>
          </w:tcPr>
          <w:p w:rsidR="00B231CB" w:rsidRDefault="00C71431">
            <w:pPr>
              <w:spacing w:after="120"/>
              <w:jc w:val="center"/>
              <w:rPr>
                <w:noProof/>
                <w:color w:val="000000" w:themeColor="text1"/>
              </w:rPr>
            </w:pPr>
            <w:r>
              <w:rPr>
                <w:noProof/>
                <w:color w:val="000000" w:themeColor="text1"/>
              </w:rPr>
              <w:t>+2.1%</w:t>
            </w:r>
          </w:p>
        </w:tc>
      </w:tr>
    </w:tbl>
    <w:p w:rsidR="00B231CB" w:rsidRDefault="00C71431">
      <w:pPr>
        <w:pStyle w:val="Heading2"/>
        <w:rPr>
          <w:noProof/>
        </w:rPr>
      </w:pPr>
      <w:bookmarkStart w:id="68" w:name="_Toc496688630"/>
      <w:r>
        <w:rPr>
          <w:noProof/>
        </w:rPr>
        <w:t>Determination of conversion factors from NEDC to WLTP emission values</w:t>
      </w:r>
      <w:bookmarkEnd w:id="68"/>
    </w:p>
    <w:p w:rsidR="00B231CB" w:rsidRDefault="00C71431">
      <w:pPr>
        <w:rPr>
          <w:b/>
          <w:noProof/>
        </w:rPr>
      </w:pPr>
      <w:r>
        <w:rPr>
          <w:b/>
          <w:noProof/>
        </w:rPr>
        <w:t>JRC Science for Policy Report "From NEDC to WLTP: effect on the type-approval CO</w:t>
      </w:r>
      <w:r>
        <w:rPr>
          <w:b/>
          <w:noProof/>
          <w:vertAlign w:val="subscript"/>
        </w:rPr>
        <w:t>2</w:t>
      </w:r>
      <w:r>
        <w:rPr>
          <w:b/>
          <w:noProof/>
        </w:rPr>
        <w:t xml:space="preserve"> emissions of light-duty vehicles" (</w:t>
      </w:r>
      <w:r>
        <w:rPr>
          <w:b/>
          <w:i/>
          <w:noProof/>
        </w:rPr>
        <w:t xml:space="preserve">Tsiakmakis, S. Fontaras, G., Cubito, C., Anagnostopoulos, K., </w:t>
      </w:r>
      <w:r>
        <w:rPr>
          <w:b/>
          <w:i/>
          <w:noProof/>
        </w:rPr>
        <w:t>J. Pavlovic, Ciuffo, B.</w:t>
      </w:r>
      <w:r>
        <w:rPr>
          <w:b/>
          <w:noProof/>
        </w:rPr>
        <w:t xml:space="preserve"> (2017), publication pending)</w:t>
      </w:r>
    </w:p>
    <w:p w:rsidR="00B231CB" w:rsidRDefault="00C71431">
      <w:pPr>
        <w:pStyle w:val="JRCText"/>
        <w:spacing w:before="0"/>
        <w:rPr>
          <w:rFonts w:ascii="Times New Roman" w:hAnsi="Times New Roman"/>
          <w:b/>
          <w:noProof/>
          <w:sz w:val="24"/>
          <w:szCs w:val="24"/>
        </w:rPr>
      </w:pPr>
      <w:r>
        <w:rPr>
          <w:rFonts w:ascii="Times New Roman" w:hAnsi="Times New Roman"/>
          <w:b/>
          <w:noProof/>
          <w:sz w:val="24"/>
          <w:szCs w:val="24"/>
        </w:rPr>
        <w:t>EXECUTIVE SUMMARY</w:t>
      </w:r>
    </w:p>
    <w:p w:rsidR="00B231CB" w:rsidRDefault="00C71431">
      <w:pPr>
        <w:pStyle w:val="JRCText"/>
        <w:spacing w:before="0"/>
        <w:rPr>
          <w:rFonts w:ascii="Times New Roman" w:hAnsi="Times New Roman"/>
          <w:noProof/>
          <w:sz w:val="24"/>
          <w:szCs w:val="24"/>
        </w:rPr>
      </w:pPr>
      <w:r>
        <w:rPr>
          <w:rFonts w:ascii="Times New Roman" w:hAnsi="Times New Roman"/>
          <w:noProof/>
          <w:sz w:val="24"/>
          <w:szCs w:val="24"/>
        </w:rPr>
        <w:t>This study aimed at analysing the impact on the European light duty vehicle fleet CO</w:t>
      </w:r>
      <w:r>
        <w:rPr>
          <w:noProof/>
          <w:szCs w:val="24"/>
          <w:vertAlign w:val="subscript"/>
        </w:rPr>
        <w:t>2</w:t>
      </w:r>
      <w:r>
        <w:rPr>
          <w:rFonts w:ascii="Times New Roman" w:hAnsi="Times New Roman"/>
          <w:noProof/>
          <w:sz w:val="24"/>
          <w:szCs w:val="24"/>
        </w:rPr>
        <w:t xml:space="preserve"> emissions of the introduction of the Worldwide Light duty vehicle Test Procedure (WLTP) in the European vehicle type-approval process. The calculations made for conventional vehicles rely mainly on the use of the PyCSIS (Passenger Car fleet emissions SImu</w:t>
      </w:r>
      <w:r>
        <w:rPr>
          <w:rFonts w:ascii="Times New Roman" w:hAnsi="Times New Roman"/>
          <w:noProof/>
          <w:sz w:val="24"/>
          <w:szCs w:val="24"/>
        </w:rPr>
        <w:t>lator) model, which was developed on the basis of CO</w:t>
      </w:r>
      <w:r>
        <w:rPr>
          <w:rFonts w:ascii="Times New Roman" w:hAnsi="Times New Roman"/>
          <w:noProof/>
          <w:sz w:val="24"/>
          <w:szCs w:val="24"/>
          <w:vertAlign w:val="subscript"/>
        </w:rPr>
        <w:t>2</w:t>
      </w:r>
      <w:r>
        <w:rPr>
          <w:rFonts w:ascii="Times New Roman" w:hAnsi="Times New Roman"/>
          <w:noProof/>
          <w:sz w:val="24"/>
          <w:szCs w:val="24"/>
        </w:rPr>
        <w:t>MPAS (CO</w:t>
      </w:r>
      <w:r>
        <w:rPr>
          <w:rFonts w:ascii="Times New Roman" w:hAnsi="Times New Roman"/>
          <w:noProof/>
          <w:sz w:val="24"/>
          <w:szCs w:val="24"/>
          <w:vertAlign w:val="subscript"/>
        </w:rPr>
        <w:t>2</w:t>
      </w:r>
      <w:r>
        <w:rPr>
          <w:rFonts w:ascii="Times New Roman" w:hAnsi="Times New Roman"/>
          <w:noProof/>
          <w:sz w:val="24"/>
          <w:szCs w:val="24"/>
        </w:rPr>
        <w:t xml:space="preserve"> Model for PAssenger and commercial vehicles Simulation), the model used in the phasing-in of the WLTP for the adaptation of the CO</w:t>
      </w:r>
      <w:r>
        <w:rPr>
          <w:rFonts w:ascii="Times New Roman" w:hAnsi="Times New Roman"/>
          <w:noProof/>
          <w:sz w:val="24"/>
          <w:szCs w:val="24"/>
          <w:vertAlign w:val="subscript"/>
        </w:rPr>
        <w:t>2</w:t>
      </w:r>
      <w:r>
        <w:rPr>
          <w:rFonts w:ascii="Times New Roman" w:hAnsi="Times New Roman"/>
          <w:noProof/>
          <w:sz w:val="24"/>
          <w:szCs w:val="24"/>
        </w:rPr>
        <w:t xml:space="preserve"> targets for light duty vehicles to the new test procedure</w:t>
      </w:r>
      <w:r>
        <w:rPr>
          <w:rStyle w:val="FootnoteReference"/>
          <w:rFonts w:ascii="Times New Roman" w:hAnsi="Times New Roman"/>
          <w:noProof/>
          <w:sz w:val="24"/>
          <w:szCs w:val="24"/>
        </w:rPr>
        <w:footnoteReference w:id="50"/>
      </w:r>
      <w:r>
        <w:rPr>
          <w:rFonts w:ascii="Times New Roman" w:hAnsi="Times New Roman"/>
          <w:noProof/>
          <w:sz w:val="24"/>
          <w:szCs w:val="24"/>
        </w:rPr>
        <w:t>. H</w:t>
      </w:r>
      <w:r>
        <w:rPr>
          <w:rFonts w:ascii="Times New Roman" w:hAnsi="Times New Roman"/>
          <w:noProof/>
          <w:sz w:val="24"/>
          <w:szCs w:val="24"/>
        </w:rPr>
        <w:t>owever, while CO</w:t>
      </w:r>
      <w:r>
        <w:rPr>
          <w:rFonts w:ascii="Times New Roman" w:hAnsi="Times New Roman"/>
          <w:noProof/>
          <w:sz w:val="24"/>
          <w:szCs w:val="24"/>
          <w:vertAlign w:val="subscript"/>
        </w:rPr>
        <w:t>2</w:t>
      </w:r>
      <w:r>
        <w:rPr>
          <w:rFonts w:ascii="Times New Roman" w:hAnsi="Times New Roman"/>
          <w:noProof/>
          <w:sz w:val="24"/>
          <w:szCs w:val="24"/>
        </w:rPr>
        <w:t>MPAS depends on the test results of individual vehicles, PyCSIS makes use of limited information, referring mainly to already available data sources and using empirical models and information collected from measurements at the Joint Resear</w:t>
      </w:r>
      <w:r>
        <w:rPr>
          <w:rFonts w:ascii="Times New Roman" w:hAnsi="Times New Roman"/>
          <w:noProof/>
          <w:sz w:val="24"/>
          <w:szCs w:val="24"/>
        </w:rPr>
        <w:t>ch Centre of the European Commission.</w:t>
      </w:r>
    </w:p>
    <w:p w:rsidR="00B231CB" w:rsidRDefault="00C71431">
      <w:pPr>
        <w:pStyle w:val="JRCText"/>
        <w:rPr>
          <w:rFonts w:ascii="Times New Roman" w:hAnsi="Times New Roman"/>
          <w:noProof/>
          <w:sz w:val="24"/>
          <w:szCs w:val="24"/>
        </w:rPr>
      </w:pPr>
      <w:r>
        <w:rPr>
          <w:rFonts w:ascii="Times New Roman" w:hAnsi="Times New Roman"/>
          <w:noProof/>
          <w:sz w:val="24"/>
          <w:szCs w:val="24"/>
        </w:rPr>
        <w:t>The methodology was applied to assess the impact of the introduction of the new CO</w:t>
      </w:r>
      <w:r>
        <w:rPr>
          <w:rFonts w:ascii="Times New Roman" w:hAnsi="Times New Roman"/>
          <w:noProof/>
          <w:sz w:val="24"/>
          <w:szCs w:val="24"/>
          <w:vertAlign w:val="subscript"/>
        </w:rPr>
        <w:t>2</w:t>
      </w:r>
      <w:r>
        <w:rPr>
          <w:rFonts w:ascii="Times New Roman" w:hAnsi="Times New Roman"/>
          <w:noProof/>
          <w:sz w:val="24"/>
          <w:szCs w:val="24"/>
        </w:rPr>
        <w:t xml:space="preserve"> certification procedure in Europe on the vehicle fleet CO</w:t>
      </w:r>
      <w:r>
        <w:rPr>
          <w:rFonts w:ascii="Times New Roman" w:hAnsi="Times New Roman"/>
          <w:noProof/>
          <w:sz w:val="24"/>
          <w:szCs w:val="24"/>
          <w:vertAlign w:val="subscript"/>
        </w:rPr>
        <w:t>2</w:t>
      </w:r>
      <w:r>
        <w:rPr>
          <w:rFonts w:ascii="Times New Roman" w:hAnsi="Times New Roman"/>
          <w:noProof/>
          <w:sz w:val="24"/>
          <w:szCs w:val="24"/>
        </w:rPr>
        <w:t xml:space="preserve"> emissions. </w:t>
      </w:r>
      <w:r>
        <w:rPr>
          <w:rFonts w:ascii="Times New Roman" w:hAnsi="Times New Roman"/>
          <w:noProof/>
          <w:sz w:val="24"/>
          <w:szCs w:val="24"/>
        </w:rPr>
        <w:fldChar w:fldCharType="begin"/>
      </w:r>
      <w:r>
        <w:rPr>
          <w:rFonts w:ascii="Times New Roman" w:hAnsi="Times New Roman"/>
          <w:noProof/>
          <w:sz w:val="24"/>
          <w:szCs w:val="24"/>
        </w:rPr>
        <w:instrText xml:space="preserve"> REF _Ref495081073 \h  \* MERGEFORMAT </w:instrText>
      </w:r>
      <w:r>
        <w:rPr>
          <w:rFonts w:ascii="Times New Roman" w:hAnsi="Times New Roman"/>
          <w:noProof/>
          <w:sz w:val="24"/>
          <w:szCs w:val="24"/>
        </w:rPr>
      </w:r>
      <w:r>
        <w:rPr>
          <w:rFonts w:ascii="Times New Roman" w:hAnsi="Times New Roman"/>
          <w:noProof/>
          <w:sz w:val="24"/>
          <w:szCs w:val="24"/>
        </w:rPr>
        <w:fldChar w:fldCharType="separate"/>
      </w:r>
    </w:p>
    <w:p w:rsidR="00B231CB" w:rsidRDefault="00C71431">
      <w:pPr>
        <w:pStyle w:val="JRCText"/>
        <w:spacing w:before="0"/>
        <w:rPr>
          <w:rFonts w:ascii="Times New Roman" w:hAnsi="Times New Roman"/>
          <w:noProof/>
          <w:sz w:val="24"/>
          <w:szCs w:val="24"/>
        </w:rPr>
      </w:pPr>
      <w:r>
        <w:rPr>
          <w:rFonts w:ascii="Times New Roman" w:hAnsi="Times New Roman"/>
          <w:noProof/>
          <w:sz w:val="24"/>
          <w:szCs w:val="24"/>
        </w:rPr>
        <w:t xml:space="preserve">Table </w:t>
      </w:r>
      <w:r>
        <w:rPr>
          <w:noProof/>
        </w:rPr>
        <w:t>7</w:t>
      </w:r>
      <w:r>
        <w:rPr>
          <w:rFonts w:ascii="Times New Roman" w:hAnsi="Times New Roman"/>
          <w:noProof/>
          <w:sz w:val="24"/>
          <w:szCs w:val="24"/>
        </w:rPr>
        <w:fldChar w:fldCharType="end"/>
      </w:r>
      <w:r>
        <w:rPr>
          <w:rFonts w:ascii="Times New Roman" w:hAnsi="Times New Roman"/>
          <w:noProof/>
          <w:sz w:val="24"/>
          <w:szCs w:val="24"/>
        </w:rPr>
        <w:t xml:space="preserve"> summarises the main results of this calculation for passenger cars and light commercial vehicles. For conventional, internal combustion engine (ICEV) passenger cars, the PyCSIS model has been applied to al</w:t>
      </w:r>
      <w:r>
        <w:rPr>
          <w:rFonts w:ascii="Times New Roman" w:hAnsi="Times New Roman"/>
          <w:noProof/>
          <w:sz w:val="24"/>
          <w:szCs w:val="24"/>
        </w:rPr>
        <w:t>l new registrations of year 2015. For battery electric, plug-in hybrid electric and hybrid electric vehicles, a different approach has been used due to the limited number of such vehicles sold in the European market in 2015. For this reason, in the table b</w:t>
      </w:r>
      <w:r>
        <w:rPr>
          <w:rFonts w:ascii="Times New Roman" w:hAnsi="Times New Roman"/>
          <w:noProof/>
          <w:sz w:val="24"/>
          <w:szCs w:val="24"/>
        </w:rPr>
        <w:t xml:space="preserve">elow only the WLTP to NEDC ratio is shown or these vehicle segments and not the NEDC values. </w:t>
      </w:r>
    </w:p>
    <w:p w:rsidR="00B231CB" w:rsidRDefault="00C71431">
      <w:pPr>
        <w:pStyle w:val="JRCText"/>
        <w:spacing w:before="0"/>
        <w:rPr>
          <w:rFonts w:ascii="Times New Roman" w:hAnsi="Times New Roman"/>
          <w:noProof/>
          <w:sz w:val="24"/>
          <w:szCs w:val="24"/>
        </w:rPr>
      </w:pPr>
      <w:r>
        <w:rPr>
          <w:rFonts w:ascii="Times New Roman" w:hAnsi="Times New Roman"/>
          <w:noProof/>
          <w:sz w:val="24"/>
          <w:szCs w:val="24"/>
        </w:rPr>
        <w:t>Considering the certification values for CO</w:t>
      </w:r>
      <w:r>
        <w:rPr>
          <w:rFonts w:ascii="Times New Roman" w:hAnsi="Times New Roman"/>
          <w:noProof/>
          <w:sz w:val="24"/>
          <w:szCs w:val="24"/>
          <w:vertAlign w:val="subscript"/>
        </w:rPr>
        <w:t>2</w:t>
      </w:r>
      <w:r>
        <w:rPr>
          <w:rFonts w:ascii="Times New Roman" w:hAnsi="Times New Roman"/>
          <w:noProof/>
          <w:sz w:val="24"/>
          <w:szCs w:val="24"/>
        </w:rPr>
        <w:t xml:space="preserve"> emissions, results for ICEV passenger cars show an average WLTP to NEDC CO</w:t>
      </w:r>
      <w:r>
        <w:rPr>
          <w:rFonts w:ascii="Times New Roman" w:hAnsi="Times New Roman"/>
          <w:noProof/>
          <w:sz w:val="24"/>
          <w:szCs w:val="24"/>
          <w:vertAlign w:val="subscript"/>
        </w:rPr>
        <w:t>2</w:t>
      </w:r>
      <w:r>
        <w:rPr>
          <w:rFonts w:ascii="Times New Roman" w:hAnsi="Times New Roman"/>
          <w:noProof/>
          <w:sz w:val="24"/>
          <w:szCs w:val="24"/>
        </w:rPr>
        <w:t xml:space="preserve"> emissions ratio of 1.21 (sales weighted a</w:t>
      </w:r>
      <w:r>
        <w:rPr>
          <w:rFonts w:ascii="Times New Roman" w:hAnsi="Times New Roman"/>
          <w:noProof/>
          <w:sz w:val="24"/>
          <w:szCs w:val="24"/>
        </w:rPr>
        <w:t>verage across the fleet). The ratio is higher for cars with lower NEDC emission values, while at very high emission levels (about 250 CO</w:t>
      </w:r>
      <w:r>
        <w:rPr>
          <w:rFonts w:ascii="Times New Roman" w:hAnsi="Times New Roman"/>
          <w:noProof/>
          <w:sz w:val="24"/>
          <w:szCs w:val="24"/>
          <w:vertAlign w:val="subscript"/>
        </w:rPr>
        <w:t>2</w:t>
      </w:r>
      <w:r>
        <w:rPr>
          <w:rFonts w:ascii="Times New Roman" w:hAnsi="Times New Roman"/>
          <w:noProof/>
          <w:sz w:val="24"/>
          <w:szCs w:val="24"/>
        </w:rPr>
        <w:t xml:space="preserve"> g/km) WLTP and NEDC lead to comparable results between the two procedures. Similar trends are found for light commerci</w:t>
      </w:r>
      <w:r>
        <w:rPr>
          <w:rFonts w:ascii="Times New Roman" w:hAnsi="Times New Roman"/>
          <w:noProof/>
          <w:sz w:val="24"/>
          <w:szCs w:val="24"/>
        </w:rPr>
        <w:t>al vehicles, with a slightly higher average ratio for ICEVs (~1.3).</w:t>
      </w:r>
    </w:p>
    <w:p w:rsidR="00B231CB" w:rsidRDefault="00C71431">
      <w:pPr>
        <w:pStyle w:val="JRCText"/>
        <w:spacing w:before="0"/>
        <w:rPr>
          <w:rFonts w:ascii="Times New Roman" w:hAnsi="Times New Roman"/>
          <w:noProof/>
          <w:sz w:val="24"/>
          <w:szCs w:val="24"/>
        </w:rPr>
      </w:pPr>
      <w:r>
        <w:rPr>
          <w:rFonts w:ascii="Times New Roman" w:hAnsi="Times New Roman"/>
          <w:noProof/>
          <w:sz w:val="24"/>
          <w:szCs w:val="24"/>
        </w:rPr>
        <w:t>Results for hybrid electric vehicles (HEVs) show an average WLTP to NEDC CO</w:t>
      </w:r>
      <w:r>
        <w:rPr>
          <w:rFonts w:ascii="Times New Roman" w:hAnsi="Times New Roman"/>
          <w:noProof/>
          <w:sz w:val="24"/>
          <w:szCs w:val="24"/>
          <w:vertAlign w:val="subscript"/>
        </w:rPr>
        <w:t>2</w:t>
      </w:r>
      <w:r>
        <w:rPr>
          <w:rFonts w:ascii="Times New Roman" w:hAnsi="Times New Roman"/>
          <w:noProof/>
          <w:sz w:val="24"/>
          <w:szCs w:val="24"/>
        </w:rPr>
        <w:t xml:space="preserve"> emissions ratio significantly higher than for ICEVs (approximately 1.33 for passenger cars and 1.4 for light commercial vehicles). Like in the case of ICEVs, the ratio is higher for vehicles with lower CO</w:t>
      </w:r>
      <w:r>
        <w:rPr>
          <w:rFonts w:ascii="Times New Roman" w:hAnsi="Times New Roman"/>
          <w:noProof/>
          <w:sz w:val="24"/>
          <w:szCs w:val="24"/>
          <w:vertAlign w:val="subscript"/>
        </w:rPr>
        <w:t>2</w:t>
      </w:r>
      <w:r>
        <w:rPr>
          <w:rFonts w:ascii="Times New Roman" w:hAnsi="Times New Roman"/>
          <w:noProof/>
          <w:sz w:val="24"/>
          <w:szCs w:val="24"/>
        </w:rPr>
        <w:t xml:space="preserve"> emissions. </w:t>
      </w:r>
    </w:p>
    <w:p w:rsidR="00B231CB" w:rsidRDefault="00C71431">
      <w:pPr>
        <w:pStyle w:val="Caption"/>
        <w:jc w:val="both"/>
        <w:rPr>
          <w:b w:val="0"/>
          <w:noProof/>
          <w:szCs w:val="24"/>
        </w:rPr>
      </w:pPr>
      <w:r>
        <w:rPr>
          <w:b w:val="0"/>
          <w:noProof/>
          <w:szCs w:val="24"/>
        </w:rPr>
        <w:t>Results for battery electric (BEV) an</w:t>
      </w:r>
      <w:r>
        <w:rPr>
          <w:b w:val="0"/>
          <w:noProof/>
          <w:szCs w:val="24"/>
        </w:rPr>
        <w:t>d fuel cell vehicles (FCEV) show an expected average WLTP to NEDC electric energy ratio of approximately 1.28 and a pure electric range ratio of approximately 0.9 (approximately 0.8 for BEV and 0.95 for FCEV). Differently from the case of the ICEVs, the ra</w:t>
      </w:r>
      <w:r>
        <w:rPr>
          <w:b w:val="0"/>
          <w:noProof/>
          <w:szCs w:val="24"/>
        </w:rPr>
        <w:t>tio for EVs remains approximately constant for vehicles of different size. In addition, the energy ratio is slightly higher for bigger vehicles than for smaller vehicles.</w:t>
      </w:r>
      <w:bookmarkStart w:id="69" w:name="_Ref495081073"/>
    </w:p>
    <w:p w:rsidR="00B231CB" w:rsidRDefault="00C71431">
      <w:pPr>
        <w:pStyle w:val="Caption"/>
        <w:keepNext/>
        <w:jc w:val="both"/>
        <w:rPr>
          <w:noProof/>
          <w:szCs w:val="24"/>
        </w:rPr>
      </w:pPr>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69"/>
      <w:r>
        <w:rPr>
          <w:noProof/>
        </w:rPr>
        <w:t>: Overview of the ratio between WLTP and NEDC emission</w:t>
      </w:r>
      <w:r>
        <w:rPr>
          <w:noProof/>
        </w:rPr>
        <w:t xml:space="preserve"> levels for different types of passenger cars and vans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1529"/>
        <w:gridCol w:w="3598"/>
        <w:gridCol w:w="1741"/>
      </w:tblGrid>
      <w:tr w:rsidR="00B231CB">
        <w:trPr>
          <w:trHeight w:val="556"/>
        </w:trPr>
        <w:tc>
          <w:tcPr>
            <w:tcW w:w="2126" w:type="pct"/>
            <w:gridSpan w:val="2"/>
            <w:vAlign w:val="center"/>
            <w:hideMark/>
          </w:tcPr>
          <w:p w:rsidR="00B231CB" w:rsidRDefault="00C71431">
            <w:pPr>
              <w:keepNext/>
              <w:spacing w:after="120"/>
              <w:jc w:val="left"/>
              <w:rPr>
                <w:b/>
                <w:bCs/>
                <w:noProof/>
                <w:color w:val="000000"/>
                <w:sz w:val="22"/>
                <w:szCs w:val="24"/>
                <w:lang w:val="en-US"/>
              </w:rPr>
            </w:pPr>
            <w:r>
              <w:rPr>
                <w:b/>
                <w:bCs/>
                <w:noProof/>
                <w:color w:val="000000"/>
                <w:sz w:val="22"/>
                <w:szCs w:val="24"/>
                <w:lang w:val="en-US"/>
              </w:rPr>
              <w:t>Passenger Cars</w:t>
            </w:r>
          </w:p>
        </w:tc>
        <w:tc>
          <w:tcPr>
            <w:tcW w:w="1937" w:type="pct"/>
            <w:shd w:val="clear" w:color="auto" w:fill="auto"/>
            <w:vAlign w:val="center"/>
            <w:hideMark/>
          </w:tcPr>
          <w:p w:rsidR="00B231CB" w:rsidRDefault="00C71431">
            <w:pPr>
              <w:keepNext/>
              <w:spacing w:after="120"/>
              <w:jc w:val="center"/>
              <w:rPr>
                <w:b/>
                <w:bCs/>
                <w:noProof/>
                <w:color w:val="000000"/>
                <w:sz w:val="22"/>
                <w:szCs w:val="24"/>
                <w:lang w:val="en-US"/>
              </w:rPr>
            </w:pPr>
            <w:r>
              <w:rPr>
                <w:b/>
                <w:bCs/>
                <w:noProof/>
                <w:color w:val="000000"/>
                <w:sz w:val="22"/>
                <w:szCs w:val="24"/>
                <w:lang w:val="en-US"/>
              </w:rPr>
              <w:t>NEDC Type Approval Emissions (g/km) (official 2015 data)</w:t>
            </w:r>
          </w:p>
        </w:tc>
        <w:tc>
          <w:tcPr>
            <w:tcW w:w="937" w:type="pct"/>
            <w:shd w:val="clear" w:color="auto" w:fill="auto"/>
            <w:vAlign w:val="center"/>
            <w:hideMark/>
          </w:tcPr>
          <w:p w:rsidR="00B231CB" w:rsidRDefault="00C71431">
            <w:pPr>
              <w:keepNext/>
              <w:spacing w:after="120"/>
              <w:jc w:val="center"/>
              <w:rPr>
                <w:b/>
                <w:bCs/>
                <w:noProof/>
                <w:color w:val="000000"/>
                <w:sz w:val="22"/>
                <w:szCs w:val="24"/>
                <w:lang w:val="en-US"/>
              </w:rPr>
            </w:pPr>
            <w:r>
              <w:rPr>
                <w:b/>
                <w:bCs/>
                <w:noProof/>
                <w:color w:val="000000"/>
                <w:sz w:val="22"/>
                <w:szCs w:val="24"/>
                <w:lang w:val="en-US"/>
              </w:rPr>
              <w:t>Ratio</w:t>
            </w:r>
            <w:r>
              <w:rPr>
                <w:b/>
                <w:bCs/>
                <w:noProof/>
                <w:color w:val="000000"/>
                <w:sz w:val="22"/>
                <w:szCs w:val="24"/>
                <w:lang w:val="en-US"/>
              </w:rPr>
              <w:br/>
              <w:t>WLTP/NEDC</w:t>
            </w:r>
          </w:p>
        </w:tc>
      </w:tr>
      <w:tr w:rsidR="00B231CB">
        <w:trPr>
          <w:trHeight w:val="284"/>
        </w:trPr>
        <w:tc>
          <w:tcPr>
            <w:tcW w:w="1303" w:type="pct"/>
            <w:shd w:val="clear" w:color="auto" w:fill="auto"/>
            <w:vAlign w:val="center"/>
            <w:hideMark/>
          </w:tcPr>
          <w:p w:rsidR="00B231CB" w:rsidRDefault="00C71431">
            <w:pPr>
              <w:keepNext/>
              <w:spacing w:after="120"/>
              <w:jc w:val="left"/>
              <w:rPr>
                <w:b/>
                <w:bCs/>
                <w:noProof/>
                <w:color w:val="000000"/>
                <w:sz w:val="22"/>
                <w:szCs w:val="24"/>
                <w:lang w:val="en-US"/>
              </w:rPr>
            </w:pPr>
            <w:r>
              <w:rPr>
                <w:b/>
                <w:bCs/>
                <w:noProof/>
                <w:color w:val="000000"/>
                <w:sz w:val="22"/>
                <w:szCs w:val="24"/>
                <w:lang w:val="en-US"/>
              </w:rPr>
              <w:t>All ICEV</w:t>
            </w:r>
          </w:p>
        </w:tc>
        <w:tc>
          <w:tcPr>
            <w:tcW w:w="823" w:type="pct"/>
          </w:tcPr>
          <w:p w:rsidR="00B231CB" w:rsidRDefault="00B231CB">
            <w:pPr>
              <w:keepNext/>
              <w:spacing w:after="120"/>
              <w:jc w:val="left"/>
              <w:rPr>
                <w:noProof/>
                <w:color w:val="000000"/>
                <w:sz w:val="22"/>
                <w:szCs w:val="24"/>
                <w:lang w:val="en-US"/>
              </w:rPr>
            </w:pPr>
          </w:p>
        </w:tc>
        <w:tc>
          <w:tcPr>
            <w:tcW w:w="1937" w:type="pct"/>
            <w:shd w:val="clear" w:color="auto" w:fill="auto"/>
            <w:vAlign w:val="center"/>
            <w:hideMark/>
          </w:tcPr>
          <w:p w:rsidR="00B231CB" w:rsidRDefault="00C71431">
            <w:pPr>
              <w:keepNext/>
              <w:spacing w:after="120"/>
              <w:jc w:val="center"/>
              <w:rPr>
                <w:noProof/>
                <w:color w:val="000000"/>
                <w:sz w:val="22"/>
                <w:szCs w:val="24"/>
                <w:lang w:val="en-US"/>
              </w:rPr>
            </w:pPr>
            <w:r>
              <w:rPr>
                <w:noProof/>
                <w:color w:val="000000"/>
                <w:sz w:val="22"/>
                <w:szCs w:val="24"/>
                <w:lang w:val="en-US"/>
              </w:rPr>
              <w:t>123</w:t>
            </w:r>
          </w:p>
        </w:tc>
        <w:tc>
          <w:tcPr>
            <w:tcW w:w="937" w:type="pct"/>
            <w:shd w:val="clear" w:color="auto" w:fill="auto"/>
            <w:vAlign w:val="center"/>
            <w:hideMark/>
          </w:tcPr>
          <w:p w:rsidR="00B231CB" w:rsidRDefault="00C71431">
            <w:pPr>
              <w:keepNext/>
              <w:spacing w:after="120"/>
              <w:jc w:val="center"/>
              <w:rPr>
                <w:noProof/>
                <w:color w:val="000000"/>
                <w:sz w:val="22"/>
                <w:szCs w:val="24"/>
                <w:lang w:val="en-US"/>
              </w:rPr>
            </w:pPr>
            <w:r>
              <w:rPr>
                <w:noProof/>
                <w:color w:val="000000"/>
                <w:sz w:val="22"/>
                <w:szCs w:val="24"/>
                <w:lang w:val="en-US"/>
              </w:rPr>
              <w:t>1.21</w:t>
            </w:r>
          </w:p>
        </w:tc>
      </w:tr>
      <w:tr w:rsidR="00B231CB">
        <w:trPr>
          <w:trHeight w:val="284"/>
        </w:trPr>
        <w:tc>
          <w:tcPr>
            <w:tcW w:w="1303" w:type="pct"/>
            <w:vMerge w:val="restart"/>
            <w:shd w:val="clear" w:color="auto" w:fill="auto"/>
            <w:vAlign w:val="center"/>
            <w:hideMark/>
          </w:tcPr>
          <w:p w:rsidR="00B231CB" w:rsidRDefault="00C71431">
            <w:pPr>
              <w:spacing w:after="120"/>
              <w:jc w:val="left"/>
              <w:rPr>
                <w:b/>
                <w:bCs/>
                <w:noProof/>
                <w:color w:val="000000"/>
                <w:sz w:val="22"/>
                <w:szCs w:val="24"/>
                <w:lang w:val="en-US"/>
              </w:rPr>
            </w:pPr>
            <w:r>
              <w:rPr>
                <w:b/>
                <w:bCs/>
                <w:noProof/>
                <w:color w:val="000000"/>
                <w:sz w:val="22"/>
                <w:szCs w:val="24"/>
                <w:lang w:val="en-US"/>
              </w:rPr>
              <w:t>Gasoline</w:t>
            </w:r>
          </w:p>
        </w:tc>
        <w:tc>
          <w:tcPr>
            <w:tcW w:w="823" w:type="pct"/>
          </w:tcPr>
          <w:p w:rsidR="00B231CB" w:rsidRDefault="00C71431">
            <w:pPr>
              <w:keepNext/>
              <w:keepLines/>
              <w:spacing w:after="120"/>
              <w:jc w:val="left"/>
              <w:outlineLvl w:val="8"/>
              <w:rPr>
                <w:b/>
                <w:noProof/>
                <w:color w:val="000000"/>
                <w:sz w:val="22"/>
                <w:szCs w:val="24"/>
                <w:lang w:val="en-US"/>
              </w:rPr>
            </w:pPr>
            <w:r>
              <w:rPr>
                <w:b/>
                <w:noProof/>
                <w:color w:val="000000"/>
                <w:sz w:val="22"/>
                <w:szCs w:val="24"/>
                <w:lang w:val="en-US"/>
              </w:rPr>
              <w:t>All</w:t>
            </w:r>
          </w:p>
        </w:tc>
        <w:tc>
          <w:tcPr>
            <w:tcW w:w="1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125</w:t>
            </w:r>
          </w:p>
        </w:tc>
        <w:tc>
          <w:tcPr>
            <w:tcW w:w="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1.22</w:t>
            </w:r>
          </w:p>
        </w:tc>
      </w:tr>
      <w:tr w:rsidR="00B231CB">
        <w:trPr>
          <w:trHeight w:val="284"/>
        </w:trPr>
        <w:tc>
          <w:tcPr>
            <w:tcW w:w="1303" w:type="pct"/>
            <w:vMerge/>
            <w:shd w:val="clear" w:color="auto" w:fill="auto"/>
            <w:vAlign w:val="center"/>
          </w:tcPr>
          <w:p w:rsidR="00B231CB" w:rsidRDefault="00B231CB">
            <w:pPr>
              <w:spacing w:after="120"/>
              <w:jc w:val="left"/>
              <w:rPr>
                <w:b/>
                <w:bCs/>
                <w:noProof/>
                <w:color w:val="000000"/>
                <w:sz w:val="22"/>
                <w:szCs w:val="24"/>
                <w:lang w:val="en-US"/>
              </w:rPr>
            </w:pPr>
          </w:p>
        </w:tc>
        <w:tc>
          <w:tcPr>
            <w:tcW w:w="823" w:type="pct"/>
            <w:vAlign w:val="center"/>
          </w:tcPr>
          <w:p w:rsidR="00B231CB" w:rsidRDefault="00C71431">
            <w:pPr>
              <w:spacing w:after="120"/>
              <w:jc w:val="left"/>
              <w:rPr>
                <w:noProof/>
                <w:color w:val="000000"/>
                <w:sz w:val="22"/>
                <w:szCs w:val="24"/>
                <w:lang w:val="en-US"/>
              </w:rPr>
            </w:pPr>
            <w:r>
              <w:rPr>
                <w:b/>
                <w:bCs/>
                <w:noProof/>
                <w:color w:val="000000"/>
                <w:sz w:val="22"/>
                <w:szCs w:val="24"/>
                <w:lang w:val="en-US"/>
              </w:rPr>
              <w:t>&lt; 1.4 l</w:t>
            </w:r>
          </w:p>
        </w:tc>
        <w:tc>
          <w:tcPr>
            <w:tcW w:w="1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115</w:t>
            </w:r>
          </w:p>
        </w:tc>
        <w:tc>
          <w:tcPr>
            <w:tcW w:w="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1.24</w:t>
            </w:r>
          </w:p>
        </w:tc>
      </w:tr>
      <w:tr w:rsidR="00B231CB">
        <w:trPr>
          <w:trHeight w:val="284"/>
        </w:trPr>
        <w:tc>
          <w:tcPr>
            <w:tcW w:w="1303" w:type="pct"/>
            <w:vMerge/>
            <w:shd w:val="clear" w:color="auto" w:fill="auto"/>
            <w:vAlign w:val="center"/>
          </w:tcPr>
          <w:p w:rsidR="00B231CB" w:rsidRDefault="00B231CB">
            <w:pPr>
              <w:spacing w:after="120"/>
              <w:jc w:val="left"/>
              <w:rPr>
                <w:b/>
                <w:bCs/>
                <w:noProof/>
                <w:color w:val="000000"/>
                <w:sz w:val="22"/>
                <w:szCs w:val="24"/>
                <w:lang w:val="en-US"/>
              </w:rPr>
            </w:pPr>
          </w:p>
        </w:tc>
        <w:tc>
          <w:tcPr>
            <w:tcW w:w="823" w:type="pct"/>
            <w:vAlign w:val="center"/>
          </w:tcPr>
          <w:p w:rsidR="00B231CB" w:rsidRDefault="00C71431">
            <w:pPr>
              <w:spacing w:after="120"/>
              <w:jc w:val="left"/>
              <w:rPr>
                <w:noProof/>
                <w:color w:val="000000"/>
                <w:sz w:val="22"/>
                <w:szCs w:val="24"/>
                <w:lang w:val="en-US"/>
              </w:rPr>
            </w:pPr>
            <w:r>
              <w:rPr>
                <w:b/>
                <w:bCs/>
                <w:noProof/>
                <w:color w:val="000000"/>
                <w:sz w:val="22"/>
                <w:szCs w:val="24"/>
                <w:lang w:val="en-US"/>
              </w:rPr>
              <w:t>1.4-2.0 l</w:t>
            </w:r>
          </w:p>
        </w:tc>
        <w:tc>
          <w:tcPr>
            <w:tcW w:w="1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148</w:t>
            </w:r>
          </w:p>
        </w:tc>
        <w:tc>
          <w:tcPr>
            <w:tcW w:w="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1.15</w:t>
            </w:r>
          </w:p>
        </w:tc>
      </w:tr>
      <w:tr w:rsidR="00B231CB">
        <w:trPr>
          <w:trHeight w:val="284"/>
        </w:trPr>
        <w:tc>
          <w:tcPr>
            <w:tcW w:w="1303" w:type="pct"/>
            <w:vMerge/>
            <w:shd w:val="clear" w:color="auto" w:fill="auto"/>
            <w:vAlign w:val="center"/>
          </w:tcPr>
          <w:p w:rsidR="00B231CB" w:rsidRDefault="00B231CB">
            <w:pPr>
              <w:spacing w:after="120"/>
              <w:jc w:val="left"/>
              <w:rPr>
                <w:b/>
                <w:bCs/>
                <w:noProof/>
                <w:color w:val="000000"/>
                <w:sz w:val="22"/>
                <w:szCs w:val="24"/>
                <w:lang w:val="en-US"/>
              </w:rPr>
            </w:pPr>
          </w:p>
        </w:tc>
        <w:tc>
          <w:tcPr>
            <w:tcW w:w="823" w:type="pct"/>
            <w:vAlign w:val="center"/>
          </w:tcPr>
          <w:p w:rsidR="00B231CB" w:rsidRDefault="00C71431">
            <w:pPr>
              <w:spacing w:after="120"/>
              <w:jc w:val="left"/>
              <w:rPr>
                <w:noProof/>
                <w:color w:val="000000"/>
                <w:sz w:val="22"/>
                <w:szCs w:val="24"/>
                <w:lang w:val="en-US"/>
              </w:rPr>
            </w:pPr>
            <w:r>
              <w:rPr>
                <w:b/>
                <w:bCs/>
                <w:noProof/>
                <w:color w:val="000000"/>
                <w:sz w:val="22"/>
                <w:szCs w:val="24"/>
                <w:lang w:val="en-US"/>
              </w:rPr>
              <w:t>&gt; 2.0 l</w:t>
            </w:r>
          </w:p>
        </w:tc>
        <w:tc>
          <w:tcPr>
            <w:tcW w:w="1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225</w:t>
            </w:r>
          </w:p>
        </w:tc>
        <w:tc>
          <w:tcPr>
            <w:tcW w:w="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1.07</w:t>
            </w:r>
          </w:p>
        </w:tc>
      </w:tr>
      <w:tr w:rsidR="00B231CB">
        <w:trPr>
          <w:trHeight w:val="284"/>
        </w:trPr>
        <w:tc>
          <w:tcPr>
            <w:tcW w:w="1303" w:type="pct"/>
            <w:vMerge w:val="restart"/>
            <w:shd w:val="clear" w:color="auto" w:fill="auto"/>
            <w:vAlign w:val="center"/>
            <w:hideMark/>
          </w:tcPr>
          <w:p w:rsidR="00B231CB" w:rsidRDefault="00C71431">
            <w:pPr>
              <w:spacing w:after="120"/>
              <w:jc w:val="left"/>
              <w:rPr>
                <w:b/>
                <w:bCs/>
                <w:noProof/>
                <w:color w:val="000000"/>
                <w:sz w:val="22"/>
                <w:szCs w:val="24"/>
                <w:lang w:val="en-US"/>
              </w:rPr>
            </w:pPr>
            <w:r>
              <w:rPr>
                <w:b/>
                <w:bCs/>
                <w:noProof/>
                <w:color w:val="000000"/>
                <w:sz w:val="22"/>
                <w:szCs w:val="24"/>
                <w:lang w:val="en-US"/>
              </w:rPr>
              <w:t>Diesel</w:t>
            </w:r>
          </w:p>
        </w:tc>
        <w:tc>
          <w:tcPr>
            <w:tcW w:w="823" w:type="pct"/>
          </w:tcPr>
          <w:p w:rsidR="00B231CB" w:rsidRDefault="00C71431">
            <w:pPr>
              <w:spacing w:after="120"/>
              <w:jc w:val="left"/>
              <w:rPr>
                <w:noProof/>
                <w:color w:val="000000"/>
                <w:sz w:val="22"/>
                <w:szCs w:val="24"/>
                <w:lang w:val="en-US"/>
              </w:rPr>
            </w:pPr>
            <w:r>
              <w:rPr>
                <w:b/>
                <w:noProof/>
                <w:color w:val="000000"/>
                <w:sz w:val="22"/>
                <w:szCs w:val="24"/>
                <w:lang w:val="en-US"/>
              </w:rPr>
              <w:t>All</w:t>
            </w:r>
          </w:p>
        </w:tc>
        <w:tc>
          <w:tcPr>
            <w:tcW w:w="1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121</w:t>
            </w:r>
          </w:p>
        </w:tc>
        <w:tc>
          <w:tcPr>
            <w:tcW w:w="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1.20</w:t>
            </w:r>
          </w:p>
        </w:tc>
      </w:tr>
      <w:tr w:rsidR="00B231CB">
        <w:trPr>
          <w:trHeight w:val="284"/>
        </w:trPr>
        <w:tc>
          <w:tcPr>
            <w:tcW w:w="1303" w:type="pct"/>
            <w:vMerge/>
            <w:shd w:val="clear" w:color="auto" w:fill="auto"/>
            <w:vAlign w:val="center"/>
          </w:tcPr>
          <w:p w:rsidR="00B231CB" w:rsidRDefault="00B231CB">
            <w:pPr>
              <w:spacing w:after="120"/>
              <w:jc w:val="left"/>
              <w:rPr>
                <w:b/>
                <w:bCs/>
                <w:noProof/>
                <w:color w:val="000000"/>
                <w:sz w:val="22"/>
                <w:szCs w:val="24"/>
                <w:lang w:val="en-US"/>
              </w:rPr>
            </w:pPr>
          </w:p>
        </w:tc>
        <w:tc>
          <w:tcPr>
            <w:tcW w:w="823" w:type="pct"/>
            <w:vAlign w:val="center"/>
          </w:tcPr>
          <w:p w:rsidR="00B231CB" w:rsidRDefault="00C71431">
            <w:pPr>
              <w:spacing w:after="120"/>
              <w:jc w:val="left"/>
              <w:rPr>
                <w:noProof/>
                <w:color w:val="000000"/>
                <w:sz w:val="22"/>
                <w:szCs w:val="24"/>
                <w:lang w:val="en-US"/>
              </w:rPr>
            </w:pPr>
            <w:r>
              <w:rPr>
                <w:b/>
                <w:bCs/>
                <w:noProof/>
                <w:color w:val="000000"/>
                <w:sz w:val="22"/>
                <w:szCs w:val="24"/>
                <w:lang w:val="en-US"/>
              </w:rPr>
              <w:t>&lt; 1.4 l</w:t>
            </w:r>
          </w:p>
        </w:tc>
        <w:tc>
          <w:tcPr>
            <w:tcW w:w="1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93</w:t>
            </w:r>
          </w:p>
        </w:tc>
        <w:tc>
          <w:tcPr>
            <w:tcW w:w="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1.26</w:t>
            </w:r>
          </w:p>
        </w:tc>
      </w:tr>
      <w:tr w:rsidR="00B231CB">
        <w:trPr>
          <w:trHeight w:val="284"/>
        </w:trPr>
        <w:tc>
          <w:tcPr>
            <w:tcW w:w="1303" w:type="pct"/>
            <w:vMerge/>
            <w:shd w:val="clear" w:color="auto" w:fill="auto"/>
            <w:vAlign w:val="center"/>
          </w:tcPr>
          <w:p w:rsidR="00B231CB" w:rsidRDefault="00B231CB">
            <w:pPr>
              <w:spacing w:after="120"/>
              <w:jc w:val="left"/>
              <w:rPr>
                <w:b/>
                <w:bCs/>
                <w:noProof/>
                <w:color w:val="000000"/>
                <w:sz w:val="22"/>
                <w:szCs w:val="24"/>
                <w:lang w:val="en-US"/>
              </w:rPr>
            </w:pPr>
          </w:p>
        </w:tc>
        <w:tc>
          <w:tcPr>
            <w:tcW w:w="823" w:type="pct"/>
            <w:vAlign w:val="center"/>
          </w:tcPr>
          <w:p w:rsidR="00B231CB" w:rsidRDefault="00C71431">
            <w:pPr>
              <w:spacing w:after="120"/>
              <w:jc w:val="left"/>
              <w:rPr>
                <w:noProof/>
                <w:color w:val="000000"/>
                <w:sz w:val="22"/>
                <w:szCs w:val="24"/>
                <w:lang w:val="en-US"/>
              </w:rPr>
            </w:pPr>
            <w:r>
              <w:rPr>
                <w:b/>
                <w:bCs/>
                <w:noProof/>
                <w:color w:val="000000"/>
                <w:sz w:val="22"/>
                <w:szCs w:val="24"/>
                <w:lang w:val="en-US"/>
              </w:rPr>
              <w:t>1.4-2.0 l</w:t>
            </w:r>
          </w:p>
        </w:tc>
        <w:tc>
          <w:tcPr>
            <w:tcW w:w="1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114</w:t>
            </w:r>
          </w:p>
        </w:tc>
        <w:tc>
          <w:tcPr>
            <w:tcW w:w="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1.21</w:t>
            </w:r>
          </w:p>
        </w:tc>
      </w:tr>
      <w:tr w:rsidR="00B231CB">
        <w:trPr>
          <w:trHeight w:val="284"/>
        </w:trPr>
        <w:tc>
          <w:tcPr>
            <w:tcW w:w="1303" w:type="pct"/>
            <w:vMerge/>
            <w:shd w:val="clear" w:color="auto" w:fill="auto"/>
            <w:vAlign w:val="center"/>
          </w:tcPr>
          <w:p w:rsidR="00B231CB" w:rsidRDefault="00B231CB">
            <w:pPr>
              <w:spacing w:after="120"/>
              <w:jc w:val="left"/>
              <w:rPr>
                <w:b/>
                <w:bCs/>
                <w:noProof/>
                <w:color w:val="000000"/>
                <w:sz w:val="22"/>
                <w:szCs w:val="24"/>
                <w:lang w:val="en-US"/>
              </w:rPr>
            </w:pPr>
          </w:p>
        </w:tc>
        <w:tc>
          <w:tcPr>
            <w:tcW w:w="823" w:type="pct"/>
            <w:vAlign w:val="center"/>
          </w:tcPr>
          <w:p w:rsidR="00B231CB" w:rsidRDefault="00C71431">
            <w:pPr>
              <w:spacing w:after="120"/>
              <w:jc w:val="left"/>
              <w:rPr>
                <w:noProof/>
                <w:color w:val="000000"/>
                <w:sz w:val="22"/>
                <w:szCs w:val="24"/>
                <w:lang w:val="en-US"/>
              </w:rPr>
            </w:pPr>
            <w:r>
              <w:rPr>
                <w:b/>
                <w:bCs/>
                <w:noProof/>
                <w:color w:val="000000"/>
                <w:sz w:val="22"/>
                <w:szCs w:val="24"/>
                <w:lang w:val="en-US"/>
              </w:rPr>
              <w:t>&gt; 2.0 l</w:t>
            </w:r>
          </w:p>
        </w:tc>
        <w:tc>
          <w:tcPr>
            <w:tcW w:w="1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159</w:t>
            </w:r>
          </w:p>
        </w:tc>
        <w:tc>
          <w:tcPr>
            <w:tcW w:w="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1.14</w:t>
            </w:r>
          </w:p>
        </w:tc>
      </w:tr>
      <w:tr w:rsidR="00B231CB">
        <w:trPr>
          <w:trHeight w:val="284"/>
        </w:trPr>
        <w:tc>
          <w:tcPr>
            <w:tcW w:w="1303" w:type="pct"/>
            <w:shd w:val="clear" w:color="auto" w:fill="auto"/>
            <w:vAlign w:val="center"/>
            <w:hideMark/>
          </w:tcPr>
          <w:p w:rsidR="00B231CB" w:rsidRDefault="00C71431">
            <w:pPr>
              <w:spacing w:after="120"/>
              <w:jc w:val="left"/>
              <w:rPr>
                <w:b/>
                <w:bCs/>
                <w:noProof/>
                <w:color w:val="000000"/>
                <w:sz w:val="22"/>
                <w:szCs w:val="24"/>
                <w:lang w:val="en-US"/>
              </w:rPr>
            </w:pPr>
            <w:r>
              <w:rPr>
                <w:b/>
                <w:bCs/>
                <w:noProof/>
                <w:color w:val="000000"/>
                <w:sz w:val="22"/>
                <w:szCs w:val="24"/>
                <w:lang w:val="en-US"/>
              </w:rPr>
              <w:t>LPG</w:t>
            </w:r>
          </w:p>
        </w:tc>
        <w:tc>
          <w:tcPr>
            <w:tcW w:w="823" w:type="pct"/>
          </w:tcPr>
          <w:p w:rsidR="00B231CB" w:rsidRDefault="00B231CB">
            <w:pPr>
              <w:spacing w:after="120"/>
              <w:jc w:val="left"/>
              <w:rPr>
                <w:noProof/>
                <w:color w:val="000000"/>
                <w:sz w:val="22"/>
                <w:szCs w:val="24"/>
                <w:lang w:val="en-US"/>
              </w:rPr>
            </w:pPr>
          </w:p>
        </w:tc>
        <w:tc>
          <w:tcPr>
            <w:tcW w:w="1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116</w:t>
            </w:r>
          </w:p>
        </w:tc>
        <w:tc>
          <w:tcPr>
            <w:tcW w:w="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1.16</w:t>
            </w:r>
          </w:p>
        </w:tc>
      </w:tr>
      <w:tr w:rsidR="00B231CB">
        <w:trPr>
          <w:trHeight w:val="284"/>
        </w:trPr>
        <w:tc>
          <w:tcPr>
            <w:tcW w:w="1303" w:type="pct"/>
            <w:shd w:val="clear" w:color="auto" w:fill="auto"/>
            <w:vAlign w:val="center"/>
            <w:hideMark/>
          </w:tcPr>
          <w:p w:rsidR="00B231CB" w:rsidRDefault="00C71431">
            <w:pPr>
              <w:spacing w:after="120"/>
              <w:jc w:val="left"/>
              <w:rPr>
                <w:b/>
                <w:bCs/>
                <w:noProof/>
                <w:color w:val="000000"/>
                <w:sz w:val="22"/>
                <w:szCs w:val="24"/>
                <w:lang w:val="en-US"/>
              </w:rPr>
            </w:pPr>
            <w:r>
              <w:rPr>
                <w:b/>
                <w:bCs/>
                <w:noProof/>
                <w:color w:val="000000"/>
                <w:sz w:val="22"/>
                <w:szCs w:val="24"/>
                <w:lang w:val="en-US"/>
              </w:rPr>
              <w:t>Gas</w:t>
            </w:r>
          </w:p>
        </w:tc>
        <w:tc>
          <w:tcPr>
            <w:tcW w:w="823" w:type="pct"/>
          </w:tcPr>
          <w:p w:rsidR="00B231CB" w:rsidRDefault="00B231CB">
            <w:pPr>
              <w:spacing w:after="120"/>
              <w:jc w:val="left"/>
              <w:rPr>
                <w:noProof/>
                <w:color w:val="000000"/>
                <w:sz w:val="22"/>
                <w:szCs w:val="24"/>
                <w:lang w:val="en-US"/>
              </w:rPr>
            </w:pPr>
          </w:p>
        </w:tc>
        <w:tc>
          <w:tcPr>
            <w:tcW w:w="1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104</w:t>
            </w:r>
          </w:p>
        </w:tc>
        <w:tc>
          <w:tcPr>
            <w:tcW w:w="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1.36</w:t>
            </w:r>
          </w:p>
        </w:tc>
      </w:tr>
      <w:tr w:rsidR="00B231CB">
        <w:trPr>
          <w:trHeight w:val="284"/>
        </w:trPr>
        <w:tc>
          <w:tcPr>
            <w:tcW w:w="1303" w:type="pct"/>
            <w:vMerge w:val="restart"/>
            <w:shd w:val="clear" w:color="auto" w:fill="auto"/>
            <w:vAlign w:val="center"/>
            <w:hideMark/>
          </w:tcPr>
          <w:p w:rsidR="00B231CB" w:rsidRDefault="00C71431">
            <w:pPr>
              <w:spacing w:after="120"/>
              <w:jc w:val="left"/>
              <w:rPr>
                <w:b/>
                <w:bCs/>
                <w:noProof/>
                <w:color w:val="000000"/>
                <w:sz w:val="22"/>
                <w:szCs w:val="24"/>
                <w:lang w:val="fi-FI"/>
              </w:rPr>
            </w:pPr>
            <w:r>
              <w:rPr>
                <w:b/>
                <w:bCs/>
                <w:noProof/>
                <w:color w:val="000000"/>
                <w:sz w:val="22"/>
                <w:szCs w:val="24"/>
                <w:lang w:val="en-US"/>
              </w:rPr>
              <w:t>HEV Gasoline</w:t>
            </w:r>
            <w:r>
              <w:rPr>
                <w:b/>
                <w:bCs/>
                <w:noProof/>
                <w:color w:val="000000"/>
                <w:sz w:val="22"/>
                <w:szCs w:val="24"/>
                <w:lang w:val="fi-FI"/>
              </w:rPr>
              <w:t>l</w:t>
            </w:r>
          </w:p>
        </w:tc>
        <w:tc>
          <w:tcPr>
            <w:tcW w:w="823" w:type="pct"/>
            <w:vAlign w:val="center"/>
          </w:tcPr>
          <w:p w:rsidR="00B231CB" w:rsidRDefault="00C71431">
            <w:pPr>
              <w:spacing w:after="120"/>
              <w:jc w:val="left"/>
              <w:rPr>
                <w:b/>
                <w:bCs/>
                <w:noProof/>
                <w:color w:val="000000"/>
                <w:sz w:val="22"/>
                <w:szCs w:val="24"/>
                <w:lang w:val="en-US"/>
              </w:rPr>
            </w:pPr>
            <w:r>
              <w:rPr>
                <w:b/>
                <w:bCs/>
                <w:noProof/>
                <w:color w:val="000000"/>
                <w:sz w:val="22"/>
                <w:szCs w:val="24"/>
                <w:lang w:val="en-US"/>
              </w:rPr>
              <w:t>&lt; 1.4 l</w:t>
            </w:r>
          </w:p>
        </w:tc>
        <w:tc>
          <w:tcPr>
            <w:tcW w:w="1937" w:type="pct"/>
            <w:shd w:val="clear" w:color="auto" w:fill="auto"/>
            <w:vAlign w:val="center"/>
            <w:hideMark/>
          </w:tcPr>
          <w:p w:rsidR="00B231CB" w:rsidRDefault="00B231CB">
            <w:pPr>
              <w:spacing w:after="120"/>
              <w:jc w:val="center"/>
              <w:rPr>
                <w:b/>
                <w:bCs/>
                <w:noProof/>
                <w:color w:val="000000"/>
                <w:sz w:val="22"/>
                <w:szCs w:val="24"/>
                <w:lang w:val="en-US"/>
              </w:rPr>
            </w:pPr>
          </w:p>
        </w:tc>
        <w:tc>
          <w:tcPr>
            <w:tcW w:w="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1.37</w:t>
            </w:r>
          </w:p>
        </w:tc>
      </w:tr>
      <w:tr w:rsidR="00B231CB">
        <w:trPr>
          <w:trHeight w:val="284"/>
        </w:trPr>
        <w:tc>
          <w:tcPr>
            <w:tcW w:w="1303" w:type="pct"/>
            <w:vMerge/>
            <w:shd w:val="clear" w:color="auto" w:fill="auto"/>
            <w:vAlign w:val="center"/>
            <w:hideMark/>
          </w:tcPr>
          <w:p w:rsidR="00B231CB" w:rsidRDefault="00B231CB">
            <w:pPr>
              <w:spacing w:after="120"/>
              <w:jc w:val="left"/>
              <w:rPr>
                <w:b/>
                <w:bCs/>
                <w:noProof/>
                <w:color w:val="000000"/>
                <w:sz w:val="22"/>
                <w:szCs w:val="24"/>
                <w:lang w:val="en-US"/>
              </w:rPr>
            </w:pPr>
          </w:p>
        </w:tc>
        <w:tc>
          <w:tcPr>
            <w:tcW w:w="823" w:type="pct"/>
            <w:vAlign w:val="center"/>
          </w:tcPr>
          <w:p w:rsidR="00B231CB" w:rsidRDefault="00C71431">
            <w:pPr>
              <w:spacing w:after="120"/>
              <w:jc w:val="left"/>
              <w:rPr>
                <w:b/>
                <w:bCs/>
                <w:noProof/>
                <w:color w:val="000000"/>
                <w:sz w:val="22"/>
                <w:szCs w:val="24"/>
                <w:lang w:val="en-US"/>
              </w:rPr>
            </w:pPr>
            <w:r>
              <w:rPr>
                <w:b/>
                <w:bCs/>
                <w:noProof/>
                <w:color w:val="000000"/>
                <w:sz w:val="22"/>
                <w:szCs w:val="24"/>
                <w:lang w:val="en-US"/>
              </w:rPr>
              <w:t>1.4-2.0 l</w:t>
            </w:r>
          </w:p>
        </w:tc>
        <w:tc>
          <w:tcPr>
            <w:tcW w:w="1937" w:type="pct"/>
            <w:shd w:val="clear" w:color="auto" w:fill="auto"/>
            <w:vAlign w:val="center"/>
            <w:hideMark/>
          </w:tcPr>
          <w:p w:rsidR="00B231CB" w:rsidRDefault="00B231CB">
            <w:pPr>
              <w:spacing w:after="120"/>
              <w:jc w:val="center"/>
              <w:rPr>
                <w:b/>
                <w:bCs/>
                <w:noProof/>
                <w:color w:val="000000"/>
                <w:sz w:val="22"/>
                <w:szCs w:val="24"/>
                <w:lang w:val="en-US"/>
              </w:rPr>
            </w:pPr>
          </w:p>
        </w:tc>
        <w:tc>
          <w:tcPr>
            <w:tcW w:w="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1.32</w:t>
            </w:r>
          </w:p>
        </w:tc>
      </w:tr>
      <w:tr w:rsidR="00B231CB">
        <w:trPr>
          <w:trHeight w:val="284"/>
        </w:trPr>
        <w:tc>
          <w:tcPr>
            <w:tcW w:w="1303" w:type="pct"/>
            <w:vMerge/>
            <w:shd w:val="clear" w:color="auto" w:fill="auto"/>
            <w:vAlign w:val="center"/>
            <w:hideMark/>
          </w:tcPr>
          <w:p w:rsidR="00B231CB" w:rsidRDefault="00B231CB">
            <w:pPr>
              <w:spacing w:after="120"/>
              <w:jc w:val="left"/>
              <w:rPr>
                <w:b/>
                <w:bCs/>
                <w:noProof/>
                <w:color w:val="000000"/>
                <w:sz w:val="22"/>
                <w:szCs w:val="24"/>
                <w:lang w:val="en-US"/>
              </w:rPr>
            </w:pPr>
          </w:p>
        </w:tc>
        <w:tc>
          <w:tcPr>
            <w:tcW w:w="823" w:type="pct"/>
            <w:vAlign w:val="center"/>
          </w:tcPr>
          <w:p w:rsidR="00B231CB" w:rsidRDefault="00C71431">
            <w:pPr>
              <w:spacing w:after="120"/>
              <w:jc w:val="left"/>
              <w:rPr>
                <w:b/>
                <w:bCs/>
                <w:noProof/>
                <w:color w:val="000000"/>
                <w:sz w:val="22"/>
                <w:szCs w:val="24"/>
                <w:lang w:val="en-US"/>
              </w:rPr>
            </w:pPr>
            <w:r>
              <w:rPr>
                <w:b/>
                <w:bCs/>
                <w:noProof/>
                <w:color w:val="000000"/>
                <w:sz w:val="22"/>
                <w:szCs w:val="24"/>
                <w:lang w:val="en-US"/>
              </w:rPr>
              <w:t>&gt; 2.0 l</w:t>
            </w:r>
          </w:p>
        </w:tc>
        <w:tc>
          <w:tcPr>
            <w:tcW w:w="1937" w:type="pct"/>
            <w:shd w:val="clear" w:color="auto" w:fill="auto"/>
            <w:vAlign w:val="center"/>
            <w:hideMark/>
          </w:tcPr>
          <w:p w:rsidR="00B231CB" w:rsidRDefault="00B231CB">
            <w:pPr>
              <w:spacing w:after="120"/>
              <w:jc w:val="center"/>
              <w:rPr>
                <w:b/>
                <w:bCs/>
                <w:noProof/>
                <w:color w:val="000000"/>
                <w:sz w:val="22"/>
                <w:szCs w:val="24"/>
                <w:lang w:val="en-US"/>
              </w:rPr>
            </w:pPr>
          </w:p>
        </w:tc>
        <w:tc>
          <w:tcPr>
            <w:tcW w:w="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1.23</w:t>
            </w:r>
          </w:p>
        </w:tc>
      </w:tr>
      <w:tr w:rsidR="00B231CB">
        <w:trPr>
          <w:trHeight w:val="284"/>
        </w:trPr>
        <w:tc>
          <w:tcPr>
            <w:tcW w:w="1303" w:type="pct"/>
            <w:vMerge w:val="restart"/>
            <w:shd w:val="clear" w:color="auto" w:fill="auto"/>
            <w:vAlign w:val="center"/>
            <w:hideMark/>
          </w:tcPr>
          <w:p w:rsidR="00B231CB" w:rsidRDefault="00C71431">
            <w:pPr>
              <w:keepNext/>
              <w:keepLines/>
              <w:spacing w:after="120"/>
              <w:jc w:val="left"/>
              <w:outlineLvl w:val="8"/>
              <w:rPr>
                <w:b/>
                <w:bCs/>
                <w:noProof/>
                <w:color w:val="000000"/>
                <w:sz w:val="22"/>
                <w:szCs w:val="24"/>
                <w:lang w:val="de-DE"/>
              </w:rPr>
            </w:pPr>
            <w:r>
              <w:rPr>
                <w:b/>
                <w:bCs/>
                <w:noProof/>
                <w:color w:val="000000"/>
                <w:sz w:val="22"/>
                <w:szCs w:val="24"/>
                <w:lang w:val="en-US"/>
              </w:rPr>
              <w:t>HEV Diesel</w:t>
            </w:r>
          </w:p>
        </w:tc>
        <w:tc>
          <w:tcPr>
            <w:tcW w:w="823" w:type="pct"/>
            <w:vAlign w:val="center"/>
          </w:tcPr>
          <w:p w:rsidR="00B231CB" w:rsidRDefault="00C71431">
            <w:pPr>
              <w:spacing w:after="120"/>
              <w:jc w:val="left"/>
              <w:rPr>
                <w:b/>
                <w:bCs/>
                <w:noProof/>
                <w:color w:val="000000"/>
                <w:sz w:val="22"/>
                <w:szCs w:val="24"/>
                <w:lang w:val="en-US"/>
              </w:rPr>
            </w:pPr>
            <w:r>
              <w:rPr>
                <w:b/>
                <w:bCs/>
                <w:noProof/>
                <w:color w:val="000000"/>
                <w:sz w:val="22"/>
                <w:szCs w:val="24"/>
                <w:lang w:val="en-US"/>
              </w:rPr>
              <w:t>&lt; 1.4 l</w:t>
            </w:r>
          </w:p>
        </w:tc>
        <w:tc>
          <w:tcPr>
            <w:tcW w:w="1937" w:type="pct"/>
            <w:shd w:val="clear" w:color="auto" w:fill="auto"/>
            <w:vAlign w:val="center"/>
            <w:hideMark/>
          </w:tcPr>
          <w:p w:rsidR="00B231CB" w:rsidRDefault="00B231CB">
            <w:pPr>
              <w:spacing w:after="120"/>
              <w:jc w:val="center"/>
              <w:rPr>
                <w:b/>
                <w:bCs/>
                <w:noProof/>
                <w:color w:val="000000"/>
                <w:sz w:val="22"/>
                <w:szCs w:val="24"/>
                <w:lang w:val="en-US"/>
              </w:rPr>
            </w:pPr>
          </w:p>
        </w:tc>
        <w:tc>
          <w:tcPr>
            <w:tcW w:w="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1.38</w:t>
            </w:r>
          </w:p>
        </w:tc>
      </w:tr>
      <w:tr w:rsidR="00B231CB">
        <w:trPr>
          <w:trHeight w:val="284"/>
        </w:trPr>
        <w:tc>
          <w:tcPr>
            <w:tcW w:w="1303" w:type="pct"/>
            <w:vMerge/>
            <w:shd w:val="clear" w:color="auto" w:fill="auto"/>
            <w:vAlign w:val="center"/>
            <w:hideMark/>
          </w:tcPr>
          <w:p w:rsidR="00B231CB" w:rsidRDefault="00B231CB">
            <w:pPr>
              <w:spacing w:after="120"/>
              <w:jc w:val="left"/>
              <w:rPr>
                <w:b/>
                <w:bCs/>
                <w:noProof/>
                <w:color w:val="000000"/>
                <w:sz w:val="22"/>
                <w:szCs w:val="24"/>
                <w:lang w:val="en-US"/>
              </w:rPr>
            </w:pPr>
          </w:p>
        </w:tc>
        <w:tc>
          <w:tcPr>
            <w:tcW w:w="823" w:type="pct"/>
            <w:vAlign w:val="center"/>
          </w:tcPr>
          <w:p w:rsidR="00B231CB" w:rsidRDefault="00C71431">
            <w:pPr>
              <w:spacing w:after="120"/>
              <w:jc w:val="left"/>
              <w:rPr>
                <w:b/>
                <w:bCs/>
                <w:noProof/>
                <w:color w:val="000000"/>
                <w:sz w:val="22"/>
                <w:szCs w:val="24"/>
                <w:lang w:val="en-US"/>
              </w:rPr>
            </w:pPr>
            <w:r>
              <w:rPr>
                <w:b/>
                <w:bCs/>
                <w:noProof/>
                <w:color w:val="000000"/>
                <w:sz w:val="22"/>
                <w:szCs w:val="24"/>
                <w:lang w:val="en-US"/>
              </w:rPr>
              <w:t>1.4-2.0 l</w:t>
            </w:r>
          </w:p>
        </w:tc>
        <w:tc>
          <w:tcPr>
            <w:tcW w:w="1937" w:type="pct"/>
            <w:shd w:val="clear" w:color="auto" w:fill="auto"/>
            <w:vAlign w:val="center"/>
            <w:hideMark/>
          </w:tcPr>
          <w:p w:rsidR="00B231CB" w:rsidRDefault="00B231CB">
            <w:pPr>
              <w:spacing w:after="120"/>
              <w:jc w:val="center"/>
              <w:rPr>
                <w:b/>
                <w:bCs/>
                <w:noProof/>
                <w:color w:val="000000"/>
                <w:sz w:val="22"/>
                <w:szCs w:val="24"/>
                <w:lang w:val="en-US"/>
              </w:rPr>
            </w:pPr>
          </w:p>
        </w:tc>
        <w:tc>
          <w:tcPr>
            <w:tcW w:w="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1.34</w:t>
            </w:r>
          </w:p>
        </w:tc>
      </w:tr>
      <w:tr w:rsidR="00B231CB">
        <w:trPr>
          <w:trHeight w:val="284"/>
        </w:trPr>
        <w:tc>
          <w:tcPr>
            <w:tcW w:w="1303" w:type="pct"/>
            <w:vMerge/>
            <w:shd w:val="clear" w:color="auto" w:fill="auto"/>
            <w:vAlign w:val="center"/>
            <w:hideMark/>
          </w:tcPr>
          <w:p w:rsidR="00B231CB" w:rsidRDefault="00B231CB">
            <w:pPr>
              <w:spacing w:after="120"/>
              <w:jc w:val="left"/>
              <w:rPr>
                <w:b/>
                <w:bCs/>
                <w:noProof/>
                <w:color w:val="000000"/>
                <w:sz w:val="22"/>
                <w:szCs w:val="24"/>
                <w:lang w:val="en-US"/>
              </w:rPr>
            </w:pPr>
          </w:p>
        </w:tc>
        <w:tc>
          <w:tcPr>
            <w:tcW w:w="823" w:type="pct"/>
            <w:vAlign w:val="center"/>
          </w:tcPr>
          <w:p w:rsidR="00B231CB" w:rsidRDefault="00C71431">
            <w:pPr>
              <w:spacing w:after="120"/>
              <w:jc w:val="left"/>
              <w:rPr>
                <w:b/>
                <w:bCs/>
                <w:noProof/>
                <w:color w:val="000000"/>
                <w:sz w:val="22"/>
                <w:szCs w:val="24"/>
                <w:lang w:val="en-US"/>
              </w:rPr>
            </w:pPr>
            <w:r>
              <w:rPr>
                <w:b/>
                <w:bCs/>
                <w:noProof/>
                <w:color w:val="000000"/>
                <w:sz w:val="22"/>
                <w:szCs w:val="24"/>
                <w:lang w:val="en-US"/>
              </w:rPr>
              <w:t>&gt; 2.0 l</w:t>
            </w:r>
          </w:p>
        </w:tc>
        <w:tc>
          <w:tcPr>
            <w:tcW w:w="1937" w:type="pct"/>
            <w:shd w:val="clear" w:color="auto" w:fill="auto"/>
            <w:vAlign w:val="center"/>
            <w:hideMark/>
          </w:tcPr>
          <w:p w:rsidR="00B231CB" w:rsidRDefault="00B231CB">
            <w:pPr>
              <w:spacing w:after="120"/>
              <w:jc w:val="center"/>
              <w:rPr>
                <w:b/>
                <w:bCs/>
                <w:noProof/>
                <w:color w:val="000000"/>
                <w:sz w:val="22"/>
                <w:szCs w:val="24"/>
                <w:lang w:val="en-US"/>
              </w:rPr>
            </w:pPr>
          </w:p>
        </w:tc>
        <w:tc>
          <w:tcPr>
            <w:tcW w:w="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1.30</w:t>
            </w:r>
          </w:p>
        </w:tc>
      </w:tr>
      <w:tr w:rsidR="00B231CB">
        <w:trPr>
          <w:trHeight w:val="284"/>
        </w:trPr>
        <w:tc>
          <w:tcPr>
            <w:tcW w:w="1303" w:type="pct"/>
            <w:shd w:val="clear" w:color="auto" w:fill="auto"/>
            <w:vAlign w:val="center"/>
            <w:hideMark/>
          </w:tcPr>
          <w:p w:rsidR="00B231CB" w:rsidRDefault="00C71431">
            <w:pPr>
              <w:spacing w:after="120"/>
              <w:jc w:val="left"/>
              <w:rPr>
                <w:b/>
                <w:bCs/>
                <w:noProof/>
                <w:color w:val="000000"/>
                <w:sz w:val="22"/>
                <w:szCs w:val="24"/>
                <w:lang w:val="en-US"/>
              </w:rPr>
            </w:pPr>
            <w:r>
              <w:rPr>
                <w:b/>
                <w:bCs/>
                <w:noProof/>
                <w:color w:val="000000"/>
                <w:sz w:val="22"/>
                <w:szCs w:val="24"/>
                <w:lang w:val="en-US"/>
              </w:rPr>
              <w:t>PHEV</w:t>
            </w:r>
          </w:p>
        </w:tc>
        <w:tc>
          <w:tcPr>
            <w:tcW w:w="823" w:type="pct"/>
          </w:tcPr>
          <w:p w:rsidR="00B231CB" w:rsidRDefault="00B231CB">
            <w:pPr>
              <w:spacing w:after="120"/>
              <w:jc w:val="left"/>
              <w:rPr>
                <w:b/>
                <w:bCs/>
                <w:noProof/>
                <w:color w:val="000000"/>
                <w:sz w:val="22"/>
                <w:szCs w:val="24"/>
                <w:lang w:val="en-US"/>
              </w:rPr>
            </w:pPr>
          </w:p>
        </w:tc>
        <w:tc>
          <w:tcPr>
            <w:tcW w:w="1937" w:type="pct"/>
            <w:shd w:val="clear" w:color="auto" w:fill="auto"/>
            <w:vAlign w:val="center"/>
            <w:hideMark/>
          </w:tcPr>
          <w:p w:rsidR="00B231CB" w:rsidRDefault="00B231CB">
            <w:pPr>
              <w:spacing w:after="120"/>
              <w:jc w:val="center"/>
              <w:rPr>
                <w:b/>
                <w:bCs/>
                <w:noProof/>
                <w:color w:val="000000"/>
                <w:sz w:val="22"/>
                <w:szCs w:val="24"/>
                <w:lang w:val="en-US"/>
              </w:rPr>
            </w:pPr>
          </w:p>
        </w:tc>
        <w:tc>
          <w:tcPr>
            <w:tcW w:w="937" w:type="pct"/>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1.00</w:t>
            </w:r>
          </w:p>
        </w:tc>
      </w:tr>
      <w:tr w:rsidR="00B231CB">
        <w:trPr>
          <w:trHeight w:val="284"/>
        </w:trPr>
        <w:tc>
          <w:tcPr>
            <w:tcW w:w="1303" w:type="pct"/>
            <w:vMerge w:val="restart"/>
            <w:shd w:val="clear" w:color="auto" w:fill="auto"/>
            <w:vAlign w:val="center"/>
          </w:tcPr>
          <w:p w:rsidR="00B231CB" w:rsidRDefault="00C71431">
            <w:pPr>
              <w:spacing w:after="120"/>
              <w:jc w:val="left"/>
              <w:rPr>
                <w:b/>
                <w:bCs/>
                <w:noProof/>
                <w:color w:val="000000"/>
                <w:sz w:val="22"/>
                <w:szCs w:val="24"/>
                <w:lang w:val="en-US"/>
              </w:rPr>
            </w:pPr>
            <w:r>
              <w:rPr>
                <w:b/>
                <w:bCs/>
                <w:noProof/>
                <w:color w:val="000000"/>
                <w:sz w:val="22"/>
                <w:szCs w:val="24"/>
                <w:lang w:val="en-US"/>
              </w:rPr>
              <w:t>BEV/FCEV*</w:t>
            </w:r>
          </w:p>
        </w:tc>
        <w:tc>
          <w:tcPr>
            <w:tcW w:w="823" w:type="pct"/>
          </w:tcPr>
          <w:p w:rsidR="00B231CB" w:rsidRDefault="00C71431">
            <w:pPr>
              <w:spacing w:after="120"/>
              <w:jc w:val="left"/>
              <w:rPr>
                <w:b/>
                <w:bCs/>
                <w:noProof/>
                <w:color w:val="000000"/>
                <w:sz w:val="22"/>
                <w:szCs w:val="24"/>
                <w:lang w:val="en-US"/>
              </w:rPr>
            </w:pPr>
            <w:r>
              <w:rPr>
                <w:b/>
                <w:bCs/>
                <w:noProof/>
                <w:color w:val="000000"/>
                <w:sz w:val="22"/>
                <w:szCs w:val="24"/>
                <w:lang w:val="en-US"/>
              </w:rPr>
              <w:t>Small</w:t>
            </w:r>
          </w:p>
        </w:tc>
        <w:tc>
          <w:tcPr>
            <w:tcW w:w="1937" w:type="pct"/>
            <w:shd w:val="clear" w:color="auto" w:fill="auto"/>
            <w:vAlign w:val="center"/>
          </w:tcPr>
          <w:p w:rsidR="00B231CB" w:rsidRDefault="00B231CB">
            <w:pPr>
              <w:spacing w:after="120"/>
              <w:jc w:val="center"/>
              <w:rPr>
                <w:b/>
                <w:bCs/>
                <w:noProof/>
                <w:color w:val="000000"/>
                <w:sz w:val="22"/>
                <w:szCs w:val="24"/>
                <w:lang w:val="en-US"/>
              </w:rPr>
            </w:pPr>
          </w:p>
        </w:tc>
        <w:tc>
          <w:tcPr>
            <w:tcW w:w="937" w:type="pct"/>
            <w:shd w:val="clear" w:color="auto" w:fill="auto"/>
            <w:vAlign w:val="center"/>
          </w:tcPr>
          <w:p w:rsidR="00B231CB" w:rsidRDefault="00C71431">
            <w:pPr>
              <w:spacing w:after="120"/>
              <w:jc w:val="center"/>
              <w:rPr>
                <w:noProof/>
                <w:color w:val="000000"/>
                <w:sz w:val="22"/>
                <w:szCs w:val="24"/>
                <w:lang w:val="en-US"/>
              </w:rPr>
            </w:pPr>
            <w:r>
              <w:rPr>
                <w:noProof/>
                <w:sz w:val="22"/>
                <w:szCs w:val="24"/>
                <w:lang w:val="en-US"/>
              </w:rPr>
              <w:t>1.258</w:t>
            </w:r>
          </w:p>
        </w:tc>
      </w:tr>
      <w:tr w:rsidR="00B231CB">
        <w:trPr>
          <w:trHeight w:val="284"/>
        </w:trPr>
        <w:tc>
          <w:tcPr>
            <w:tcW w:w="1303" w:type="pct"/>
            <w:vMerge/>
            <w:shd w:val="clear" w:color="auto" w:fill="auto"/>
            <w:vAlign w:val="center"/>
          </w:tcPr>
          <w:p w:rsidR="00B231CB" w:rsidRDefault="00B231CB">
            <w:pPr>
              <w:spacing w:after="120"/>
              <w:jc w:val="left"/>
              <w:rPr>
                <w:b/>
                <w:bCs/>
                <w:noProof/>
                <w:color w:val="000000"/>
                <w:sz w:val="22"/>
                <w:szCs w:val="24"/>
                <w:highlight w:val="yellow"/>
                <w:lang w:val="en-US"/>
              </w:rPr>
            </w:pPr>
          </w:p>
        </w:tc>
        <w:tc>
          <w:tcPr>
            <w:tcW w:w="823" w:type="pct"/>
          </w:tcPr>
          <w:p w:rsidR="00B231CB" w:rsidRDefault="00C71431">
            <w:pPr>
              <w:spacing w:after="120"/>
              <w:jc w:val="left"/>
              <w:rPr>
                <w:b/>
                <w:bCs/>
                <w:noProof/>
                <w:color w:val="000000"/>
                <w:sz w:val="22"/>
                <w:szCs w:val="24"/>
                <w:lang w:val="en-US"/>
              </w:rPr>
            </w:pPr>
            <w:r>
              <w:rPr>
                <w:b/>
                <w:bCs/>
                <w:noProof/>
                <w:color w:val="000000"/>
                <w:sz w:val="22"/>
                <w:szCs w:val="24"/>
                <w:lang w:val="en-US"/>
              </w:rPr>
              <w:t>Medium</w:t>
            </w:r>
          </w:p>
        </w:tc>
        <w:tc>
          <w:tcPr>
            <w:tcW w:w="1937" w:type="pct"/>
            <w:shd w:val="clear" w:color="auto" w:fill="auto"/>
            <w:vAlign w:val="center"/>
          </w:tcPr>
          <w:p w:rsidR="00B231CB" w:rsidRDefault="00B231CB">
            <w:pPr>
              <w:spacing w:after="120"/>
              <w:jc w:val="center"/>
              <w:rPr>
                <w:b/>
                <w:bCs/>
                <w:noProof/>
                <w:color w:val="000000"/>
                <w:sz w:val="22"/>
                <w:szCs w:val="24"/>
                <w:lang w:val="en-US"/>
              </w:rPr>
            </w:pPr>
          </w:p>
        </w:tc>
        <w:tc>
          <w:tcPr>
            <w:tcW w:w="937" w:type="pct"/>
            <w:shd w:val="clear" w:color="auto" w:fill="auto"/>
            <w:vAlign w:val="center"/>
          </w:tcPr>
          <w:p w:rsidR="00B231CB" w:rsidRDefault="00C71431">
            <w:pPr>
              <w:spacing w:after="120"/>
              <w:jc w:val="center"/>
              <w:rPr>
                <w:noProof/>
                <w:color w:val="000000"/>
                <w:sz w:val="22"/>
                <w:szCs w:val="24"/>
                <w:lang w:val="en-US"/>
              </w:rPr>
            </w:pPr>
            <w:r>
              <w:rPr>
                <w:noProof/>
                <w:sz w:val="22"/>
                <w:szCs w:val="24"/>
                <w:lang w:val="en-US"/>
              </w:rPr>
              <w:t>1.283</w:t>
            </w:r>
          </w:p>
        </w:tc>
      </w:tr>
      <w:tr w:rsidR="00B231CB">
        <w:trPr>
          <w:trHeight w:val="284"/>
        </w:trPr>
        <w:tc>
          <w:tcPr>
            <w:tcW w:w="1303" w:type="pct"/>
            <w:vMerge/>
            <w:shd w:val="clear" w:color="auto" w:fill="auto"/>
            <w:vAlign w:val="center"/>
          </w:tcPr>
          <w:p w:rsidR="00B231CB" w:rsidRDefault="00B231CB">
            <w:pPr>
              <w:spacing w:after="120"/>
              <w:jc w:val="left"/>
              <w:rPr>
                <w:b/>
                <w:bCs/>
                <w:noProof/>
                <w:color w:val="000000"/>
                <w:sz w:val="22"/>
                <w:szCs w:val="24"/>
                <w:highlight w:val="yellow"/>
                <w:lang w:val="en-US"/>
              </w:rPr>
            </w:pPr>
          </w:p>
        </w:tc>
        <w:tc>
          <w:tcPr>
            <w:tcW w:w="823" w:type="pct"/>
          </w:tcPr>
          <w:p w:rsidR="00B231CB" w:rsidRDefault="00C71431">
            <w:pPr>
              <w:spacing w:after="120"/>
              <w:jc w:val="left"/>
              <w:rPr>
                <w:b/>
                <w:bCs/>
                <w:noProof/>
                <w:color w:val="000000"/>
                <w:sz w:val="22"/>
                <w:szCs w:val="24"/>
                <w:lang w:val="en-US"/>
              </w:rPr>
            </w:pPr>
            <w:r>
              <w:rPr>
                <w:b/>
                <w:bCs/>
                <w:noProof/>
                <w:color w:val="000000"/>
                <w:sz w:val="22"/>
                <w:szCs w:val="24"/>
                <w:lang w:val="en-US"/>
              </w:rPr>
              <w:t>Large</w:t>
            </w:r>
          </w:p>
        </w:tc>
        <w:tc>
          <w:tcPr>
            <w:tcW w:w="1937" w:type="pct"/>
            <w:shd w:val="clear" w:color="auto" w:fill="auto"/>
            <w:vAlign w:val="center"/>
          </w:tcPr>
          <w:p w:rsidR="00B231CB" w:rsidRDefault="00B231CB">
            <w:pPr>
              <w:spacing w:after="120"/>
              <w:jc w:val="center"/>
              <w:rPr>
                <w:b/>
                <w:bCs/>
                <w:noProof/>
                <w:color w:val="000000"/>
                <w:sz w:val="22"/>
                <w:szCs w:val="24"/>
                <w:lang w:val="en-US"/>
              </w:rPr>
            </w:pPr>
          </w:p>
        </w:tc>
        <w:tc>
          <w:tcPr>
            <w:tcW w:w="937" w:type="pct"/>
            <w:shd w:val="clear" w:color="auto" w:fill="auto"/>
            <w:vAlign w:val="center"/>
          </w:tcPr>
          <w:p w:rsidR="00B231CB" w:rsidRDefault="00C71431">
            <w:pPr>
              <w:spacing w:after="120"/>
              <w:jc w:val="center"/>
              <w:rPr>
                <w:noProof/>
                <w:color w:val="000000"/>
                <w:sz w:val="22"/>
                <w:szCs w:val="24"/>
                <w:lang w:val="en-US"/>
              </w:rPr>
            </w:pPr>
            <w:r>
              <w:rPr>
                <w:noProof/>
                <w:sz w:val="22"/>
                <w:szCs w:val="24"/>
                <w:lang w:val="en-US"/>
              </w:rPr>
              <w:t>1.299</w:t>
            </w:r>
          </w:p>
        </w:tc>
      </w:tr>
    </w:tbl>
    <w:p w:rsidR="00B231CB" w:rsidRDefault="00B231CB">
      <w:pPr>
        <w:tabs>
          <w:tab w:val="left" w:pos="1386"/>
          <w:tab w:val="left" w:pos="3524"/>
        </w:tabs>
        <w:spacing w:after="0"/>
        <w:ind w:left="93"/>
        <w:rPr>
          <w:noProof/>
          <w:color w:val="000000"/>
          <w:sz w:val="20"/>
          <w:szCs w:val="24"/>
          <w:lang w:val="en-US"/>
        </w:rPr>
      </w:pPr>
    </w:p>
    <w:tbl>
      <w:tblPr>
        <w:tblW w:w="6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2760"/>
      </w:tblGrid>
      <w:tr w:rsidR="00B231CB">
        <w:trPr>
          <w:trHeight w:val="556"/>
        </w:trPr>
        <w:tc>
          <w:tcPr>
            <w:tcW w:w="4080" w:type="dxa"/>
            <w:vAlign w:val="center"/>
          </w:tcPr>
          <w:p w:rsidR="00B231CB" w:rsidRDefault="00C71431">
            <w:pPr>
              <w:spacing w:after="120"/>
              <w:jc w:val="left"/>
              <w:rPr>
                <w:noProof/>
                <w:color w:val="000000"/>
                <w:sz w:val="22"/>
                <w:szCs w:val="24"/>
                <w:lang w:val="en-US"/>
              </w:rPr>
            </w:pPr>
            <w:r>
              <w:rPr>
                <w:b/>
                <w:noProof/>
                <w:color w:val="000000"/>
                <w:sz w:val="22"/>
                <w:szCs w:val="24"/>
                <w:lang w:val="en-US"/>
              </w:rPr>
              <w:t>Light Commercial Vehicles</w:t>
            </w:r>
          </w:p>
        </w:tc>
        <w:tc>
          <w:tcPr>
            <w:tcW w:w="2760" w:type="dxa"/>
            <w:shd w:val="clear" w:color="auto" w:fill="auto"/>
            <w:vAlign w:val="center"/>
            <w:hideMark/>
          </w:tcPr>
          <w:p w:rsidR="00B231CB" w:rsidRDefault="00C71431">
            <w:pPr>
              <w:spacing w:after="120"/>
              <w:jc w:val="center"/>
              <w:rPr>
                <w:b/>
                <w:bCs/>
                <w:noProof/>
                <w:color w:val="000000"/>
                <w:sz w:val="22"/>
                <w:szCs w:val="24"/>
                <w:lang w:val="en-US"/>
              </w:rPr>
            </w:pPr>
            <w:r>
              <w:rPr>
                <w:b/>
                <w:bCs/>
                <w:noProof/>
                <w:color w:val="000000"/>
                <w:sz w:val="22"/>
                <w:szCs w:val="24"/>
                <w:lang w:val="en-US"/>
              </w:rPr>
              <w:t>Ratio WLTP/NEDC</w:t>
            </w:r>
          </w:p>
        </w:tc>
      </w:tr>
      <w:tr w:rsidR="00B231CB">
        <w:trPr>
          <w:trHeight w:val="284"/>
        </w:trPr>
        <w:tc>
          <w:tcPr>
            <w:tcW w:w="4080" w:type="dxa"/>
            <w:shd w:val="clear" w:color="auto" w:fill="auto"/>
            <w:vAlign w:val="center"/>
            <w:hideMark/>
          </w:tcPr>
          <w:p w:rsidR="00B231CB" w:rsidRDefault="00C71431">
            <w:pPr>
              <w:spacing w:after="120"/>
              <w:jc w:val="left"/>
              <w:rPr>
                <w:b/>
                <w:bCs/>
                <w:noProof/>
                <w:color w:val="000000"/>
                <w:sz w:val="22"/>
                <w:szCs w:val="24"/>
                <w:lang w:val="en-US"/>
              </w:rPr>
            </w:pPr>
            <w:r>
              <w:rPr>
                <w:b/>
                <w:bCs/>
                <w:noProof/>
                <w:color w:val="000000"/>
                <w:sz w:val="22"/>
                <w:szCs w:val="24"/>
                <w:lang w:val="en-US"/>
              </w:rPr>
              <w:t>All ICEV</w:t>
            </w:r>
          </w:p>
        </w:tc>
        <w:tc>
          <w:tcPr>
            <w:tcW w:w="2760" w:type="dxa"/>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1.30</w:t>
            </w:r>
          </w:p>
        </w:tc>
      </w:tr>
      <w:tr w:rsidR="00B231CB">
        <w:trPr>
          <w:trHeight w:val="284"/>
        </w:trPr>
        <w:tc>
          <w:tcPr>
            <w:tcW w:w="4080" w:type="dxa"/>
            <w:shd w:val="clear" w:color="auto" w:fill="auto"/>
            <w:vAlign w:val="center"/>
            <w:hideMark/>
          </w:tcPr>
          <w:p w:rsidR="00B231CB" w:rsidRDefault="00C71431">
            <w:pPr>
              <w:spacing w:after="120"/>
              <w:ind w:left="252"/>
              <w:jc w:val="left"/>
              <w:rPr>
                <w:b/>
                <w:bCs/>
                <w:noProof/>
                <w:color w:val="000000"/>
                <w:sz w:val="22"/>
                <w:szCs w:val="24"/>
                <w:lang w:val="en-US"/>
              </w:rPr>
            </w:pPr>
            <w:r>
              <w:rPr>
                <w:b/>
                <w:bCs/>
                <w:noProof/>
                <w:color w:val="000000"/>
                <w:sz w:val="22"/>
                <w:szCs w:val="24"/>
                <w:lang w:val="en-US"/>
              </w:rPr>
              <w:t>Gasoline</w:t>
            </w:r>
          </w:p>
        </w:tc>
        <w:tc>
          <w:tcPr>
            <w:tcW w:w="2760" w:type="dxa"/>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1.22</w:t>
            </w:r>
          </w:p>
        </w:tc>
      </w:tr>
      <w:tr w:rsidR="00B231CB">
        <w:trPr>
          <w:trHeight w:val="284"/>
        </w:trPr>
        <w:tc>
          <w:tcPr>
            <w:tcW w:w="4080" w:type="dxa"/>
            <w:shd w:val="clear" w:color="auto" w:fill="auto"/>
            <w:vAlign w:val="center"/>
            <w:hideMark/>
          </w:tcPr>
          <w:p w:rsidR="00B231CB" w:rsidRDefault="00C71431">
            <w:pPr>
              <w:spacing w:after="120"/>
              <w:ind w:left="252"/>
              <w:jc w:val="left"/>
              <w:rPr>
                <w:b/>
                <w:bCs/>
                <w:noProof/>
                <w:color w:val="000000"/>
                <w:sz w:val="22"/>
                <w:szCs w:val="24"/>
                <w:lang w:val="en-US"/>
              </w:rPr>
            </w:pPr>
            <w:r>
              <w:rPr>
                <w:b/>
                <w:bCs/>
                <w:noProof/>
                <w:color w:val="000000"/>
                <w:sz w:val="22"/>
                <w:szCs w:val="24"/>
                <w:lang w:val="en-US"/>
              </w:rPr>
              <w:t>Diesel</w:t>
            </w:r>
          </w:p>
        </w:tc>
        <w:tc>
          <w:tcPr>
            <w:tcW w:w="2760" w:type="dxa"/>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1.31</w:t>
            </w:r>
          </w:p>
        </w:tc>
      </w:tr>
      <w:tr w:rsidR="00B231CB">
        <w:trPr>
          <w:trHeight w:val="284"/>
        </w:trPr>
        <w:tc>
          <w:tcPr>
            <w:tcW w:w="4080" w:type="dxa"/>
            <w:shd w:val="clear" w:color="auto" w:fill="auto"/>
            <w:vAlign w:val="center"/>
            <w:hideMark/>
          </w:tcPr>
          <w:p w:rsidR="00B231CB" w:rsidRDefault="00C71431">
            <w:pPr>
              <w:spacing w:after="120"/>
              <w:ind w:left="252"/>
              <w:jc w:val="left"/>
              <w:rPr>
                <w:b/>
                <w:bCs/>
                <w:noProof/>
                <w:color w:val="000000"/>
                <w:sz w:val="22"/>
                <w:szCs w:val="24"/>
                <w:lang w:val="en-US"/>
              </w:rPr>
            </w:pPr>
            <w:r>
              <w:rPr>
                <w:b/>
                <w:bCs/>
                <w:noProof/>
                <w:color w:val="000000"/>
                <w:sz w:val="22"/>
                <w:szCs w:val="24"/>
                <w:lang w:val="en-US"/>
              </w:rPr>
              <w:t>LPG</w:t>
            </w:r>
          </w:p>
        </w:tc>
        <w:tc>
          <w:tcPr>
            <w:tcW w:w="2760" w:type="dxa"/>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1.16</w:t>
            </w:r>
          </w:p>
        </w:tc>
      </w:tr>
      <w:tr w:rsidR="00B231CB">
        <w:trPr>
          <w:trHeight w:val="284"/>
        </w:trPr>
        <w:tc>
          <w:tcPr>
            <w:tcW w:w="4080" w:type="dxa"/>
            <w:shd w:val="clear" w:color="auto" w:fill="auto"/>
            <w:vAlign w:val="center"/>
            <w:hideMark/>
          </w:tcPr>
          <w:p w:rsidR="00B231CB" w:rsidRDefault="00C71431">
            <w:pPr>
              <w:spacing w:after="120"/>
              <w:ind w:left="252"/>
              <w:jc w:val="left"/>
              <w:rPr>
                <w:b/>
                <w:bCs/>
                <w:noProof/>
                <w:color w:val="000000"/>
                <w:sz w:val="22"/>
                <w:szCs w:val="24"/>
                <w:lang w:val="en-US"/>
              </w:rPr>
            </w:pPr>
            <w:r>
              <w:rPr>
                <w:b/>
                <w:bCs/>
                <w:noProof/>
                <w:color w:val="000000"/>
                <w:sz w:val="22"/>
                <w:szCs w:val="24"/>
                <w:lang w:val="en-US"/>
              </w:rPr>
              <w:t>Gas</w:t>
            </w:r>
          </w:p>
        </w:tc>
        <w:tc>
          <w:tcPr>
            <w:tcW w:w="2760" w:type="dxa"/>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1.36</w:t>
            </w:r>
          </w:p>
        </w:tc>
      </w:tr>
      <w:tr w:rsidR="00B231CB">
        <w:trPr>
          <w:trHeight w:val="284"/>
        </w:trPr>
        <w:tc>
          <w:tcPr>
            <w:tcW w:w="4080" w:type="dxa"/>
            <w:shd w:val="clear" w:color="auto" w:fill="auto"/>
            <w:vAlign w:val="center"/>
            <w:hideMark/>
          </w:tcPr>
          <w:p w:rsidR="00B231CB" w:rsidRDefault="00C71431">
            <w:pPr>
              <w:spacing w:after="120"/>
              <w:jc w:val="left"/>
              <w:rPr>
                <w:b/>
                <w:bCs/>
                <w:noProof/>
                <w:color w:val="000000"/>
                <w:sz w:val="22"/>
                <w:szCs w:val="24"/>
                <w:lang w:val="en-US"/>
              </w:rPr>
            </w:pPr>
            <w:r>
              <w:rPr>
                <w:b/>
                <w:bCs/>
                <w:noProof/>
                <w:color w:val="000000"/>
                <w:sz w:val="22"/>
                <w:szCs w:val="24"/>
                <w:lang w:val="en-US"/>
              </w:rPr>
              <w:t>HEV Gasoline</w:t>
            </w:r>
          </w:p>
        </w:tc>
        <w:tc>
          <w:tcPr>
            <w:tcW w:w="2760" w:type="dxa"/>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1.38</w:t>
            </w:r>
          </w:p>
        </w:tc>
      </w:tr>
      <w:tr w:rsidR="00B231CB">
        <w:trPr>
          <w:trHeight w:val="284"/>
        </w:trPr>
        <w:tc>
          <w:tcPr>
            <w:tcW w:w="4080" w:type="dxa"/>
            <w:shd w:val="clear" w:color="auto" w:fill="auto"/>
            <w:vAlign w:val="center"/>
            <w:hideMark/>
          </w:tcPr>
          <w:p w:rsidR="00B231CB" w:rsidRDefault="00C71431">
            <w:pPr>
              <w:spacing w:after="120"/>
              <w:jc w:val="left"/>
              <w:rPr>
                <w:b/>
                <w:bCs/>
                <w:noProof/>
                <w:color w:val="000000"/>
                <w:sz w:val="22"/>
                <w:szCs w:val="24"/>
                <w:lang w:val="en-US"/>
              </w:rPr>
            </w:pPr>
            <w:r>
              <w:rPr>
                <w:b/>
                <w:bCs/>
                <w:noProof/>
                <w:color w:val="000000"/>
                <w:sz w:val="22"/>
                <w:szCs w:val="24"/>
                <w:lang w:val="en-US"/>
              </w:rPr>
              <w:t>HEV Diesel</w:t>
            </w:r>
          </w:p>
        </w:tc>
        <w:tc>
          <w:tcPr>
            <w:tcW w:w="2760" w:type="dxa"/>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1.45</w:t>
            </w:r>
          </w:p>
        </w:tc>
      </w:tr>
      <w:tr w:rsidR="00B231CB">
        <w:trPr>
          <w:trHeight w:val="284"/>
        </w:trPr>
        <w:tc>
          <w:tcPr>
            <w:tcW w:w="4080" w:type="dxa"/>
            <w:shd w:val="clear" w:color="auto" w:fill="auto"/>
            <w:vAlign w:val="center"/>
            <w:hideMark/>
          </w:tcPr>
          <w:p w:rsidR="00B231CB" w:rsidRDefault="00C71431">
            <w:pPr>
              <w:spacing w:after="120"/>
              <w:jc w:val="left"/>
              <w:rPr>
                <w:b/>
                <w:bCs/>
                <w:noProof/>
                <w:color w:val="000000"/>
                <w:sz w:val="22"/>
                <w:szCs w:val="24"/>
                <w:lang w:val="en-US"/>
              </w:rPr>
            </w:pPr>
            <w:r>
              <w:rPr>
                <w:b/>
                <w:bCs/>
                <w:noProof/>
                <w:color w:val="000000"/>
                <w:sz w:val="22"/>
                <w:szCs w:val="24"/>
                <w:lang w:val="en-US"/>
              </w:rPr>
              <w:t>PHEV</w:t>
            </w:r>
          </w:p>
        </w:tc>
        <w:tc>
          <w:tcPr>
            <w:tcW w:w="2760" w:type="dxa"/>
            <w:shd w:val="clear" w:color="auto" w:fill="auto"/>
            <w:vAlign w:val="center"/>
            <w:hideMark/>
          </w:tcPr>
          <w:p w:rsidR="00B231CB" w:rsidRDefault="00C71431">
            <w:pPr>
              <w:spacing w:after="120"/>
              <w:jc w:val="center"/>
              <w:rPr>
                <w:noProof/>
                <w:color w:val="000000"/>
                <w:sz w:val="22"/>
                <w:szCs w:val="24"/>
                <w:lang w:val="en-US"/>
              </w:rPr>
            </w:pPr>
            <w:r>
              <w:rPr>
                <w:noProof/>
                <w:color w:val="000000"/>
                <w:sz w:val="22"/>
                <w:szCs w:val="24"/>
                <w:lang w:val="en-US"/>
              </w:rPr>
              <w:t>1.00</w:t>
            </w:r>
          </w:p>
        </w:tc>
      </w:tr>
      <w:tr w:rsidR="00B231CB">
        <w:trPr>
          <w:trHeight w:val="284"/>
        </w:trPr>
        <w:tc>
          <w:tcPr>
            <w:tcW w:w="4080" w:type="dxa"/>
            <w:shd w:val="clear" w:color="auto" w:fill="auto"/>
            <w:vAlign w:val="center"/>
          </w:tcPr>
          <w:p w:rsidR="00B231CB" w:rsidRDefault="00C71431">
            <w:pPr>
              <w:spacing w:after="120"/>
              <w:jc w:val="left"/>
              <w:rPr>
                <w:b/>
                <w:bCs/>
                <w:noProof/>
                <w:color w:val="000000"/>
                <w:sz w:val="22"/>
                <w:szCs w:val="24"/>
                <w:lang w:val="en-US"/>
              </w:rPr>
            </w:pPr>
            <w:r>
              <w:rPr>
                <w:b/>
                <w:bCs/>
                <w:noProof/>
                <w:color w:val="000000"/>
                <w:sz w:val="22"/>
                <w:szCs w:val="24"/>
                <w:lang w:val="en-US"/>
              </w:rPr>
              <w:t>BEV/FCEV*</w:t>
            </w:r>
          </w:p>
        </w:tc>
        <w:tc>
          <w:tcPr>
            <w:tcW w:w="2760" w:type="dxa"/>
            <w:shd w:val="clear" w:color="auto" w:fill="auto"/>
            <w:vAlign w:val="center"/>
          </w:tcPr>
          <w:p w:rsidR="00B231CB" w:rsidRDefault="00C71431">
            <w:pPr>
              <w:spacing w:after="120"/>
              <w:jc w:val="center"/>
              <w:rPr>
                <w:noProof/>
                <w:color w:val="000000"/>
                <w:sz w:val="22"/>
                <w:szCs w:val="24"/>
                <w:lang w:val="en-US"/>
              </w:rPr>
            </w:pPr>
            <w:r>
              <w:rPr>
                <w:noProof/>
                <w:color w:val="000000"/>
                <w:sz w:val="22"/>
                <w:szCs w:val="24"/>
                <w:lang w:val="en-US"/>
              </w:rPr>
              <w:t>1.21</w:t>
            </w:r>
          </w:p>
        </w:tc>
      </w:tr>
    </w:tbl>
    <w:p w:rsidR="00B231CB" w:rsidRDefault="00C71431">
      <w:pPr>
        <w:tabs>
          <w:tab w:val="left" w:pos="1386"/>
          <w:tab w:val="left" w:pos="3524"/>
          <w:tab w:val="left" w:pos="5290"/>
          <w:tab w:val="left" w:pos="7630"/>
        </w:tabs>
        <w:spacing w:after="120"/>
        <w:ind w:left="93"/>
        <w:rPr>
          <w:noProof/>
          <w:color w:val="000000"/>
          <w:sz w:val="22"/>
          <w:szCs w:val="24"/>
          <w:lang w:val="en-US"/>
        </w:rPr>
      </w:pPr>
      <w:r>
        <w:rPr>
          <w:noProof/>
          <w:color w:val="000000"/>
          <w:sz w:val="22"/>
          <w:szCs w:val="24"/>
          <w:lang w:val="en-US"/>
        </w:rPr>
        <w:t xml:space="preserve">*The WLTP to NEDC ratios for BEV and FCEV refer </w:t>
      </w:r>
      <w:r>
        <w:rPr>
          <w:noProof/>
          <w:color w:val="000000"/>
          <w:sz w:val="22"/>
          <w:szCs w:val="24"/>
          <w:lang w:val="en-US"/>
        </w:rPr>
        <w:t>to the electric energy consumption</w:t>
      </w:r>
    </w:p>
    <w:p w:rsidR="00B231CB" w:rsidRDefault="00C71431">
      <w:pPr>
        <w:pStyle w:val="JRCText"/>
        <w:spacing w:before="0"/>
        <w:rPr>
          <w:rFonts w:ascii="Times New Roman" w:hAnsi="Times New Roman"/>
          <w:noProof/>
          <w:sz w:val="24"/>
          <w:szCs w:val="24"/>
        </w:rPr>
      </w:pPr>
      <w:r>
        <w:rPr>
          <w:rFonts w:ascii="Times New Roman" w:hAnsi="Times New Roman"/>
          <w:noProof/>
          <w:sz w:val="24"/>
          <w:szCs w:val="24"/>
        </w:rPr>
        <w:t xml:space="preserve">Finally, results for plug-in hybrid electric vehicles (PHEVs) show a peculiar trend. Due to the differences between the two test procedures (especially in the way they combine results from the charge depleting and charge </w:t>
      </w:r>
      <w:r>
        <w:rPr>
          <w:rFonts w:ascii="Times New Roman" w:hAnsi="Times New Roman"/>
          <w:noProof/>
          <w:sz w:val="24"/>
          <w:szCs w:val="24"/>
        </w:rPr>
        <w:t>sustaining tests), the WLTP to NEDC CO</w:t>
      </w:r>
      <w:r>
        <w:rPr>
          <w:rFonts w:ascii="Times New Roman" w:hAnsi="Times New Roman"/>
          <w:noProof/>
          <w:sz w:val="24"/>
          <w:szCs w:val="24"/>
          <w:vertAlign w:val="subscript"/>
        </w:rPr>
        <w:t>2</w:t>
      </w:r>
      <w:r>
        <w:rPr>
          <w:rFonts w:ascii="Times New Roman" w:hAnsi="Times New Roman"/>
          <w:noProof/>
          <w:sz w:val="24"/>
          <w:szCs w:val="24"/>
        </w:rPr>
        <w:t xml:space="preserve"> emissions ratio strongly depends on the capacity of the electric battery. The ratio quickly decreases as the battery capacity increases. For this reason, also considering the evolution in the battery capacity, an ave</w:t>
      </w:r>
      <w:r>
        <w:rPr>
          <w:rFonts w:ascii="Times New Roman" w:hAnsi="Times New Roman"/>
          <w:noProof/>
          <w:sz w:val="24"/>
          <w:szCs w:val="24"/>
        </w:rPr>
        <w:t xml:space="preserve">rage ratio of 1 has been estimated for PHEV. </w:t>
      </w:r>
    </w:p>
    <w:p w:rsidR="00B231CB" w:rsidRDefault="00B231CB">
      <w:pPr>
        <w:spacing w:after="200" w:line="276" w:lineRule="auto"/>
        <w:jc w:val="left"/>
        <w:rPr>
          <w:b/>
          <w:i/>
          <w:noProof/>
        </w:rPr>
      </w:pPr>
    </w:p>
    <w:p w:rsidR="00B231CB" w:rsidRDefault="00C71431">
      <w:pPr>
        <w:spacing w:after="200" w:line="276" w:lineRule="auto"/>
        <w:jc w:val="left"/>
        <w:rPr>
          <w:b/>
          <w:smallCaps/>
          <w:noProof/>
          <w:highlight w:val="yellow"/>
        </w:rPr>
      </w:pPr>
      <w:r>
        <w:rPr>
          <w:noProof/>
          <w:highlight w:val="yellow"/>
        </w:rPr>
        <w:br w:type="page"/>
      </w:r>
    </w:p>
    <w:p w:rsidR="00B231CB" w:rsidRDefault="00C71431">
      <w:pPr>
        <w:pStyle w:val="Heading1"/>
        <w:rPr>
          <w:noProof/>
        </w:rPr>
      </w:pPr>
      <w:bookmarkStart w:id="70" w:name="_Toc496688631"/>
      <w:r>
        <w:rPr>
          <w:noProof/>
        </w:rPr>
        <w:t>Annex 5: From NEDC to WLTP – transition to the new type approval emissions test under the current Cars and Vans Regulations</w:t>
      </w:r>
      <w:bookmarkEnd w:id="70"/>
    </w:p>
    <w:p w:rsidR="00B231CB" w:rsidRDefault="00C71431">
      <w:pPr>
        <w:spacing w:after="120"/>
        <w:rPr>
          <w:noProof/>
          <w:szCs w:val="24"/>
        </w:rPr>
      </w:pPr>
      <w:r>
        <w:rPr>
          <w:noProof/>
          <w:szCs w:val="24"/>
        </w:rPr>
        <w:t>The CO</w:t>
      </w:r>
      <w:r>
        <w:rPr>
          <w:noProof/>
          <w:szCs w:val="24"/>
          <w:vertAlign w:val="subscript"/>
        </w:rPr>
        <w:t>2</w:t>
      </w:r>
      <w:r>
        <w:rPr>
          <w:noProof/>
          <w:szCs w:val="24"/>
        </w:rPr>
        <w:t xml:space="preserve"> emission targets for cars and vans have until now been set on the basis of the emissions resulting from the New European Driving Cycle (NEDC) type approval test. Since 1 September 2017, the NEDC has been replaced by the new Worldwide Harmonised Light Vehi</w:t>
      </w:r>
      <w:r>
        <w:rPr>
          <w:noProof/>
          <w:szCs w:val="24"/>
        </w:rPr>
        <w:t>cle Test Procedure (WLTP). The WLTP has been designed to better reflect real driving conditions and will therefore provide more realistic fuel consumption and CO</w:t>
      </w:r>
      <w:r>
        <w:rPr>
          <w:noProof/>
          <w:szCs w:val="24"/>
          <w:vertAlign w:val="subscript"/>
        </w:rPr>
        <w:t>2</w:t>
      </w:r>
      <w:r>
        <w:rPr>
          <w:noProof/>
          <w:szCs w:val="24"/>
        </w:rPr>
        <w:t xml:space="preserve"> emissions values. The WLTP type approval test will be  fully applicable to all new cars and v</w:t>
      </w:r>
      <w:r>
        <w:rPr>
          <w:noProof/>
          <w:szCs w:val="24"/>
        </w:rPr>
        <w:t>ans from 1 September 2019. WLTP-based manufacturer CO</w:t>
      </w:r>
      <w:r>
        <w:rPr>
          <w:noProof/>
          <w:szCs w:val="24"/>
          <w:vertAlign w:val="subscript"/>
        </w:rPr>
        <w:t>2</w:t>
      </w:r>
      <w:r>
        <w:rPr>
          <w:noProof/>
          <w:szCs w:val="24"/>
        </w:rPr>
        <w:t xml:space="preserve"> targets will apply from 2021 onwards.</w:t>
      </w:r>
    </w:p>
    <w:p w:rsidR="00B231CB" w:rsidRDefault="00C71431">
      <w:pPr>
        <w:spacing w:after="120"/>
        <w:rPr>
          <w:noProof/>
          <w:szCs w:val="24"/>
        </w:rPr>
      </w:pPr>
      <w:r>
        <w:rPr>
          <w:noProof/>
          <w:szCs w:val="24"/>
        </w:rPr>
        <w:t>The WLTP test is likely to result in increased type approval CO</w:t>
      </w:r>
      <w:r>
        <w:rPr>
          <w:noProof/>
          <w:szCs w:val="24"/>
          <w:vertAlign w:val="subscript"/>
        </w:rPr>
        <w:t>2</w:t>
      </w:r>
      <w:r>
        <w:rPr>
          <w:noProof/>
          <w:szCs w:val="24"/>
        </w:rPr>
        <w:t xml:space="preserve"> emission values for most vehicles, but the increase will not be evenly distributed between differe</w:t>
      </w:r>
      <w:r>
        <w:rPr>
          <w:noProof/>
          <w:szCs w:val="24"/>
        </w:rPr>
        <w:t>nt manufacturers. Due to this non-linear relationship between the CO</w:t>
      </w:r>
      <w:r>
        <w:rPr>
          <w:noProof/>
          <w:szCs w:val="24"/>
          <w:vertAlign w:val="subscript"/>
        </w:rPr>
        <w:t>2</w:t>
      </w:r>
      <w:r>
        <w:rPr>
          <w:noProof/>
          <w:szCs w:val="24"/>
        </w:rPr>
        <w:t xml:space="preserve"> emission test results from the NEDC and WLTP test-procedures, it is impossible to determine one single factor to correlate NEDC into WLTP CO</w:t>
      </w:r>
      <w:r>
        <w:rPr>
          <w:noProof/>
          <w:szCs w:val="24"/>
          <w:vertAlign w:val="subscript"/>
        </w:rPr>
        <w:t xml:space="preserve">2 </w:t>
      </w:r>
      <w:r>
        <w:rPr>
          <w:noProof/>
          <w:szCs w:val="24"/>
        </w:rPr>
        <w:t>emission values. A correlation procedure tog</w:t>
      </w:r>
      <w:r>
        <w:rPr>
          <w:noProof/>
          <w:szCs w:val="24"/>
        </w:rPr>
        <w:t>ether with a methodology for translating individual manufacturer CO</w:t>
      </w:r>
      <w:r>
        <w:rPr>
          <w:noProof/>
          <w:szCs w:val="24"/>
          <w:vertAlign w:val="subscript"/>
        </w:rPr>
        <w:t>2</w:t>
      </w:r>
      <w:r>
        <w:rPr>
          <w:noProof/>
          <w:szCs w:val="24"/>
        </w:rPr>
        <w:t xml:space="preserve"> targets have therefore been put in place</w:t>
      </w:r>
      <w:r>
        <w:rPr>
          <w:rStyle w:val="FootnoteReference"/>
          <w:noProof/>
          <w:szCs w:val="24"/>
        </w:rPr>
        <w:footnoteReference w:id="51"/>
      </w:r>
      <w:r>
        <w:rPr>
          <w:noProof/>
          <w:szCs w:val="24"/>
        </w:rPr>
        <w:t xml:space="preserve"> which will ensure that the CO</w:t>
      </w:r>
      <w:r>
        <w:rPr>
          <w:noProof/>
          <w:szCs w:val="24"/>
          <w:vertAlign w:val="subscript"/>
        </w:rPr>
        <w:t>2</w:t>
      </w:r>
      <w:r>
        <w:rPr>
          <w:noProof/>
          <w:szCs w:val="24"/>
        </w:rPr>
        <w:t xml:space="preserve"> reduction requirements of the current Regulations under WLTP conditions are of a stringency comparable to those th</w:t>
      </w:r>
      <w:r>
        <w:rPr>
          <w:noProof/>
          <w:szCs w:val="24"/>
        </w:rPr>
        <w:t xml:space="preserve">at have been defined under the NEDC conditions. </w:t>
      </w:r>
    </w:p>
    <w:p w:rsidR="00B231CB" w:rsidRDefault="00C71431">
      <w:pPr>
        <w:spacing w:after="120"/>
        <w:rPr>
          <w:noProof/>
          <w:szCs w:val="24"/>
        </w:rPr>
      </w:pPr>
      <w:r>
        <w:rPr>
          <w:noProof/>
          <w:szCs w:val="24"/>
        </w:rPr>
        <w:t>More precisely, during the period 2017 to 2020, NEDC-based CO</w:t>
      </w:r>
      <w:r>
        <w:rPr>
          <w:noProof/>
          <w:szCs w:val="24"/>
          <w:vertAlign w:val="subscript"/>
        </w:rPr>
        <w:t>2</w:t>
      </w:r>
      <w:r>
        <w:rPr>
          <w:noProof/>
          <w:szCs w:val="24"/>
        </w:rPr>
        <w:t xml:space="preserve"> targets will continue to apply for cars and vans. All vehicles placed on the market in this period will progressively be certified with both NED</w:t>
      </w:r>
      <w:r>
        <w:rPr>
          <w:noProof/>
          <w:szCs w:val="24"/>
        </w:rPr>
        <w:t xml:space="preserve">C and WLTP values. The Commission will monitor those values until 2020, which is the first full calendar year in which both NEDC and WLTP values will be available for all new vehicles registered. Based on the 2020 monitoring data (available in 2021), each </w:t>
      </w:r>
      <w:r>
        <w:rPr>
          <w:noProof/>
          <w:szCs w:val="24"/>
        </w:rPr>
        <w:t>individual manufacturer's performance on both test procedures will be compared with a view to determining its WLTP-based reference target. That reference target will correspond to the manufacturer's average WLTP-based CO</w:t>
      </w:r>
      <w:r>
        <w:rPr>
          <w:noProof/>
          <w:szCs w:val="24"/>
          <w:vertAlign w:val="subscript"/>
        </w:rPr>
        <w:t>2</w:t>
      </w:r>
      <w:r>
        <w:rPr>
          <w:noProof/>
          <w:szCs w:val="24"/>
        </w:rPr>
        <w:t xml:space="preserve"> emissions in 2020 adjusted either </w:t>
      </w:r>
      <w:r>
        <w:rPr>
          <w:noProof/>
          <w:szCs w:val="24"/>
        </w:rPr>
        <w:t>upwards or downwards depending on how close the manufacturer will be in complying with its NEDC based CO</w:t>
      </w:r>
      <w:r>
        <w:rPr>
          <w:noProof/>
          <w:szCs w:val="24"/>
          <w:vertAlign w:val="subscript"/>
        </w:rPr>
        <w:t>2</w:t>
      </w:r>
      <w:r>
        <w:rPr>
          <w:noProof/>
          <w:szCs w:val="24"/>
        </w:rPr>
        <w:t xml:space="preserve"> target in 2020. The reference WLTP targets will be used to calculate the manufacturers' annual specific emission targets starting from 2021 using the </w:t>
      </w:r>
      <w:r>
        <w:rPr>
          <w:noProof/>
          <w:szCs w:val="24"/>
        </w:rPr>
        <w:t>approach set out in Commission Delegated Regulations (EU) 2017/1499 and 2017/1502. The 2021 targets will be published by the Commission in October 2022</w:t>
      </w:r>
      <w:r>
        <w:rPr>
          <w:rStyle w:val="FootnoteReference"/>
          <w:noProof/>
          <w:szCs w:val="24"/>
        </w:rPr>
        <w:footnoteReference w:id="52"/>
      </w:r>
      <w:r>
        <w:rPr>
          <w:noProof/>
          <w:szCs w:val="24"/>
        </w:rPr>
        <w:t xml:space="preserve">. </w:t>
      </w:r>
    </w:p>
    <w:p w:rsidR="00B231CB" w:rsidRDefault="00C71431">
      <w:pPr>
        <w:spacing w:after="120"/>
        <w:rPr>
          <w:noProof/>
          <w:szCs w:val="24"/>
        </w:rPr>
      </w:pPr>
      <w:r>
        <w:rPr>
          <w:noProof/>
          <w:szCs w:val="24"/>
        </w:rPr>
        <w:t>This process allows the cars and vans CO</w:t>
      </w:r>
      <w:r>
        <w:rPr>
          <w:noProof/>
          <w:szCs w:val="24"/>
          <w:vertAlign w:val="subscript"/>
        </w:rPr>
        <w:t>2</w:t>
      </w:r>
      <w:r>
        <w:rPr>
          <w:noProof/>
          <w:szCs w:val="24"/>
        </w:rPr>
        <w:t xml:space="preserve"> emission targets set for 2020 and 2021 onwards to be mainta</w:t>
      </w:r>
      <w:r>
        <w:rPr>
          <w:noProof/>
          <w:szCs w:val="24"/>
        </w:rPr>
        <w:t xml:space="preserve">ined after the transition to the WLTP test is completed and to use those targets as the starting point for the new legislation.. </w:t>
      </w:r>
    </w:p>
    <w:p w:rsidR="00B231CB" w:rsidRDefault="00B231CB">
      <w:pPr>
        <w:spacing w:after="200" w:line="276" w:lineRule="auto"/>
        <w:jc w:val="left"/>
        <w:rPr>
          <w:i/>
          <w:noProof/>
        </w:rPr>
      </w:pPr>
    </w:p>
    <w:p w:rsidR="00B231CB" w:rsidRDefault="00B231CB">
      <w:pPr>
        <w:spacing w:after="200" w:line="276" w:lineRule="auto"/>
        <w:jc w:val="left"/>
        <w:rPr>
          <w:i/>
          <w:noProof/>
        </w:rPr>
      </w:pPr>
    </w:p>
    <w:p w:rsidR="00B231CB" w:rsidRDefault="00C71431">
      <w:pPr>
        <w:spacing w:after="200" w:line="276" w:lineRule="auto"/>
        <w:jc w:val="left"/>
        <w:rPr>
          <w:i/>
          <w:noProof/>
        </w:rPr>
      </w:pPr>
      <w:r>
        <w:rPr>
          <w:i/>
          <w:noProof/>
        </w:rPr>
        <w:br w:type="page"/>
      </w:r>
    </w:p>
    <w:p w:rsidR="00B231CB" w:rsidRDefault="00C71431">
      <w:pPr>
        <w:pStyle w:val="Heading1"/>
        <w:rPr>
          <w:noProof/>
        </w:rPr>
      </w:pPr>
      <w:bookmarkStart w:id="71" w:name="_Toc496688632"/>
      <w:r>
        <w:rPr>
          <w:noProof/>
        </w:rPr>
        <w:t>Annex 6: Real world emission monitoring</w:t>
      </w:r>
      <w:bookmarkEnd w:id="71"/>
    </w:p>
    <w:p w:rsidR="00B231CB" w:rsidRDefault="00C71431">
      <w:pPr>
        <w:rPr>
          <w:b/>
          <w:noProof/>
        </w:rPr>
      </w:pPr>
      <w:r>
        <w:rPr>
          <w:b/>
          <w:noProof/>
        </w:rPr>
        <w:t xml:space="preserve">JRC Science for Policy Report "Characterization of real-world CO2 variability and </w:t>
      </w:r>
      <w:r>
        <w:rPr>
          <w:b/>
          <w:noProof/>
        </w:rPr>
        <w:t>implications for future policy instruments " (</w:t>
      </w:r>
      <w:r>
        <w:rPr>
          <w:b/>
          <w:i/>
          <w:noProof/>
        </w:rPr>
        <w:t>Pavlovic, J., Clairotte, M., Anagnostopoulos, K., Arcidiacono, V., Fontaras, G., Ciuffo, B.</w:t>
      </w:r>
      <w:r>
        <w:rPr>
          <w:b/>
          <w:noProof/>
        </w:rPr>
        <w:t xml:space="preserve"> (2017), publication pending)</w:t>
      </w:r>
    </w:p>
    <w:p w:rsidR="00B231CB" w:rsidRDefault="00C71431">
      <w:pPr>
        <w:pStyle w:val="JRCText"/>
        <w:spacing w:before="0"/>
        <w:rPr>
          <w:rFonts w:ascii="Times New Roman" w:hAnsi="Times New Roman"/>
          <w:b/>
          <w:noProof/>
          <w:sz w:val="24"/>
          <w:szCs w:val="24"/>
        </w:rPr>
      </w:pPr>
      <w:r>
        <w:rPr>
          <w:rFonts w:ascii="Times New Roman" w:hAnsi="Times New Roman"/>
          <w:b/>
          <w:noProof/>
          <w:sz w:val="24"/>
          <w:szCs w:val="24"/>
        </w:rPr>
        <w:t>EXECUTIVE SUMMARY</w:t>
      </w:r>
    </w:p>
    <w:p w:rsidR="00B231CB" w:rsidRDefault="00C71431">
      <w:pPr>
        <w:pStyle w:val="JRCText"/>
        <w:spacing w:before="0"/>
        <w:rPr>
          <w:rFonts w:ascii="Times New Roman" w:hAnsi="Times New Roman"/>
          <w:noProof/>
          <w:sz w:val="24"/>
          <w:szCs w:val="24"/>
        </w:rPr>
      </w:pPr>
      <w:r>
        <w:rPr>
          <w:rFonts w:ascii="Times New Roman" w:hAnsi="Times New Roman"/>
          <w:noProof/>
          <w:sz w:val="24"/>
          <w:szCs w:val="24"/>
        </w:rPr>
        <w:t xml:space="preserve">As part of its policy for reducing the greenhouse gas emissions from </w:t>
      </w:r>
      <w:r>
        <w:rPr>
          <w:rFonts w:ascii="Times New Roman" w:hAnsi="Times New Roman"/>
          <w:noProof/>
          <w:sz w:val="24"/>
          <w:szCs w:val="24"/>
        </w:rPr>
        <w:t>transport and improving its energy efficiency, Europe has set a target for the average CO</w:t>
      </w:r>
      <w:r>
        <w:rPr>
          <w:rFonts w:ascii="Times New Roman" w:hAnsi="Times New Roman"/>
          <w:noProof/>
          <w:sz w:val="24"/>
          <w:szCs w:val="24"/>
          <w:vertAlign w:val="subscript"/>
        </w:rPr>
        <w:t>2</w:t>
      </w:r>
      <w:r>
        <w:rPr>
          <w:rFonts w:ascii="Times New Roman" w:hAnsi="Times New Roman"/>
          <w:noProof/>
          <w:sz w:val="24"/>
          <w:szCs w:val="24"/>
        </w:rPr>
        <w:t xml:space="preserve"> emissions of new passenger cars at 95 gCO</w:t>
      </w:r>
      <w:r>
        <w:rPr>
          <w:rFonts w:ascii="Times New Roman" w:hAnsi="Times New Roman"/>
          <w:noProof/>
          <w:sz w:val="24"/>
          <w:szCs w:val="24"/>
          <w:vertAlign w:val="subscript"/>
        </w:rPr>
        <w:t>2</w:t>
      </w:r>
      <w:r>
        <w:rPr>
          <w:rFonts w:ascii="Times New Roman" w:hAnsi="Times New Roman"/>
          <w:noProof/>
          <w:sz w:val="24"/>
          <w:szCs w:val="24"/>
        </w:rPr>
        <w:t>/km, applying from 2021 on. Over the past years, improvements in fuel efficiency have been claimed, on the basis of emissio</w:t>
      </w:r>
      <w:r>
        <w:rPr>
          <w:rFonts w:ascii="Times New Roman" w:hAnsi="Times New Roman"/>
          <w:noProof/>
          <w:sz w:val="24"/>
          <w:szCs w:val="24"/>
        </w:rPr>
        <w:t>n tests, which are part of the type approval of the vehicles. Nevertheless there is increasing evidence that fuel consumption improvements are only partly visible in real-world operating conditions, since they originate, at least in part, from test-oriente</w:t>
      </w:r>
      <w:r>
        <w:rPr>
          <w:rFonts w:ascii="Times New Roman" w:hAnsi="Times New Roman"/>
          <w:noProof/>
          <w:sz w:val="24"/>
          <w:szCs w:val="24"/>
        </w:rPr>
        <w:t>d vehicle optimizations and test-related practices. As a result, the offset between officially reported values and real-world vehicle CO</w:t>
      </w:r>
      <w:r>
        <w:rPr>
          <w:rFonts w:ascii="Times New Roman" w:hAnsi="Times New Roman"/>
          <w:noProof/>
          <w:sz w:val="24"/>
          <w:szCs w:val="24"/>
          <w:vertAlign w:val="subscript"/>
        </w:rPr>
        <w:t>2</w:t>
      </w:r>
      <w:r>
        <w:rPr>
          <w:rFonts w:ascii="Times New Roman" w:hAnsi="Times New Roman"/>
          <w:noProof/>
          <w:sz w:val="24"/>
          <w:szCs w:val="24"/>
        </w:rPr>
        <w:t xml:space="preserve"> emissions has increased year by year, and is estimated to be around 40% for 2015/2016. </w:t>
      </w:r>
    </w:p>
    <w:p w:rsidR="00B231CB" w:rsidRDefault="00C71431">
      <w:pPr>
        <w:pStyle w:val="JRCText"/>
        <w:spacing w:before="0"/>
        <w:rPr>
          <w:rFonts w:ascii="Times New Roman" w:hAnsi="Times New Roman"/>
          <w:noProof/>
          <w:sz w:val="24"/>
          <w:szCs w:val="24"/>
        </w:rPr>
      </w:pPr>
      <w:r>
        <w:rPr>
          <w:rFonts w:ascii="Times New Roman" w:hAnsi="Times New Roman"/>
          <w:noProof/>
          <w:sz w:val="24"/>
          <w:szCs w:val="24"/>
        </w:rPr>
        <w:t>There are three main reasons w</w:t>
      </w:r>
      <w:r>
        <w:rPr>
          <w:rFonts w:ascii="Times New Roman" w:hAnsi="Times New Roman"/>
          <w:noProof/>
          <w:sz w:val="24"/>
          <w:szCs w:val="24"/>
        </w:rPr>
        <w:t>hy a high and increasing difference between officially reported and actual CO</w:t>
      </w:r>
      <w:r>
        <w:rPr>
          <w:rFonts w:ascii="Times New Roman" w:hAnsi="Times New Roman"/>
          <w:noProof/>
          <w:sz w:val="24"/>
          <w:szCs w:val="24"/>
          <w:vertAlign w:val="subscript"/>
        </w:rPr>
        <w:t>2</w:t>
      </w:r>
      <w:r>
        <w:rPr>
          <w:rFonts w:ascii="Times New Roman" w:hAnsi="Times New Roman"/>
          <w:noProof/>
          <w:sz w:val="24"/>
          <w:szCs w:val="24"/>
        </w:rPr>
        <w:t xml:space="preserve"> emissions of vehicles constitutes a problem: a) it undermines the collective effort to reduce greenhouse gas emissions in Europe, b) it creates an unfair playing field for diffe</w:t>
      </w:r>
      <w:r>
        <w:rPr>
          <w:rFonts w:ascii="Times New Roman" w:hAnsi="Times New Roman"/>
          <w:noProof/>
          <w:sz w:val="24"/>
          <w:szCs w:val="24"/>
        </w:rPr>
        <w:t>rent competitors, and c) it affects the credibility of vehicle manufacturers amongst vehicle buyers. Different stakeholders have been suggesting approaches for dealing with the gap both to provide consumers with more reliable information and to ensure that</w:t>
      </w:r>
      <w:r>
        <w:rPr>
          <w:rFonts w:ascii="Times New Roman" w:hAnsi="Times New Roman"/>
          <w:noProof/>
          <w:sz w:val="24"/>
          <w:szCs w:val="24"/>
        </w:rPr>
        <w:t xml:space="preserve"> progresses to meet fuel-economy/CO</w:t>
      </w:r>
      <w:r>
        <w:rPr>
          <w:rFonts w:ascii="Times New Roman" w:hAnsi="Times New Roman"/>
          <w:noProof/>
          <w:sz w:val="24"/>
          <w:szCs w:val="24"/>
          <w:vertAlign w:val="subscript"/>
        </w:rPr>
        <w:t>2</w:t>
      </w:r>
      <w:r>
        <w:rPr>
          <w:rFonts w:ascii="Times New Roman" w:hAnsi="Times New Roman"/>
          <w:noProof/>
          <w:sz w:val="24"/>
          <w:szCs w:val="24"/>
        </w:rPr>
        <w:t xml:space="preserve"> emission standards are also visible in real life. Among the different options, the following ones have been more frequently advanced: i) the development of an RDE test for CO</w:t>
      </w:r>
      <w:r>
        <w:rPr>
          <w:rFonts w:ascii="Times New Roman" w:hAnsi="Times New Roman"/>
          <w:noProof/>
          <w:sz w:val="24"/>
          <w:szCs w:val="24"/>
          <w:vertAlign w:val="subscript"/>
        </w:rPr>
        <w:t>2</w:t>
      </w:r>
      <w:r>
        <w:rPr>
          <w:rFonts w:ascii="Times New Roman" w:hAnsi="Times New Roman"/>
          <w:noProof/>
          <w:sz w:val="24"/>
          <w:szCs w:val="24"/>
        </w:rPr>
        <w:t xml:space="preserve"> and fuel consumption, ii) the development o</w:t>
      </w:r>
      <w:r>
        <w:rPr>
          <w:rFonts w:ascii="Times New Roman" w:hAnsi="Times New Roman"/>
          <w:noProof/>
          <w:sz w:val="24"/>
          <w:szCs w:val="24"/>
        </w:rPr>
        <w:t>f a fleet-monitoring system based on a fuel consumption meter introduced in all new vehicles, iii) the use of statistical and/or model-based approaches to correct the type-approval figures in order to be closer to the real-life conditions</w:t>
      </w:r>
      <w:r>
        <w:rPr>
          <w:rStyle w:val="FootnoteReference"/>
          <w:rFonts w:ascii="Times New Roman" w:hAnsi="Times New Roman"/>
          <w:noProof/>
          <w:sz w:val="24"/>
          <w:szCs w:val="24"/>
        </w:rPr>
        <w:footnoteReference w:id="53"/>
      </w:r>
      <w:r>
        <w:rPr>
          <w:rFonts w:ascii="Times New Roman" w:hAnsi="Times New Roman"/>
          <w:noProof/>
          <w:sz w:val="24"/>
          <w:szCs w:val="24"/>
        </w:rPr>
        <w:t>. However, a fund</w:t>
      </w:r>
      <w:r>
        <w:rPr>
          <w:rFonts w:ascii="Times New Roman" w:hAnsi="Times New Roman"/>
          <w:noProof/>
          <w:sz w:val="24"/>
          <w:szCs w:val="24"/>
        </w:rPr>
        <w:t>amental question remains unsolved: does a single real-life fuel consumption figure make sense or alternative approaches (distributions, ranges, customized figures, etc.) need to be developed? Furthermore, the development of a new approach will require time</w:t>
      </w:r>
      <w:r>
        <w:rPr>
          <w:rFonts w:ascii="Times New Roman" w:hAnsi="Times New Roman"/>
          <w:noProof/>
          <w:sz w:val="24"/>
          <w:szCs w:val="24"/>
        </w:rPr>
        <w:t xml:space="preserve"> to have it fully developed and validated. </w:t>
      </w:r>
    </w:p>
    <w:p w:rsidR="00B231CB" w:rsidRDefault="00C71431">
      <w:pPr>
        <w:pStyle w:val="JRCText"/>
        <w:spacing w:before="0"/>
        <w:rPr>
          <w:rFonts w:ascii="Times New Roman" w:hAnsi="Times New Roman"/>
          <w:noProof/>
          <w:sz w:val="24"/>
          <w:szCs w:val="24"/>
        </w:rPr>
      </w:pPr>
      <w:r>
        <w:rPr>
          <w:rFonts w:ascii="Times New Roman" w:hAnsi="Times New Roman"/>
          <w:noProof/>
          <w:sz w:val="24"/>
          <w:szCs w:val="24"/>
        </w:rPr>
        <w:t>In this light, the present study aims at characterizing the uncertainty (variability) in the vehicle fuel consumption. This should help to develop an appropriate and effective approach to deal with the gap betwee</w:t>
      </w:r>
      <w:r>
        <w:rPr>
          <w:rFonts w:ascii="Times New Roman" w:hAnsi="Times New Roman"/>
          <w:noProof/>
          <w:sz w:val="24"/>
          <w:szCs w:val="24"/>
        </w:rPr>
        <w:t>n type-approval and real-world vehicle fuel consumption, in the context of the CO</w:t>
      </w:r>
      <w:r>
        <w:rPr>
          <w:rFonts w:ascii="Times New Roman" w:hAnsi="Times New Roman"/>
          <w:noProof/>
          <w:sz w:val="24"/>
          <w:szCs w:val="24"/>
          <w:vertAlign w:val="subscript"/>
        </w:rPr>
        <w:t>2</w:t>
      </w:r>
      <w:r>
        <w:rPr>
          <w:rFonts w:ascii="Times New Roman" w:hAnsi="Times New Roman"/>
          <w:noProof/>
          <w:sz w:val="24"/>
          <w:szCs w:val="24"/>
        </w:rPr>
        <w:t xml:space="preserve"> target setting and compliance monitoring as well as for informing consumers on the CO</w:t>
      </w:r>
      <w:r>
        <w:rPr>
          <w:rFonts w:ascii="Times New Roman" w:hAnsi="Times New Roman"/>
          <w:noProof/>
          <w:sz w:val="24"/>
          <w:szCs w:val="24"/>
          <w:vertAlign w:val="subscript"/>
        </w:rPr>
        <w:t>2</w:t>
      </w:r>
      <w:r>
        <w:rPr>
          <w:rFonts w:ascii="Times New Roman" w:hAnsi="Times New Roman"/>
          <w:noProof/>
          <w:sz w:val="24"/>
          <w:szCs w:val="24"/>
        </w:rPr>
        <w:t xml:space="preserve"> emissions and fuel consumption (car labelling). </w:t>
      </w:r>
    </w:p>
    <w:p w:rsidR="00B231CB" w:rsidRDefault="00C71431">
      <w:pPr>
        <w:pStyle w:val="JRCText"/>
        <w:spacing w:before="0"/>
        <w:rPr>
          <w:rFonts w:ascii="Times New Roman" w:hAnsi="Times New Roman"/>
          <w:noProof/>
          <w:sz w:val="24"/>
          <w:szCs w:val="24"/>
        </w:rPr>
      </w:pPr>
      <w:r>
        <w:rPr>
          <w:rFonts w:ascii="Times New Roman" w:hAnsi="Times New Roman"/>
          <w:noProof/>
          <w:sz w:val="24"/>
          <w:szCs w:val="24"/>
        </w:rPr>
        <w:t>Two types of data sources are used in</w:t>
      </w:r>
      <w:r>
        <w:rPr>
          <w:rFonts w:ascii="Times New Roman" w:hAnsi="Times New Roman"/>
          <w:noProof/>
          <w:sz w:val="24"/>
          <w:szCs w:val="24"/>
        </w:rPr>
        <w:t xml:space="preserve"> the analysis, namely (i) data collected during a period of ~6 months from the same vehicle driven by different drivers and in different conditions, and (ii) data collected from different vehicles tested by a few drivers on a limited number of routes. Comb</w:t>
      </w:r>
      <w:r>
        <w:rPr>
          <w:rFonts w:ascii="Times New Roman" w:hAnsi="Times New Roman"/>
          <w:noProof/>
          <w:sz w:val="24"/>
          <w:szCs w:val="24"/>
        </w:rPr>
        <w:t>ining these two sets of data allowed to merge a wider coverage of testing conditions (first data set) with a wider coverage of vehicle technologies (second data set).</w:t>
      </w:r>
    </w:p>
    <w:p w:rsidR="00B231CB" w:rsidRDefault="00C71431">
      <w:pPr>
        <w:pStyle w:val="JRCText"/>
        <w:spacing w:before="0"/>
        <w:rPr>
          <w:rFonts w:ascii="Times New Roman" w:hAnsi="Times New Roman"/>
          <w:noProof/>
          <w:sz w:val="24"/>
          <w:szCs w:val="24"/>
        </w:rPr>
      </w:pPr>
      <w:r>
        <w:rPr>
          <w:rFonts w:ascii="Times New Roman" w:hAnsi="Times New Roman"/>
          <w:noProof/>
          <w:sz w:val="24"/>
          <w:szCs w:val="24"/>
        </w:rPr>
        <w:t xml:space="preserve">As shown in </w:t>
      </w:r>
      <w:r>
        <w:rPr>
          <w:rFonts w:ascii="Times New Roman" w:hAnsi="Times New Roman"/>
          <w:noProof/>
          <w:sz w:val="24"/>
          <w:szCs w:val="24"/>
        </w:rPr>
        <w:fldChar w:fldCharType="begin"/>
      </w:r>
      <w:r>
        <w:rPr>
          <w:rFonts w:ascii="Times New Roman" w:hAnsi="Times New Roman"/>
          <w:noProof/>
          <w:sz w:val="24"/>
          <w:szCs w:val="24"/>
        </w:rPr>
        <w:instrText xml:space="preserve"> REF _Ref494106105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5</w:t>
      </w:r>
      <w:r>
        <w:rPr>
          <w:rFonts w:ascii="Times New Roman" w:hAnsi="Times New Roman"/>
          <w:noProof/>
          <w:sz w:val="24"/>
          <w:szCs w:val="24"/>
        </w:rPr>
        <w:fldChar w:fldCharType="end"/>
      </w:r>
      <w:r>
        <w:rPr>
          <w:rFonts w:ascii="Times New Roman" w:hAnsi="Times New Roman"/>
          <w:noProof/>
          <w:sz w:val="24"/>
          <w:szCs w:val="24"/>
        </w:rPr>
        <w:t>, the variability of the vehicle fuel consumption over different operating conditions is high (ranging from 5 to 13 l/100km in 95% of the cases), both for the same driver and for different drivers. The average fuel consu</w:t>
      </w:r>
      <w:r>
        <w:rPr>
          <w:rFonts w:ascii="Times New Roman" w:hAnsi="Times New Roman"/>
          <w:noProof/>
          <w:sz w:val="24"/>
          <w:szCs w:val="24"/>
        </w:rPr>
        <w:t>mption measured for all trips is 8 l/100km and the median fuel consumption is 7.4 l/100km. As the type-approval value for the vehicle is 5.5l/100km ("TA NEDC FC"), the mean and median value imply a gap of 45%, and 35%, respectively, which is overall in lin</w:t>
      </w:r>
      <w:r>
        <w:rPr>
          <w:rFonts w:ascii="Times New Roman" w:hAnsi="Times New Roman"/>
          <w:noProof/>
          <w:sz w:val="24"/>
          <w:szCs w:val="24"/>
        </w:rPr>
        <w:t>e with the evidence reported in the existing literature.</w:t>
      </w:r>
    </w:p>
    <w:p w:rsidR="00B231CB" w:rsidRDefault="00C71431">
      <w:pPr>
        <w:pStyle w:val="Caption"/>
        <w:jc w:val="both"/>
        <w:rPr>
          <w:noProof/>
          <w:szCs w:val="24"/>
        </w:rPr>
      </w:pPr>
      <w:bookmarkStart w:id="72" w:name="_Ref494106105"/>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72"/>
      <w:r>
        <w:rPr>
          <w:noProof/>
        </w:rPr>
        <w:t>: Overview of results: fuel consumption of individual drivers and all drivers combined</w:t>
      </w:r>
    </w:p>
    <w:p w:rsidR="00B231CB" w:rsidRDefault="00C71431">
      <w:pPr>
        <w:pStyle w:val="JRCText"/>
        <w:spacing w:before="0"/>
        <w:jc w:val="center"/>
        <w:rPr>
          <w:rFonts w:ascii="Times New Roman" w:hAnsi="Times New Roman"/>
          <w:noProof/>
          <w:sz w:val="24"/>
          <w:szCs w:val="24"/>
        </w:rPr>
      </w:pPr>
      <w:r>
        <w:rPr>
          <w:rFonts w:ascii="Times New Roman" w:hAnsi="Times New Roman"/>
          <w:noProof/>
          <w:sz w:val="24"/>
          <w:szCs w:val="24"/>
          <w:lang w:eastAsia="en-GB"/>
        </w:rPr>
        <w:drawing>
          <wp:inline distT="0" distB="0" distL="0" distR="0" wp14:anchorId="7B129E17" wp14:editId="1447BF3C">
            <wp:extent cx="5410200" cy="5981126"/>
            <wp:effectExtent l="0" t="0" r="0" b="63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7"/>
                    <a:stretch>
                      <a:fillRect/>
                    </a:stretch>
                  </pic:blipFill>
                  <pic:spPr>
                    <a:xfrm>
                      <a:off x="0" y="0"/>
                      <a:ext cx="5410200" cy="5981126"/>
                    </a:xfrm>
                    <a:prstGeom prst="rect">
                      <a:avLst/>
                    </a:prstGeom>
                  </pic:spPr>
                </pic:pic>
              </a:graphicData>
            </a:graphic>
          </wp:inline>
        </w:drawing>
      </w:r>
    </w:p>
    <w:p w:rsidR="00B231CB" w:rsidRDefault="00C71431">
      <w:pPr>
        <w:pStyle w:val="JRCText"/>
        <w:spacing w:before="0"/>
        <w:rPr>
          <w:rFonts w:ascii="Times New Roman" w:hAnsi="Times New Roman"/>
          <w:noProof/>
          <w:sz w:val="24"/>
          <w:szCs w:val="24"/>
        </w:rPr>
      </w:pPr>
      <w:r>
        <w:rPr>
          <w:rFonts w:ascii="Times New Roman" w:hAnsi="Times New Roman"/>
          <w:noProof/>
          <w:sz w:val="24"/>
          <w:szCs w:val="24"/>
        </w:rPr>
        <w:t>These findings put into question the meaningfulness of solutions, which try t</w:t>
      </w:r>
      <w:r>
        <w:rPr>
          <w:rFonts w:ascii="Times New Roman" w:hAnsi="Times New Roman"/>
          <w:noProof/>
          <w:sz w:val="24"/>
          <w:szCs w:val="24"/>
        </w:rPr>
        <w:t xml:space="preserve">o characterize the fuel consumption of a vehicle with a single central figure measured ex-ante. </w:t>
      </w:r>
    </w:p>
    <w:p w:rsidR="00B231CB" w:rsidRDefault="00C71431">
      <w:pPr>
        <w:pStyle w:val="JRCText"/>
        <w:spacing w:before="0"/>
        <w:rPr>
          <w:rFonts w:ascii="Times New Roman" w:hAnsi="Times New Roman"/>
          <w:noProof/>
          <w:sz w:val="24"/>
          <w:szCs w:val="24"/>
        </w:rPr>
      </w:pPr>
      <w:r>
        <w:rPr>
          <w:rFonts w:ascii="Times New Roman" w:hAnsi="Times New Roman"/>
          <w:noProof/>
          <w:sz w:val="24"/>
          <w:szCs w:val="24"/>
        </w:rPr>
        <w:t>From the perspective of monitoring the real-world fuel efficiency improvements under a regulatory target, one may wonder how to ensure that a single figure cor</w:t>
      </w:r>
      <w:r>
        <w:rPr>
          <w:rFonts w:ascii="Times New Roman" w:hAnsi="Times New Roman"/>
          <w:noProof/>
          <w:sz w:val="24"/>
          <w:szCs w:val="24"/>
        </w:rPr>
        <w:t>responds to the average of the fuel consumption experienced by all drivers using the same vehicle. Similarly, from the perspective of providing reliable information to the users, one may also question the value of a median figure when the variability for d</w:t>
      </w:r>
      <w:r>
        <w:rPr>
          <w:rFonts w:ascii="Times New Roman" w:hAnsi="Times New Roman"/>
          <w:noProof/>
          <w:sz w:val="24"/>
          <w:szCs w:val="24"/>
        </w:rPr>
        <w:t xml:space="preserve">ifferent drivers over different trips can be so high. </w:t>
      </w:r>
    </w:p>
    <w:p w:rsidR="00B231CB" w:rsidRDefault="00C71431">
      <w:pPr>
        <w:pStyle w:val="JRCText"/>
        <w:spacing w:before="0"/>
        <w:rPr>
          <w:rFonts w:ascii="Times New Roman" w:hAnsi="Times New Roman"/>
          <w:noProof/>
          <w:sz w:val="24"/>
          <w:szCs w:val="24"/>
        </w:rPr>
      </w:pPr>
      <w:r>
        <w:rPr>
          <w:rFonts w:ascii="Times New Roman" w:hAnsi="Times New Roman"/>
          <w:noProof/>
          <w:sz w:val="24"/>
          <w:szCs w:val="24"/>
        </w:rPr>
        <w:t>The above figure also shows the fuel consumption measured in the Vehicle Emission LAboratory (VELA) of the Joint Research Centre from the same vehicle running a NEDC test ("Measured NEDC FC"). As alrea</w:t>
      </w:r>
      <w:r>
        <w:rPr>
          <w:rFonts w:ascii="Times New Roman" w:hAnsi="Times New Roman"/>
          <w:noProof/>
          <w:sz w:val="24"/>
          <w:szCs w:val="24"/>
        </w:rPr>
        <w:t>dy reported in the literature (please refer to Table 1 in the report), the NEDC TA value is systematically lower than the results of measurements carried out in an independent lab. Introducing a more robust test procedure, such as WLTP, will therefore sign</w:t>
      </w:r>
      <w:r>
        <w:rPr>
          <w:rFonts w:ascii="Times New Roman" w:hAnsi="Times New Roman"/>
          <w:noProof/>
          <w:sz w:val="24"/>
          <w:szCs w:val="24"/>
        </w:rPr>
        <w:t>ificantly increase the representativeness of the lab-based test. Since, as of September 1</w:t>
      </w:r>
      <w:r>
        <w:rPr>
          <w:rFonts w:ascii="Times New Roman" w:hAnsi="Times New Roman"/>
          <w:noProof/>
          <w:sz w:val="24"/>
          <w:szCs w:val="24"/>
          <w:vertAlign w:val="superscript"/>
        </w:rPr>
        <w:t>st</w:t>
      </w:r>
      <w:r>
        <w:rPr>
          <w:rFonts w:ascii="Times New Roman" w:hAnsi="Times New Roman"/>
          <w:noProof/>
          <w:sz w:val="24"/>
          <w:szCs w:val="24"/>
        </w:rPr>
        <w:t xml:space="preserve"> 2017, the WLTP has replaced the NEDC as test procedure to be used in the emission type-approval of light-duty vehicles, it is expected that the vehicles that will be introduced in the market in the near future will show a more realistic single value of fu</w:t>
      </w:r>
      <w:r>
        <w:rPr>
          <w:rFonts w:ascii="Times New Roman" w:hAnsi="Times New Roman"/>
          <w:noProof/>
          <w:sz w:val="24"/>
          <w:szCs w:val="24"/>
        </w:rPr>
        <w:t>el consumption and CO</w:t>
      </w:r>
      <w:r>
        <w:rPr>
          <w:rFonts w:ascii="Times New Roman" w:hAnsi="Times New Roman"/>
          <w:noProof/>
          <w:sz w:val="24"/>
          <w:szCs w:val="24"/>
          <w:vertAlign w:val="subscript"/>
        </w:rPr>
        <w:t>2</w:t>
      </w:r>
      <w:r>
        <w:rPr>
          <w:rFonts w:ascii="Times New Roman" w:hAnsi="Times New Roman"/>
          <w:noProof/>
          <w:sz w:val="24"/>
          <w:szCs w:val="24"/>
        </w:rPr>
        <w:t xml:space="preserve"> emissions.</w:t>
      </w:r>
    </w:p>
    <w:p w:rsidR="00B231CB" w:rsidRDefault="00C71431">
      <w:pPr>
        <w:pStyle w:val="JRCText"/>
        <w:spacing w:before="0"/>
        <w:rPr>
          <w:rFonts w:ascii="Times New Roman" w:hAnsi="Times New Roman"/>
          <w:noProof/>
          <w:sz w:val="24"/>
          <w:szCs w:val="24"/>
        </w:rPr>
      </w:pPr>
      <w:r>
        <w:rPr>
          <w:rFonts w:ascii="Times New Roman" w:hAnsi="Times New Roman"/>
          <w:noProof/>
          <w:sz w:val="24"/>
          <w:szCs w:val="24"/>
        </w:rPr>
        <w:t>The results achieved in the present study suggest however that there is further potential to enhance the existing type-approval system by coupling it with additional instruments, such as a fleet-wide fuel consumption monit</w:t>
      </w:r>
      <w:r>
        <w:rPr>
          <w:rFonts w:ascii="Times New Roman" w:hAnsi="Times New Roman"/>
          <w:noProof/>
          <w:sz w:val="24"/>
          <w:szCs w:val="24"/>
        </w:rPr>
        <w:t>oring system (to monitor the evolution of the gap between real-world and type-approval figures) and/or tools able to provide users with customized fuel consumption information derived on the basis of driver-specific conditions of vehicle use. Concerning th</w:t>
      </w:r>
      <w:r>
        <w:rPr>
          <w:rFonts w:ascii="Times New Roman" w:hAnsi="Times New Roman"/>
          <w:noProof/>
          <w:sz w:val="24"/>
          <w:szCs w:val="24"/>
        </w:rPr>
        <w:t>is latter point, the Green Driving tool</w:t>
      </w:r>
      <w:r>
        <w:rPr>
          <w:rStyle w:val="FootnoteReference"/>
          <w:rFonts w:ascii="Times New Roman" w:hAnsi="Times New Roman"/>
          <w:noProof/>
          <w:sz w:val="24"/>
          <w:szCs w:val="24"/>
        </w:rPr>
        <w:footnoteReference w:id="54"/>
      </w:r>
      <w:r>
        <w:rPr>
          <w:rFonts w:ascii="Times New Roman" w:hAnsi="Times New Roman"/>
          <w:noProof/>
          <w:sz w:val="24"/>
          <w:szCs w:val="24"/>
        </w:rPr>
        <w:t xml:space="preserve"> developed by the JRC is a first attempt in this direction.</w:t>
      </w:r>
    </w:p>
    <w:p w:rsidR="00B231CB" w:rsidRDefault="00B231CB">
      <w:pPr>
        <w:spacing w:after="200" w:line="276" w:lineRule="auto"/>
        <w:jc w:val="left"/>
        <w:rPr>
          <w:i/>
          <w:noProof/>
          <w:szCs w:val="24"/>
        </w:rPr>
      </w:pPr>
    </w:p>
    <w:p w:rsidR="00B231CB" w:rsidRDefault="00B231CB">
      <w:pPr>
        <w:spacing w:after="200" w:line="276" w:lineRule="auto"/>
        <w:jc w:val="left"/>
        <w:rPr>
          <w:i/>
          <w:noProof/>
          <w:szCs w:val="24"/>
        </w:rPr>
      </w:pPr>
    </w:p>
    <w:p w:rsidR="00B231CB" w:rsidRDefault="00C71431">
      <w:pPr>
        <w:spacing w:after="200" w:line="276" w:lineRule="auto"/>
        <w:jc w:val="left"/>
        <w:rPr>
          <w:i/>
          <w:noProof/>
          <w:szCs w:val="24"/>
        </w:rPr>
      </w:pPr>
      <w:r>
        <w:rPr>
          <w:i/>
          <w:noProof/>
          <w:szCs w:val="24"/>
        </w:rPr>
        <w:br w:type="page"/>
      </w:r>
    </w:p>
    <w:p w:rsidR="00B231CB" w:rsidRDefault="00C71431">
      <w:pPr>
        <w:pStyle w:val="Heading1"/>
        <w:rPr>
          <w:noProof/>
        </w:rPr>
      </w:pPr>
      <w:bookmarkStart w:id="73" w:name="_Toc496688633"/>
      <w:r>
        <w:rPr>
          <w:noProof/>
        </w:rPr>
        <w:t>Annex 7:  Employment and qualification</w:t>
      </w:r>
      <w:bookmarkEnd w:id="73"/>
    </w:p>
    <w:p w:rsidR="00B231CB" w:rsidRDefault="00C71431">
      <w:pPr>
        <w:pStyle w:val="Briefingspdef"/>
        <w:spacing w:after="120"/>
        <w:rPr>
          <w:noProof/>
        </w:rPr>
      </w:pPr>
      <w:r>
        <w:rPr>
          <w:noProof/>
        </w:rPr>
        <w:t>Building on a stakeholder meeting</w:t>
      </w:r>
      <w:r>
        <w:rPr>
          <w:rStyle w:val="FootnoteReference"/>
          <w:noProof/>
        </w:rPr>
        <w:footnoteReference w:id="55"/>
      </w:r>
      <w:r>
        <w:rPr>
          <w:noProof/>
        </w:rPr>
        <w:t xml:space="preserve"> dedicated to the social impacts of the transition to electrified powertrains, </w:t>
      </w:r>
      <w:r>
        <w:rPr>
          <w:noProof/>
        </w:rPr>
        <w:t>this Annex summarises, based on different scenarios, how different levels of uptake of electrified powertrains may affect employment and skills. It also lists possible measures on how to address social impacts.</w:t>
      </w:r>
    </w:p>
    <w:p w:rsidR="00B231CB" w:rsidRDefault="00C71431">
      <w:pPr>
        <w:pStyle w:val="Briefingspdef"/>
        <w:spacing w:after="120"/>
        <w:rPr>
          <w:b/>
          <w:noProof/>
        </w:rPr>
      </w:pPr>
      <w:r>
        <w:rPr>
          <w:b/>
          <w:noProof/>
        </w:rPr>
        <w:t>Employment</w:t>
      </w:r>
    </w:p>
    <w:p w:rsidR="00B231CB" w:rsidRDefault="00C71431">
      <w:pPr>
        <w:pStyle w:val="Briefingspdef"/>
        <w:spacing w:after="120"/>
        <w:rPr>
          <w:i/>
          <w:noProof/>
        </w:rPr>
      </w:pPr>
      <w:r>
        <w:rPr>
          <w:i/>
          <w:noProof/>
        </w:rPr>
        <w:t>The automotive value chain until 2</w:t>
      </w:r>
      <w:r>
        <w:rPr>
          <w:i/>
          <w:noProof/>
        </w:rPr>
        <w:t>025 and beyond</w:t>
      </w:r>
    </w:p>
    <w:p w:rsidR="00B231CB" w:rsidRDefault="00C71431">
      <w:pPr>
        <w:pStyle w:val="Briefingspdef"/>
        <w:spacing w:after="120"/>
        <w:rPr>
          <w:noProof/>
        </w:rPr>
      </w:pPr>
      <w:r>
        <w:rPr>
          <w:noProof/>
        </w:rPr>
        <w:t>A recent analysis by Deloitte underlines the multitude of drivers the automotive value chain is faced with until 2025 and beyond</w:t>
      </w:r>
      <w:r>
        <w:rPr>
          <w:rStyle w:val="FootnoteReference"/>
          <w:noProof/>
        </w:rPr>
        <w:footnoteReference w:id="56"/>
      </w:r>
      <w:r>
        <w:rPr>
          <w:noProof/>
        </w:rPr>
        <w:t xml:space="preserve">. Key challenges include digitalisation, new business models such as car sharing, and the uptake of alternative </w:t>
      </w:r>
      <w:r>
        <w:rPr>
          <w:noProof/>
        </w:rPr>
        <w:t xml:space="preserve">powertrains. The study develops four different scenarios for a globally operating manufacturer looking </w:t>
      </w:r>
      <w:r>
        <w:rPr>
          <w:i/>
          <w:noProof/>
        </w:rPr>
        <w:t>inter alia</w:t>
      </w:r>
      <w:r>
        <w:rPr>
          <w:noProof/>
        </w:rPr>
        <w:t xml:space="preserve"> at the impact on employment and skills. Under two scenarios the uptake of alternative powertrains will reach between 33% and 36% of annual glo</w:t>
      </w:r>
      <w:r>
        <w:rPr>
          <w:noProof/>
        </w:rPr>
        <w:t>bal sales of the manufacturer in 2025 and nearly 100% in 2030, whereas the other two scenarios assume an uptake of between 18% and 21% in 2025 and around 55% in 2030. Hence, in all scenarios the global share of alternative powertrains is at least 18% in 20</w:t>
      </w:r>
      <w:r>
        <w:rPr>
          <w:noProof/>
        </w:rPr>
        <w:t>25 and 55% in 2030.</w:t>
      </w:r>
    </w:p>
    <w:p w:rsidR="00B231CB" w:rsidRDefault="00C71431">
      <w:pPr>
        <w:pStyle w:val="Briefingspdef"/>
        <w:spacing w:after="120"/>
        <w:rPr>
          <w:noProof/>
        </w:rPr>
      </w:pPr>
      <w:r>
        <w:rPr>
          <w:noProof/>
        </w:rPr>
        <w:t>The scenarios show that the effect on employment and skills is affected by more factors than the speed in the uptake of alternative powertrains. Whereas an alternative powertrain share of 33% combined with a slowdown in vehicle sales of</w:t>
      </w:r>
      <w:r>
        <w:rPr>
          <w:noProof/>
        </w:rPr>
        <w:t xml:space="preserve"> 24% due to car sharing would for that manufacturer result in the loss of around 15 000 employees in production, an additional 13 000 IT related jobs would be created in the digital business contributing then  20% of the manufacturer's revenues. Under the </w:t>
      </w:r>
      <w:r>
        <w:rPr>
          <w:noProof/>
        </w:rPr>
        <w:t>36%-scenario the manufacturer is also faced with 24% decrease in car sales, loses the digital business to IT giants and becomes a mere hardware platform provider using manufacturing 4.0 at large scale. As a consequence, the manufacturer would lose 24% of i</w:t>
      </w:r>
      <w:r>
        <w:rPr>
          <w:noProof/>
        </w:rPr>
        <w:t>ts workforce. By contrast under the 21%-scenario the manufacturer's workforce would be reduced by 50% in a scenario of consumers' reduced willingness to pay due to lost trust in the car industry. Under the 18%-scenario the manufacturer's workforce would in</w:t>
      </w:r>
      <w:r>
        <w:rPr>
          <w:noProof/>
        </w:rPr>
        <w:t xml:space="preserve">crease by 5% due to a large remaining share of combustion engines and no major change in the manufacturer's business model due to a limited impact of digitalisation.  </w:t>
      </w:r>
    </w:p>
    <w:p w:rsidR="00B231CB" w:rsidRDefault="00C71431">
      <w:pPr>
        <w:pStyle w:val="Briefingspdef"/>
        <w:spacing w:after="120"/>
        <w:rPr>
          <w:i/>
          <w:noProof/>
        </w:rPr>
      </w:pPr>
      <w:r>
        <w:rPr>
          <w:i/>
          <w:noProof/>
        </w:rPr>
        <w:t>The impact of electrification of powertrains trains on direct employment and skills</w:t>
      </w:r>
    </w:p>
    <w:p w:rsidR="00B231CB" w:rsidRDefault="00C71431">
      <w:pPr>
        <w:spacing w:after="120"/>
        <w:rPr>
          <w:noProof/>
        </w:rPr>
      </w:pPr>
      <w:r>
        <w:rPr>
          <w:noProof/>
        </w:rPr>
        <w:t xml:space="preserve">The </w:t>
      </w:r>
      <w:r>
        <w:rPr>
          <w:noProof/>
        </w:rPr>
        <w:t>study "Electric Mobility and Employment"</w:t>
      </w:r>
      <w:r>
        <w:rPr>
          <w:rStyle w:val="FootnoteReference"/>
          <w:noProof/>
        </w:rPr>
        <w:footnoteReference w:id="57"/>
      </w:r>
      <w:r>
        <w:rPr>
          <w:noProof/>
        </w:rPr>
        <w:t xml:space="preserve"> (ELAB) analysed how the electrification of the powertrain effects personnel structures. It quantified these effects on employment for an "ideal" production of main systems for conventional and electric vehicles for</w:t>
      </w:r>
      <w:r>
        <w:rPr>
          <w:noProof/>
        </w:rPr>
        <w:t xml:space="preserve"> a fix production capacity of 1 million powertrains. In addition, the study assessed how changes in tasks affect skill requirements. For the analysis the study assumed different scenarios for the uptake of alternative powertrains. </w:t>
      </w:r>
    </w:p>
    <w:p w:rsidR="00B231CB" w:rsidRDefault="00C71431">
      <w:pPr>
        <w:spacing w:after="120"/>
        <w:rPr>
          <w:noProof/>
        </w:rPr>
      </w:pPr>
      <w:r>
        <w:rPr>
          <w:noProof/>
        </w:rPr>
        <w:t>In the reference scenari</w:t>
      </w:r>
      <w:r>
        <w:rPr>
          <w:noProof/>
        </w:rPr>
        <w:t xml:space="preserve">o BEVs would reach a share of 10% and plug-in hybrids (including range-extender) of 30%. Under an ICE-scenario conventional powertrains would remain dominant in 2030 with a market share of more than two thirds, while BEVs would not enter the market. Under </w:t>
      </w:r>
      <w:r>
        <w:rPr>
          <w:noProof/>
        </w:rPr>
        <w:t xml:space="preserve">a BEV-scenario BEVs would constitute 40% and fuel cells 10% of new vehicles in 2030, while conventional powertrains would be out of the market in 2030. Under an FCV-scenario fuel cells would reach a market share of 40%, plug-in hybrids around 30% and BEVs </w:t>
      </w:r>
      <w:r>
        <w:rPr>
          <w:noProof/>
        </w:rPr>
        <w:t>and conventional powertrains around 10%.</w:t>
      </w:r>
    </w:p>
    <w:p w:rsidR="00B231CB" w:rsidRDefault="00C71431">
      <w:pPr>
        <w:spacing w:after="120"/>
        <w:rPr>
          <w:noProof/>
        </w:rPr>
      </w:pPr>
      <w:r>
        <w:rPr>
          <w:noProof/>
        </w:rPr>
        <w:t>When assessing how employment in production changes under each scenario, the impacts change over time. Under all scenarios – except for the very conservative ICE-scenario with no uptake of BEVs – an immediate increa</w:t>
      </w:r>
      <w:r>
        <w:rPr>
          <w:noProof/>
        </w:rPr>
        <w:t>se in employment is expected (see Figure X). Under the BEV-scenario peak in employment will be reached after 10 years and will then decrease. In all scenarios employment will be higher in 2030 compared to the starting point. However, the FCV scenario is th</w:t>
      </w:r>
      <w:r>
        <w:rPr>
          <w:noProof/>
        </w:rPr>
        <w:t>e most labour-intensive scenario, whereas the BEV-scenario is the least labour intensive scenario in the long run. During the transition phase the role of hybrid vehicles has an important effect on employment as a result of more components required in thes</w:t>
      </w:r>
      <w:r>
        <w:rPr>
          <w:noProof/>
        </w:rPr>
        <w:t>e vehicles.</w:t>
      </w:r>
    </w:p>
    <w:p w:rsidR="00B231CB" w:rsidRDefault="00C71431">
      <w:pPr>
        <w:pStyle w:val="Caption"/>
        <w:spacing w:after="120"/>
        <w:jc w:val="both"/>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Employment impacts of different ELAB scenarios</w:t>
      </w:r>
    </w:p>
    <w:p w:rsidR="00B231CB" w:rsidRDefault="00C71431">
      <w:pPr>
        <w:spacing w:after="120"/>
        <w:rPr>
          <w:noProof/>
        </w:rPr>
      </w:pPr>
      <w:r>
        <w:rPr>
          <w:noProof/>
          <w:lang w:eastAsia="en-GB"/>
        </w:rPr>
        <w:drawing>
          <wp:inline distT="0" distB="0" distL="0" distR="0" wp14:anchorId="1F802369" wp14:editId="11DB38FB">
            <wp:extent cx="5791200" cy="21998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91200" cy="2199870"/>
                    </a:xfrm>
                    <a:prstGeom prst="rect">
                      <a:avLst/>
                    </a:prstGeom>
                  </pic:spPr>
                </pic:pic>
              </a:graphicData>
            </a:graphic>
          </wp:inline>
        </w:drawing>
      </w:r>
    </w:p>
    <w:p w:rsidR="00B231CB" w:rsidRDefault="00C71431">
      <w:pPr>
        <w:spacing w:after="120"/>
        <w:rPr>
          <w:i/>
          <w:noProof/>
        </w:rPr>
      </w:pPr>
      <w:r>
        <w:rPr>
          <w:i/>
          <w:noProof/>
        </w:rPr>
        <w:t>Socio-economic impacts to the wider economy</w:t>
      </w:r>
    </w:p>
    <w:p w:rsidR="00B231CB" w:rsidRDefault="00C71431">
      <w:pPr>
        <w:spacing w:after="120"/>
        <w:rPr>
          <w:noProof/>
        </w:rPr>
      </w:pPr>
      <w:r>
        <w:rPr>
          <w:noProof/>
        </w:rPr>
        <w:t>A series of studies</w:t>
      </w:r>
      <w:r>
        <w:rPr>
          <w:rStyle w:val="FootnoteReference"/>
          <w:noProof/>
        </w:rPr>
        <w:footnoteReference w:id="58"/>
      </w:r>
      <w:r>
        <w:rPr>
          <w:noProof/>
        </w:rPr>
        <w:t xml:space="preserve"> assessed the socioeconomic impact of the uptake of low- and zero-emission vehicles in Europe. Building on techno-economic modelling, four different scenarios are tested. In the reference scenario it is assumed current technology and vehicle efficiency doe</w:t>
      </w:r>
      <w:r>
        <w:rPr>
          <w:noProof/>
        </w:rPr>
        <w:t>s not progress further. A second scenario assumes that the 2021 CO</w:t>
      </w:r>
      <w:r>
        <w:rPr>
          <w:noProof/>
          <w:vertAlign w:val="subscript"/>
        </w:rPr>
        <w:t>2</w:t>
      </w:r>
      <w:r>
        <w:rPr>
          <w:noProof/>
        </w:rPr>
        <w:t xml:space="preserve"> standards are met without further action beyond that date. Another scenario assumes a strong penetration of advanced powertrains which would account for 90% of sales by 2050 and hybrid-ele</w:t>
      </w:r>
      <w:r>
        <w:rPr>
          <w:noProof/>
        </w:rPr>
        <w:t xml:space="preserve">ctric vehicles for the remaining 10%. Finally in technology specific scenarios different penetration rates for alternative powertrains are assumed. </w:t>
      </w:r>
    </w:p>
    <w:p w:rsidR="00B231CB" w:rsidRDefault="00C71431">
      <w:pPr>
        <w:spacing w:after="120"/>
        <w:rPr>
          <w:noProof/>
        </w:rPr>
      </w:pPr>
      <w:r>
        <w:rPr>
          <w:noProof/>
        </w:rPr>
        <w:t>The main conclusion of the macroeconomic assessment is that an increase in vehicle efficiency has a positiv</w:t>
      </w:r>
      <w:r>
        <w:rPr>
          <w:noProof/>
        </w:rPr>
        <w:t>e impact on the wider economy in Europe including employment. GDP will benefit from lower oil imports as a result of an improved trade balance and consumers as well as businesses are better off due to lower fuel spending. In the technology specific scenari</w:t>
      </w:r>
      <w:r>
        <w:rPr>
          <w:noProof/>
        </w:rPr>
        <w:t>os three trends emerge from the modelling. First, the reduction in total cost of ownership allows consumers to spend their incomes on other goods and services which is typically spent on leisure activities or consumer services that are inherently labour in</w:t>
      </w:r>
      <w:r>
        <w:rPr>
          <w:noProof/>
        </w:rPr>
        <w:t>tensive. Secondly, the additional spending on extra technology in the automotive sector increases employment throughout the associated manufacturing supply chain. Finally, the expenditure on supporting infrastructure results in additional employment in the</w:t>
      </w:r>
      <w:r>
        <w:rPr>
          <w:noProof/>
        </w:rPr>
        <w:t xml:space="preserve"> construction sector. </w:t>
      </w:r>
    </w:p>
    <w:p w:rsidR="00B231CB" w:rsidRDefault="00C71431">
      <w:pPr>
        <w:spacing w:after="120"/>
        <w:rPr>
          <w:noProof/>
        </w:rPr>
      </w:pPr>
      <w:r>
        <w:rPr>
          <w:noProof/>
        </w:rPr>
        <w:t>In the technology specific scenarios most additional employment is created in the manufacturing sector with an increase of between 350,000 and 550,000 jobs. Net employment increases most in the scenario with the highest uptake of alt</w:t>
      </w:r>
      <w:r>
        <w:rPr>
          <w:noProof/>
        </w:rPr>
        <w:t>ernative powertrains. Assuming that electric vehicles will have a share of 9.5% in 2020 and 80% in 2030, with the remaining 20% being hybrid-electric vehicles, direct and indirect jobs in the automotive value chain increase by 591,200 and economy-wide 508,</w:t>
      </w:r>
      <w:r>
        <w:rPr>
          <w:noProof/>
        </w:rPr>
        <w:t>800 jobs are created due to avoided oil use. This takes account of jobs lost in the transition such as in the refining industry.</w:t>
      </w:r>
    </w:p>
    <w:p w:rsidR="00B231CB" w:rsidRDefault="00C71431">
      <w:pPr>
        <w:spacing w:after="120"/>
        <w:rPr>
          <w:i/>
          <w:noProof/>
        </w:rPr>
      </w:pPr>
      <w:r>
        <w:rPr>
          <w:i/>
          <w:noProof/>
        </w:rPr>
        <w:t>The impact of Electrically Chargeable Vehicles on the EU economy – A literature review and assessment</w:t>
      </w:r>
    </w:p>
    <w:p w:rsidR="00B231CB" w:rsidRDefault="00C71431">
      <w:pPr>
        <w:spacing w:after="120"/>
        <w:rPr>
          <w:noProof/>
        </w:rPr>
      </w:pPr>
      <w:r>
        <w:rPr>
          <w:noProof/>
        </w:rPr>
        <w:t>A literature review</w:t>
      </w:r>
      <w:r>
        <w:rPr>
          <w:rStyle w:val="FootnoteReference"/>
          <w:noProof/>
        </w:rPr>
        <w:footnoteReference w:id="59"/>
      </w:r>
      <w:r>
        <w:rPr>
          <w:noProof/>
        </w:rPr>
        <w:t xml:space="preserve"> of r</w:t>
      </w:r>
      <w:r>
        <w:rPr>
          <w:noProof/>
        </w:rPr>
        <w:t>ecent studies on employment impacts of a higher share of electrified powertrains, carried out for ACEA, confirms that the majority of studies conclude with positive impacts on employment as is summarised in the following table:</w:t>
      </w:r>
    </w:p>
    <w:p w:rsidR="00B231CB" w:rsidRDefault="00C71431">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r>
        <w:rPr>
          <w:noProof/>
        </w:rPr>
        <w:t>: Summary of literature review (from FTI Consulting, 2017)</w:t>
      </w:r>
    </w:p>
    <w:p w:rsidR="00B231CB" w:rsidRDefault="00C71431">
      <w:pPr>
        <w:pStyle w:val="Caption"/>
        <w:jc w:val="center"/>
        <w:rPr>
          <w:noProof/>
        </w:rPr>
      </w:pPr>
      <w:r>
        <w:rPr>
          <w:noProof/>
          <w:lang w:eastAsia="en-GB"/>
        </w:rPr>
        <w:drawing>
          <wp:inline distT="0" distB="0" distL="0" distR="0" wp14:anchorId="2225B3C0" wp14:editId="1B6D99EE">
            <wp:extent cx="5715000" cy="428625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B231CB" w:rsidRDefault="00C71431">
      <w:pPr>
        <w:spacing w:after="120"/>
        <w:rPr>
          <w:noProof/>
        </w:rPr>
      </w:pPr>
      <w:r>
        <w:rPr>
          <w:noProof/>
        </w:rPr>
        <w:t>However, the study points out that the positive impact on employment rely on some critical assumptions including on labour intensity and value-added of the technologies as well as the EU's con</w:t>
      </w:r>
      <w:r>
        <w:rPr>
          <w:noProof/>
        </w:rPr>
        <w:t>tinued technological leadership.</w:t>
      </w:r>
    </w:p>
    <w:p w:rsidR="00B231CB" w:rsidRDefault="00C71431">
      <w:pPr>
        <w:spacing w:after="120"/>
        <w:rPr>
          <w:i/>
          <w:noProof/>
        </w:rPr>
      </w:pPr>
      <w:r>
        <w:rPr>
          <w:i/>
          <w:noProof/>
        </w:rPr>
        <w:t>EU Skills Panorama</w:t>
      </w:r>
    </w:p>
    <w:p w:rsidR="00B231CB" w:rsidRDefault="00C71431">
      <w:pPr>
        <w:spacing w:after="120"/>
        <w:rPr>
          <w:noProof/>
        </w:rPr>
      </w:pPr>
      <w:r>
        <w:rPr>
          <w:noProof/>
        </w:rPr>
        <w:t>The EU Skills Panorama on the automotive sector and clean vehicles</w:t>
      </w:r>
      <w:r>
        <w:rPr>
          <w:noProof/>
          <w:vertAlign w:val="superscript"/>
        </w:rPr>
        <w:footnoteReference w:id="60"/>
      </w:r>
      <w:r>
        <w:rPr>
          <w:noProof/>
        </w:rPr>
        <w:t xml:space="preserve"> concluded that the continued development of cleaner vehicles will impact considerably on the occupational and skills profile of the sect</w:t>
      </w:r>
      <w:r>
        <w:rPr>
          <w:noProof/>
        </w:rPr>
        <w:t>or. It estimated that by 2025 the automotive industry will have to fill 888.000 jobs mainly due to the aging of the workforce and the forecasted growth of production in the sector. Over half of the total job openings to 2025 are forecast to require high-le</w:t>
      </w:r>
      <w:r>
        <w:rPr>
          <w:noProof/>
        </w:rPr>
        <w:t>vel qualifications (461,000 jobs). This includes 213,000 new jobs requiring high-level qualifications, which partially compensates a decline in the number of jobs requiring low- and medium-level qualifications.</w:t>
      </w:r>
    </w:p>
    <w:p w:rsidR="00B231CB" w:rsidRDefault="00C71431">
      <w:pPr>
        <w:spacing w:after="120"/>
        <w:rPr>
          <w:b/>
          <w:noProof/>
          <w:sz w:val="20"/>
        </w:rPr>
      </w:pPr>
      <w:r>
        <w:rPr>
          <w:noProof/>
        </w:rPr>
        <w:t>At the national level, the EU Skills Panorama</w:t>
      </w:r>
      <w:r>
        <w:rPr>
          <w:noProof/>
        </w:rPr>
        <w:t xml:space="preserve"> forecasts the largest expansion in automotive employment for Romania (an additional 48,040 jobs, representing a 38% increase in sector employment by 2025) and the United Kingdom (an additional 33,050 jobs, representing a 25.8% increase). Other Member Stat</w:t>
      </w:r>
      <w:r>
        <w:rPr>
          <w:noProof/>
        </w:rPr>
        <w:t>es anticipated to have an above-average employment growth include Finland, Spain and Hungary. The small Latvian automotive sector is also expected to grow considerably. Germany is expected to continue dominating automotive employment in the EU with 850,650</w:t>
      </w:r>
      <w:r>
        <w:rPr>
          <w:noProof/>
        </w:rPr>
        <w:t xml:space="preserve"> automotive workers in 2013 representing 37.9% of the total automotive industry in the EU with a small net increase in jobs by 2025. In other countries, such as Poland, France and Italy, employment in the sector is expected to decline.</w:t>
      </w:r>
    </w:p>
    <w:p w:rsidR="00B231CB" w:rsidRDefault="00C71431">
      <w:pPr>
        <w:spacing w:after="120"/>
        <w:rPr>
          <w:i/>
          <w:noProof/>
        </w:rPr>
      </w:pPr>
      <w:r>
        <w:rPr>
          <w:i/>
          <w:noProof/>
        </w:rPr>
        <w:t>Impact on regional a</w:t>
      </w:r>
      <w:r>
        <w:rPr>
          <w:i/>
          <w:noProof/>
        </w:rPr>
        <w:t>utomotive clusters</w:t>
      </w:r>
    </w:p>
    <w:p w:rsidR="00B231CB" w:rsidRDefault="00C71431">
      <w:pPr>
        <w:spacing w:after="120"/>
        <w:rPr>
          <w:noProof/>
        </w:rPr>
      </w:pPr>
      <w:r>
        <w:rPr>
          <w:noProof/>
        </w:rPr>
        <w:t xml:space="preserve">The transition to electrified powertrains may affect employment more significantly in regions with a strong automotive industry. The regions with the highest number of persons directly employed in automotive manufacturing are located in </w:t>
      </w:r>
      <w:r>
        <w:rPr>
          <w:noProof/>
        </w:rPr>
        <w:t xml:space="preserve">South Germany (Baden-Württemberg/Stuttgart and Bayern) followed by Île de France. </w:t>
      </w:r>
    </w:p>
    <w:p w:rsidR="00B231CB" w:rsidRDefault="00C71431">
      <w:pPr>
        <w:spacing w:after="120"/>
        <w:rPr>
          <w:noProof/>
        </w:rPr>
      </w:pPr>
      <w:r>
        <w:rPr>
          <w:noProof/>
        </w:rPr>
        <w:t>A recent study</w:t>
      </w:r>
      <w:r>
        <w:rPr>
          <w:rStyle w:val="FootnoteReference"/>
          <w:noProof/>
        </w:rPr>
        <w:footnoteReference w:id="61"/>
      </w:r>
      <w:r>
        <w:rPr>
          <w:noProof/>
        </w:rPr>
        <w:t xml:space="preserve"> analysed how employment in the automotive sector may change in the region of Baden-Württemberg in Germany with the highest number of people directly employed</w:t>
      </w:r>
      <w:r>
        <w:rPr>
          <w:noProof/>
        </w:rPr>
        <w:t xml:space="preserve"> in automotive manufacturing, if in 2030 nearly 50% of all new vehicles will have an electric powertrain, 25% ICE with and 25% with a conventional powertrain. The study concluded that Baden-Württemberg could benefit from 18 000 additional jobs compared to </w:t>
      </w:r>
      <w:r>
        <w:rPr>
          <w:noProof/>
        </w:rPr>
        <w:t>the reference scenario 2013, of which 5 600 additional jobs for conventional technologies, 6 900 additional jobs related to efficiency technologies and 5 600 related to electrification. If more of the value chain for electric vehicles, mainly production of</w:t>
      </w:r>
      <w:r>
        <w:rPr>
          <w:noProof/>
        </w:rPr>
        <w:t xml:space="preserve"> battery cells, will be located in the region additional 5 800 jobs could be created.</w:t>
      </w:r>
    </w:p>
    <w:p w:rsidR="00B231CB" w:rsidRDefault="00C71431">
      <w:pPr>
        <w:spacing w:after="120"/>
        <w:rPr>
          <w:b/>
          <w:noProof/>
        </w:rPr>
      </w:pPr>
      <w:r>
        <w:rPr>
          <w:b/>
          <w:noProof/>
        </w:rPr>
        <w:t>Qualification</w:t>
      </w:r>
    </w:p>
    <w:p w:rsidR="00B231CB" w:rsidRDefault="00C71431">
      <w:pPr>
        <w:spacing w:after="120"/>
        <w:rPr>
          <w:noProof/>
        </w:rPr>
      </w:pPr>
      <w:r>
        <w:rPr>
          <w:noProof/>
        </w:rPr>
        <w:t>In terms of skills requirements for future automotive sector, the ELAB-study</w:t>
      </w:r>
      <w:r>
        <w:rPr>
          <w:rStyle w:val="FootnoteReference"/>
          <w:noProof/>
        </w:rPr>
        <w:footnoteReference w:id="62"/>
      </w:r>
      <w:r>
        <w:rPr>
          <w:noProof/>
        </w:rPr>
        <w:t xml:space="preserve"> points to the increasing importance of electrics/electronics compared to mecha</w:t>
      </w:r>
      <w:r>
        <w:rPr>
          <w:noProof/>
        </w:rPr>
        <w:t>nics. New skills are needed to deal with high voltage systems, hazardous materials (e.g. lithium), and new assembly tasks (electric motors). New technical competencies (e.g. electrochemical coating in the case of fuel cell systems) and specific knowledge r</w:t>
      </w:r>
      <w:r>
        <w:rPr>
          <w:noProof/>
        </w:rPr>
        <w:t>elated to hydrogen storage (e.g. high pressure).</w:t>
      </w:r>
    </w:p>
    <w:p w:rsidR="00B231CB" w:rsidRDefault="00C71431">
      <w:pPr>
        <w:spacing w:after="120"/>
        <w:rPr>
          <w:noProof/>
        </w:rPr>
      </w:pPr>
      <w:r>
        <w:rPr>
          <w:noProof/>
        </w:rPr>
        <w:t>However, independently from the uptake of alternative powertrains, the automotive industry – as all other sectors – will be faced with fundamental changes in labour markets. Demographic changes will signific</w:t>
      </w:r>
      <w:r>
        <w:rPr>
          <w:noProof/>
        </w:rPr>
        <w:t>antly reduce the labour force potential until 2030 and beyond. In combination with a trend towards more academic qualification, the automotive sector may be faced with a shortage in employees for powertrain production.</w:t>
      </w:r>
      <w:r>
        <w:rPr>
          <w:rStyle w:val="FootnoteReference"/>
          <w:noProof/>
        </w:rPr>
        <w:t xml:space="preserve"> </w:t>
      </w:r>
      <w:r>
        <w:rPr>
          <w:rStyle w:val="FootnoteReference"/>
          <w:noProof/>
        </w:rPr>
        <w:footnoteReference w:id="63"/>
      </w:r>
      <w:r>
        <w:rPr>
          <w:noProof/>
        </w:rPr>
        <w:t xml:space="preserve"> </w:t>
      </w:r>
    </w:p>
    <w:p w:rsidR="00B231CB" w:rsidRDefault="00C71431">
      <w:pPr>
        <w:spacing w:after="120"/>
        <w:rPr>
          <w:noProof/>
          <w:highlight w:val="yellow"/>
        </w:rPr>
      </w:pPr>
      <w:r>
        <w:rPr>
          <w:noProof/>
        </w:rPr>
        <w:t>As part of the GEAR 2030 process a</w:t>
      </w:r>
      <w:r>
        <w:rPr>
          <w:noProof/>
        </w:rPr>
        <w:t xml:space="preserve"> "Human Capital" Project Team</w:t>
      </w:r>
      <w:r>
        <w:rPr>
          <w:rStyle w:val="FootnoteReference"/>
          <w:noProof/>
        </w:rPr>
        <w:footnoteReference w:id="64"/>
      </w:r>
      <w:r>
        <w:rPr>
          <w:noProof/>
        </w:rPr>
        <w:t xml:space="preserve"> was established to “Identify the impact on employment in the EU, prepare approaches for mitigating possible negative consequences and develop a strategy for ensuring that the necessary skills will be available in 2030” for th</w:t>
      </w:r>
      <w:r>
        <w:rPr>
          <w:noProof/>
        </w:rPr>
        <w:t>e EU automotive industry. The work assessed the landscape of existing initiatives across the EU, looked at what trends will impact the sector up to 2030. Moreover, it investigated the skills and human capital needs as we experience the digitalisation of th</w:t>
      </w:r>
      <w:r>
        <w:rPr>
          <w:noProof/>
        </w:rPr>
        <w:t>e automobile industry. The GEAR2030 Project Team "Human Capital" concludes that SMEs are at the nexus of addressing skills challenges in the automotive value chain. It also argues that EU and Member State actions should focus on developing digital skills a</w:t>
      </w:r>
      <w:r>
        <w:rPr>
          <w:noProof/>
        </w:rPr>
        <w:t>nd that upskilling and reskilling will become the priority issues in corporate HR strategies to meet future job requirements.</w:t>
      </w:r>
    </w:p>
    <w:p w:rsidR="00B231CB" w:rsidRDefault="00C71431">
      <w:pPr>
        <w:spacing w:after="120"/>
        <w:rPr>
          <w:b/>
          <w:noProof/>
        </w:rPr>
      </w:pPr>
      <w:r>
        <w:rPr>
          <w:b/>
          <w:noProof/>
        </w:rPr>
        <w:t>Possible measures to address social implications</w:t>
      </w:r>
    </w:p>
    <w:p w:rsidR="00B231CB" w:rsidRDefault="00C71431">
      <w:pPr>
        <w:spacing w:after="120"/>
        <w:rPr>
          <w:noProof/>
        </w:rPr>
      </w:pPr>
      <w:r>
        <w:rPr>
          <w:noProof/>
        </w:rPr>
        <w:t>Regions with a strong automotive sector and clusters of rather closely integrated manufacturers and suppliers of components of conventional powertrains may face particular challenges by the transition to alternative powertrains if this happens at high pace</w:t>
      </w:r>
      <w:r>
        <w:rPr>
          <w:noProof/>
        </w:rPr>
        <w:t xml:space="preserve">. </w:t>
      </w:r>
    </w:p>
    <w:p w:rsidR="00B231CB" w:rsidRDefault="00C71431">
      <w:pPr>
        <w:spacing w:after="120"/>
        <w:rPr>
          <w:noProof/>
        </w:rPr>
      </w:pPr>
      <w:r>
        <w:rPr>
          <w:noProof/>
        </w:rPr>
        <w:t>Stakeholders have identified several actions to address these challenges. Actions include industrial collaboration, building new value chains, creating social dialogue, supporting the employability and retraining of workers / lifelong learning, stimulat</w:t>
      </w:r>
      <w:r>
        <w:rPr>
          <w:noProof/>
        </w:rPr>
        <w:t>ing entrepreneurship and creating new job opportunities in circular economy. Financial support by existing and newly developed instruments (e.g. European Structural and Investment Funds, Innovation Fund, Global Adjustment Fund) could be used to support reg</w:t>
      </w:r>
      <w:r>
        <w:rPr>
          <w:noProof/>
        </w:rPr>
        <w:t xml:space="preserve">ions to successfully cope with the transition.  Regional regeneration strategies could be developed with the help of regional task forces composed of all relevant stakeholders to develop smart specialisation/transition strategies including re-training and </w:t>
      </w:r>
      <w:r>
        <w:rPr>
          <w:noProof/>
        </w:rPr>
        <w:t>re-employment as well as the promotion of entrepreneurship and start-ups.</w:t>
      </w:r>
    </w:p>
    <w:p w:rsidR="00B231CB" w:rsidRDefault="00C71431">
      <w:pPr>
        <w:spacing w:after="120"/>
        <w:rPr>
          <w:noProof/>
          <w:highlight w:val="yellow"/>
        </w:rPr>
      </w:pPr>
      <w:r>
        <w:rPr>
          <w:noProof/>
        </w:rPr>
        <w:t>To address the challenges of upskilling and reskilling GEAR2030 made the following recommendations:</w:t>
      </w:r>
    </w:p>
    <w:p w:rsidR="00B231CB" w:rsidRDefault="00C71431">
      <w:pPr>
        <w:pStyle w:val="ListParagraph"/>
        <w:numPr>
          <w:ilvl w:val="0"/>
          <w:numId w:val="31"/>
        </w:numPr>
        <w:spacing w:after="120"/>
        <w:contextualSpacing w:val="0"/>
        <w:jc w:val="left"/>
        <w:rPr>
          <w:noProof/>
        </w:rPr>
      </w:pPr>
      <w:r>
        <w:rPr>
          <w:b/>
          <w:noProof/>
        </w:rPr>
        <w:t>Facilitating the vertical and horizontal transferability of skills and skilled lab</w:t>
      </w:r>
      <w:r>
        <w:rPr>
          <w:b/>
          <w:noProof/>
        </w:rPr>
        <w:t>our force:</w:t>
      </w:r>
      <w:r>
        <w:rPr>
          <w:noProof/>
        </w:rPr>
        <w:t xml:space="preserve"> make it easier for workers to have their skills and knowledge recognised and transferred throughout the value chain (vertical) and everywhere in the EU (horizontal).</w:t>
      </w:r>
    </w:p>
    <w:p w:rsidR="00B231CB" w:rsidRDefault="00C71431">
      <w:pPr>
        <w:pStyle w:val="ListParagraph"/>
        <w:numPr>
          <w:ilvl w:val="0"/>
          <w:numId w:val="31"/>
        </w:numPr>
        <w:spacing w:after="120"/>
        <w:contextualSpacing w:val="0"/>
        <w:jc w:val="left"/>
        <w:rPr>
          <w:noProof/>
        </w:rPr>
      </w:pPr>
      <w:r>
        <w:rPr>
          <w:b/>
          <w:noProof/>
        </w:rPr>
        <w:t xml:space="preserve">Creating a framework of standard job roles, working with, using and building </w:t>
      </w:r>
      <w:r>
        <w:rPr>
          <w:b/>
          <w:noProof/>
        </w:rPr>
        <w:t>upon the ESCO classifications (to ensure horizontal/pan-European comparability):</w:t>
      </w:r>
      <w:r>
        <w:rPr>
          <w:noProof/>
        </w:rPr>
        <w:t xml:space="preserve">  To provide improved knowledge of specific roles, standard job framework descriptions and potential career tracks enabling coordination and promotion of professional developme</w:t>
      </w:r>
      <w:r>
        <w:rPr>
          <w:noProof/>
        </w:rPr>
        <w:t>nt courses/training on the job.</w:t>
      </w:r>
    </w:p>
    <w:p w:rsidR="00B231CB" w:rsidRDefault="00C71431">
      <w:pPr>
        <w:pStyle w:val="ListParagraph"/>
        <w:numPr>
          <w:ilvl w:val="0"/>
          <w:numId w:val="31"/>
        </w:numPr>
        <w:spacing w:after="120"/>
        <w:contextualSpacing w:val="0"/>
        <w:jc w:val="left"/>
        <w:rPr>
          <w:noProof/>
        </w:rPr>
      </w:pPr>
      <w:r>
        <w:rPr>
          <w:b/>
          <w:noProof/>
        </w:rPr>
        <w:t>Individual Skills Passport to document more non-formal learning, increasing vertical employability throughout the supply chain:</w:t>
      </w:r>
      <w:r>
        <w:rPr>
          <w:i/>
          <w:noProof/>
        </w:rPr>
        <w:t xml:space="preserve"> </w:t>
      </w:r>
      <w:r>
        <w:rPr>
          <w:noProof/>
        </w:rPr>
        <w:t>validation of informal competences (identification of acquired skills, documentation, assessment</w:t>
      </w:r>
      <w:r>
        <w:rPr>
          <w:noProof/>
        </w:rPr>
        <w:t xml:space="preserve"> and certification), e.g. via individual Skills Passports.</w:t>
      </w:r>
    </w:p>
    <w:p w:rsidR="00B231CB" w:rsidRDefault="00B231CB">
      <w:pPr>
        <w:spacing w:after="120"/>
        <w:rPr>
          <w:noProof/>
        </w:rPr>
      </w:pPr>
    </w:p>
    <w:p w:rsidR="00B231CB" w:rsidRDefault="00B231CB">
      <w:pPr>
        <w:spacing w:after="120"/>
        <w:rPr>
          <w:noProof/>
        </w:rPr>
      </w:pPr>
    </w:p>
    <w:p w:rsidR="00B231CB" w:rsidRDefault="00C71431">
      <w:pPr>
        <w:spacing w:after="200" w:line="276" w:lineRule="auto"/>
        <w:jc w:val="left"/>
        <w:rPr>
          <w:i/>
          <w:noProof/>
          <w:szCs w:val="24"/>
        </w:rPr>
      </w:pPr>
      <w:r>
        <w:rPr>
          <w:i/>
          <w:noProof/>
          <w:szCs w:val="24"/>
        </w:rPr>
        <w:br w:type="page"/>
      </w:r>
    </w:p>
    <w:p w:rsidR="00B231CB" w:rsidRDefault="00C71431">
      <w:pPr>
        <w:pStyle w:val="Heading1"/>
        <w:rPr>
          <w:noProof/>
        </w:rPr>
      </w:pPr>
      <w:bookmarkStart w:id="74" w:name="_Toc496688634"/>
      <w:r>
        <w:rPr>
          <w:noProof/>
        </w:rPr>
        <w:t>Annex 8: Additional information concerning the assessment of the economic, environmental and social impacts of the different policy options</w:t>
      </w:r>
      <w:bookmarkEnd w:id="74"/>
      <w:r>
        <w:rPr>
          <w:noProof/>
        </w:rPr>
        <w:t xml:space="preserve"> </w:t>
      </w:r>
    </w:p>
    <w:p w:rsidR="00B231CB" w:rsidRDefault="00C71431">
      <w:pPr>
        <w:pStyle w:val="Heading2"/>
        <w:rPr>
          <w:noProof/>
        </w:rPr>
      </w:pPr>
      <w:bookmarkStart w:id="75" w:name="_Toc492541583"/>
      <w:bookmarkStart w:id="76" w:name="_Toc496688635"/>
      <w:r>
        <w:rPr>
          <w:noProof/>
        </w:rPr>
        <w:t>Emission targets: metric</w:t>
      </w:r>
      <w:bookmarkStart w:id="77" w:name="_Toc485119152"/>
      <w:bookmarkStart w:id="78" w:name="_Toc487211784"/>
      <w:bookmarkEnd w:id="75"/>
      <w:bookmarkEnd w:id="76"/>
    </w:p>
    <w:p w:rsidR="00B231CB" w:rsidRDefault="00C71431">
      <w:pPr>
        <w:pStyle w:val="Heading3"/>
        <w:rPr>
          <w:bCs/>
          <w:iCs/>
          <w:noProof/>
        </w:rPr>
      </w:pPr>
      <w:bookmarkStart w:id="79" w:name="_Toc490836223"/>
      <w:bookmarkStart w:id="80" w:name="_Toc490836591"/>
      <w:bookmarkStart w:id="81" w:name="_Toc490836844"/>
      <w:bookmarkStart w:id="82" w:name="_Toc491183390"/>
      <w:bookmarkStart w:id="83" w:name="_Toc491284003"/>
      <w:bookmarkStart w:id="84" w:name="_Toc491285087"/>
      <w:bookmarkStart w:id="85" w:name="_Toc491286173"/>
      <w:bookmarkStart w:id="86" w:name="_Toc491871882"/>
      <w:bookmarkStart w:id="87" w:name="_Toc496688636"/>
      <w:bookmarkEnd w:id="79"/>
      <w:bookmarkEnd w:id="80"/>
      <w:bookmarkEnd w:id="81"/>
      <w:bookmarkEnd w:id="82"/>
      <w:bookmarkEnd w:id="83"/>
      <w:bookmarkEnd w:id="84"/>
      <w:bookmarkEnd w:id="85"/>
      <w:bookmarkEnd w:id="86"/>
      <w:r>
        <w:rPr>
          <w:noProof/>
        </w:rPr>
        <w:t>Methodological consideratio</w:t>
      </w:r>
      <w:r>
        <w:rPr>
          <w:noProof/>
        </w:rPr>
        <w:t>ns concerning Well-to-Wheel (WTW) and life-cycle analysis (LCA) approaches</w:t>
      </w:r>
      <w:bookmarkEnd w:id="87"/>
    </w:p>
    <w:p w:rsidR="00B231CB" w:rsidRDefault="00C71431">
      <w:pPr>
        <w:spacing w:after="120"/>
        <w:rPr>
          <w:bCs/>
          <w:iCs/>
          <w:noProof/>
        </w:rPr>
      </w:pPr>
      <w:r>
        <w:rPr>
          <w:bCs/>
          <w:iCs/>
          <w:noProof/>
        </w:rPr>
        <w:t>When considering WTW or LCA approaches, discussion exists over which method provides a better balance between limited complexity and data availability while capturing the most relev</w:t>
      </w:r>
      <w:r>
        <w:rPr>
          <w:bCs/>
          <w:iCs/>
          <w:noProof/>
        </w:rPr>
        <w:t>ant elements as regards GHG emissions related to vehicles (see Moro and Helmers, 2017</w:t>
      </w:r>
      <w:r>
        <w:rPr>
          <w:bCs/>
          <w:iCs/>
          <w:noProof/>
          <w:vertAlign w:val="superscript"/>
        </w:rPr>
        <w:footnoteReference w:id="65"/>
      </w:r>
      <w:r>
        <w:rPr>
          <w:bCs/>
          <w:iCs/>
          <w:noProof/>
        </w:rPr>
        <w:t xml:space="preserve"> for more information). </w:t>
      </w:r>
    </w:p>
    <w:p w:rsidR="00B231CB" w:rsidRDefault="00C71431">
      <w:pPr>
        <w:spacing w:after="120"/>
        <w:rPr>
          <w:bCs/>
          <w:iCs/>
          <w:noProof/>
        </w:rPr>
      </w:pPr>
      <w:r>
        <w:rPr>
          <w:noProof/>
        </w:rPr>
        <w:t>The main advantage of the WTW approach as a framework for analysis is that it</w:t>
      </w:r>
      <w:r>
        <w:rPr>
          <w:bCs/>
          <w:iCs/>
          <w:noProof/>
        </w:rPr>
        <w:t xml:space="preserve"> allows comparing results across different contexts and allows compa</w:t>
      </w:r>
      <w:r>
        <w:rPr>
          <w:bCs/>
          <w:iCs/>
          <w:noProof/>
        </w:rPr>
        <w:t>ring over time as opposed to , a full LCA approach. A WTW analysis also has the advantage of clearly defined boundaries which facilitates data collection and reporting. WTW can be regarded as a simplified LCA, focusing on the energy consumption and GHG emi</w:t>
      </w:r>
      <w:r>
        <w:rPr>
          <w:bCs/>
          <w:iCs/>
          <w:noProof/>
        </w:rPr>
        <w:t xml:space="preserve">ssions of the preparation of road transport fuels and their operation, while ignoring other elements such as the impacts of manufacturing and decommissioning of the equipment. </w:t>
      </w:r>
    </w:p>
    <w:p w:rsidR="00B231CB" w:rsidRDefault="00C71431">
      <w:pPr>
        <w:spacing w:after="120"/>
        <w:rPr>
          <w:noProof/>
        </w:rPr>
      </w:pPr>
      <w:r>
        <w:rPr>
          <w:bCs/>
          <w:iCs/>
          <w:noProof/>
        </w:rPr>
        <w:t>A schematic overview on the different boundaries of a WTW and LCA approach is v</w:t>
      </w:r>
      <w:r>
        <w:rPr>
          <w:bCs/>
          <w:iCs/>
          <w:noProof/>
        </w:rPr>
        <w:t xml:space="preserve">isualised in </w:t>
      </w:r>
      <w:r>
        <w:rPr>
          <w:bCs/>
          <w:iCs/>
          <w:noProof/>
        </w:rPr>
        <w:fldChar w:fldCharType="begin"/>
      </w:r>
      <w:r>
        <w:rPr>
          <w:bCs/>
          <w:iCs/>
          <w:noProof/>
        </w:rPr>
        <w:instrText xml:space="preserve"> REF _Ref494106287 \h </w:instrText>
      </w:r>
      <w:r>
        <w:rPr>
          <w:bCs/>
          <w:iCs/>
          <w:noProof/>
        </w:rPr>
      </w:r>
      <w:r>
        <w:rPr>
          <w:bCs/>
          <w:iCs/>
          <w:noProof/>
        </w:rPr>
        <w:fldChar w:fldCharType="separate"/>
      </w:r>
      <w:r>
        <w:rPr>
          <w:noProof/>
        </w:rPr>
        <w:t>Figure 7</w:t>
      </w:r>
      <w:r>
        <w:rPr>
          <w:bCs/>
          <w:iCs/>
          <w:noProof/>
        </w:rPr>
        <w:fldChar w:fldCharType="end"/>
      </w:r>
      <w:r>
        <w:rPr>
          <w:bCs/>
          <w:iCs/>
          <w:noProof/>
        </w:rPr>
        <w:t>.</w:t>
      </w:r>
    </w:p>
    <w:p w:rsidR="00B231CB" w:rsidRDefault="00C71431">
      <w:pPr>
        <w:pStyle w:val="Caption"/>
        <w:keepNext/>
        <w:jc w:val="both"/>
        <w:rPr>
          <w:noProof/>
        </w:rPr>
      </w:pPr>
      <w:bookmarkStart w:id="88" w:name="_Ref494106287"/>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88"/>
      <w:r>
        <w:rPr>
          <w:noProof/>
        </w:rPr>
        <w:t>: Schematic representation of WTW boundaries, completed by possible additional elements of an LCA system descri</w:t>
      </w:r>
      <w:r>
        <w:rPr>
          <w:noProof/>
        </w:rPr>
        <w:t xml:space="preserve">bing a vehicle </w:t>
      </w:r>
    </w:p>
    <w:p w:rsidR="00B231CB" w:rsidRDefault="00C71431">
      <w:pPr>
        <w:jc w:val="center"/>
        <w:rPr>
          <w:noProof/>
        </w:rPr>
      </w:pPr>
      <w:r>
        <w:rPr>
          <w:noProof/>
          <w:lang w:eastAsia="en-GB"/>
        </w:rPr>
        <w:drawing>
          <wp:inline distT="0" distB="0" distL="0" distR="0" wp14:anchorId="56B6F662" wp14:editId="4416ECE9">
            <wp:extent cx="5410200" cy="329064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0200" cy="3290649"/>
                    </a:xfrm>
                    <a:prstGeom prst="rect">
                      <a:avLst/>
                    </a:prstGeom>
                    <a:noFill/>
                  </pic:spPr>
                </pic:pic>
              </a:graphicData>
            </a:graphic>
          </wp:inline>
        </w:drawing>
      </w:r>
    </w:p>
    <w:p w:rsidR="00B231CB" w:rsidRDefault="00C71431">
      <w:pPr>
        <w:spacing w:after="60"/>
        <w:jc w:val="center"/>
        <w:rPr>
          <w:rStyle w:val="ListParagraphChar"/>
          <w:rFonts w:ascii="Verdana" w:hAnsi="Verdana"/>
          <w:i/>
          <w:noProof/>
          <w:sz w:val="16"/>
          <w:szCs w:val="16"/>
        </w:rPr>
      </w:pPr>
      <w:r>
        <w:rPr>
          <w:i/>
          <w:noProof/>
          <w:sz w:val="20"/>
        </w:rPr>
        <w:t>Source: Moro A. and Helmers E. (2017)</w:t>
      </w:r>
    </w:p>
    <w:p w:rsidR="00B231CB" w:rsidRDefault="00C71431">
      <w:pPr>
        <w:pStyle w:val="Heading3"/>
        <w:rPr>
          <w:noProof/>
        </w:rPr>
      </w:pPr>
      <w:bookmarkStart w:id="89" w:name="_Toc494106533"/>
      <w:bookmarkStart w:id="90" w:name="_Toc494106534"/>
      <w:bookmarkStart w:id="91" w:name="_Toc496688637"/>
      <w:bookmarkEnd w:id="89"/>
      <w:bookmarkEnd w:id="90"/>
      <w:r>
        <w:rPr>
          <w:noProof/>
        </w:rPr>
        <w:t>Considerations regarding well-to-wheel emissions</w:t>
      </w:r>
      <w:bookmarkEnd w:id="91"/>
    </w:p>
    <w:p w:rsidR="00B231CB" w:rsidRDefault="00C71431">
      <w:pPr>
        <w:spacing w:after="120"/>
        <w:rPr>
          <w:i/>
          <w:noProof/>
          <w:sz w:val="20"/>
        </w:rPr>
      </w:pPr>
      <w:r>
        <w:rPr>
          <w:noProof/>
        </w:rPr>
        <w:t xml:space="preserve">This sub-section looks into the GHG emissions that occur in the fuel production and use of different types of vehicles – the 'well-to-wheel' approach - based on selected existing studies. </w:t>
      </w:r>
    </w:p>
    <w:p w:rsidR="00B231CB" w:rsidRDefault="00C71431">
      <w:pPr>
        <w:spacing w:after="120"/>
        <w:rPr>
          <w:bCs/>
          <w:iCs/>
          <w:noProof/>
        </w:rPr>
      </w:pPr>
      <w:r>
        <w:rPr>
          <w:bCs/>
          <w:iCs/>
          <w:noProof/>
        </w:rPr>
        <w:t xml:space="preserve">The scope of the </w:t>
      </w:r>
      <w:r>
        <w:rPr>
          <w:noProof/>
        </w:rPr>
        <w:t xml:space="preserve">well-to-wheel (WTW) analysis considers energy and </w:t>
      </w:r>
      <w:r>
        <w:rPr>
          <w:noProof/>
        </w:rPr>
        <w:t>GHG emissions balances related to the fuel production (</w:t>
      </w:r>
      <w:r>
        <w:rPr>
          <w:bCs/>
          <w:iCs/>
          <w:noProof/>
        </w:rPr>
        <w:t xml:space="preserve">Well-to-Tank – WTT) and related to the vehicle use (Tank-to-Wheel – TTW). The WTW emissions are assessed </w:t>
      </w:r>
      <w:r>
        <w:rPr>
          <w:noProof/>
        </w:rPr>
        <w:t xml:space="preserve">for </w:t>
      </w:r>
      <w:r>
        <w:rPr>
          <w:bCs/>
          <w:iCs/>
          <w:noProof/>
        </w:rPr>
        <w:t>a wide range of automotive fuels and powertrain options in the EU by the "J.E.C." research c</w:t>
      </w:r>
      <w:r>
        <w:rPr>
          <w:bCs/>
          <w:iCs/>
          <w:noProof/>
        </w:rPr>
        <w:t>ollaboration</w:t>
      </w:r>
      <w:r>
        <w:rPr>
          <w:rStyle w:val="FootnoteReference"/>
          <w:bCs/>
          <w:iCs/>
          <w:noProof/>
        </w:rPr>
        <w:footnoteReference w:id="66"/>
      </w:r>
      <w:r>
        <w:rPr>
          <w:bCs/>
          <w:iCs/>
          <w:noProof/>
        </w:rPr>
        <w:t xml:space="preserve">  </w:t>
      </w:r>
      <w:r>
        <w:rPr>
          <w:noProof/>
        </w:rPr>
        <w:t xml:space="preserve">between the European Commission's Joint </w:t>
      </w:r>
      <w:r>
        <w:rPr>
          <w:bCs/>
          <w:iCs/>
          <w:noProof/>
        </w:rPr>
        <w:t>Research</w:t>
      </w:r>
      <w:r>
        <w:rPr>
          <w:noProof/>
        </w:rPr>
        <w:t xml:space="preserve"> Centre (JRC), the European Council for Automotive R&amp;D (EUCAR) and the research division of the European Petroleum Refiners Association (CONCAWE). </w:t>
      </w:r>
      <w:r>
        <w:rPr>
          <w:bCs/>
          <w:iCs/>
          <w:noProof/>
        </w:rPr>
        <w:t>The assessment is updated periodically; the cu</w:t>
      </w:r>
      <w:r>
        <w:rPr>
          <w:bCs/>
          <w:iCs/>
          <w:noProof/>
        </w:rPr>
        <w:t>rrently latest available version 4.a dates from the year 2014 (JEC, 2014)</w:t>
      </w:r>
      <w:r>
        <w:rPr>
          <w:rStyle w:val="FootnoteReference"/>
          <w:bCs/>
          <w:iCs/>
          <w:noProof/>
        </w:rPr>
        <w:footnoteReference w:id="67"/>
      </w:r>
      <w:r>
        <w:rPr>
          <w:bCs/>
          <w:iCs/>
          <w:noProof/>
          <w:vertAlign w:val="superscript"/>
        </w:rPr>
        <w:t>,</w:t>
      </w:r>
      <w:r>
        <w:rPr>
          <w:rStyle w:val="FootnoteReference"/>
          <w:bCs/>
          <w:iCs/>
          <w:noProof/>
        </w:rPr>
        <w:footnoteReference w:id="68"/>
      </w:r>
      <w:r>
        <w:rPr>
          <w:bCs/>
          <w:iCs/>
          <w:noProof/>
          <w:vertAlign w:val="superscript"/>
        </w:rPr>
        <w:t>,</w:t>
      </w:r>
      <w:r>
        <w:rPr>
          <w:rStyle w:val="FootnoteReference"/>
          <w:bCs/>
          <w:iCs/>
          <w:noProof/>
        </w:rPr>
        <w:footnoteReference w:id="69"/>
      </w:r>
      <w:r>
        <w:rPr>
          <w:bCs/>
          <w:iCs/>
          <w:noProof/>
        </w:rPr>
        <w:t>; the WTT emissions of electricity have been updated more recently by JRC (Moro and Lonza, 2017)</w:t>
      </w:r>
      <w:r>
        <w:rPr>
          <w:rStyle w:val="FootnoteReference"/>
          <w:bCs/>
          <w:iCs/>
          <w:noProof/>
        </w:rPr>
        <w:footnoteReference w:id="70"/>
      </w:r>
      <w:r>
        <w:rPr>
          <w:bCs/>
          <w:iCs/>
          <w:noProof/>
        </w:rPr>
        <w:t xml:space="preserve">.   </w:t>
      </w:r>
    </w:p>
    <w:p w:rsidR="00B231CB" w:rsidRDefault="00C71431">
      <w:pPr>
        <w:pStyle w:val="Heading4"/>
        <w:rPr>
          <w:noProof/>
        </w:rPr>
      </w:pPr>
      <w:bookmarkStart w:id="92" w:name="_Ref489027388"/>
      <w:r>
        <w:rPr>
          <w:noProof/>
        </w:rPr>
        <w:t>Well-to-Tank (WTT) analysis</w:t>
      </w:r>
      <w:bookmarkEnd w:id="92"/>
    </w:p>
    <w:p w:rsidR="00B231CB" w:rsidRDefault="00C71431">
      <w:pPr>
        <w:rPr>
          <w:i/>
          <w:noProof/>
        </w:rPr>
      </w:pPr>
      <w:bookmarkStart w:id="93" w:name="_Ref489027393"/>
      <w:r>
        <w:rPr>
          <w:i/>
          <w:noProof/>
        </w:rPr>
        <w:t>Fossil fuel: Diesel and gasoline</w:t>
      </w:r>
      <w:bookmarkEnd w:id="93"/>
    </w:p>
    <w:p w:rsidR="00B231CB" w:rsidRDefault="00C71431">
      <w:pPr>
        <w:spacing w:after="120"/>
        <w:rPr>
          <w:noProof/>
        </w:rPr>
      </w:pPr>
      <w:r>
        <w:rPr>
          <w:noProof/>
        </w:rPr>
        <w:t xml:space="preserve">The WTT </w:t>
      </w:r>
      <w:r>
        <w:rPr>
          <w:rFonts w:cs="Arial"/>
          <w:noProof/>
        </w:rPr>
        <w:t>('upstr</w:t>
      </w:r>
      <w:r>
        <w:rPr>
          <w:rFonts w:cs="Arial"/>
          <w:noProof/>
        </w:rPr>
        <w:t xml:space="preserve">eam') </w:t>
      </w:r>
      <w:r>
        <w:rPr>
          <w:noProof/>
        </w:rPr>
        <w:t xml:space="preserve">energy and GHG emissions related to fossil fuels that are addressed in the JEC (2014) analysis cover the chain from extraction, transportation and refining as shown in </w:t>
      </w:r>
      <w:r>
        <w:rPr>
          <w:noProof/>
        </w:rPr>
        <w:fldChar w:fldCharType="begin"/>
      </w:r>
      <w:r>
        <w:rPr>
          <w:noProof/>
        </w:rPr>
        <w:instrText xml:space="preserve"> REF _Ref493867318 \h  \* MERGEFORMAT </w:instrText>
      </w:r>
      <w:r>
        <w:rPr>
          <w:noProof/>
        </w:rPr>
      </w:r>
      <w:r>
        <w:rPr>
          <w:noProof/>
        </w:rPr>
        <w:fldChar w:fldCharType="separate"/>
      </w:r>
      <w:r>
        <w:rPr>
          <w:noProof/>
        </w:rPr>
        <w:t>Figure 8</w:t>
      </w:r>
      <w:r>
        <w:rPr>
          <w:noProof/>
        </w:rPr>
        <w:fldChar w:fldCharType="end"/>
      </w:r>
      <w:r>
        <w:rPr>
          <w:noProof/>
        </w:rPr>
        <w:t xml:space="preserve"> below. The analysis aims at quantifying marginal emissions in order to correctly assess the impact of substituting fossil fuels through alternative options.  </w:t>
      </w:r>
    </w:p>
    <w:p w:rsidR="00B231CB" w:rsidRDefault="00C71431">
      <w:pPr>
        <w:pStyle w:val="Caption"/>
        <w:spacing w:after="120"/>
        <w:rPr>
          <w:noProof/>
          <w:lang w:val="fr-BE"/>
        </w:rPr>
      </w:pPr>
      <w:bookmarkStart w:id="94" w:name="_Ref493867318"/>
      <w:bookmarkStart w:id="95" w:name="_Ref493867314"/>
      <w:r>
        <w:rPr>
          <w:noProof/>
          <w:lang w:val="fr-BE"/>
        </w:rPr>
        <w:t xml:space="preserve">Figure </w:t>
      </w:r>
      <w:r>
        <w:rPr>
          <w:noProof/>
        </w:rPr>
        <w:fldChar w:fldCharType="begin"/>
      </w:r>
      <w:r>
        <w:rPr>
          <w:noProof/>
          <w:lang w:val="fr-BE"/>
        </w:rPr>
        <w:instrText xml:space="preserve"> SEQ Figure \* ARABIC </w:instrText>
      </w:r>
      <w:r>
        <w:rPr>
          <w:noProof/>
        </w:rPr>
        <w:fldChar w:fldCharType="separate"/>
      </w:r>
      <w:r>
        <w:rPr>
          <w:noProof/>
          <w:lang w:val="fr-BE"/>
        </w:rPr>
        <w:t>8</w:t>
      </w:r>
      <w:r>
        <w:rPr>
          <w:noProof/>
        </w:rPr>
        <w:fldChar w:fldCharType="end"/>
      </w:r>
      <w:bookmarkEnd w:id="94"/>
      <w:r>
        <w:rPr>
          <w:noProof/>
          <w:lang w:val="fr-BE"/>
        </w:rPr>
        <w:t xml:space="preserve">: Conventional fossil fuels </w:t>
      </w:r>
      <w:r>
        <w:rPr>
          <w:noProof/>
          <w:lang w:val="fr-BE"/>
        </w:rPr>
        <w:t>pathways</w:t>
      </w:r>
      <w:bookmarkEnd w:id="95"/>
    </w:p>
    <w:p w:rsidR="00B231CB" w:rsidRDefault="00C71431">
      <w:pPr>
        <w:spacing w:after="120"/>
        <w:rPr>
          <w:noProof/>
        </w:rPr>
      </w:pPr>
      <w:r>
        <w:rPr>
          <w:noProof/>
          <w:lang w:eastAsia="en-GB"/>
        </w:rPr>
        <w:drawing>
          <wp:inline distT="0" distB="0" distL="0" distR="0" wp14:anchorId="3E8B8248" wp14:editId="0911E39E">
            <wp:extent cx="5506872" cy="9756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06344" cy="975604"/>
                    </a:xfrm>
                    <a:prstGeom prst="rect">
                      <a:avLst/>
                    </a:prstGeom>
                    <a:noFill/>
                    <a:ln>
                      <a:noFill/>
                    </a:ln>
                  </pic:spPr>
                </pic:pic>
              </a:graphicData>
            </a:graphic>
          </wp:inline>
        </w:drawing>
      </w:r>
    </w:p>
    <w:p w:rsidR="00B231CB" w:rsidRDefault="00C71431">
      <w:pPr>
        <w:spacing w:after="60"/>
        <w:jc w:val="center"/>
        <w:rPr>
          <w:i/>
          <w:noProof/>
          <w:sz w:val="20"/>
          <w:lang w:val="fr-BE"/>
        </w:rPr>
      </w:pPr>
      <w:r>
        <w:rPr>
          <w:i/>
          <w:noProof/>
          <w:sz w:val="20"/>
          <w:lang w:val="fr-BE"/>
        </w:rPr>
        <w:t>Source: JEC (2014), WTT report version 4.a</w:t>
      </w:r>
    </w:p>
    <w:p w:rsidR="00B231CB" w:rsidRDefault="00C71431">
      <w:pPr>
        <w:spacing w:after="120"/>
        <w:rPr>
          <w:noProof/>
          <w:lang w:eastAsia="en-GB"/>
        </w:rPr>
      </w:pPr>
      <w:r>
        <w:rPr>
          <w:noProof/>
          <w:lang w:eastAsia="en-GB"/>
        </w:rPr>
        <w:t>The key elements can be summarised as follows:</w:t>
      </w:r>
    </w:p>
    <w:p w:rsidR="00B231CB" w:rsidRDefault="00C71431">
      <w:pPr>
        <w:pStyle w:val="ListParagraph"/>
        <w:numPr>
          <w:ilvl w:val="0"/>
          <w:numId w:val="33"/>
        </w:numPr>
        <w:spacing w:after="120"/>
        <w:ind w:left="360" w:hanging="357"/>
        <w:contextualSpacing w:val="0"/>
        <w:rPr>
          <w:noProof/>
        </w:rPr>
      </w:pPr>
      <w:r>
        <w:rPr>
          <w:noProof/>
        </w:rPr>
        <w:t xml:space="preserve">Emissions from crude oil production and conditioning at source originate mainly in the energy chain required to extract and pre-treat the oil, and the </w:t>
      </w:r>
      <w:r>
        <w:rPr>
          <w:noProof/>
        </w:rPr>
        <w:t>flaring and venting and fugitive losses of associated volatile hydrocarbons, which vary across regions and fields. These are analysed for the different regions that supply the European market to obtain representative values for GHG emissions and energy use</w:t>
      </w:r>
      <w:r>
        <w:rPr>
          <w:noProof/>
        </w:rPr>
        <w:t xml:space="preserve"> related to crude production and conditioning at source. For the WTT calculations the energy and GHG associated with the marginal crude available to Europe are calculated. This marginal crude is likely to originate from the Middle East where the amount of </w:t>
      </w:r>
      <w:r>
        <w:rPr>
          <w:noProof/>
        </w:rPr>
        <w:t>energy needed for production tends to be at the low end of the range.</w:t>
      </w:r>
    </w:p>
    <w:p w:rsidR="00B231CB" w:rsidRDefault="00C71431">
      <w:pPr>
        <w:pStyle w:val="ListParagraph"/>
        <w:numPr>
          <w:ilvl w:val="0"/>
          <w:numId w:val="33"/>
        </w:numPr>
        <w:spacing w:after="120"/>
        <w:ind w:left="360" w:hanging="357"/>
        <w:contextualSpacing w:val="0"/>
        <w:rPr>
          <w:noProof/>
        </w:rPr>
      </w:pPr>
      <w:r>
        <w:rPr>
          <w:noProof/>
        </w:rPr>
        <w:t>The GHG emissions stemming from the transportation of crude to Europe are calculated.</w:t>
      </w:r>
    </w:p>
    <w:p w:rsidR="00B231CB" w:rsidRDefault="00C71431">
      <w:pPr>
        <w:pStyle w:val="ListParagraph"/>
        <w:numPr>
          <w:ilvl w:val="0"/>
          <w:numId w:val="33"/>
        </w:numPr>
        <w:spacing w:after="120"/>
        <w:ind w:left="360" w:hanging="357"/>
        <w:contextualSpacing w:val="0"/>
        <w:rPr>
          <w:noProof/>
        </w:rPr>
      </w:pPr>
      <w:r>
        <w:rPr>
          <w:noProof/>
        </w:rPr>
        <w:t>Refining of crude oil is the most energy-intensive process in the fossil fuel supply chain. In order</w:t>
      </w:r>
      <w:r>
        <w:rPr>
          <w:noProof/>
        </w:rPr>
        <w:t xml:space="preserve"> to best estimate the savings from substituting conventional fuels, the study assessed how the EU refineries would have to adapt to a marginal reduction in demand, differentiating between gasoline and diesel. </w:t>
      </w:r>
    </w:p>
    <w:p w:rsidR="00B231CB" w:rsidRDefault="00C71431">
      <w:pPr>
        <w:pStyle w:val="ListParagraph"/>
        <w:numPr>
          <w:ilvl w:val="0"/>
          <w:numId w:val="33"/>
        </w:numPr>
        <w:spacing w:after="120"/>
        <w:ind w:left="360" w:hanging="357"/>
        <w:contextualSpacing w:val="0"/>
        <w:rPr>
          <w:noProof/>
        </w:rPr>
      </w:pPr>
      <w:r>
        <w:rPr>
          <w:noProof/>
        </w:rPr>
        <w:t>Finally, emissions related to the distribution</w:t>
      </w:r>
      <w:r>
        <w:rPr>
          <w:noProof/>
        </w:rPr>
        <w:t xml:space="preserve"> of gasoline and diesel are considered.  </w:t>
      </w:r>
    </w:p>
    <w:p w:rsidR="00B231CB" w:rsidRDefault="00C71431">
      <w:pPr>
        <w:pStyle w:val="Caption"/>
        <w:keepNext/>
        <w:spacing w:after="120"/>
        <w:rPr>
          <w:noProof/>
        </w:rPr>
      </w:pPr>
      <w:bookmarkStart w:id="96" w:name="_Ref493867612"/>
      <w:bookmarkStart w:id="97" w:name="_Ref493157330"/>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96"/>
      <w:r>
        <w:rPr>
          <w:noProof/>
        </w:rPr>
        <w:t>: WTT GHG emissions of conventional diesel and gasoline</w:t>
      </w:r>
    </w:p>
    <w:bookmarkEnd w:id="97"/>
    <w:p w:rsidR="00B231CB" w:rsidRDefault="00C71431">
      <w:pPr>
        <w:spacing w:after="120"/>
        <w:jc w:val="center"/>
        <w:rPr>
          <w:rFonts w:cs="Arial"/>
          <w:noProof/>
        </w:rPr>
      </w:pPr>
      <w:r>
        <w:rPr>
          <w:rFonts w:cs="Arial"/>
          <w:noProof/>
          <w:lang w:eastAsia="en-GB"/>
        </w:rPr>
        <w:drawing>
          <wp:inline distT="0" distB="0" distL="0" distR="0" wp14:anchorId="0E55E79D" wp14:editId="10A322E4">
            <wp:extent cx="4968000" cy="3156592"/>
            <wp:effectExtent l="0" t="0" r="444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68000" cy="3156592"/>
                    </a:xfrm>
                    <a:prstGeom prst="rect">
                      <a:avLst/>
                    </a:prstGeom>
                    <a:noFill/>
                    <a:ln>
                      <a:noFill/>
                    </a:ln>
                  </pic:spPr>
                </pic:pic>
              </a:graphicData>
            </a:graphic>
          </wp:inline>
        </w:drawing>
      </w:r>
    </w:p>
    <w:p w:rsidR="00B231CB" w:rsidRDefault="00C71431">
      <w:pPr>
        <w:pStyle w:val="JRCFiguresource"/>
        <w:spacing w:after="120"/>
        <w:rPr>
          <w:rFonts w:ascii="Times New Roman" w:hAnsi="Times New Roman"/>
          <w:i/>
          <w:noProof/>
          <w:sz w:val="20"/>
          <w:lang w:val="fr-FR"/>
        </w:rPr>
      </w:pPr>
      <w:r>
        <w:rPr>
          <w:rFonts w:ascii="Times New Roman" w:hAnsi="Times New Roman"/>
          <w:i/>
          <w:noProof/>
          <w:sz w:val="20"/>
          <w:lang w:val="fr-FR"/>
        </w:rPr>
        <w:t>Source: JEC (2014), WTT report version 4.a</w:t>
      </w:r>
    </w:p>
    <w:p w:rsidR="00B231CB" w:rsidRDefault="00C71431">
      <w:pPr>
        <w:spacing w:after="120"/>
        <w:rPr>
          <w:rFonts w:ascii="Verdana" w:eastAsia="Calibri" w:hAnsi="Verdana"/>
          <w:noProof/>
          <w:sz w:val="18"/>
        </w:rPr>
      </w:pPr>
      <w:r>
        <w:rPr>
          <w:rFonts w:cs="Arial"/>
          <w:noProof/>
        </w:rPr>
        <w:t>Overall, the WTT GHG emissions for gasoline and diesel fuel amount to 13.8 and 1</w:t>
      </w:r>
      <w:r>
        <w:rPr>
          <w:rFonts w:cs="Arial"/>
          <w:noProof/>
        </w:rPr>
        <w:t>5.4 g CO</w:t>
      </w:r>
      <w:r>
        <w:rPr>
          <w:rFonts w:cs="Arial"/>
          <w:noProof/>
          <w:vertAlign w:val="subscript"/>
        </w:rPr>
        <w:t>2</w:t>
      </w:r>
      <w:r>
        <w:rPr>
          <w:rFonts w:cs="Arial"/>
          <w:noProof/>
        </w:rPr>
        <w:t>eq per MJ of final fuel, respectively. Refining is the most energy- and emission-intensive step, followed by the crude production (</w:t>
      </w:r>
      <w:r>
        <w:rPr>
          <w:rFonts w:cs="Arial"/>
          <w:noProof/>
        </w:rPr>
        <w:fldChar w:fldCharType="begin"/>
      </w:r>
      <w:r>
        <w:rPr>
          <w:rFonts w:cs="Arial"/>
          <w:noProof/>
        </w:rPr>
        <w:instrText xml:space="preserve"> REF _Ref493867612 \h  \* MERGEFORMAT </w:instrText>
      </w:r>
      <w:r>
        <w:rPr>
          <w:rFonts w:cs="Arial"/>
          <w:noProof/>
        </w:rPr>
      </w:r>
      <w:r>
        <w:rPr>
          <w:rFonts w:cs="Arial"/>
          <w:noProof/>
        </w:rPr>
        <w:fldChar w:fldCharType="separate"/>
      </w:r>
      <w:r>
        <w:rPr>
          <w:noProof/>
        </w:rPr>
        <w:t>Figure 9</w:t>
      </w:r>
      <w:r>
        <w:rPr>
          <w:rFonts w:cs="Arial"/>
          <w:noProof/>
        </w:rPr>
        <w:fldChar w:fldCharType="end"/>
      </w:r>
      <w:r>
        <w:rPr>
          <w:rFonts w:cs="Arial"/>
          <w:noProof/>
        </w:rPr>
        <w:t>).</w:t>
      </w:r>
      <w:r>
        <w:rPr>
          <w:noProof/>
        </w:rPr>
        <w:t xml:space="preserve"> </w:t>
      </w:r>
    </w:p>
    <w:p w:rsidR="00B231CB" w:rsidRDefault="00C71431">
      <w:pPr>
        <w:spacing w:after="120"/>
        <w:rPr>
          <w:noProof/>
        </w:rPr>
      </w:pPr>
      <w:r>
        <w:rPr>
          <w:noProof/>
        </w:rPr>
        <w:t xml:space="preserve">Regarding the changes in the WTT emissions of conventional diesel and gasoline in Europe over the next decades, according to JEC (2014), the use of unconventional oils in the European fuel supply is likely to remain limited until 2020. </w:t>
      </w:r>
    </w:p>
    <w:p w:rsidR="00B231CB" w:rsidRDefault="00C71431">
      <w:pPr>
        <w:spacing w:after="120"/>
        <w:rPr>
          <w:noProof/>
        </w:rPr>
      </w:pPr>
      <w:r>
        <w:rPr>
          <w:noProof/>
        </w:rPr>
        <w:t>Council Directive</w:t>
      </w:r>
      <w:r>
        <w:rPr>
          <w:noProof/>
        </w:rPr>
        <w:t xml:space="preserve"> 652/2015 lays down rules on calculation methods and reporting requirements regarding the greenhouse gas intensity of fuels, in accordance with the Fuel Quality Directive 98/70/EC</w:t>
      </w:r>
      <w:r>
        <w:rPr>
          <w:rStyle w:val="FootnoteReference"/>
          <w:noProof/>
        </w:rPr>
        <w:footnoteReference w:id="71"/>
      </w:r>
      <w:r>
        <w:rPr>
          <w:noProof/>
        </w:rPr>
        <w:t>.</w:t>
      </w:r>
    </w:p>
    <w:p w:rsidR="00B231CB" w:rsidRDefault="00C71431">
      <w:pPr>
        <w:rPr>
          <w:i/>
          <w:noProof/>
        </w:rPr>
      </w:pPr>
      <w:bookmarkStart w:id="98" w:name="_Ref489027398"/>
      <w:r>
        <w:rPr>
          <w:i/>
          <w:noProof/>
        </w:rPr>
        <w:t xml:space="preserve">Electricity </w:t>
      </w:r>
      <w:bookmarkEnd w:id="98"/>
    </w:p>
    <w:p w:rsidR="00B231CB" w:rsidRDefault="00C71431">
      <w:pPr>
        <w:rPr>
          <w:bCs/>
          <w:iCs/>
          <w:noProof/>
        </w:rPr>
      </w:pPr>
      <w:r>
        <w:rPr>
          <w:noProof/>
        </w:rPr>
        <w:t>The WTT emissions of electricity as a fuel for vehicles are b</w:t>
      </w:r>
      <w:r>
        <w:rPr>
          <w:noProof/>
        </w:rPr>
        <w:t xml:space="preserve">ased on </w:t>
      </w:r>
      <w:r>
        <w:rPr>
          <w:bCs/>
          <w:iCs/>
          <w:noProof/>
        </w:rPr>
        <w:t xml:space="preserve">Moro and Lonza (2017), who updated and expanded the JEC (2014) analysis. Moro and Lonza provide the GHG intensity of the electricity consumed in the year 2013 at the EU-28 level, and by Member State. While noting there are important differences in </w:t>
      </w:r>
      <w:r>
        <w:rPr>
          <w:bCs/>
          <w:iCs/>
          <w:noProof/>
        </w:rPr>
        <w:t xml:space="preserve">the carbon-intensity across countries, this section focuses on average EU28 figures only, as shown in </w:t>
      </w:r>
      <w:r>
        <w:rPr>
          <w:bCs/>
          <w:iCs/>
          <w:noProof/>
        </w:rPr>
        <w:fldChar w:fldCharType="begin"/>
      </w:r>
      <w:r>
        <w:rPr>
          <w:bCs/>
          <w:iCs/>
          <w:noProof/>
        </w:rPr>
        <w:instrText xml:space="preserve"> REF _Ref494033374 \h  \* MERGEFORMAT </w:instrText>
      </w:r>
      <w:r>
        <w:rPr>
          <w:bCs/>
          <w:iCs/>
          <w:noProof/>
        </w:rPr>
      </w:r>
      <w:r>
        <w:rPr>
          <w:bCs/>
          <w:iCs/>
          <w:noProof/>
        </w:rPr>
        <w:fldChar w:fldCharType="separate"/>
      </w:r>
      <w:r>
        <w:rPr>
          <w:noProof/>
        </w:rPr>
        <w:t>Table 9</w:t>
      </w:r>
      <w:r>
        <w:rPr>
          <w:bCs/>
          <w:iCs/>
          <w:noProof/>
        </w:rPr>
        <w:fldChar w:fldCharType="end"/>
      </w:r>
      <w:r>
        <w:rPr>
          <w:bCs/>
          <w:iCs/>
          <w:noProof/>
        </w:rPr>
        <w:t xml:space="preserve">. </w:t>
      </w:r>
    </w:p>
    <w:p w:rsidR="00B231CB" w:rsidRDefault="00C71431">
      <w:pPr>
        <w:rPr>
          <w:bCs/>
          <w:iCs/>
          <w:noProof/>
        </w:rPr>
      </w:pPr>
      <w:r>
        <w:rPr>
          <w:bCs/>
          <w:iCs/>
          <w:noProof/>
        </w:rPr>
        <w:t>The WTT GHG emissions (considering CO</w:t>
      </w:r>
      <w:r>
        <w:rPr>
          <w:bCs/>
          <w:iCs/>
          <w:noProof/>
          <w:vertAlign w:val="subscript"/>
        </w:rPr>
        <w:t>2</w:t>
      </w:r>
      <w:r>
        <w:rPr>
          <w:bCs/>
          <w:iCs/>
          <w:noProof/>
        </w:rPr>
        <w:t>,</w:t>
      </w:r>
      <w:r>
        <w:rPr>
          <w:bCs/>
          <w:iCs/>
          <w:noProof/>
        </w:rPr>
        <w:t xml:space="preserve"> CH</w:t>
      </w:r>
      <w:r>
        <w:rPr>
          <w:bCs/>
          <w:iCs/>
          <w:noProof/>
          <w:vertAlign w:val="subscript"/>
        </w:rPr>
        <w:t>4</w:t>
      </w:r>
      <w:r>
        <w:rPr>
          <w:bCs/>
          <w:iCs/>
          <w:noProof/>
        </w:rPr>
        <w:t xml:space="preserve"> and N</w:t>
      </w:r>
      <w:r>
        <w:rPr>
          <w:bCs/>
          <w:iCs/>
          <w:noProof/>
          <w:vertAlign w:val="subscript"/>
        </w:rPr>
        <w:t>2</w:t>
      </w:r>
      <w:r>
        <w:rPr>
          <w:bCs/>
          <w:iCs/>
          <w:noProof/>
        </w:rPr>
        <w:t xml:space="preserve">O) include upstream emissions caused by the extraction, refining and transportation of fuels, as well as, the emissions related to the generation of electricity (i.e. combustion emissions), while assigning GHG emission credits for heat produced </w:t>
      </w:r>
      <w:r>
        <w:rPr>
          <w:bCs/>
          <w:iCs/>
          <w:noProof/>
        </w:rPr>
        <w:t>by CHP plants. In addition, losses due to own-consumption in power plants, pump storage and transmission losses occurring at the high, medium and low-voltage levels are taken into account, considering that charging of electric vehicles may to a large exten</w:t>
      </w:r>
      <w:r>
        <w:rPr>
          <w:bCs/>
          <w:iCs/>
          <w:noProof/>
        </w:rPr>
        <w:t>t take place at the low-voltage level.</w:t>
      </w:r>
    </w:p>
    <w:p w:rsidR="00B231CB" w:rsidRDefault="00C71431">
      <w:pPr>
        <w:pStyle w:val="Caption"/>
        <w:rPr>
          <w:noProof/>
        </w:rPr>
      </w:pPr>
      <w:bookmarkStart w:id="99" w:name="_Ref494033374"/>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bookmarkEnd w:id="99"/>
      <w:r>
        <w:rPr>
          <w:noProof/>
        </w:rPr>
        <w:t xml:space="preserve">: GHG emission intensity of electricity in the year 2013, EU-28 average </w:t>
      </w:r>
    </w:p>
    <w:tbl>
      <w:tblPr>
        <w:tblW w:w="90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5"/>
        <w:gridCol w:w="2175"/>
      </w:tblGrid>
      <w:tr w:rsidR="00B231CB">
        <w:trPr>
          <w:trHeight w:val="300"/>
        </w:trPr>
        <w:tc>
          <w:tcPr>
            <w:tcW w:w="6855" w:type="dxa"/>
            <w:shd w:val="clear" w:color="auto" w:fill="auto"/>
            <w:noWrap/>
            <w:vAlign w:val="bottom"/>
            <w:hideMark/>
          </w:tcPr>
          <w:p w:rsidR="00B231CB" w:rsidRDefault="00C71431">
            <w:pPr>
              <w:spacing w:after="120"/>
              <w:rPr>
                <w:noProof/>
                <w:color w:val="000000"/>
                <w:sz w:val="22"/>
                <w:lang w:eastAsia="en-GB"/>
              </w:rPr>
            </w:pPr>
            <w:r>
              <w:rPr>
                <w:noProof/>
                <w:color w:val="000000"/>
                <w:sz w:val="22"/>
                <w:lang w:eastAsia="en-GB"/>
              </w:rPr>
              <w:t>gross electricity production - combustion only</w:t>
            </w:r>
          </w:p>
        </w:tc>
        <w:tc>
          <w:tcPr>
            <w:tcW w:w="2175" w:type="dxa"/>
            <w:shd w:val="clear" w:color="auto" w:fill="auto"/>
            <w:noWrap/>
            <w:vAlign w:val="bottom"/>
            <w:hideMark/>
          </w:tcPr>
          <w:p w:rsidR="00B231CB" w:rsidRDefault="00C71431">
            <w:pPr>
              <w:spacing w:after="120"/>
              <w:jc w:val="right"/>
              <w:rPr>
                <w:noProof/>
                <w:color w:val="000000"/>
                <w:sz w:val="22"/>
                <w:lang w:eastAsia="en-GB"/>
              </w:rPr>
            </w:pPr>
            <w:r>
              <w:rPr>
                <w:noProof/>
                <w:color w:val="000000"/>
                <w:sz w:val="22"/>
                <w:lang w:eastAsia="en-GB"/>
              </w:rPr>
              <w:t>340 g CO</w:t>
            </w:r>
            <w:r>
              <w:rPr>
                <w:noProof/>
                <w:color w:val="000000"/>
                <w:sz w:val="22"/>
                <w:vertAlign w:val="subscript"/>
                <w:lang w:eastAsia="en-GB"/>
              </w:rPr>
              <w:t>2eq</w:t>
            </w:r>
            <w:r>
              <w:rPr>
                <w:noProof/>
                <w:color w:val="000000"/>
                <w:sz w:val="22"/>
                <w:lang w:eastAsia="en-GB"/>
              </w:rPr>
              <w:t>/kWh</w:t>
            </w:r>
          </w:p>
        </w:tc>
      </w:tr>
      <w:tr w:rsidR="00B231CB">
        <w:trPr>
          <w:trHeight w:val="300"/>
        </w:trPr>
        <w:tc>
          <w:tcPr>
            <w:tcW w:w="6855" w:type="dxa"/>
            <w:shd w:val="clear" w:color="auto" w:fill="auto"/>
            <w:noWrap/>
            <w:vAlign w:val="bottom"/>
            <w:hideMark/>
          </w:tcPr>
          <w:p w:rsidR="00B231CB" w:rsidRDefault="00C71431">
            <w:pPr>
              <w:spacing w:after="120"/>
              <w:rPr>
                <w:noProof/>
                <w:color w:val="000000"/>
                <w:sz w:val="22"/>
                <w:lang w:eastAsia="en-GB"/>
              </w:rPr>
            </w:pPr>
            <w:r>
              <w:rPr>
                <w:noProof/>
                <w:color w:val="000000"/>
                <w:sz w:val="22"/>
                <w:lang w:eastAsia="en-GB"/>
              </w:rPr>
              <w:t xml:space="preserve">gross electricity production - combustion plus </w:t>
            </w:r>
            <w:r>
              <w:rPr>
                <w:noProof/>
                <w:color w:val="000000"/>
                <w:sz w:val="22"/>
                <w:lang w:eastAsia="en-GB"/>
              </w:rPr>
              <w:t>upstream</w:t>
            </w:r>
          </w:p>
        </w:tc>
        <w:tc>
          <w:tcPr>
            <w:tcW w:w="2175" w:type="dxa"/>
            <w:shd w:val="clear" w:color="auto" w:fill="auto"/>
            <w:noWrap/>
            <w:vAlign w:val="bottom"/>
            <w:hideMark/>
          </w:tcPr>
          <w:p w:rsidR="00B231CB" w:rsidRDefault="00C71431">
            <w:pPr>
              <w:spacing w:after="120"/>
              <w:jc w:val="right"/>
              <w:rPr>
                <w:noProof/>
                <w:color w:val="000000"/>
                <w:sz w:val="22"/>
                <w:lang w:eastAsia="en-GB"/>
              </w:rPr>
            </w:pPr>
            <w:r>
              <w:rPr>
                <w:noProof/>
                <w:color w:val="000000"/>
                <w:sz w:val="22"/>
                <w:lang w:eastAsia="en-GB"/>
              </w:rPr>
              <w:t>387 g CO</w:t>
            </w:r>
            <w:r>
              <w:rPr>
                <w:noProof/>
                <w:color w:val="000000"/>
                <w:sz w:val="22"/>
                <w:vertAlign w:val="subscript"/>
                <w:lang w:eastAsia="en-GB"/>
              </w:rPr>
              <w:t>2eq</w:t>
            </w:r>
            <w:r>
              <w:rPr>
                <w:noProof/>
                <w:color w:val="000000"/>
                <w:sz w:val="22"/>
                <w:lang w:eastAsia="en-GB"/>
              </w:rPr>
              <w:t>/kWh</w:t>
            </w:r>
          </w:p>
        </w:tc>
      </w:tr>
      <w:tr w:rsidR="00B231CB">
        <w:trPr>
          <w:trHeight w:val="300"/>
        </w:trPr>
        <w:tc>
          <w:tcPr>
            <w:tcW w:w="6855" w:type="dxa"/>
            <w:shd w:val="clear" w:color="auto" w:fill="auto"/>
            <w:noWrap/>
            <w:vAlign w:val="bottom"/>
            <w:hideMark/>
          </w:tcPr>
          <w:p w:rsidR="00B231CB" w:rsidRDefault="00C71431">
            <w:pPr>
              <w:spacing w:after="120"/>
              <w:rPr>
                <w:noProof/>
                <w:color w:val="000000"/>
                <w:sz w:val="22"/>
                <w:lang w:eastAsia="en-GB"/>
              </w:rPr>
            </w:pPr>
            <w:r>
              <w:rPr>
                <w:noProof/>
                <w:color w:val="000000"/>
                <w:sz w:val="22"/>
                <w:lang w:eastAsia="en-GB"/>
              </w:rPr>
              <w:t>net electricity production - including upstream</w:t>
            </w:r>
          </w:p>
        </w:tc>
        <w:tc>
          <w:tcPr>
            <w:tcW w:w="2175" w:type="dxa"/>
            <w:shd w:val="clear" w:color="auto" w:fill="auto"/>
            <w:noWrap/>
            <w:vAlign w:val="bottom"/>
            <w:hideMark/>
          </w:tcPr>
          <w:p w:rsidR="00B231CB" w:rsidRDefault="00C71431">
            <w:pPr>
              <w:spacing w:after="120"/>
              <w:jc w:val="right"/>
              <w:rPr>
                <w:noProof/>
                <w:color w:val="000000"/>
                <w:sz w:val="22"/>
                <w:lang w:eastAsia="en-GB"/>
              </w:rPr>
            </w:pPr>
            <w:r>
              <w:rPr>
                <w:noProof/>
                <w:color w:val="000000"/>
                <w:sz w:val="22"/>
                <w:lang w:eastAsia="en-GB"/>
              </w:rPr>
              <w:t>407 g CO</w:t>
            </w:r>
            <w:r>
              <w:rPr>
                <w:noProof/>
                <w:color w:val="000000"/>
                <w:sz w:val="22"/>
                <w:vertAlign w:val="subscript"/>
                <w:lang w:eastAsia="en-GB"/>
              </w:rPr>
              <w:t>2eq</w:t>
            </w:r>
            <w:r>
              <w:rPr>
                <w:noProof/>
                <w:color w:val="000000"/>
                <w:sz w:val="22"/>
                <w:lang w:eastAsia="en-GB"/>
              </w:rPr>
              <w:t>/kWh</w:t>
            </w:r>
          </w:p>
        </w:tc>
      </w:tr>
      <w:tr w:rsidR="00B231CB">
        <w:trPr>
          <w:trHeight w:val="300"/>
        </w:trPr>
        <w:tc>
          <w:tcPr>
            <w:tcW w:w="6855" w:type="dxa"/>
            <w:shd w:val="clear" w:color="auto" w:fill="auto"/>
            <w:noWrap/>
            <w:vAlign w:val="bottom"/>
            <w:hideMark/>
          </w:tcPr>
          <w:p w:rsidR="00B231CB" w:rsidRDefault="00C71431">
            <w:pPr>
              <w:spacing w:after="120"/>
              <w:rPr>
                <w:noProof/>
                <w:color w:val="000000"/>
                <w:sz w:val="22"/>
                <w:lang w:eastAsia="en-GB"/>
              </w:rPr>
            </w:pPr>
            <w:r>
              <w:rPr>
                <w:noProof/>
                <w:color w:val="000000"/>
                <w:sz w:val="22"/>
                <w:lang w:eastAsia="en-GB"/>
              </w:rPr>
              <w:t>electricity supplied- including upstream</w:t>
            </w:r>
          </w:p>
        </w:tc>
        <w:tc>
          <w:tcPr>
            <w:tcW w:w="2175" w:type="dxa"/>
            <w:shd w:val="clear" w:color="auto" w:fill="auto"/>
            <w:noWrap/>
            <w:vAlign w:val="bottom"/>
            <w:hideMark/>
          </w:tcPr>
          <w:p w:rsidR="00B231CB" w:rsidRDefault="00C71431">
            <w:pPr>
              <w:spacing w:after="120"/>
              <w:jc w:val="right"/>
              <w:rPr>
                <w:noProof/>
                <w:color w:val="000000"/>
                <w:sz w:val="22"/>
                <w:lang w:eastAsia="en-GB"/>
              </w:rPr>
            </w:pPr>
            <w:r>
              <w:rPr>
                <w:noProof/>
                <w:color w:val="000000"/>
                <w:sz w:val="22"/>
                <w:lang w:eastAsia="en-GB"/>
              </w:rPr>
              <w:t>417 g CO</w:t>
            </w:r>
            <w:r>
              <w:rPr>
                <w:noProof/>
                <w:color w:val="000000"/>
                <w:sz w:val="22"/>
                <w:vertAlign w:val="subscript"/>
                <w:lang w:eastAsia="en-GB"/>
              </w:rPr>
              <w:t>2eq</w:t>
            </w:r>
            <w:r>
              <w:rPr>
                <w:noProof/>
                <w:color w:val="000000"/>
                <w:sz w:val="22"/>
                <w:lang w:eastAsia="en-GB"/>
              </w:rPr>
              <w:t>/kWh</w:t>
            </w:r>
          </w:p>
        </w:tc>
      </w:tr>
      <w:tr w:rsidR="00B231CB">
        <w:trPr>
          <w:trHeight w:val="300"/>
        </w:trPr>
        <w:tc>
          <w:tcPr>
            <w:tcW w:w="6855" w:type="dxa"/>
            <w:shd w:val="clear" w:color="auto" w:fill="auto"/>
            <w:noWrap/>
            <w:vAlign w:val="bottom"/>
            <w:hideMark/>
          </w:tcPr>
          <w:p w:rsidR="00B231CB" w:rsidRDefault="00C71431">
            <w:pPr>
              <w:spacing w:after="120"/>
              <w:rPr>
                <w:noProof/>
                <w:color w:val="000000"/>
                <w:sz w:val="22"/>
                <w:lang w:eastAsia="en-GB"/>
              </w:rPr>
            </w:pPr>
            <w:r>
              <w:rPr>
                <w:noProof/>
                <w:color w:val="000000"/>
                <w:sz w:val="22"/>
                <w:lang w:eastAsia="en-GB"/>
              </w:rPr>
              <w:t>electricity consumed at high voltage level - including upstream</w:t>
            </w:r>
          </w:p>
        </w:tc>
        <w:tc>
          <w:tcPr>
            <w:tcW w:w="2175" w:type="dxa"/>
            <w:shd w:val="clear" w:color="auto" w:fill="auto"/>
            <w:noWrap/>
            <w:vAlign w:val="bottom"/>
            <w:hideMark/>
          </w:tcPr>
          <w:p w:rsidR="00B231CB" w:rsidRDefault="00C71431">
            <w:pPr>
              <w:spacing w:after="120"/>
              <w:jc w:val="right"/>
              <w:rPr>
                <w:noProof/>
                <w:color w:val="000000"/>
                <w:sz w:val="22"/>
                <w:lang w:eastAsia="en-GB"/>
              </w:rPr>
            </w:pPr>
            <w:r>
              <w:rPr>
                <w:noProof/>
                <w:color w:val="000000"/>
                <w:sz w:val="22"/>
                <w:lang w:eastAsia="en-GB"/>
              </w:rPr>
              <w:t>428 g CO</w:t>
            </w:r>
            <w:r>
              <w:rPr>
                <w:noProof/>
                <w:color w:val="000000"/>
                <w:sz w:val="22"/>
                <w:vertAlign w:val="subscript"/>
                <w:lang w:eastAsia="en-GB"/>
              </w:rPr>
              <w:t>2eq</w:t>
            </w:r>
            <w:r>
              <w:rPr>
                <w:noProof/>
                <w:color w:val="000000"/>
                <w:sz w:val="22"/>
                <w:lang w:eastAsia="en-GB"/>
              </w:rPr>
              <w:t>/kWh</w:t>
            </w:r>
          </w:p>
        </w:tc>
      </w:tr>
      <w:tr w:rsidR="00B231CB">
        <w:trPr>
          <w:trHeight w:val="300"/>
        </w:trPr>
        <w:tc>
          <w:tcPr>
            <w:tcW w:w="6855" w:type="dxa"/>
            <w:shd w:val="clear" w:color="auto" w:fill="auto"/>
            <w:noWrap/>
            <w:vAlign w:val="bottom"/>
            <w:hideMark/>
          </w:tcPr>
          <w:p w:rsidR="00B231CB" w:rsidRDefault="00C71431">
            <w:pPr>
              <w:spacing w:after="120"/>
              <w:rPr>
                <w:noProof/>
                <w:color w:val="000000"/>
                <w:sz w:val="22"/>
                <w:lang w:eastAsia="en-GB"/>
              </w:rPr>
            </w:pPr>
            <w:r>
              <w:rPr>
                <w:noProof/>
                <w:color w:val="000000"/>
                <w:sz w:val="22"/>
                <w:lang w:eastAsia="en-GB"/>
              </w:rPr>
              <w:t>electricity consumed at me</w:t>
            </w:r>
            <w:r>
              <w:rPr>
                <w:noProof/>
                <w:color w:val="000000"/>
                <w:sz w:val="22"/>
                <w:lang w:eastAsia="en-GB"/>
              </w:rPr>
              <w:t>dium voltage level - including upstream</w:t>
            </w:r>
          </w:p>
        </w:tc>
        <w:tc>
          <w:tcPr>
            <w:tcW w:w="2175" w:type="dxa"/>
            <w:shd w:val="clear" w:color="auto" w:fill="auto"/>
            <w:noWrap/>
            <w:vAlign w:val="bottom"/>
            <w:hideMark/>
          </w:tcPr>
          <w:p w:rsidR="00B231CB" w:rsidRDefault="00C71431">
            <w:pPr>
              <w:spacing w:after="120"/>
              <w:jc w:val="right"/>
              <w:rPr>
                <w:noProof/>
                <w:color w:val="000000"/>
                <w:sz w:val="22"/>
                <w:lang w:eastAsia="en-GB"/>
              </w:rPr>
            </w:pPr>
            <w:r>
              <w:rPr>
                <w:noProof/>
                <w:color w:val="000000"/>
                <w:sz w:val="22"/>
                <w:lang w:eastAsia="en-GB"/>
              </w:rPr>
              <w:t>432 g CO</w:t>
            </w:r>
            <w:r>
              <w:rPr>
                <w:noProof/>
                <w:color w:val="000000"/>
                <w:sz w:val="22"/>
                <w:vertAlign w:val="subscript"/>
                <w:lang w:eastAsia="en-GB"/>
              </w:rPr>
              <w:t>2eq</w:t>
            </w:r>
            <w:r>
              <w:rPr>
                <w:noProof/>
                <w:color w:val="000000"/>
                <w:sz w:val="22"/>
                <w:lang w:eastAsia="en-GB"/>
              </w:rPr>
              <w:t>/kWh</w:t>
            </w:r>
          </w:p>
        </w:tc>
      </w:tr>
      <w:tr w:rsidR="00B231CB">
        <w:trPr>
          <w:trHeight w:val="315"/>
        </w:trPr>
        <w:tc>
          <w:tcPr>
            <w:tcW w:w="6855" w:type="dxa"/>
            <w:shd w:val="clear" w:color="auto" w:fill="auto"/>
            <w:noWrap/>
            <w:vAlign w:val="bottom"/>
            <w:hideMark/>
          </w:tcPr>
          <w:p w:rsidR="00B231CB" w:rsidRDefault="00C71431">
            <w:pPr>
              <w:spacing w:after="120"/>
              <w:rPr>
                <w:noProof/>
                <w:color w:val="000000"/>
                <w:sz w:val="22"/>
                <w:lang w:eastAsia="en-GB"/>
              </w:rPr>
            </w:pPr>
            <w:r>
              <w:rPr>
                <w:noProof/>
                <w:color w:val="000000"/>
                <w:sz w:val="22"/>
                <w:lang w:eastAsia="en-GB"/>
              </w:rPr>
              <w:t>electricity consumed at low voltage level - including upstream</w:t>
            </w:r>
          </w:p>
        </w:tc>
        <w:tc>
          <w:tcPr>
            <w:tcW w:w="2175" w:type="dxa"/>
            <w:shd w:val="clear" w:color="auto" w:fill="auto"/>
            <w:noWrap/>
            <w:vAlign w:val="bottom"/>
            <w:hideMark/>
          </w:tcPr>
          <w:p w:rsidR="00B231CB" w:rsidRDefault="00C71431">
            <w:pPr>
              <w:spacing w:after="120"/>
              <w:jc w:val="right"/>
              <w:rPr>
                <w:noProof/>
                <w:color w:val="000000"/>
                <w:sz w:val="22"/>
                <w:lang w:eastAsia="en-GB"/>
              </w:rPr>
            </w:pPr>
            <w:r>
              <w:rPr>
                <w:noProof/>
                <w:color w:val="000000"/>
                <w:sz w:val="22"/>
                <w:lang w:eastAsia="en-GB"/>
              </w:rPr>
              <w:t>447 g CO</w:t>
            </w:r>
            <w:r>
              <w:rPr>
                <w:noProof/>
                <w:color w:val="000000"/>
                <w:sz w:val="22"/>
                <w:vertAlign w:val="subscript"/>
                <w:lang w:eastAsia="en-GB"/>
              </w:rPr>
              <w:t>2eq</w:t>
            </w:r>
            <w:r>
              <w:rPr>
                <w:noProof/>
                <w:color w:val="000000"/>
                <w:sz w:val="22"/>
                <w:lang w:eastAsia="en-GB"/>
              </w:rPr>
              <w:t>/kWh</w:t>
            </w:r>
          </w:p>
        </w:tc>
      </w:tr>
    </w:tbl>
    <w:p w:rsidR="00B231CB" w:rsidRDefault="00C71431">
      <w:pPr>
        <w:pStyle w:val="JRCFiguresource"/>
        <w:spacing w:before="120" w:after="240"/>
        <w:rPr>
          <w:rFonts w:ascii="Times New Roman" w:hAnsi="Times New Roman"/>
          <w:i/>
          <w:noProof/>
          <w:sz w:val="20"/>
        </w:rPr>
      </w:pPr>
      <w:r>
        <w:rPr>
          <w:rFonts w:ascii="Times New Roman" w:hAnsi="Times New Roman"/>
          <w:i/>
          <w:noProof/>
          <w:sz w:val="20"/>
        </w:rPr>
        <w:t>Source: Moro and Lonza, 2017</w:t>
      </w:r>
    </w:p>
    <w:p w:rsidR="00B231CB" w:rsidRDefault="00C71431">
      <w:pPr>
        <w:spacing w:after="120"/>
        <w:rPr>
          <w:rStyle w:val="Strong"/>
          <w:iCs/>
          <w:noProof/>
        </w:rPr>
      </w:pPr>
      <w:r>
        <w:rPr>
          <w:bCs/>
          <w:iCs/>
          <w:noProof/>
        </w:rPr>
        <w:t xml:space="preserve">In order to provide an </w:t>
      </w:r>
      <w:r>
        <w:rPr>
          <w:b/>
          <w:bCs/>
          <w:iCs/>
          <w:noProof/>
        </w:rPr>
        <w:t>indication</w:t>
      </w:r>
      <w:r>
        <w:rPr>
          <w:bCs/>
          <w:iCs/>
          <w:noProof/>
        </w:rPr>
        <w:t xml:space="preserve"> of the possible evolution of the WTT emissions of electricity as road transport fuel for 2020, 2025 and 2030 in line with the </w:t>
      </w:r>
      <w:r>
        <w:rPr>
          <w:rStyle w:val="Strong"/>
          <w:b w:val="0"/>
          <w:iCs/>
          <w:noProof/>
        </w:rPr>
        <w:t xml:space="preserve">EU's energy and climate targets, the following calculations were performed. </w:t>
      </w:r>
    </w:p>
    <w:p w:rsidR="00B231CB" w:rsidRDefault="00C71431">
      <w:pPr>
        <w:spacing w:after="120"/>
        <w:rPr>
          <w:noProof/>
        </w:rPr>
      </w:pPr>
      <w:r>
        <w:rPr>
          <w:rStyle w:val="Strong"/>
          <w:b w:val="0"/>
          <w:iCs/>
          <w:noProof/>
        </w:rPr>
        <w:t>The trajectory of the carbon intensity of the Europe</w:t>
      </w:r>
      <w:r>
        <w:rPr>
          <w:rStyle w:val="Strong"/>
          <w:b w:val="0"/>
          <w:iCs/>
          <w:noProof/>
        </w:rPr>
        <w:t xml:space="preserve">an electricity and steam production over the period 2010-2030, as projected by the PRIMES model in the </w:t>
      </w:r>
      <w:r>
        <w:rPr>
          <w:i/>
          <w:noProof/>
        </w:rPr>
        <w:t>EUCO30</w:t>
      </w:r>
      <w:r>
        <w:rPr>
          <w:noProof/>
        </w:rPr>
        <w:t xml:space="preserve"> scenario</w:t>
      </w:r>
      <w:r>
        <w:rPr>
          <w:rStyle w:val="FootnoteReference"/>
          <w:noProof/>
        </w:rPr>
        <w:footnoteReference w:id="72"/>
      </w:r>
      <w:r>
        <w:rPr>
          <w:noProof/>
        </w:rPr>
        <w:t xml:space="preserve">, was applied on the WTT electricity emissions provided by Moro and Lonza (2017). To this end, in a first step the WTT GHG emission </w:t>
      </w:r>
      <w:r>
        <w:rPr>
          <w:noProof/>
        </w:rPr>
        <w:t>intensity for the year 2013 was back-calculated for the year 2010, taking into account the observed reduction in the CO</w:t>
      </w:r>
      <w:r>
        <w:rPr>
          <w:noProof/>
          <w:vertAlign w:val="subscript"/>
        </w:rPr>
        <w:t>2</w:t>
      </w:r>
      <w:r>
        <w:rPr>
          <w:noProof/>
        </w:rPr>
        <w:t xml:space="preserve"> intensity of electricity and steam generation. On these 2010 WTT emissions, the relative reductions in the carbon intensity of electric</w:t>
      </w:r>
      <w:r>
        <w:rPr>
          <w:noProof/>
        </w:rPr>
        <w:t xml:space="preserve">ity and steam production between the years 2010, 2020, 2025 and 2030 - as modelled by PRIMES – </w:t>
      </w:r>
      <w:r>
        <w:rPr>
          <w:bCs/>
          <w:iCs/>
          <w:noProof/>
        </w:rPr>
        <w:t>were applied.</w:t>
      </w:r>
      <w:r>
        <w:rPr>
          <w:noProof/>
        </w:rPr>
        <w:t xml:space="preserve">  </w:t>
      </w:r>
    </w:p>
    <w:p w:rsidR="00B231CB" w:rsidRDefault="00C71431">
      <w:pPr>
        <w:spacing w:after="120"/>
        <w:rPr>
          <w:rStyle w:val="Strong"/>
          <w:b w:val="0"/>
          <w:iCs/>
          <w:noProof/>
        </w:rPr>
      </w:pPr>
      <w:r>
        <w:rPr>
          <w:rStyle w:val="Strong"/>
          <w:b w:val="0"/>
          <w:iCs/>
          <w:noProof/>
        </w:rPr>
        <w:t>On that basis, the EU-28 average WTT GHG emissions at the low-voltage network would be 101 gCO</w:t>
      </w:r>
      <w:r>
        <w:rPr>
          <w:rStyle w:val="Strong"/>
          <w:b w:val="0"/>
          <w:iCs/>
          <w:noProof/>
          <w:vertAlign w:val="subscript"/>
        </w:rPr>
        <w:t>2</w:t>
      </w:r>
      <w:r>
        <w:rPr>
          <w:rStyle w:val="Strong"/>
          <w:b w:val="0"/>
          <w:iCs/>
          <w:noProof/>
        </w:rPr>
        <w:t>eq/MJ (364 gCO</w:t>
      </w:r>
      <w:r>
        <w:rPr>
          <w:rStyle w:val="Strong"/>
          <w:b w:val="0"/>
          <w:iCs/>
          <w:noProof/>
          <w:vertAlign w:val="subscript"/>
        </w:rPr>
        <w:t>2</w:t>
      </w:r>
      <w:r>
        <w:rPr>
          <w:rStyle w:val="Strong"/>
          <w:b w:val="0"/>
          <w:iCs/>
          <w:noProof/>
        </w:rPr>
        <w:t>eq/kWh) in 2020, 90 gCO</w:t>
      </w:r>
      <w:r>
        <w:rPr>
          <w:rStyle w:val="Strong"/>
          <w:b w:val="0"/>
          <w:iCs/>
          <w:noProof/>
          <w:vertAlign w:val="subscript"/>
        </w:rPr>
        <w:t>2</w:t>
      </w:r>
      <w:r>
        <w:rPr>
          <w:rStyle w:val="Strong"/>
          <w:b w:val="0"/>
          <w:iCs/>
          <w:noProof/>
        </w:rPr>
        <w:t xml:space="preserve">eq/MJ (322 </w:t>
      </w:r>
      <w:r>
        <w:rPr>
          <w:rStyle w:val="Strong"/>
          <w:b w:val="0"/>
          <w:iCs/>
          <w:noProof/>
        </w:rPr>
        <w:t>gCO</w:t>
      </w:r>
      <w:r>
        <w:rPr>
          <w:rStyle w:val="Strong"/>
          <w:b w:val="0"/>
          <w:iCs/>
          <w:noProof/>
          <w:vertAlign w:val="subscript"/>
        </w:rPr>
        <w:t>2</w:t>
      </w:r>
      <w:r>
        <w:rPr>
          <w:rStyle w:val="Strong"/>
          <w:b w:val="0"/>
          <w:iCs/>
          <w:noProof/>
        </w:rPr>
        <w:t>eq/kWh) in 2025, and 70 gCO</w:t>
      </w:r>
      <w:r>
        <w:rPr>
          <w:rStyle w:val="Strong"/>
          <w:b w:val="0"/>
          <w:iCs/>
          <w:noProof/>
          <w:vertAlign w:val="subscript"/>
        </w:rPr>
        <w:t>2</w:t>
      </w:r>
      <w:r>
        <w:rPr>
          <w:rStyle w:val="Strong"/>
          <w:b w:val="0"/>
          <w:iCs/>
          <w:noProof/>
        </w:rPr>
        <w:t>eq/MJ (252 gCO</w:t>
      </w:r>
      <w:r>
        <w:rPr>
          <w:rStyle w:val="Strong"/>
          <w:b w:val="0"/>
          <w:iCs/>
          <w:noProof/>
          <w:vertAlign w:val="subscript"/>
        </w:rPr>
        <w:t>2</w:t>
      </w:r>
      <w:r>
        <w:rPr>
          <w:rStyle w:val="Strong"/>
          <w:b w:val="0"/>
          <w:iCs/>
          <w:noProof/>
        </w:rPr>
        <w:t xml:space="preserve">eq/kWh) in 2030, as shown in </w:t>
      </w:r>
      <w:r>
        <w:rPr>
          <w:rStyle w:val="Strong"/>
          <w:b w:val="0"/>
          <w:iCs/>
          <w:noProof/>
        </w:rPr>
        <w:fldChar w:fldCharType="begin"/>
      </w:r>
      <w:r>
        <w:rPr>
          <w:rStyle w:val="Strong"/>
          <w:b w:val="0"/>
          <w:iCs/>
          <w:noProof/>
        </w:rPr>
        <w:instrText xml:space="preserve"> REF _Ref494033611 \h  \* MERGEFORMAT </w:instrText>
      </w:r>
      <w:r>
        <w:rPr>
          <w:rStyle w:val="Strong"/>
          <w:b w:val="0"/>
          <w:iCs/>
          <w:noProof/>
        </w:rPr>
      </w:r>
      <w:r>
        <w:rPr>
          <w:rStyle w:val="Strong"/>
          <w:b w:val="0"/>
          <w:iCs/>
          <w:noProof/>
        </w:rPr>
        <w:fldChar w:fldCharType="separate"/>
      </w:r>
      <w:r>
        <w:rPr>
          <w:noProof/>
          <w:szCs w:val="24"/>
        </w:rPr>
        <w:t>Figure 10</w:t>
      </w:r>
      <w:r>
        <w:rPr>
          <w:rStyle w:val="Strong"/>
          <w:b w:val="0"/>
          <w:iCs/>
          <w:noProof/>
        </w:rPr>
        <w:fldChar w:fldCharType="end"/>
      </w:r>
      <w:r>
        <w:rPr>
          <w:rStyle w:val="Strong"/>
          <w:b w:val="0"/>
          <w:iCs/>
          <w:noProof/>
        </w:rPr>
        <w:t xml:space="preserve">. </w:t>
      </w:r>
    </w:p>
    <w:p w:rsidR="00B231CB" w:rsidRDefault="00C71431">
      <w:pPr>
        <w:spacing w:after="120"/>
        <w:rPr>
          <w:rStyle w:val="Strong"/>
          <w:b w:val="0"/>
          <w:iCs/>
          <w:noProof/>
        </w:rPr>
      </w:pPr>
      <w:r>
        <w:rPr>
          <w:rStyle w:val="Strong"/>
          <w:b w:val="0"/>
          <w:iCs/>
          <w:noProof/>
        </w:rPr>
        <w:t xml:space="preserve">Obviously, these figures need to be interpreted as </w:t>
      </w:r>
      <w:r>
        <w:rPr>
          <w:rStyle w:val="Strong"/>
          <w:iCs/>
          <w:noProof/>
        </w:rPr>
        <w:t>rough estima</w:t>
      </w:r>
      <w:r>
        <w:rPr>
          <w:rStyle w:val="Strong"/>
          <w:iCs/>
          <w:noProof/>
        </w:rPr>
        <w:t>tions</w:t>
      </w:r>
      <w:r>
        <w:rPr>
          <w:rStyle w:val="Strong"/>
          <w:b w:val="0"/>
          <w:iCs/>
          <w:noProof/>
        </w:rPr>
        <w:t xml:space="preserve"> only as the simplified approach does not account for any (rather probable) changes in the losses assumed and in the upstream emissions; moreover, it is implicitly assumed that emissions of non-CO</w:t>
      </w:r>
      <w:r>
        <w:rPr>
          <w:rStyle w:val="Strong"/>
          <w:b w:val="0"/>
          <w:iCs/>
          <w:noProof/>
          <w:vertAlign w:val="subscript"/>
        </w:rPr>
        <w:t>2</w:t>
      </w:r>
      <w:r>
        <w:rPr>
          <w:rStyle w:val="Strong"/>
          <w:b w:val="0"/>
          <w:iCs/>
          <w:noProof/>
        </w:rPr>
        <w:t xml:space="preserve"> GHG decrease proportionally to that of CO</w:t>
      </w:r>
      <w:r>
        <w:rPr>
          <w:rStyle w:val="Strong"/>
          <w:b w:val="0"/>
          <w:iCs/>
          <w:noProof/>
          <w:vertAlign w:val="subscript"/>
        </w:rPr>
        <w:t>2</w:t>
      </w:r>
      <w:r>
        <w:rPr>
          <w:rStyle w:val="Strong"/>
          <w:b w:val="0"/>
          <w:iCs/>
          <w:noProof/>
        </w:rPr>
        <w:t>.</w:t>
      </w:r>
    </w:p>
    <w:p w:rsidR="00B231CB" w:rsidRDefault="00C71431">
      <w:pPr>
        <w:pStyle w:val="JRCFigurecaption"/>
        <w:keepNext/>
        <w:spacing w:before="0"/>
        <w:jc w:val="both"/>
        <w:rPr>
          <w:rFonts w:ascii="Times New Roman" w:hAnsi="Times New Roman"/>
          <w:b/>
          <w:noProof/>
          <w:sz w:val="24"/>
          <w:szCs w:val="24"/>
        </w:rPr>
      </w:pPr>
      <w:bookmarkStart w:id="100" w:name="_Ref494033611"/>
      <w:r>
        <w:rPr>
          <w:rFonts w:ascii="Times New Roman" w:hAnsi="Times New Roman"/>
          <w:b/>
          <w:noProof/>
          <w:sz w:val="24"/>
          <w:szCs w:val="24"/>
        </w:rPr>
        <w:t xml:space="preserve">Figure </w:t>
      </w:r>
      <w:r>
        <w:rPr>
          <w:rFonts w:ascii="Times New Roman" w:hAnsi="Times New Roman"/>
          <w:b/>
          <w:noProof/>
          <w:sz w:val="24"/>
          <w:szCs w:val="24"/>
        </w:rPr>
        <w:fldChar w:fldCharType="begin"/>
      </w:r>
      <w:r>
        <w:rPr>
          <w:rFonts w:ascii="Times New Roman" w:hAnsi="Times New Roman"/>
          <w:b/>
          <w:noProof/>
          <w:sz w:val="24"/>
          <w:szCs w:val="24"/>
        </w:rPr>
        <w:instrText xml:space="preserve"> S</w:instrText>
      </w:r>
      <w:r>
        <w:rPr>
          <w:rFonts w:ascii="Times New Roman" w:hAnsi="Times New Roman"/>
          <w:b/>
          <w:noProof/>
          <w:sz w:val="24"/>
          <w:szCs w:val="24"/>
        </w:rPr>
        <w:instrText xml:space="preserve">EQ Figure \* ARABIC </w:instrText>
      </w:r>
      <w:r>
        <w:rPr>
          <w:rFonts w:ascii="Times New Roman" w:hAnsi="Times New Roman"/>
          <w:b/>
          <w:noProof/>
          <w:sz w:val="24"/>
          <w:szCs w:val="24"/>
        </w:rPr>
        <w:fldChar w:fldCharType="separate"/>
      </w:r>
      <w:r>
        <w:rPr>
          <w:rFonts w:ascii="Times New Roman" w:hAnsi="Times New Roman"/>
          <w:b/>
          <w:noProof/>
          <w:sz w:val="24"/>
          <w:szCs w:val="24"/>
        </w:rPr>
        <w:t>10</w:t>
      </w:r>
      <w:r>
        <w:rPr>
          <w:rFonts w:ascii="Times New Roman" w:hAnsi="Times New Roman"/>
          <w:b/>
          <w:noProof/>
          <w:sz w:val="24"/>
          <w:szCs w:val="24"/>
        </w:rPr>
        <w:fldChar w:fldCharType="end"/>
      </w:r>
      <w:bookmarkEnd w:id="100"/>
      <w:r>
        <w:rPr>
          <w:rFonts w:ascii="Times New Roman" w:hAnsi="Times New Roman"/>
          <w:b/>
          <w:noProof/>
          <w:sz w:val="24"/>
          <w:szCs w:val="24"/>
        </w:rPr>
        <w:t xml:space="preserve">: WTT GHG emissions of the EU electricity consumed at the high, medium and low voltage level in 2013, 2020 and 2030 </w:t>
      </w:r>
    </w:p>
    <w:p w:rsidR="00B231CB" w:rsidRDefault="00C71431">
      <w:pPr>
        <w:jc w:val="center"/>
        <w:rPr>
          <w:noProof/>
        </w:rPr>
      </w:pPr>
      <w:r>
        <w:rPr>
          <w:noProof/>
          <w:lang w:eastAsia="en-GB"/>
        </w:rPr>
        <w:drawing>
          <wp:inline distT="0" distB="0" distL="0" distR="0" wp14:anchorId="5D7E48C9" wp14:editId="50BB3D8E">
            <wp:extent cx="4536000" cy="2969024"/>
            <wp:effectExtent l="0" t="0" r="0" b="31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36000" cy="2969024"/>
                    </a:xfrm>
                    <a:prstGeom prst="rect">
                      <a:avLst/>
                    </a:prstGeom>
                    <a:noFill/>
                  </pic:spPr>
                </pic:pic>
              </a:graphicData>
            </a:graphic>
          </wp:inline>
        </w:drawing>
      </w:r>
    </w:p>
    <w:p w:rsidR="00B231CB" w:rsidRDefault="00C71431">
      <w:pPr>
        <w:pStyle w:val="JRCFiguresource"/>
        <w:rPr>
          <w:rFonts w:ascii="Times New Roman" w:hAnsi="Times New Roman"/>
          <w:i/>
          <w:noProof/>
          <w:sz w:val="20"/>
        </w:rPr>
      </w:pPr>
      <w:r>
        <w:rPr>
          <w:rFonts w:ascii="Times New Roman" w:hAnsi="Times New Roman"/>
          <w:i/>
          <w:noProof/>
          <w:sz w:val="20"/>
        </w:rPr>
        <w:t>Source: 2013 data from Moro and Lonza (2017); 2020/2030 estimates derived by applying trends of the direct CO</w:t>
      </w:r>
      <w:r>
        <w:rPr>
          <w:rFonts w:ascii="Times New Roman" w:hAnsi="Times New Roman"/>
          <w:i/>
          <w:noProof/>
          <w:sz w:val="20"/>
          <w:vertAlign w:val="subscript"/>
        </w:rPr>
        <w:t>2</w:t>
      </w:r>
      <w:r>
        <w:rPr>
          <w:rFonts w:ascii="Times New Roman" w:hAnsi="Times New Roman"/>
          <w:i/>
          <w:noProof/>
          <w:sz w:val="20"/>
        </w:rPr>
        <w:t xml:space="preserve"> emission intensity from PRIMES EUCO30 scenario on the WTT emissions reported in Moro and Lonza</w:t>
      </w:r>
    </w:p>
    <w:p w:rsidR="00B231CB" w:rsidRDefault="00C71431">
      <w:pPr>
        <w:pStyle w:val="Heading4"/>
        <w:rPr>
          <w:noProof/>
        </w:rPr>
      </w:pPr>
      <w:bookmarkStart w:id="101" w:name="_Ref489027403"/>
      <w:r>
        <w:rPr>
          <w:noProof/>
        </w:rPr>
        <w:t>Tank-to-wheel analysis</w:t>
      </w:r>
    </w:p>
    <w:p w:rsidR="00B231CB" w:rsidRDefault="00C71431">
      <w:pPr>
        <w:spacing w:after="120"/>
        <w:rPr>
          <w:noProof/>
          <w:szCs w:val="24"/>
        </w:rPr>
      </w:pPr>
      <w:r>
        <w:rPr>
          <w:noProof/>
          <w:szCs w:val="24"/>
        </w:rPr>
        <w:t xml:space="preserve">The Tank-to-wheel analysis in this sub-section is based on 'real world' energy consumption figures as used elsewhere in the Impact </w:t>
      </w:r>
      <w:r>
        <w:rPr>
          <w:noProof/>
          <w:szCs w:val="24"/>
        </w:rPr>
        <w:t>Assessment. As an illustrative example, the energy consumption of a representative vehicle of the 'lower-medium' category has been considered.</w:t>
      </w:r>
    </w:p>
    <w:p w:rsidR="00B231CB" w:rsidRDefault="00C71431">
      <w:pPr>
        <w:spacing w:after="120"/>
        <w:rPr>
          <w:noProof/>
          <w:szCs w:val="24"/>
        </w:rPr>
      </w:pPr>
      <w:r>
        <w:rPr>
          <w:noProof/>
          <w:szCs w:val="24"/>
        </w:rPr>
        <w:t xml:space="preserve">The specific energy consumption of various vehicle types for the years 2025 and 2030 is displayed in </w:t>
      </w:r>
      <w:r>
        <w:rPr>
          <w:noProof/>
          <w:szCs w:val="24"/>
        </w:rPr>
        <w:fldChar w:fldCharType="begin"/>
      </w:r>
      <w:r>
        <w:rPr>
          <w:noProof/>
          <w:szCs w:val="24"/>
        </w:rPr>
        <w:instrText xml:space="preserve"> REF _Ref494</w:instrText>
      </w:r>
      <w:r>
        <w:rPr>
          <w:noProof/>
          <w:szCs w:val="24"/>
        </w:rPr>
        <w:instrText xml:space="preserve">034060 \h  \* MERGEFORMAT </w:instrText>
      </w:r>
      <w:r>
        <w:rPr>
          <w:noProof/>
          <w:szCs w:val="24"/>
        </w:rPr>
      </w:r>
      <w:r>
        <w:rPr>
          <w:noProof/>
          <w:szCs w:val="24"/>
        </w:rPr>
        <w:fldChar w:fldCharType="separate"/>
      </w:r>
      <w:r>
        <w:rPr>
          <w:noProof/>
          <w:szCs w:val="24"/>
        </w:rPr>
        <w:t>Figure 11</w:t>
      </w:r>
      <w:r>
        <w:rPr>
          <w:noProof/>
          <w:szCs w:val="24"/>
        </w:rPr>
        <w:fldChar w:fldCharType="end"/>
      </w:r>
      <w:r>
        <w:rPr>
          <w:noProof/>
          <w:szCs w:val="24"/>
        </w:rPr>
        <w:t xml:space="preserve"> for three different policy options regarding the EU-wide fleet CO</w:t>
      </w:r>
      <w:r>
        <w:rPr>
          <w:noProof/>
          <w:szCs w:val="24"/>
          <w:vertAlign w:val="subscript"/>
        </w:rPr>
        <w:t>2</w:t>
      </w:r>
      <w:r>
        <w:rPr>
          <w:noProof/>
          <w:szCs w:val="24"/>
        </w:rPr>
        <w:t xml:space="preserve"> target level (TLC20, TLC30, TLC40).</w:t>
      </w:r>
    </w:p>
    <w:p w:rsidR="00B231CB" w:rsidRDefault="00C71431">
      <w:pPr>
        <w:spacing w:after="120"/>
        <w:rPr>
          <w:noProof/>
          <w:szCs w:val="24"/>
        </w:rPr>
      </w:pPr>
      <w:r>
        <w:rPr>
          <w:noProof/>
          <w:szCs w:val="24"/>
        </w:rPr>
        <w:t>On the basis of the specific fuel consumption, the</w:t>
      </w:r>
      <w:r>
        <w:rPr>
          <w:noProof/>
          <w:szCs w:val="24"/>
        </w:rPr>
        <w:t xml:space="preserve"> TTW (exhaust) CO</w:t>
      </w:r>
      <w:r>
        <w:rPr>
          <w:noProof/>
          <w:szCs w:val="24"/>
          <w:vertAlign w:val="subscript"/>
        </w:rPr>
        <w:t>2eq</w:t>
      </w:r>
      <w:r>
        <w:rPr>
          <w:noProof/>
          <w:szCs w:val="24"/>
        </w:rPr>
        <w:t>-emissions are calculated through the fuel specific CO</w:t>
      </w:r>
      <w:r>
        <w:rPr>
          <w:noProof/>
          <w:szCs w:val="24"/>
          <w:vertAlign w:val="subscript"/>
        </w:rPr>
        <w:t>2</w:t>
      </w:r>
      <w:r>
        <w:rPr>
          <w:noProof/>
          <w:szCs w:val="24"/>
        </w:rPr>
        <w:t xml:space="preserve"> emission factors used in the Impact Assessment. CH</w:t>
      </w:r>
      <w:r>
        <w:rPr>
          <w:noProof/>
          <w:szCs w:val="24"/>
          <w:vertAlign w:val="subscript"/>
        </w:rPr>
        <w:t>4</w:t>
      </w:r>
      <w:r>
        <w:rPr>
          <w:noProof/>
          <w:szCs w:val="24"/>
        </w:rPr>
        <w:t xml:space="preserve"> and N</w:t>
      </w:r>
      <w:r>
        <w:rPr>
          <w:noProof/>
          <w:szCs w:val="24"/>
          <w:vertAlign w:val="subscript"/>
        </w:rPr>
        <w:t>2</w:t>
      </w:r>
      <w:r>
        <w:rPr>
          <w:noProof/>
          <w:szCs w:val="24"/>
        </w:rPr>
        <w:t>O emissions are taken from the JEC (2014) assessment that considers the EURO6 limits for 2020+ vehicle configurations; the</w:t>
      </w:r>
      <w:r>
        <w:rPr>
          <w:noProof/>
          <w:szCs w:val="24"/>
        </w:rPr>
        <w:t>y are left unchanged between 2020 and 2030.</w:t>
      </w:r>
    </w:p>
    <w:p w:rsidR="00B231CB" w:rsidRDefault="00C71431">
      <w:pPr>
        <w:keepNext/>
        <w:spacing w:after="120"/>
        <w:rPr>
          <w:b/>
          <w:noProof/>
          <w:szCs w:val="24"/>
        </w:rPr>
      </w:pPr>
      <w:bookmarkStart w:id="102" w:name="_Ref494034060"/>
      <w:r>
        <w:rPr>
          <w:b/>
          <w:noProof/>
          <w:szCs w:val="24"/>
        </w:rPr>
        <w:t xml:space="preserve">Figure </w:t>
      </w:r>
      <w:r>
        <w:rPr>
          <w:b/>
          <w:noProof/>
          <w:szCs w:val="24"/>
        </w:rPr>
        <w:fldChar w:fldCharType="begin"/>
      </w:r>
      <w:r>
        <w:rPr>
          <w:b/>
          <w:noProof/>
          <w:szCs w:val="24"/>
        </w:rPr>
        <w:instrText xml:space="preserve"> SEQ Figure \* ARABIC </w:instrText>
      </w:r>
      <w:r>
        <w:rPr>
          <w:b/>
          <w:noProof/>
          <w:szCs w:val="24"/>
        </w:rPr>
        <w:fldChar w:fldCharType="separate"/>
      </w:r>
      <w:r>
        <w:rPr>
          <w:b/>
          <w:noProof/>
          <w:szCs w:val="24"/>
        </w:rPr>
        <w:t>11</w:t>
      </w:r>
      <w:r>
        <w:rPr>
          <w:b/>
          <w:noProof/>
          <w:szCs w:val="24"/>
        </w:rPr>
        <w:fldChar w:fldCharType="end"/>
      </w:r>
      <w:bookmarkEnd w:id="102"/>
      <w:r>
        <w:rPr>
          <w:b/>
          <w:noProof/>
          <w:szCs w:val="24"/>
        </w:rPr>
        <w:t>: Specific energy consumption of different passenger car configurations (lower-medium segment) in 2025 and 2030 under different EU-wide CO</w:t>
      </w:r>
      <w:r>
        <w:rPr>
          <w:b/>
          <w:noProof/>
          <w:szCs w:val="24"/>
          <w:vertAlign w:val="subscript"/>
        </w:rPr>
        <w:t>2</w:t>
      </w:r>
      <w:r>
        <w:rPr>
          <w:b/>
          <w:noProof/>
          <w:szCs w:val="24"/>
        </w:rPr>
        <w:t xml:space="preserve"> target options as defined in this Impa</w:t>
      </w:r>
      <w:r>
        <w:rPr>
          <w:b/>
          <w:noProof/>
          <w:szCs w:val="24"/>
        </w:rPr>
        <w:t xml:space="preserve">ct Assessment </w:t>
      </w:r>
    </w:p>
    <w:p w:rsidR="00B231CB" w:rsidRDefault="00C71431">
      <w:pPr>
        <w:jc w:val="center"/>
        <w:rPr>
          <w:noProof/>
        </w:rPr>
      </w:pPr>
      <w:r>
        <w:rPr>
          <w:noProof/>
          <w:szCs w:val="24"/>
          <w:lang w:eastAsia="en-GB"/>
        </w:rPr>
        <w:drawing>
          <wp:inline distT="0" distB="0" distL="0" distR="0" wp14:anchorId="3A355810" wp14:editId="2B8031BC">
            <wp:extent cx="4176000" cy="27670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34">
                      <a:extLst>
                        <a:ext uri="{28A0092B-C50C-407E-A947-70E740481C1C}">
                          <a14:useLocalDpi xmlns:a14="http://schemas.microsoft.com/office/drawing/2010/main" val="0"/>
                        </a:ext>
                      </a:extLst>
                    </a:blip>
                    <a:srcRect l="8641" t="13553" r="7751" b="12580"/>
                    <a:stretch/>
                  </pic:blipFill>
                  <pic:spPr bwMode="auto">
                    <a:xfrm>
                      <a:off x="0" y="0"/>
                      <a:ext cx="4176000" cy="276707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000BD8E" wp14:editId="6774DCA1">
            <wp:extent cx="4176000" cy="27438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35">
                      <a:extLst>
                        <a:ext uri="{28A0092B-C50C-407E-A947-70E740481C1C}">
                          <a14:useLocalDpi xmlns:a14="http://schemas.microsoft.com/office/drawing/2010/main" val="0"/>
                        </a:ext>
                      </a:extLst>
                    </a:blip>
                    <a:srcRect l="8639" t="13724" r="7625" b="12918"/>
                    <a:stretch/>
                  </pic:blipFill>
                  <pic:spPr bwMode="auto">
                    <a:xfrm>
                      <a:off x="0" y="0"/>
                      <a:ext cx="4176000" cy="274386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94109D9" wp14:editId="1F2378E4">
            <wp:extent cx="4176000" cy="27458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rotWithShape="1">
                    <a:blip r:embed="rId36">
                      <a:extLst>
                        <a:ext uri="{28A0092B-C50C-407E-A947-70E740481C1C}">
                          <a14:useLocalDpi xmlns:a14="http://schemas.microsoft.com/office/drawing/2010/main" val="0"/>
                        </a:ext>
                      </a:extLst>
                    </a:blip>
                    <a:srcRect l="8767" t="13723" r="7750" b="13088"/>
                    <a:stretch/>
                  </pic:blipFill>
                  <pic:spPr bwMode="auto">
                    <a:xfrm>
                      <a:off x="0" y="0"/>
                      <a:ext cx="4176000" cy="2745866"/>
                    </a:xfrm>
                    <a:prstGeom prst="rect">
                      <a:avLst/>
                    </a:prstGeom>
                    <a:ln>
                      <a:noFill/>
                    </a:ln>
                    <a:extLst>
                      <a:ext uri="{53640926-AAD7-44D8-BBD7-CCE9431645EC}">
                        <a14:shadowObscured xmlns:a14="http://schemas.microsoft.com/office/drawing/2010/main"/>
                      </a:ext>
                    </a:extLst>
                  </pic:spPr>
                </pic:pic>
              </a:graphicData>
            </a:graphic>
          </wp:inline>
        </w:drawing>
      </w:r>
    </w:p>
    <w:bookmarkEnd w:id="101"/>
    <w:p w:rsidR="00B231CB" w:rsidRDefault="00C71431">
      <w:pPr>
        <w:pStyle w:val="Heading4"/>
        <w:rPr>
          <w:noProof/>
        </w:rPr>
      </w:pPr>
      <w:r>
        <w:rPr>
          <w:noProof/>
        </w:rPr>
        <w:t xml:space="preserve">Well-to-Wheel analysis </w:t>
      </w:r>
    </w:p>
    <w:p w:rsidR="00B231CB" w:rsidRDefault="00C71431">
      <w:pPr>
        <w:spacing w:after="120"/>
        <w:rPr>
          <w:noProof/>
          <w:szCs w:val="24"/>
        </w:rPr>
      </w:pPr>
      <w:r>
        <w:rPr>
          <w:noProof/>
          <w:szCs w:val="24"/>
        </w:rPr>
        <w:t xml:space="preserve">This section brings the information from the previous sections together for a selected number of vehicle types, providing the GHG emission </w:t>
      </w:r>
      <w:r>
        <w:rPr>
          <w:noProof/>
          <w:szCs w:val="24"/>
          <w:lang w:eastAsia="en-GB"/>
        </w:rPr>
        <w:t>balances</w:t>
      </w:r>
      <w:r>
        <w:rPr>
          <w:noProof/>
          <w:szCs w:val="24"/>
        </w:rPr>
        <w:t xml:space="preserve"> that occur from a Well-toWheel (WTW) perspective.</w:t>
      </w:r>
    </w:p>
    <w:p w:rsidR="00B231CB" w:rsidRDefault="00C71431">
      <w:pPr>
        <w:spacing w:after="120"/>
        <w:rPr>
          <w:noProof/>
          <w:szCs w:val="24"/>
        </w:rPr>
      </w:pPr>
      <w:r>
        <w:rPr>
          <w:noProof/>
          <w:szCs w:val="24"/>
        </w:rPr>
        <w:fldChar w:fldCharType="begin"/>
      </w:r>
      <w:r>
        <w:rPr>
          <w:noProof/>
          <w:szCs w:val="24"/>
        </w:rPr>
        <w:instrText xml:space="preserve"> REF _Ref494036008 \h  \* MERGEFORMAT </w:instrText>
      </w:r>
      <w:r>
        <w:rPr>
          <w:noProof/>
          <w:szCs w:val="24"/>
        </w:rPr>
      </w:r>
      <w:r>
        <w:rPr>
          <w:noProof/>
          <w:szCs w:val="24"/>
        </w:rPr>
        <w:fldChar w:fldCharType="separate"/>
      </w:r>
      <w:r>
        <w:rPr>
          <w:noProof/>
        </w:rPr>
        <w:t>Figure 12</w:t>
      </w:r>
      <w:r>
        <w:rPr>
          <w:noProof/>
          <w:szCs w:val="24"/>
        </w:rPr>
        <w:fldChar w:fldCharType="end"/>
      </w:r>
      <w:r>
        <w:rPr>
          <w:noProof/>
          <w:szCs w:val="24"/>
        </w:rPr>
        <w:t xml:space="preserve"> summarises the WTW GHG emissions for 2025 and 2030 passenger car configurations for three CO</w:t>
      </w:r>
      <w:r>
        <w:rPr>
          <w:noProof/>
          <w:szCs w:val="24"/>
          <w:vertAlign w:val="subscript"/>
        </w:rPr>
        <w:t>2</w:t>
      </w:r>
      <w:r>
        <w:rPr>
          <w:noProof/>
          <w:szCs w:val="24"/>
        </w:rPr>
        <w:t xml:space="preserve"> target level options (TLC20, TLC30 and TLC40). </w:t>
      </w:r>
      <w:r>
        <w:rPr>
          <w:noProof/>
          <w:szCs w:val="24"/>
        </w:rPr>
        <w:t>The WTW emissions are disaggregated into those that relate to the use of the vehicle (TTW) and those that stem from the fuel production (WTT), the latter being split into fossil fuel production and electricity generation and distribution. Note that for ele</w:t>
      </w:r>
      <w:r>
        <w:rPr>
          <w:noProof/>
          <w:szCs w:val="24"/>
        </w:rPr>
        <w:t xml:space="preserve">ctric vehicles, charging at the low voltage level was assumed. </w:t>
      </w:r>
    </w:p>
    <w:p w:rsidR="00B231CB" w:rsidRDefault="00C71431">
      <w:pPr>
        <w:spacing w:after="120"/>
        <w:rPr>
          <w:noProof/>
        </w:rPr>
      </w:pPr>
      <w:r>
        <w:rPr>
          <w:noProof/>
        </w:rPr>
        <w:t>The figure illustrates the difference between ICEV and EV in terms of WTW emissions, but also clearly shows the importance of the evolution of the electricity generation mix, which increases w</w:t>
      </w:r>
      <w:r>
        <w:rPr>
          <w:noProof/>
        </w:rPr>
        <w:t xml:space="preserve">ith higher degrees of electrification up to the extreme of the battery-electric vehicles. </w:t>
      </w:r>
    </w:p>
    <w:p w:rsidR="00B231CB" w:rsidRDefault="00B231CB">
      <w:pPr>
        <w:spacing w:after="120"/>
        <w:rPr>
          <w:bCs/>
          <w:iCs/>
          <w:noProof/>
          <w:szCs w:val="24"/>
          <w:lang w:eastAsia="en-GB"/>
        </w:rPr>
      </w:pPr>
    </w:p>
    <w:p w:rsidR="00B231CB" w:rsidRDefault="00C71431">
      <w:pPr>
        <w:pStyle w:val="Caption"/>
        <w:keepNext/>
        <w:jc w:val="both"/>
        <w:rPr>
          <w:rFonts w:eastAsia="Times New Roman"/>
          <w:noProof/>
          <w:szCs w:val="24"/>
        </w:rPr>
      </w:pPr>
      <w:bookmarkStart w:id="103" w:name="_Ref494036008"/>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103"/>
      <w:r>
        <w:rPr>
          <w:noProof/>
        </w:rPr>
        <w:t>:</w:t>
      </w:r>
      <w:r>
        <w:rPr>
          <w:noProof/>
          <w:szCs w:val="24"/>
        </w:rPr>
        <w:t xml:space="preserve"> </w:t>
      </w:r>
      <w:r>
        <w:rPr>
          <w:rFonts w:eastAsia="Times New Roman"/>
          <w:noProof/>
          <w:szCs w:val="24"/>
        </w:rPr>
        <w:t xml:space="preserve">WTW GHG emissions from different </w:t>
      </w:r>
      <w:r>
        <w:rPr>
          <w:noProof/>
          <w:szCs w:val="24"/>
        </w:rPr>
        <w:t xml:space="preserve">passenger car </w:t>
      </w:r>
      <w:r>
        <w:rPr>
          <w:rFonts w:eastAsia="Times New Roman"/>
          <w:noProof/>
          <w:szCs w:val="24"/>
        </w:rPr>
        <w:t xml:space="preserve">configurations (lower-medium size segment) in 2025 and 2030 </w:t>
      </w:r>
      <w:r>
        <w:rPr>
          <w:noProof/>
          <w:szCs w:val="24"/>
        </w:rPr>
        <w:t>under different EU-wi</w:t>
      </w:r>
      <w:r>
        <w:rPr>
          <w:noProof/>
          <w:szCs w:val="24"/>
        </w:rPr>
        <w:t>de CO</w:t>
      </w:r>
      <w:r>
        <w:rPr>
          <w:noProof/>
          <w:szCs w:val="24"/>
          <w:vertAlign w:val="subscript"/>
        </w:rPr>
        <w:t>2</w:t>
      </w:r>
      <w:r>
        <w:rPr>
          <w:noProof/>
          <w:szCs w:val="24"/>
        </w:rPr>
        <w:t xml:space="preserve"> target options as defined in this Impact Assessment </w:t>
      </w:r>
    </w:p>
    <w:p w:rsidR="00B231CB" w:rsidRDefault="00C71431">
      <w:pPr>
        <w:jc w:val="center"/>
        <w:rPr>
          <w:noProof/>
        </w:rPr>
      </w:pPr>
      <w:r>
        <w:rPr>
          <w:noProof/>
          <w:lang w:eastAsia="en-GB"/>
        </w:rPr>
        <w:drawing>
          <wp:inline distT="0" distB="0" distL="0" distR="0" wp14:anchorId="2EE17901" wp14:editId="1AEBDB5B">
            <wp:extent cx="4154400" cy="273600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37">
                      <a:extLst>
                        <a:ext uri="{28A0092B-C50C-407E-A947-70E740481C1C}">
                          <a14:useLocalDpi xmlns:a14="http://schemas.microsoft.com/office/drawing/2010/main" val="0"/>
                        </a:ext>
                      </a:extLst>
                    </a:blip>
                    <a:srcRect l="8430" t="9256" r="7768" b="17135"/>
                    <a:stretch/>
                  </pic:blipFill>
                  <pic:spPr bwMode="auto">
                    <a:xfrm>
                      <a:off x="0" y="0"/>
                      <a:ext cx="4154400" cy="2736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54AEA2E" wp14:editId="0606C26D">
            <wp:extent cx="4144960" cy="2736000"/>
            <wp:effectExtent l="0" t="0" r="825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38">
                      <a:extLst>
                        <a:ext uri="{28A0092B-C50C-407E-A947-70E740481C1C}">
                          <a14:useLocalDpi xmlns:a14="http://schemas.microsoft.com/office/drawing/2010/main" val="0"/>
                        </a:ext>
                      </a:extLst>
                    </a:blip>
                    <a:srcRect l="9256" t="11461" r="7108" b="14930"/>
                    <a:stretch/>
                  </pic:blipFill>
                  <pic:spPr bwMode="auto">
                    <a:xfrm>
                      <a:off x="0" y="0"/>
                      <a:ext cx="4144960" cy="2736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C5D8FA9" wp14:editId="3C5D2BD9">
            <wp:extent cx="4214914" cy="273600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rotWithShape="1">
                    <a:blip r:embed="rId39">
                      <a:extLst>
                        <a:ext uri="{28A0092B-C50C-407E-A947-70E740481C1C}">
                          <a14:useLocalDpi xmlns:a14="http://schemas.microsoft.com/office/drawing/2010/main" val="0"/>
                        </a:ext>
                      </a:extLst>
                    </a:blip>
                    <a:srcRect l="8265" t="10359" r="6942" b="16253"/>
                    <a:stretch/>
                  </pic:blipFill>
                  <pic:spPr bwMode="auto">
                    <a:xfrm>
                      <a:off x="0" y="0"/>
                      <a:ext cx="4214914" cy="2736000"/>
                    </a:xfrm>
                    <a:prstGeom prst="rect">
                      <a:avLst/>
                    </a:prstGeom>
                    <a:ln>
                      <a:noFill/>
                    </a:ln>
                    <a:extLst>
                      <a:ext uri="{53640926-AAD7-44D8-BBD7-CCE9431645EC}">
                        <a14:shadowObscured xmlns:a14="http://schemas.microsoft.com/office/drawing/2010/main"/>
                      </a:ext>
                    </a:extLst>
                  </pic:spPr>
                </pic:pic>
              </a:graphicData>
            </a:graphic>
          </wp:inline>
        </w:drawing>
      </w:r>
    </w:p>
    <w:p w:rsidR="00B231CB" w:rsidRDefault="00C71431">
      <w:pPr>
        <w:pStyle w:val="Heading3"/>
        <w:rPr>
          <w:noProof/>
        </w:rPr>
      </w:pPr>
      <w:bookmarkStart w:id="104" w:name="_Toc490243259"/>
      <w:bookmarkStart w:id="105" w:name="_Toc490836225"/>
      <w:bookmarkStart w:id="106" w:name="_Toc490836593"/>
      <w:bookmarkStart w:id="107" w:name="_Toc490836846"/>
      <w:bookmarkStart w:id="108" w:name="_Toc491183392"/>
      <w:bookmarkStart w:id="109" w:name="_Toc491284005"/>
      <w:bookmarkStart w:id="110" w:name="_Toc491285089"/>
      <w:bookmarkStart w:id="111" w:name="_Toc491286175"/>
      <w:bookmarkStart w:id="112" w:name="_Toc496688638"/>
      <w:bookmarkEnd w:id="104"/>
      <w:bookmarkEnd w:id="105"/>
      <w:bookmarkEnd w:id="106"/>
      <w:bookmarkEnd w:id="107"/>
      <w:bookmarkEnd w:id="108"/>
      <w:bookmarkEnd w:id="109"/>
      <w:bookmarkEnd w:id="110"/>
      <w:bookmarkEnd w:id="111"/>
      <w:r>
        <w:rPr>
          <w:noProof/>
        </w:rPr>
        <w:t>Considerations regarding embedded emissions</w:t>
      </w:r>
      <w:bookmarkEnd w:id="112"/>
    </w:p>
    <w:p w:rsidR="00B231CB" w:rsidRDefault="00C71431">
      <w:pPr>
        <w:spacing w:after="120"/>
        <w:rPr>
          <w:noProof/>
        </w:rPr>
      </w:pPr>
      <w:r>
        <w:rPr>
          <w:noProof/>
        </w:rPr>
        <w:t>This sub-section provides some insight into existing LCA-studies. It should be noted however that these studies may not be directly comparable among</w:t>
      </w:r>
      <w:r>
        <w:rPr>
          <w:noProof/>
        </w:rPr>
        <w:t xml:space="preserve"> them. Moreover, they are not necessarily consistent with the WTW analysis shown in the previous section </w:t>
      </w:r>
    </w:p>
    <w:p w:rsidR="00B231CB" w:rsidRDefault="00C71431">
      <w:pPr>
        <w:spacing w:after="120"/>
        <w:rPr>
          <w:noProof/>
        </w:rPr>
      </w:pPr>
      <w:r>
        <w:rPr>
          <w:noProof/>
        </w:rPr>
        <w:t>The interest in LCAs for objects as complex as automotive products has existed for many years but has only become more rigorous and robust in recent y</w:t>
      </w:r>
      <w:r>
        <w:rPr>
          <w:noProof/>
        </w:rPr>
        <w:t xml:space="preserve">ears. Manufacturers have been routinely producing LCAs of their products or key subassemblies for the past five years or so. More and more published material is available, but in spite of standardisation efforts e.g. under the ISO 14040 standard, there is </w:t>
      </w:r>
      <w:r>
        <w:rPr>
          <w:noProof/>
        </w:rPr>
        <w:t xml:space="preserve">still broad variability in the methodologies, assumptions and results available, mainly due to a scarcity in (verifiable) supply chain data and this often makes comparison impossible. </w:t>
      </w:r>
    </w:p>
    <w:p w:rsidR="00B231CB" w:rsidRDefault="00C71431">
      <w:pPr>
        <w:spacing w:after="120"/>
        <w:rPr>
          <w:noProof/>
        </w:rPr>
      </w:pPr>
      <w:r>
        <w:rPr>
          <w:noProof/>
        </w:rPr>
        <w:t xml:space="preserve">In parallel several academic studies (and reviews) have been published </w:t>
      </w:r>
      <w:r>
        <w:rPr>
          <w:noProof/>
        </w:rPr>
        <w:t>also comparing LCAs of conventional vs. alternative vehicles. These are described in more detail below.</w:t>
      </w:r>
    </w:p>
    <w:p w:rsidR="00B231CB" w:rsidRDefault="00C71431">
      <w:pPr>
        <w:spacing w:after="120"/>
        <w:rPr>
          <w:noProof/>
        </w:rPr>
      </w:pPr>
      <w:r>
        <w:rPr>
          <w:noProof/>
        </w:rPr>
        <w:t>While the purpose of most LCA/lifecycle impact assessment (LCIA)</w:t>
      </w:r>
      <w:r>
        <w:rPr>
          <w:rStyle w:val="FootnoteReference"/>
          <w:noProof/>
        </w:rPr>
        <w:footnoteReference w:id="73"/>
      </w:r>
      <w:r>
        <w:rPr>
          <w:noProof/>
        </w:rPr>
        <w:t xml:space="preserve"> studies is to enable comparison of alternative vehicle options across a range of diffe</w:t>
      </w:r>
      <w:r>
        <w:rPr>
          <w:noProof/>
        </w:rPr>
        <w:t>rent impact categories, we focus on climate impacts captured as normalised greenhouse gas (GHG) emissions. Note, however, that the conclusions may change when looking into other impact categories (e.g. acidification potential).</w:t>
      </w:r>
    </w:p>
    <w:p w:rsidR="00B231CB" w:rsidRDefault="00C71431">
      <w:pPr>
        <w:pStyle w:val="Heading4"/>
        <w:rPr>
          <w:noProof/>
        </w:rPr>
      </w:pPr>
      <w:r>
        <w:rPr>
          <w:noProof/>
        </w:rPr>
        <w:t>Relevance of embedded GHG em</w:t>
      </w:r>
      <w:r>
        <w:rPr>
          <w:noProof/>
        </w:rPr>
        <w:t>issions</w:t>
      </w:r>
    </w:p>
    <w:p w:rsidR="00B231CB" w:rsidRDefault="00C71431">
      <w:pPr>
        <w:spacing w:after="120"/>
        <w:rPr>
          <w:rStyle w:val="Strong"/>
          <w:b w:val="0"/>
          <w:iCs/>
          <w:noProof/>
          <w:szCs w:val="24"/>
        </w:rPr>
      </w:pPr>
      <w:r>
        <w:rPr>
          <w:noProof/>
          <w:szCs w:val="24"/>
        </w:rPr>
        <w:t>Nordelöf et al. (2014)</w:t>
      </w:r>
      <w:r>
        <w:rPr>
          <w:i/>
          <w:noProof/>
          <w:szCs w:val="24"/>
          <w:vertAlign w:val="superscript"/>
          <w:lang w:val="fr-FR"/>
        </w:rPr>
        <w:footnoteReference w:id="74"/>
      </w:r>
      <w:r>
        <w:rPr>
          <w:noProof/>
          <w:szCs w:val="24"/>
        </w:rPr>
        <w:t xml:space="preserve"> analysed 79 papers on different types of LCA studies of electrified vehicles with the aim of identifying some robust conclusions on the environmental impacts of these vehicles. Despite the divergence in the analyses, some robust trends could be identified</w:t>
      </w:r>
      <w:r>
        <w:rPr>
          <w:noProof/>
          <w:szCs w:val="24"/>
        </w:rPr>
        <w:t>, noting that the predominant focus is on the current situation and not the future perspective. All studies agree that the WTW-related part currently dominates the total emissions of GHG both for ICEVs and for EVs. However, in relative terms, embedded emis</w:t>
      </w:r>
      <w:r>
        <w:rPr>
          <w:noProof/>
          <w:szCs w:val="24"/>
        </w:rPr>
        <w:t>sions are of larger importance for electric vehicles both because of the drastic reductions in WTW emissions when using low-carbon electricity, and the need for components like the battery whose production is generally associated with elevated emissions.</w:t>
      </w:r>
      <w:r>
        <w:rPr>
          <w:rStyle w:val="FootnoteReference"/>
          <w:noProof/>
          <w:szCs w:val="24"/>
        </w:rPr>
        <w:footnoteReference w:id="75"/>
      </w:r>
      <w:r>
        <w:rPr>
          <w:noProof/>
          <w:szCs w:val="24"/>
        </w:rPr>
        <w:t xml:space="preserve"> </w:t>
      </w:r>
      <w:r>
        <w:rPr>
          <w:noProof/>
          <w:szCs w:val="24"/>
        </w:rPr>
        <w:t xml:space="preserve"> </w:t>
      </w:r>
    </w:p>
    <w:p w:rsidR="00B231CB" w:rsidRDefault="00C71431">
      <w:pPr>
        <w:spacing w:after="120"/>
        <w:rPr>
          <w:noProof/>
          <w:szCs w:val="24"/>
        </w:rPr>
      </w:pPr>
      <w:r>
        <w:rPr>
          <w:noProof/>
          <w:szCs w:val="24"/>
        </w:rPr>
        <w:t>This is confirmed by a study supported by the German Federal Ministry of Transport and Digital Infrastructure</w:t>
      </w:r>
      <w:r>
        <w:rPr>
          <w:rStyle w:val="FootnoteReference"/>
          <w:noProof/>
          <w:szCs w:val="24"/>
        </w:rPr>
        <w:footnoteReference w:id="76"/>
      </w:r>
      <w:r>
        <w:rPr>
          <w:noProof/>
          <w:szCs w:val="24"/>
        </w:rPr>
        <w:t>, which bases the energy consumption values of EVs on the measured actual consumption of 735 vehicles that were operated in Germany with a total</w:t>
      </w:r>
      <w:r>
        <w:rPr>
          <w:noProof/>
          <w:szCs w:val="24"/>
        </w:rPr>
        <w:t xml:space="preserve"> mileage of 5.2 million km until 2015, primarily in fleets but also by private owners</w:t>
      </w:r>
      <w:r>
        <w:rPr>
          <w:rStyle w:val="FootnoteReference"/>
          <w:noProof/>
          <w:szCs w:val="24"/>
        </w:rPr>
        <w:footnoteReference w:id="77"/>
      </w:r>
      <w:r>
        <w:rPr>
          <w:noProof/>
          <w:szCs w:val="24"/>
        </w:rPr>
        <w:t xml:space="preserve">. </w:t>
      </w:r>
      <w:r>
        <w:rPr>
          <w:noProof/>
          <w:szCs w:val="24"/>
        </w:rPr>
        <w:fldChar w:fldCharType="begin"/>
      </w:r>
      <w:r>
        <w:rPr>
          <w:noProof/>
          <w:szCs w:val="24"/>
        </w:rPr>
        <w:instrText xml:space="preserve"> REF _Ref494118016 \h  \* MERGEFORMAT </w:instrText>
      </w:r>
      <w:r>
        <w:rPr>
          <w:noProof/>
          <w:szCs w:val="24"/>
        </w:rPr>
      </w:r>
      <w:r>
        <w:rPr>
          <w:noProof/>
          <w:szCs w:val="24"/>
        </w:rPr>
        <w:fldChar w:fldCharType="separate"/>
      </w:r>
      <w:r>
        <w:rPr>
          <w:noProof/>
          <w:szCs w:val="24"/>
        </w:rPr>
        <w:t>Figure 13</w:t>
      </w:r>
      <w:r>
        <w:rPr>
          <w:noProof/>
          <w:szCs w:val="24"/>
        </w:rPr>
        <w:fldChar w:fldCharType="end"/>
      </w:r>
      <w:r>
        <w:rPr>
          <w:noProof/>
          <w:szCs w:val="24"/>
        </w:rPr>
        <w:t>, which is taken from this report, confirms that the e</w:t>
      </w:r>
      <w:r>
        <w:rPr>
          <w:noProof/>
          <w:szCs w:val="24"/>
        </w:rPr>
        <w:t>quipment-related emissions become relatively more important in the case of EVs, in particular in the case of reduced WTW emissions due to a green electricity mix.</w:t>
      </w:r>
    </w:p>
    <w:p w:rsidR="00B231CB" w:rsidRDefault="00C71431">
      <w:pPr>
        <w:spacing w:after="120"/>
        <w:rPr>
          <w:rStyle w:val="Strong"/>
          <w:iCs/>
          <w:noProof/>
          <w:szCs w:val="24"/>
        </w:rPr>
      </w:pPr>
      <w:bookmarkStart w:id="113" w:name="_Ref494118016"/>
      <w:r>
        <w:rPr>
          <w:b/>
          <w:noProof/>
          <w:szCs w:val="24"/>
        </w:rPr>
        <w:t xml:space="preserve">Figure </w:t>
      </w:r>
      <w:r>
        <w:rPr>
          <w:b/>
          <w:noProof/>
          <w:szCs w:val="24"/>
        </w:rPr>
        <w:fldChar w:fldCharType="begin"/>
      </w:r>
      <w:r>
        <w:rPr>
          <w:b/>
          <w:noProof/>
          <w:szCs w:val="24"/>
        </w:rPr>
        <w:instrText xml:space="preserve"> SEQ Figure \* ARABIC </w:instrText>
      </w:r>
      <w:r>
        <w:rPr>
          <w:b/>
          <w:noProof/>
          <w:szCs w:val="24"/>
        </w:rPr>
        <w:fldChar w:fldCharType="separate"/>
      </w:r>
      <w:r>
        <w:rPr>
          <w:b/>
          <w:noProof/>
          <w:szCs w:val="24"/>
        </w:rPr>
        <w:t>13</w:t>
      </w:r>
      <w:r>
        <w:rPr>
          <w:b/>
          <w:noProof/>
          <w:szCs w:val="24"/>
        </w:rPr>
        <w:fldChar w:fldCharType="end"/>
      </w:r>
      <w:bookmarkEnd w:id="113"/>
      <w:r>
        <w:rPr>
          <w:b/>
          <w:noProof/>
          <w:szCs w:val="24"/>
        </w:rPr>
        <w:t>: Life-cycle GHG emissions of different vehicles (compact c</w:t>
      </w:r>
      <w:r>
        <w:rPr>
          <w:b/>
          <w:noProof/>
          <w:szCs w:val="24"/>
        </w:rPr>
        <w:t>lass; Germany)</w:t>
      </w:r>
    </w:p>
    <w:p w:rsidR="00B231CB" w:rsidRDefault="00C71431">
      <w:pPr>
        <w:spacing w:after="120"/>
        <w:jc w:val="center"/>
        <w:rPr>
          <w:noProof/>
          <w:szCs w:val="24"/>
        </w:rPr>
      </w:pPr>
      <w:r>
        <w:rPr>
          <w:noProof/>
          <w:szCs w:val="24"/>
          <w:lang w:eastAsia="en-GB"/>
        </w:rPr>
        <w:drawing>
          <wp:inline distT="0" distB="0" distL="0" distR="0" wp14:anchorId="5D67FB6C" wp14:editId="79254508">
            <wp:extent cx="3420000" cy="3155144"/>
            <wp:effectExtent l="0" t="0" r="9525"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0000" cy="3155144"/>
                    </a:xfrm>
                    <a:prstGeom prst="rect">
                      <a:avLst/>
                    </a:prstGeom>
                    <a:noFill/>
                  </pic:spPr>
                </pic:pic>
              </a:graphicData>
            </a:graphic>
          </wp:inline>
        </w:drawing>
      </w:r>
    </w:p>
    <w:p w:rsidR="00B231CB" w:rsidRDefault="00C71431">
      <w:pPr>
        <w:jc w:val="center"/>
        <w:rPr>
          <w:i/>
          <w:noProof/>
          <w:sz w:val="20"/>
          <w:szCs w:val="24"/>
        </w:rPr>
      </w:pPr>
      <w:r>
        <w:rPr>
          <w:i/>
          <w:noProof/>
          <w:sz w:val="20"/>
          <w:szCs w:val="24"/>
        </w:rPr>
        <w:t>Source: adapted from BMVI, 2016; lifetime mileage assumed is 150,000 km</w:t>
      </w:r>
    </w:p>
    <w:p w:rsidR="00B231CB" w:rsidRDefault="00C71431">
      <w:pPr>
        <w:spacing w:after="120"/>
        <w:rPr>
          <w:noProof/>
          <w:szCs w:val="24"/>
        </w:rPr>
      </w:pPr>
      <w:r>
        <w:rPr>
          <w:noProof/>
          <w:szCs w:val="24"/>
        </w:rPr>
        <w:t>The largest source of equipment related emissions of BEV is the glider (Moro and Helmers, 2017, quoting Habermacher, 2011</w:t>
      </w:r>
      <w:r>
        <w:rPr>
          <w:rStyle w:val="FootnoteReference"/>
          <w:noProof/>
          <w:szCs w:val="24"/>
        </w:rPr>
        <w:footnoteReference w:id="78"/>
      </w:r>
      <w:r>
        <w:rPr>
          <w:noProof/>
          <w:szCs w:val="24"/>
        </w:rPr>
        <w:t>), followed by the battery and the drivetrain</w:t>
      </w:r>
      <w:r>
        <w:rPr>
          <w:noProof/>
          <w:szCs w:val="24"/>
        </w:rPr>
        <w:t>. Considering that the glider is – to a large extent – common to the different vehicle type options, the manufacturing of the battery including the related production of the materials is the single most important source of GHG emissions, even though differ</w:t>
      </w:r>
      <w:r>
        <w:rPr>
          <w:noProof/>
          <w:szCs w:val="24"/>
        </w:rPr>
        <w:t xml:space="preserve">ent studies vary concerning its share in the total emissions. </w:t>
      </w:r>
    </w:p>
    <w:p w:rsidR="00B231CB" w:rsidRDefault="00C71431">
      <w:pPr>
        <w:pStyle w:val="Heading4"/>
        <w:rPr>
          <w:noProof/>
          <w:lang w:val="da-DK"/>
        </w:rPr>
      </w:pPr>
      <w:r>
        <w:rPr>
          <w:noProof/>
        </w:rPr>
        <w:t>Battery related GHG emissions</w:t>
      </w:r>
    </w:p>
    <w:p w:rsidR="00B231CB" w:rsidRDefault="00C71431">
      <w:pPr>
        <w:spacing w:after="120"/>
        <w:rPr>
          <w:b/>
          <w:noProof/>
          <w:szCs w:val="24"/>
        </w:rPr>
      </w:pPr>
      <w:r>
        <w:rPr>
          <w:noProof/>
          <w:szCs w:val="24"/>
        </w:rPr>
        <w:t>IVL recently performed an extensive literature review concerning the energy consumption and GHG emissions of vehicle battery production</w:t>
      </w:r>
      <w:r>
        <w:rPr>
          <w:rStyle w:val="FootnoteReference"/>
          <w:noProof/>
          <w:szCs w:val="24"/>
        </w:rPr>
        <w:footnoteReference w:id="79"/>
      </w:r>
      <w:r>
        <w:rPr>
          <w:noProof/>
          <w:szCs w:val="24"/>
        </w:rPr>
        <w:t xml:space="preserve">. They found that the results among studies differ significantly, as shown in </w:t>
      </w:r>
      <w:r>
        <w:rPr>
          <w:noProof/>
          <w:szCs w:val="24"/>
        </w:rPr>
        <w:fldChar w:fldCharType="begin"/>
      </w:r>
      <w:r>
        <w:rPr>
          <w:noProof/>
          <w:szCs w:val="24"/>
        </w:rPr>
        <w:instrText xml:space="preserve"> REF _Ref494039232 \h  \* MERGEFORMAT </w:instrText>
      </w:r>
      <w:r>
        <w:rPr>
          <w:noProof/>
          <w:szCs w:val="24"/>
        </w:rPr>
      </w:r>
      <w:r>
        <w:rPr>
          <w:noProof/>
          <w:szCs w:val="24"/>
        </w:rPr>
        <w:fldChar w:fldCharType="separate"/>
      </w:r>
      <w:r>
        <w:rPr>
          <w:noProof/>
          <w:szCs w:val="24"/>
        </w:rPr>
        <w:t>Figure 14</w:t>
      </w:r>
      <w:r>
        <w:rPr>
          <w:noProof/>
          <w:szCs w:val="24"/>
        </w:rPr>
        <w:fldChar w:fldCharType="end"/>
      </w:r>
      <w:r>
        <w:rPr>
          <w:noProof/>
          <w:szCs w:val="24"/>
        </w:rPr>
        <w:t xml:space="preserve">. </w:t>
      </w:r>
    </w:p>
    <w:p w:rsidR="00B231CB" w:rsidRDefault="00C71431">
      <w:pPr>
        <w:pStyle w:val="JRCFiguresource"/>
        <w:keepNext/>
        <w:spacing w:after="120"/>
        <w:jc w:val="both"/>
        <w:rPr>
          <w:rFonts w:ascii="Times New Roman" w:hAnsi="Times New Roman"/>
          <w:b/>
          <w:noProof/>
          <w:sz w:val="24"/>
          <w:szCs w:val="24"/>
        </w:rPr>
      </w:pPr>
      <w:bookmarkStart w:id="114" w:name="_Ref494038947"/>
      <w:bookmarkStart w:id="115" w:name="_Ref494039232"/>
      <w:r>
        <w:rPr>
          <w:rFonts w:ascii="Times New Roman" w:hAnsi="Times New Roman"/>
          <w:b/>
          <w:noProof/>
          <w:sz w:val="24"/>
          <w:szCs w:val="24"/>
        </w:rPr>
        <w:t>Figure</w:t>
      </w:r>
      <w:bookmarkEnd w:id="114"/>
      <w:r>
        <w:rPr>
          <w:rFonts w:ascii="Times New Roman" w:hAnsi="Times New Roman"/>
          <w:b/>
          <w:noProof/>
          <w:sz w:val="24"/>
          <w:szCs w:val="24"/>
        </w:rPr>
        <w:t xml:space="preserve"> </w:t>
      </w:r>
      <w:r>
        <w:rPr>
          <w:rFonts w:ascii="Times New Roman" w:hAnsi="Times New Roman"/>
          <w:b/>
          <w:noProof/>
          <w:sz w:val="24"/>
          <w:szCs w:val="24"/>
        </w:rPr>
        <w:fldChar w:fldCharType="begin"/>
      </w:r>
      <w:r>
        <w:rPr>
          <w:rFonts w:ascii="Times New Roman" w:hAnsi="Times New Roman"/>
          <w:b/>
          <w:noProof/>
          <w:sz w:val="24"/>
          <w:szCs w:val="24"/>
        </w:rPr>
        <w:instrText xml:space="preserve"> SEQ Figure \* ARABIC </w:instrText>
      </w:r>
      <w:r>
        <w:rPr>
          <w:rFonts w:ascii="Times New Roman" w:hAnsi="Times New Roman"/>
          <w:b/>
          <w:noProof/>
          <w:sz w:val="24"/>
          <w:szCs w:val="24"/>
        </w:rPr>
        <w:fldChar w:fldCharType="separate"/>
      </w:r>
      <w:r>
        <w:rPr>
          <w:rFonts w:ascii="Times New Roman" w:hAnsi="Times New Roman"/>
          <w:b/>
          <w:noProof/>
          <w:sz w:val="24"/>
          <w:szCs w:val="24"/>
        </w:rPr>
        <w:t>14</w:t>
      </w:r>
      <w:r>
        <w:rPr>
          <w:rFonts w:ascii="Times New Roman" w:hAnsi="Times New Roman"/>
          <w:b/>
          <w:noProof/>
          <w:sz w:val="24"/>
          <w:szCs w:val="24"/>
        </w:rPr>
        <w:fldChar w:fldCharType="end"/>
      </w:r>
      <w:bookmarkEnd w:id="115"/>
      <w:r>
        <w:rPr>
          <w:rFonts w:ascii="Times New Roman" w:hAnsi="Times New Roman"/>
          <w:b/>
          <w:noProof/>
          <w:sz w:val="24"/>
          <w:szCs w:val="24"/>
        </w:rPr>
        <w:t>: Calculated greenhouse gas</w:t>
      </w:r>
      <w:r>
        <w:rPr>
          <w:rFonts w:ascii="Times New Roman" w:hAnsi="Times New Roman"/>
          <w:b/>
          <w:noProof/>
          <w:sz w:val="24"/>
          <w:szCs w:val="24"/>
        </w:rPr>
        <w:t xml:space="preserve"> emissions for different LCA studies of lithium-ion batteries for light vehicles for the chemistries NMC, NMC/LMO, LFP and LMO</w:t>
      </w:r>
    </w:p>
    <w:p w:rsidR="00B231CB" w:rsidRDefault="00C71431">
      <w:pPr>
        <w:spacing w:after="120"/>
        <w:jc w:val="center"/>
        <w:rPr>
          <w:i/>
          <w:noProof/>
          <w:sz w:val="20"/>
          <w:szCs w:val="18"/>
        </w:rPr>
      </w:pPr>
      <w:r>
        <w:rPr>
          <w:noProof/>
          <w:lang w:eastAsia="en-GB"/>
        </w:rPr>
        <w:drawing>
          <wp:inline distT="0" distB="0" distL="0" distR="0" wp14:anchorId="25D64C34" wp14:editId="293629F4">
            <wp:extent cx="5724525" cy="27051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4178"/>
                    <a:stretch/>
                  </pic:blipFill>
                  <pic:spPr bwMode="auto">
                    <a:xfrm>
                      <a:off x="0" y="0"/>
                      <a:ext cx="5731510" cy="2708401"/>
                    </a:xfrm>
                    <a:prstGeom prst="rect">
                      <a:avLst/>
                    </a:prstGeom>
                    <a:noFill/>
                    <a:ln>
                      <a:noFill/>
                    </a:ln>
                    <a:extLst>
                      <a:ext uri="{53640926-AAD7-44D8-BBD7-CCE9431645EC}">
                        <a14:shadowObscured xmlns:a14="http://schemas.microsoft.com/office/drawing/2010/main"/>
                      </a:ext>
                    </a:extLst>
                  </pic:spPr>
                </pic:pic>
              </a:graphicData>
            </a:graphic>
          </wp:inline>
        </w:drawing>
      </w:r>
      <w:r>
        <w:rPr>
          <w:i/>
          <w:noProof/>
          <w:sz w:val="20"/>
          <w:szCs w:val="18"/>
        </w:rPr>
        <w:t>Notes:</w:t>
      </w:r>
      <w:r>
        <w:rPr>
          <w:noProof/>
          <w:sz w:val="32"/>
        </w:rPr>
        <w:t xml:space="preserve"> </w:t>
      </w:r>
      <w:r>
        <w:rPr>
          <w:i/>
          <w:noProof/>
          <w:sz w:val="20"/>
          <w:szCs w:val="18"/>
        </w:rPr>
        <w:t>T-D=Top-down approach for manufacturing and B-U is Bottom-Up approach.</w:t>
      </w:r>
    </w:p>
    <w:p w:rsidR="00B231CB" w:rsidRDefault="00C71431">
      <w:pPr>
        <w:spacing w:after="120"/>
        <w:jc w:val="center"/>
        <w:rPr>
          <w:noProof/>
          <w:sz w:val="20"/>
          <w:szCs w:val="18"/>
          <w:lang w:val="da-DK"/>
        </w:rPr>
      </w:pPr>
      <w:r>
        <w:rPr>
          <w:i/>
          <w:noProof/>
          <w:sz w:val="20"/>
          <w:szCs w:val="18"/>
          <w:lang w:val="da-DK"/>
        </w:rPr>
        <w:t>Source: IVL, 2017</w:t>
      </w:r>
    </w:p>
    <w:p w:rsidR="00B231CB" w:rsidRDefault="00C71431">
      <w:pPr>
        <w:rPr>
          <w:noProof/>
        </w:rPr>
      </w:pPr>
      <w:r>
        <w:rPr>
          <w:noProof/>
          <w:lang w:val="da-DK"/>
        </w:rPr>
        <w:t xml:space="preserve">Ellingsen et al. </w:t>
      </w:r>
      <w:r>
        <w:rPr>
          <w:noProof/>
        </w:rPr>
        <w:t>(2017) also car</w:t>
      </w:r>
      <w:r>
        <w:rPr>
          <w:noProof/>
        </w:rPr>
        <w:t>ried out a review to assess the key assumptions and differences between 16 studies examining the lifecycle GHG emissions of batteries. They report up to a tenfold difference in the arising overall GHG emissions, as illustrated below regarding production em</w:t>
      </w:r>
      <w:r>
        <w:rPr>
          <w:noProof/>
        </w:rPr>
        <w:t xml:space="preserve">issions (cradle to gate): </w:t>
      </w:r>
    </w:p>
    <w:p w:rsidR="00B231CB" w:rsidRDefault="00C71431">
      <w:pPr>
        <w:pStyle w:val="JRCFiguresource"/>
        <w:keepNext/>
        <w:spacing w:after="0"/>
        <w:jc w:val="left"/>
        <w:rPr>
          <w:rFonts w:ascii="Times New Roman" w:hAnsi="Times New Roman"/>
          <w:b/>
          <w:noProof/>
          <w:sz w:val="24"/>
        </w:rPr>
      </w:pPr>
      <w:r>
        <w:rPr>
          <w:rFonts w:ascii="Times New Roman" w:hAnsi="Times New Roman"/>
          <w:b/>
          <w:noProof/>
          <w:sz w:val="24"/>
        </w:rPr>
        <w:t xml:space="preserve">Figure </w:t>
      </w:r>
      <w:r>
        <w:rPr>
          <w:rFonts w:ascii="Times New Roman" w:hAnsi="Times New Roman"/>
          <w:b/>
          <w:noProof/>
          <w:sz w:val="24"/>
        </w:rPr>
        <w:fldChar w:fldCharType="begin"/>
      </w:r>
      <w:r>
        <w:rPr>
          <w:rFonts w:ascii="Times New Roman" w:hAnsi="Times New Roman"/>
          <w:b/>
          <w:noProof/>
          <w:sz w:val="24"/>
        </w:rPr>
        <w:instrText xml:space="preserve"> SEQ Figure \* ARABIC </w:instrText>
      </w:r>
      <w:r>
        <w:rPr>
          <w:rFonts w:ascii="Times New Roman" w:hAnsi="Times New Roman"/>
          <w:b/>
          <w:noProof/>
          <w:sz w:val="24"/>
        </w:rPr>
        <w:fldChar w:fldCharType="separate"/>
      </w:r>
      <w:r>
        <w:rPr>
          <w:rFonts w:ascii="Times New Roman" w:hAnsi="Times New Roman"/>
          <w:b/>
          <w:noProof/>
          <w:sz w:val="24"/>
        </w:rPr>
        <w:t>15</w:t>
      </w:r>
      <w:r>
        <w:rPr>
          <w:rFonts w:ascii="Times New Roman" w:hAnsi="Times New Roman"/>
          <w:b/>
          <w:noProof/>
          <w:sz w:val="24"/>
        </w:rPr>
        <w:fldChar w:fldCharType="end"/>
      </w:r>
      <w:r>
        <w:rPr>
          <w:rFonts w:ascii="Times New Roman" w:hAnsi="Times New Roman"/>
          <w:b/>
          <w:noProof/>
          <w:sz w:val="24"/>
        </w:rPr>
        <w:t>. Greenhouse gas emissions of battery production for different chemistries</w:t>
      </w:r>
    </w:p>
    <w:p w:rsidR="00B231CB" w:rsidRDefault="00C71431">
      <w:pPr>
        <w:jc w:val="center"/>
        <w:rPr>
          <w:rFonts w:ascii="Verdana" w:hAnsi="Verdana"/>
          <w:i/>
          <w:noProof/>
          <w:sz w:val="16"/>
          <w:szCs w:val="18"/>
        </w:rPr>
      </w:pPr>
      <w:r>
        <w:rPr>
          <w:noProof/>
          <w:lang w:eastAsia="en-GB"/>
        </w:rPr>
        <w:t xml:space="preserve"> </w:t>
      </w:r>
      <w:r>
        <w:rPr>
          <w:noProof/>
          <w:lang w:eastAsia="en-GB"/>
        </w:rPr>
        <w:drawing>
          <wp:inline distT="0" distB="0" distL="0" distR="0" wp14:anchorId="1DF43EEC" wp14:editId="3E1EAFF0">
            <wp:extent cx="5760720" cy="3620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3620760"/>
                    </a:xfrm>
                    <a:prstGeom prst="rect">
                      <a:avLst/>
                    </a:prstGeom>
                  </pic:spPr>
                </pic:pic>
              </a:graphicData>
            </a:graphic>
          </wp:inline>
        </w:drawing>
      </w:r>
    </w:p>
    <w:p w:rsidR="00B231CB" w:rsidRDefault="00C71431">
      <w:pPr>
        <w:jc w:val="center"/>
        <w:rPr>
          <w:noProof/>
          <w:sz w:val="20"/>
          <w:szCs w:val="18"/>
        </w:rPr>
      </w:pPr>
      <w:r>
        <w:rPr>
          <w:i/>
          <w:noProof/>
          <w:sz w:val="20"/>
          <w:szCs w:val="18"/>
        </w:rPr>
        <w:t>Source:</w:t>
      </w:r>
      <w:r>
        <w:rPr>
          <w:noProof/>
          <w:sz w:val="32"/>
        </w:rPr>
        <w:t xml:space="preserve"> </w:t>
      </w:r>
      <w:r>
        <w:rPr>
          <w:i/>
          <w:noProof/>
          <w:sz w:val="20"/>
          <w:szCs w:val="18"/>
        </w:rPr>
        <w:t xml:space="preserve">Ellingsen et al. (2017) </w:t>
      </w:r>
      <w:r>
        <w:rPr>
          <w:noProof/>
          <w:sz w:val="32"/>
        </w:rPr>
        <w:t xml:space="preserve"> </w:t>
      </w:r>
    </w:p>
    <w:p w:rsidR="00B231CB" w:rsidRDefault="00C71431">
      <w:pPr>
        <w:spacing w:after="120"/>
        <w:rPr>
          <w:noProof/>
        </w:rPr>
      </w:pPr>
      <w:r>
        <w:rPr>
          <w:noProof/>
        </w:rPr>
        <w:t xml:space="preserve">Both studies find that such differences can be explained by the different methodologies followed in the various papers, for example </w:t>
      </w:r>
    </w:p>
    <w:p w:rsidR="00B231CB" w:rsidRDefault="00C71431">
      <w:pPr>
        <w:pStyle w:val="ListParagraph"/>
        <w:numPr>
          <w:ilvl w:val="0"/>
          <w:numId w:val="34"/>
        </w:numPr>
        <w:spacing w:after="120"/>
        <w:contextualSpacing w:val="0"/>
        <w:jc w:val="left"/>
        <w:rPr>
          <w:b/>
          <w:noProof/>
        </w:rPr>
      </w:pPr>
      <w:r>
        <w:rPr>
          <w:noProof/>
        </w:rPr>
        <w:t>top down versus bottom-up</w:t>
      </w:r>
      <w:r>
        <w:rPr>
          <w:rStyle w:val="FootnoteReference"/>
          <w:noProof/>
        </w:rPr>
        <w:footnoteReference w:id="80"/>
      </w:r>
      <w:r>
        <w:rPr>
          <w:noProof/>
        </w:rPr>
        <w:t xml:space="preserve"> approaches, </w:t>
      </w:r>
    </w:p>
    <w:p w:rsidR="00B231CB" w:rsidRDefault="00C71431">
      <w:pPr>
        <w:pStyle w:val="ListParagraph"/>
        <w:numPr>
          <w:ilvl w:val="0"/>
          <w:numId w:val="34"/>
        </w:numPr>
        <w:spacing w:after="120"/>
        <w:contextualSpacing w:val="0"/>
        <w:jc w:val="left"/>
        <w:rPr>
          <w:b/>
          <w:noProof/>
        </w:rPr>
      </w:pPr>
      <w:r>
        <w:rPr>
          <w:noProof/>
        </w:rPr>
        <w:t xml:space="preserve">the scope (e.g. cooling system included) </w:t>
      </w:r>
    </w:p>
    <w:p w:rsidR="00B231CB" w:rsidRDefault="00C71431">
      <w:pPr>
        <w:pStyle w:val="ListParagraph"/>
        <w:numPr>
          <w:ilvl w:val="0"/>
          <w:numId w:val="34"/>
        </w:numPr>
        <w:spacing w:after="120"/>
        <w:contextualSpacing w:val="0"/>
        <w:jc w:val="left"/>
        <w:rPr>
          <w:b/>
          <w:noProof/>
        </w:rPr>
      </w:pPr>
      <w:r>
        <w:rPr>
          <w:noProof/>
        </w:rPr>
        <w:t>assumptions on production process steps a</w:t>
      </w:r>
      <w:r>
        <w:rPr>
          <w:noProof/>
        </w:rPr>
        <w:t>nd the energy sources used</w:t>
      </w:r>
    </w:p>
    <w:p w:rsidR="00B231CB" w:rsidRDefault="00C71431">
      <w:pPr>
        <w:pStyle w:val="ListParagraph"/>
        <w:numPr>
          <w:ilvl w:val="0"/>
          <w:numId w:val="34"/>
        </w:numPr>
        <w:spacing w:after="120"/>
        <w:contextualSpacing w:val="0"/>
        <w:jc w:val="left"/>
        <w:rPr>
          <w:b/>
          <w:noProof/>
        </w:rPr>
      </w:pPr>
      <w:r>
        <w:rPr>
          <w:noProof/>
        </w:rPr>
        <w:t>assumptions on cell materials and battery components</w:t>
      </w:r>
    </w:p>
    <w:p w:rsidR="00B231CB" w:rsidRDefault="00C71431">
      <w:pPr>
        <w:pStyle w:val="ListParagraph"/>
        <w:numPr>
          <w:ilvl w:val="0"/>
          <w:numId w:val="34"/>
        </w:numPr>
        <w:spacing w:after="120"/>
        <w:contextualSpacing w:val="0"/>
        <w:jc w:val="left"/>
        <w:rPr>
          <w:b/>
          <w:noProof/>
        </w:rPr>
      </w:pPr>
      <w:r>
        <w:rPr>
          <w:noProof/>
        </w:rPr>
        <w:t>the availability of primary versus secondary data.</w:t>
      </w:r>
    </w:p>
    <w:p w:rsidR="00B231CB" w:rsidRDefault="00C71431">
      <w:pPr>
        <w:spacing w:after="120"/>
        <w:rPr>
          <w:noProof/>
        </w:rPr>
      </w:pPr>
      <w:r>
        <w:rPr>
          <w:noProof/>
        </w:rPr>
        <w:t>Very few studies assessed the ulterior lifecycle steps, i.e. use phase and end-of-life, for GHG impacts; however, these are e</w:t>
      </w:r>
      <w:r>
        <w:rPr>
          <w:noProof/>
        </w:rPr>
        <w:t>stimated to make a minor contribution to overall impacts. Overall, it is concluded (in line with Nordelöf et al., 2014)</w:t>
      </w:r>
      <w:r>
        <w:rPr>
          <w:noProof/>
          <w:vertAlign w:val="superscript"/>
          <w:lang w:val="fr-FR"/>
        </w:rPr>
        <w:footnoteReference w:id="81"/>
      </w:r>
      <w:r>
        <w:rPr>
          <w:noProof/>
        </w:rPr>
        <w:t xml:space="preserve"> that "most articles are non-transparent and there are usually information gaps in the goal and scope reporting" (IVL, 2017, p. 19).</w:t>
      </w:r>
    </w:p>
    <w:p w:rsidR="00B231CB" w:rsidRDefault="00C71431">
      <w:pPr>
        <w:rPr>
          <w:noProof/>
        </w:rPr>
      </w:pPr>
      <w:r>
        <w:rPr>
          <w:noProof/>
        </w:rPr>
        <w:t>Bat</w:t>
      </w:r>
      <w:r>
        <w:rPr>
          <w:noProof/>
        </w:rPr>
        <w:t>tery-production related GHG emissions seem to stem primarily from the battery (including cell) manufacturing, and only little from the mining and refining of the materials. In particular the production of the cathode requires large amounts of energy and is</w:t>
      </w:r>
      <w:r>
        <w:rPr>
          <w:noProof/>
        </w:rPr>
        <w:t xml:space="preserve"> therefore highly GHG emitting, followed by anode and electrolyte production. Since the largest part of the energy used in the battery production is in the form of electricity, its carbon intensity largely influences the battery-related GHG emissions. A su</w:t>
      </w:r>
      <w:r>
        <w:rPr>
          <w:noProof/>
        </w:rPr>
        <w:t xml:space="preserve">ccessful implementation of the EU's energy and climate objectives would therefore not only reduce the TTW-emissions of electric vehicles during their operation, but could further reduce the embedded emissions of the battery manufacturing process, assuming </w:t>
      </w:r>
      <w:r>
        <w:rPr>
          <w:noProof/>
        </w:rPr>
        <w:t xml:space="preserve">battery manufacturing takes place in the EU.  </w:t>
      </w:r>
    </w:p>
    <w:p w:rsidR="00B231CB" w:rsidRDefault="00B231CB">
      <w:pPr>
        <w:spacing w:after="200" w:line="276" w:lineRule="auto"/>
        <w:jc w:val="left"/>
        <w:rPr>
          <w:noProof/>
        </w:rPr>
      </w:pPr>
    </w:p>
    <w:p w:rsidR="00B231CB" w:rsidRDefault="00C71431">
      <w:pPr>
        <w:spacing w:after="200" w:line="276" w:lineRule="auto"/>
        <w:jc w:val="left"/>
        <w:rPr>
          <w:rFonts w:ascii="Times New Roman Bold" w:hAnsi="Times New Roman Bold"/>
          <w:b/>
          <w:noProof/>
          <w:szCs w:val="24"/>
          <w:lang w:eastAsia="en-GB"/>
        </w:rPr>
      </w:pPr>
      <w:r>
        <w:rPr>
          <w:noProof/>
        </w:rPr>
        <w:br w:type="page"/>
      </w:r>
    </w:p>
    <w:p w:rsidR="00B231CB" w:rsidRDefault="00C71431">
      <w:pPr>
        <w:pStyle w:val="Heading2"/>
        <w:rPr>
          <w:noProof/>
        </w:rPr>
      </w:pPr>
      <w:bookmarkStart w:id="116" w:name="_Ref491880540"/>
      <w:bookmarkStart w:id="117" w:name="_Ref491880796"/>
      <w:bookmarkStart w:id="118" w:name="_Ref491880807"/>
      <w:bookmarkStart w:id="119" w:name="_Ref491939009"/>
      <w:bookmarkStart w:id="120" w:name="_Toc492541588"/>
      <w:bookmarkStart w:id="121" w:name="_Toc496688639"/>
      <w:r>
        <w:rPr>
          <w:noProof/>
        </w:rPr>
        <w:t>Target levels for cars (TLC)</w:t>
      </w:r>
      <w:bookmarkEnd w:id="77"/>
      <w:bookmarkEnd w:id="78"/>
      <w:r>
        <w:rPr>
          <w:noProof/>
        </w:rPr>
        <w:t xml:space="preserve"> and vans (TLV)</w:t>
      </w:r>
      <w:bookmarkEnd w:id="116"/>
      <w:bookmarkEnd w:id="117"/>
      <w:bookmarkEnd w:id="118"/>
      <w:bookmarkEnd w:id="119"/>
      <w:bookmarkEnd w:id="120"/>
      <w:bookmarkEnd w:id="121"/>
    </w:p>
    <w:p w:rsidR="00B231CB" w:rsidRDefault="00C71431">
      <w:pPr>
        <w:pStyle w:val="Heading3"/>
        <w:rPr>
          <w:noProof/>
          <w:color w:val="000000" w:themeColor="text1"/>
        </w:rPr>
      </w:pPr>
      <w:bookmarkStart w:id="122" w:name="_Ref491940481"/>
      <w:bookmarkStart w:id="123" w:name="_Toc492541590"/>
      <w:bookmarkStart w:id="124" w:name="_Toc496688640"/>
      <w:r>
        <w:rPr>
          <w:noProof/>
          <w:color w:val="000000" w:themeColor="text1"/>
        </w:rPr>
        <w:t>Economic impacts</w:t>
      </w:r>
      <w:bookmarkEnd w:id="122"/>
      <w:bookmarkEnd w:id="123"/>
      <w:bookmarkEnd w:id="124"/>
    </w:p>
    <w:p w:rsidR="00B231CB" w:rsidRDefault="00C71431">
      <w:pPr>
        <w:rPr>
          <w:noProof/>
          <w:color w:val="000000" w:themeColor="text1"/>
          <w:lang w:val="en-US"/>
        </w:rPr>
      </w:pPr>
      <w:r>
        <w:rPr>
          <w:noProof/>
          <w:color w:val="000000" w:themeColor="text1"/>
        </w:rPr>
        <w:t xml:space="preserve">As explained in Section 6.1 of the Impact Assessment, the economic impacts for the </w:t>
      </w:r>
      <w:r>
        <w:rPr>
          <w:noProof/>
          <w:color w:val="000000" w:themeColor="text1"/>
          <w:lang w:val="en-US"/>
        </w:rPr>
        <w:t xml:space="preserve">"average" new vehicle were calculated using the cost output </w:t>
      </w:r>
      <w:r>
        <w:rPr>
          <w:noProof/>
          <w:color w:val="000000" w:themeColor="text1"/>
          <w:lang w:val="en-US"/>
        </w:rPr>
        <w:t>data of the PRIMES-TREMOVE model by averaging the contributions of the different size segments and powertrains, weighed according to their market penetration.</w:t>
      </w:r>
    </w:p>
    <w:p w:rsidR="00B231CB" w:rsidRDefault="00C71431">
      <w:pPr>
        <w:spacing w:after="120"/>
        <w:rPr>
          <w:noProof/>
          <w:color w:val="000000" w:themeColor="text1"/>
        </w:rPr>
      </w:pPr>
      <w:r>
        <w:rPr>
          <w:noProof/>
          <w:color w:val="000000" w:themeColor="text1"/>
        </w:rPr>
        <w:t>For this analysis, the following indicators have been used:</w:t>
      </w:r>
    </w:p>
    <w:p w:rsidR="00B231CB" w:rsidRDefault="00C71431">
      <w:pPr>
        <w:pStyle w:val="ListParagraph"/>
        <w:numPr>
          <w:ilvl w:val="0"/>
          <w:numId w:val="26"/>
        </w:numPr>
        <w:spacing w:after="120"/>
        <w:contextualSpacing w:val="0"/>
        <w:rPr>
          <w:noProof/>
          <w:color w:val="000000" w:themeColor="text1"/>
        </w:rPr>
      </w:pPr>
      <w:r>
        <w:rPr>
          <w:noProof/>
          <w:color w:val="000000" w:themeColor="text1"/>
        </w:rPr>
        <w:t xml:space="preserve">Net economic savings from a societal </w:t>
      </w:r>
      <w:r>
        <w:rPr>
          <w:noProof/>
          <w:color w:val="000000" w:themeColor="text1"/>
        </w:rPr>
        <w:t>perspective</w:t>
      </w:r>
    </w:p>
    <w:p w:rsidR="00B231CB" w:rsidRDefault="00C71431">
      <w:pPr>
        <w:spacing w:after="120"/>
        <w:ind w:left="360"/>
        <w:rPr>
          <w:noProof/>
          <w:color w:val="000000" w:themeColor="text1"/>
        </w:rPr>
      </w:pPr>
      <w:r>
        <w:rPr>
          <w:noProof/>
          <w:color w:val="000000" w:themeColor="text1"/>
        </w:rPr>
        <w:t xml:space="preserve">This parameter reflects the change in costs over the lifetime (15 years) of an "average" new vehicle without considering </w:t>
      </w:r>
      <w:r>
        <w:rPr>
          <w:noProof/>
          <w:color w:val="000000" w:themeColor="text1"/>
          <w:szCs w:val="24"/>
        </w:rPr>
        <w:t>taxes and using a discount rate of 4%.</w:t>
      </w:r>
    </w:p>
    <w:p w:rsidR="00B231CB" w:rsidRDefault="00C71431">
      <w:pPr>
        <w:pStyle w:val="ListParagraph"/>
        <w:numPr>
          <w:ilvl w:val="0"/>
          <w:numId w:val="26"/>
        </w:numPr>
        <w:spacing w:after="120"/>
        <w:contextualSpacing w:val="0"/>
        <w:rPr>
          <w:noProof/>
          <w:color w:val="000000" w:themeColor="text1"/>
        </w:rPr>
      </w:pPr>
      <w:r>
        <w:rPr>
          <w:noProof/>
          <w:color w:val="000000" w:themeColor="text1"/>
        </w:rPr>
        <w:t>Net savings from an end-user perspective, using two different indicators:</w:t>
      </w:r>
    </w:p>
    <w:p w:rsidR="00B231CB" w:rsidRDefault="00C71431">
      <w:pPr>
        <w:pStyle w:val="ListParagraph"/>
        <w:numPr>
          <w:ilvl w:val="1"/>
          <w:numId w:val="26"/>
        </w:numPr>
        <w:spacing w:after="120"/>
        <w:contextualSpacing w:val="0"/>
        <w:rPr>
          <w:noProof/>
          <w:color w:val="000000" w:themeColor="text1"/>
        </w:rPr>
      </w:pPr>
      <w:r>
        <w:rPr>
          <w:noProof/>
          <w:color w:val="000000" w:themeColor="text1"/>
        </w:rPr>
        <w:t>Total Cost</w:t>
      </w:r>
      <w:r>
        <w:rPr>
          <w:noProof/>
          <w:color w:val="000000" w:themeColor="text1"/>
        </w:rPr>
        <w:t xml:space="preserve"> of Ownership (TCO) over the vehicle lifetime</w:t>
      </w:r>
    </w:p>
    <w:p w:rsidR="00B231CB" w:rsidRDefault="00C71431">
      <w:pPr>
        <w:spacing w:after="120"/>
        <w:ind w:left="360"/>
        <w:rPr>
          <w:noProof/>
          <w:color w:val="000000" w:themeColor="text1"/>
        </w:rPr>
      </w:pPr>
      <w:r>
        <w:rPr>
          <w:noProof/>
          <w:color w:val="000000" w:themeColor="text1"/>
        </w:rPr>
        <w:t>This parameter reflects the change in costs over the lifetime (15 years) of an "average" new vehicle. In this case, given the end-user perspective, taxes are included and a discount rate of 11% (cars) or 9.5% (</w:t>
      </w:r>
      <w:r>
        <w:rPr>
          <w:noProof/>
          <w:color w:val="000000" w:themeColor="text1"/>
        </w:rPr>
        <w:t>vans)</w:t>
      </w:r>
      <w:r>
        <w:rPr>
          <w:rStyle w:val="FootnoteReference"/>
          <w:noProof/>
          <w:color w:val="000000" w:themeColor="text1"/>
        </w:rPr>
        <w:footnoteReference w:id="82"/>
      </w:r>
      <w:r>
        <w:rPr>
          <w:noProof/>
          <w:color w:val="000000" w:themeColor="text1"/>
        </w:rPr>
        <w:t xml:space="preserve"> is used.</w:t>
      </w:r>
    </w:p>
    <w:p w:rsidR="00B231CB" w:rsidRDefault="00C71431">
      <w:pPr>
        <w:pStyle w:val="ListParagraph"/>
        <w:numPr>
          <w:ilvl w:val="1"/>
          <w:numId w:val="26"/>
        </w:numPr>
        <w:spacing w:after="120"/>
        <w:contextualSpacing w:val="0"/>
        <w:rPr>
          <w:noProof/>
          <w:color w:val="000000" w:themeColor="text1"/>
        </w:rPr>
      </w:pPr>
      <w:r>
        <w:rPr>
          <w:noProof/>
          <w:color w:val="000000" w:themeColor="text1"/>
        </w:rPr>
        <w:t>TCO for the first user, i.e. net savings during the first five years after registration:</w:t>
      </w:r>
    </w:p>
    <w:p w:rsidR="00B231CB" w:rsidRDefault="00C71431">
      <w:pPr>
        <w:spacing w:after="120"/>
        <w:ind w:left="360"/>
        <w:rPr>
          <w:noProof/>
          <w:color w:val="000000" w:themeColor="text1"/>
        </w:rPr>
      </w:pPr>
      <w:r>
        <w:rPr>
          <w:noProof/>
          <w:color w:val="000000" w:themeColor="text1"/>
        </w:rPr>
        <w:t xml:space="preserve">This parameter reflects the change in costs, during the first five years of use (i.e. the average time the first buyer is using the vehicle). </w:t>
      </w:r>
      <w:r>
        <w:rPr>
          <w:noProof/>
          <w:color w:val="000000" w:themeColor="text1"/>
          <w:szCs w:val="24"/>
        </w:rPr>
        <w:t>Again</w:t>
      </w:r>
      <w:r>
        <w:rPr>
          <w:noProof/>
          <w:color w:val="000000" w:themeColor="text1"/>
        </w:rPr>
        <w:t>, ta</w:t>
      </w:r>
      <w:r>
        <w:rPr>
          <w:noProof/>
          <w:color w:val="000000" w:themeColor="text1"/>
        </w:rPr>
        <w:t xml:space="preserve">xes are included and a discount rate of 11% (cars) or 9.5% (vans) is used. The calculation also takes account of the residual value of the vehicle (and the technology added) with depreciation. </w:t>
      </w:r>
    </w:p>
    <w:p w:rsidR="00B231CB" w:rsidRDefault="00C71431">
      <w:pPr>
        <w:pStyle w:val="Heading4"/>
        <w:rPr>
          <w:noProof/>
        </w:rPr>
      </w:pPr>
      <w:bookmarkStart w:id="125" w:name="_Toc487211785"/>
      <w:bookmarkStart w:id="126" w:name="_Ref491162303"/>
      <w:bookmarkStart w:id="127" w:name="_Ref491163520"/>
      <w:bookmarkStart w:id="128" w:name="_Ref491444761"/>
      <w:bookmarkStart w:id="129" w:name="_Ref491940221"/>
      <w:r>
        <w:rPr>
          <w:noProof/>
        </w:rPr>
        <w:t>Passenger cars (TLC)</w:t>
      </w:r>
      <w:bookmarkEnd w:id="125"/>
      <w:bookmarkEnd w:id="126"/>
      <w:bookmarkEnd w:id="127"/>
      <w:bookmarkEnd w:id="128"/>
      <w:bookmarkEnd w:id="129"/>
      <w:r>
        <w:rPr>
          <w:noProof/>
        </w:rPr>
        <w:t xml:space="preserve"> </w:t>
      </w:r>
    </w:p>
    <w:p w:rsidR="00B231CB" w:rsidRDefault="00C71431">
      <w:pPr>
        <w:rPr>
          <w:noProof/>
          <w:color w:val="000000" w:themeColor="text1"/>
        </w:rPr>
      </w:pPr>
      <w:r>
        <w:rPr>
          <w:noProof/>
          <w:color w:val="000000" w:themeColor="text1"/>
        </w:rPr>
        <w:t>This Section of the Annex provides an ov</w:t>
      </w:r>
      <w:r>
        <w:rPr>
          <w:noProof/>
          <w:color w:val="000000" w:themeColor="text1"/>
        </w:rPr>
        <w:t>erview of the details of the calculations of the net savings and their components. The main results and the assessment are to be found in Section 6.3.2.2 of the Impact Assessment.</w:t>
      </w:r>
    </w:p>
    <w:p w:rsidR="00B231CB" w:rsidRDefault="00C71431">
      <w:pPr>
        <w:pStyle w:val="Heading5"/>
        <w:rPr>
          <w:noProof/>
          <w:color w:val="000000" w:themeColor="text1"/>
        </w:rPr>
      </w:pPr>
      <w:r>
        <w:rPr>
          <w:noProof/>
          <w:color w:val="000000" w:themeColor="text1"/>
        </w:rPr>
        <w:t xml:space="preserve">Net economic savings over the vehicle lifetime from a societal perspective </w:t>
      </w:r>
    </w:p>
    <w:p w:rsidR="00B231CB" w:rsidRDefault="00C71431">
      <w:pPr>
        <w:pStyle w:val="Caption"/>
        <w:spacing w:after="120"/>
        <w:jc w:val="both"/>
        <w:rPr>
          <w:b w:val="0"/>
          <w:noProof/>
          <w:color w:val="000000" w:themeColor="text1"/>
        </w:rPr>
      </w:pPr>
      <w:r>
        <w:rPr>
          <w:b w:val="0"/>
          <w:noProof/>
          <w:color w:val="000000" w:themeColor="text1"/>
        </w:rPr>
        <w:fldChar w:fldCharType="begin"/>
      </w:r>
      <w:r>
        <w:rPr>
          <w:b w:val="0"/>
          <w:noProof/>
          <w:color w:val="000000" w:themeColor="text1"/>
        </w:rPr>
        <w:instrText xml:space="preserve"> REF _Ref493267684 \h  \* MERGEFORMAT </w:instrText>
      </w:r>
      <w:r>
        <w:rPr>
          <w:b w:val="0"/>
          <w:noProof/>
          <w:color w:val="000000" w:themeColor="text1"/>
        </w:rPr>
      </w:r>
      <w:r>
        <w:rPr>
          <w:b w:val="0"/>
          <w:noProof/>
          <w:color w:val="000000" w:themeColor="text1"/>
        </w:rPr>
        <w:fldChar w:fldCharType="separate"/>
      </w:r>
      <w:r>
        <w:rPr>
          <w:b w:val="0"/>
          <w:noProof/>
          <w:color w:val="000000" w:themeColor="text1"/>
          <w:szCs w:val="24"/>
        </w:rPr>
        <w:t>Table 10</w:t>
      </w:r>
      <w:r>
        <w:rPr>
          <w:b w:val="0"/>
          <w:noProof/>
          <w:color w:val="000000" w:themeColor="text1"/>
        </w:rPr>
        <w:fldChar w:fldCharType="end"/>
      </w:r>
      <w:r>
        <w:rPr>
          <w:b w:val="0"/>
          <w:noProof/>
          <w:color w:val="000000" w:themeColor="text1"/>
        </w:rPr>
        <w:t xml:space="preserve"> shows the net savings (EUR per vehicle, expressed as the difference with the baseline) over the vehicle lifetime from a societal perspective </w:t>
      </w:r>
      <w:r>
        <w:rPr>
          <w:b w:val="0"/>
          <w:noProof/>
          <w:color w:val="000000" w:themeColor="text1"/>
        </w:rPr>
        <w:t xml:space="preserve">for an average new passenger car registered in 2025 and in 2030 under the different TLC options. </w:t>
      </w:r>
    </w:p>
    <w:p w:rsidR="00B231CB" w:rsidRDefault="00C71431">
      <w:pPr>
        <w:pStyle w:val="Caption"/>
        <w:spacing w:after="120"/>
        <w:jc w:val="both"/>
        <w:rPr>
          <w:b w:val="0"/>
          <w:noProof/>
          <w:color w:val="000000" w:themeColor="text1"/>
        </w:rPr>
      </w:pPr>
      <w:r>
        <w:rPr>
          <w:b w:val="0"/>
          <w:noProof/>
          <w:color w:val="000000" w:themeColor="text1"/>
        </w:rPr>
        <w:t>The net savings observed are the result of differences in capital costs– which in this case are equal to manufacturing costs -, fuel cost savings and O&amp;M cost</w:t>
      </w:r>
      <w:r>
        <w:rPr>
          <w:b w:val="0"/>
          <w:noProof/>
          <w:color w:val="000000" w:themeColor="text1"/>
        </w:rPr>
        <w:t>s.</w:t>
      </w:r>
    </w:p>
    <w:p w:rsidR="00B231CB" w:rsidRDefault="00C71431">
      <w:pPr>
        <w:pStyle w:val="Caption"/>
        <w:keepNext/>
        <w:rPr>
          <w:noProof/>
          <w:color w:val="000000" w:themeColor="text1"/>
          <w:szCs w:val="24"/>
        </w:rPr>
      </w:pPr>
      <w:bookmarkStart w:id="130" w:name="_Ref493267684"/>
      <w:r>
        <w:rPr>
          <w:noProof/>
          <w:color w:val="000000" w:themeColor="text1"/>
          <w:szCs w:val="24"/>
        </w:rPr>
        <w:t xml:space="preserve">Table </w:t>
      </w:r>
      <w:r>
        <w:rPr>
          <w:noProof/>
          <w:color w:val="000000" w:themeColor="text1"/>
          <w:szCs w:val="24"/>
        </w:rPr>
        <w:fldChar w:fldCharType="begin"/>
      </w:r>
      <w:r>
        <w:rPr>
          <w:noProof/>
          <w:color w:val="000000" w:themeColor="text1"/>
          <w:szCs w:val="24"/>
        </w:rPr>
        <w:instrText xml:space="preserve"> SEQ Table \* ARABIC </w:instrText>
      </w:r>
      <w:r>
        <w:rPr>
          <w:noProof/>
          <w:color w:val="000000" w:themeColor="text1"/>
          <w:szCs w:val="24"/>
        </w:rPr>
        <w:fldChar w:fldCharType="separate"/>
      </w:r>
      <w:r>
        <w:rPr>
          <w:noProof/>
          <w:color w:val="000000" w:themeColor="text1"/>
          <w:szCs w:val="24"/>
        </w:rPr>
        <w:t>10</w:t>
      </w:r>
      <w:r>
        <w:rPr>
          <w:noProof/>
          <w:color w:val="000000" w:themeColor="text1"/>
          <w:szCs w:val="24"/>
        </w:rPr>
        <w:fldChar w:fldCharType="end"/>
      </w:r>
      <w:bookmarkEnd w:id="130"/>
      <w:r>
        <w:rPr>
          <w:noProof/>
          <w:color w:val="000000" w:themeColor="text1"/>
          <w:szCs w:val="24"/>
        </w:rPr>
        <w:t>: Net economic savings over the vehicle lifetime from a societal perspective in 2025 and 2030 (EUR/car)</w:t>
      </w:r>
    </w:p>
    <w:tbl>
      <w:tblPr>
        <w:tblStyle w:val="TableGrid"/>
        <w:tblW w:w="5000" w:type="pct"/>
        <w:tblLook w:val="04A0" w:firstRow="1" w:lastRow="0" w:firstColumn="1" w:lastColumn="0" w:noHBand="0" w:noVBand="1"/>
      </w:tblPr>
      <w:tblGrid>
        <w:gridCol w:w="2325"/>
        <w:gridCol w:w="957"/>
        <w:gridCol w:w="1066"/>
        <w:gridCol w:w="959"/>
        <w:gridCol w:w="1098"/>
        <w:gridCol w:w="1378"/>
        <w:gridCol w:w="1505"/>
      </w:tblGrid>
      <w:tr w:rsidR="00B231CB">
        <w:trPr>
          <w:trHeight w:val="255"/>
        </w:trPr>
        <w:tc>
          <w:tcPr>
            <w:tcW w:w="1252" w:type="pct"/>
            <w:noWrap/>
            <w:hideMark/>
          </w:tcPr>
          <w:p w:rsidR="00B231CB" w:rsidRDefault="00C71431">
            <w:pPr>
              <w:spacing w:after="60" w:line="276" w:lineRule="auto"/>
              <w:rPr>
                <w:b/>
                <w:noProof/>
                <w:color w:val="000000" w:themeColor="text1"/>
                <w:szCs w:val="24"/>
              </w:rPr>
            </w:pPr>
            <w:r>
              <w:rPr>
                <w:b/>
                <w:noProof/>
                <w:color w:val="000000" w:themeColor="text1"/>
                <w:szCs w:val="24"/>
              </w:rPr>
              <w:t>2025 (EUR/car)</w:t>
            </w:r>
          </w:p>
        </w:tc>
        <w:tc>
          <w:tcPr>
            <w:tcW w:w="515" w:type="pct"/>
            <w:noWrap/>
          </w:tcPr>
          <w:p w:rsidR="00B231CB" w:rsidRDefault="00C71431">
            <w:pPr>
              <w:spacing w:after="60" w:line="276" w:lineRule="auto"/>
              <w:jc w:val="center"/>
              <w:rPr>
                <w:noProof/>
                <w:color w:val="000000" w:themeColor="text1"/>
                <w:szCs w:val="24"/>
              </w:rPr>
            </w:pPr>
            <w:r>
              <w:rPr>
                <w:noProof/>
                <w:color w:val="000000" w:themeColor="text1"/>
                <w:szCs w:val="24"/>
              </w:rPr>
              <w:t>TLC20</w:t>
            </w:r>
          </w:p>
        </w:tc>
        <w:tc>
          <w:tcPr>
            <w:tcW w:w="574" w:type="pct"/>
            <w:noWrap/>
          </w:tcPr>
          <w:p w:rsidR="00B231CB" w:rsidRDefault="00C71431">
            <w:pPr>
              <w:spacing w:after="60" w:line="276" w:lineRule="auto"/>
              <w:jc w:val="center"/>
              <w:rPr>
                <w:noProof/>
                <w:color w:val="000000" w:themeColor="text1"/>
                <w:szCs w:val="24"/>
              </w:rPr>
            </w:pPr>
            <w:r>
              <w:rPr>
                <w:noProof/>
                <w:color w:val="000000" w:themeColor="text1"/>
                <w:szCs w:val="24"/>
              </w:rPr>
              <w:t>TLC25</w:t>
            </w:r>
          </w:p>
        </w:tc>
        <w:tc>
          <w:tcPr>
            <w:tcW w:w="516" w:type="pct"/>
            <w:noWrap/>
          </w:tcPr>
          <w:p w:rsidR="00B231CB" w:rsidRDefault="00C71431">
            <w:pPr>
              <w:spacing w:after="60" w:line="276" w:lineRule="auto"/>
              <w:jc w:val="center"/>
              <w:rPr>
                <w:noProof/>
                <w:color w:val="000000" w:themeColor="text1"/>
                <w:szCs w:val="24"/>
              </w:rPr>
            </w:pPr>
            <w:r>
              <w:rPr>
                <w:noProof/>
                <w:color w:val="000000" w:themeColor="text1"/>
                <w:szCs w:val="24"/>
              </w:rPr>
              <w:t>TLC30</w:t>
            </w:r>
          </w:p>
        </w:tc>
        <w:tc>
          <w:tcPr>
            <w:tcW w:w="591" w:type="pct"/>
            <w:noWrap/>
          </w:tcPr>
          <w:p w:rsidR="00B231CB" w:rsidRDefault="00C71431">
            <w:pPr>
              <w:spacing w:after="60" w:line="276" w:lineRule="auto"/>
              <w:jc w:val="center"/>
              <w:rPr>
                <w:noProof/>
                <w:color w:val="000000" w:themeColor="text1"/>
                <w:szCs w:val="24"/>
              </w:rPr>
            </w:pPr>
            <w:r>
              <w:rPr>
                <w:noProof/>
                <w:color w:val="000000" w:themeColor="text1"/>
                <w:szCs w:val="24"/>
              </w:rPr>
              <w:t>TLC40</w:t>
            </w:r>
          </w:p>
        </w:tc>
        <w:tc>
          <w:tcPr>
            <w:tcW w:w="742" w:type="pct"/>
            <w:noWrap/>
          </w:tcPr>
          <w:p w:rsidR="00B231CB" w:rsidRDefault="00C71431">
            <w:pPr>
              <w:spacing w:after="60" w:line="276" w:lineRule="auto"/>
              <w:jc w:val="center"/>
              <w:rPr>
                <w:noProof/>
                <w:color w:val="000000" w:themeColor="text1"/>
                <w:szCs w:val="24"/>
              </w:rPr>
            </w:pPr>
            <w:r>
              <w:rPr>
                <w:noProof/>
                <w:color w:val="000000" w:themeColor="text1"/>
                <w:szCs w:val="24"/>
              </w:rPr>
              <w:t>TLC_EP40</w:t>
            </w:r>
          </w:p>
        </w:tc>
        <w:tc>
          <w:tcPr>
            <w:tcW w:w="810" w:type="pct"/>
            <w:noWrap/>
          </w:tcPr>
          <w:p w:rsidR="00B231CB" w:rsidRDefault="00C71431">
            <w:pPr>
              <w:spacing w:after="60" w:line="276" w:lineRule="auto"/>
              <w:jc w:val="center"/>
              <w:rPr>
                <w:noProof/>
                <w:color w:val="000000" w:themeColor="text1"/>
                <w:szCs w:val="24"/>
              </w:rPr>
            </w:pPr>
            <w:r>
              <w:rPr>
                <w:noProof/>
                <w:color w:val="000000" w:themeColor="text1"/>
                <w:szCs w:val="24"/>
              </w:rPr>
              <w:t>TLC_EP50</w:t>
            </w:r>
          </w:p>
        </w:tc>
      </w:tr>
      <w:tr w:rsidR="00B231CB">
        <w:trPr>
          <w:trHeight w:val="255"/>
        </w:trPr>
        <w:tc>
          <w:tcPr>
            <w:tcW w:w="1252" w:type="pct"/>
            <w:noWrap/>
            <w:hideMark/>
          </w:tcPr>
          <w:p w:rsidR="00B231CB" w:rsidRDefault="00C71431">
            <w:pPr>
              <w:spacing w:after="60" w:line="276" w:lineRule="auto"/>
              <w:rPr>
                <w:noProof/>
                <w:color w:val="000000" w:themeColor="text1"/>
                <w:szCs w:val="24"/>
              </w:rPr>
            </w:pPr>
            <w:r>
              <w:rPr>
                <w:noProof/>
                <w:color w:val="000000" w:themeColor="text1"/>
                <w:szCs w:val="24"/>
              </w:rPr>
              <w:t>Capital cost [1]</w:t>
            </w:r>
          </w:p>
        </w:tc>
        <w:tc>
          <w:tcPr>
            <w:tcW w:w="515" w:type="pct"/>
            <w:noWrap/>
            <w:hideMark/>
          </w:tcPr>
          <w:p w:rsidR="00B231CB" w:rsidRDefault="00C71431">
            <w:pPr>
              <w:spacing w:after="60" w:line="276" w:lineRule="auto"/>
              <w:jc w:val="center"/>
              <w:rPr>
                <w:noProof/>
                <w:color w:val="000000" w:themeColor="text1"/>
                <w:szCs w:val="24"/>
              </w:rPr>
            </w:pPr>
            <w:r>
              <w:rPr>
                <w:noProof/>
                <w:color w:val="000000" w:themeColor="text1"/>
                <w:szCs w:val="24"/>
              </w:rPr>
              <w:t>115</w:t>
            </w:r>
          </w:p>
        </w:tc>
        <w:tc>
          <w:tcPr>
            <w:tcW w:w="574" w:type="pct"/>
            <w:noWrap/>
          </w:tcPr>
          <w:p w:rsidR="00B231CB" w:rsidRDefault="00C71431">
            <w:pPr>
              <w:spacing w:after="60" w:line="276" w:lineRule="auto"/>
              <w:jc w:val="center"/>
              <w:rPr>
                <w:noProof/>
                <w:color w:val="000000" w:themeColor="text1"/>
                <w:szCs w:val="24"/>
              </w:rPr>
            </w:pPr>
            <w:r>
              <w:rPr>
                <w:noProof/>
                <w:color w:val="000000" w:themeColor="text1"/>
                <w:szCs w:val="24"/>
              </w:rPr>
              <w:t>229</w:t>
            </w:r>
          </w:p>
        </w:tc>
        <w:tc>
          <w:tcPr>
            <w:tcW w:w="516" w:type="pct"/>
            <w:noWrap/>
            <w:hideMark/>
          </w:tcPr>
          <w:p w:rsidR="00B231CB" w:rsidRDefault="00C71431">
            <w:pPr>
              <w:spacing w:after="60" w:line="276" w:lineRule="auto"/>
              <w:jc w:val="center"/>
              <w:rPr>
                <w:noProof/>
                <w:color w:val="000000" w:themeColor="text1"/>
                <w:szCs w:val="24"/>
              </w:rPr>
            </w:pPr>
            <w:r>
              <w:rPr>
                <w:noProof/>
                <w:color w:val="000000" w:themeColor="text1"/>
                <w:szCs w:val="24"/>
              </w:rPr>
              <w:t>380</w:t>
            </w:r>
          </w:p>
        </w:tc>
        <w:tc>
          <w:tcPr>
            <w:tcW w:w="591" w:type="pct"/>
            <w:noWrap/>
            <w:hideMark/>
          </w:tcPr>
          <w:p w:rsidR="00B231CB" w:rsidRDefault="00C71431">
            <w:pPr>
              <w:spacing w:after="60" w:line="276" w:lineRule="auto"/>
              <w:jc w:val="center"/>
              <w:rPr>
                <w:noProof/>
                <w:color w:val="000000" w:themeColor="text1"/>
                <w:szCs w:val="24"/>
              </w:rPr>
            </w:pPr>
            <w:r>
              <w:rPr>
                <w:noProof/>
                <w:color w:val="000000" w:themeColor="text1"/>
                <w:szCs w:val="24"/>
              </w:rPr>
              <w:t>747</w:t>
            </w:r>
          </w:p>
        </w:tc>
        <w:tc>
          <w:tcPr>
            <w:tcW w:w="742" w:type="pct"/>
            <w:noWrap/>
            <w:hideMark/>
          </w:tcPr>
          <w:p w:rsidR="00B231CB" w:rsidRDefault="00C71431">
            <w:pPr>
              <w:spacing w:after="60" w:line="276" w:lineRule="auto"/>
              <w:jc w:val="center"/>
              <w:rPr>
                <w:noProof/>
                <w:color w:val="000000" w:themeColor="text1"/>
                <w:szCs w:val="24"/>
              </w:rPr>
            </w:pPr>
            <w:r>
              <w:rPr>
                <w:noProof/>
                <w:color w:val="000000" w:themeColor="text1"/>
                <w:szCs w:val="24"/>
              </w:rPr>
              <w:t>1,411</w:t>
            </w:r>
          </w:p>
        </w:tc>
        <w:tc>
          <w:tcPr>
            <w:tcW w:w="810" w:type="pct"/>
            <w:noWrap/>
          </w:tcPr>
          <w:p w:rsidR="00B231CB" w:rsidRDefault="00C71431">
            <w:pPr>
              <w:spacing w:after="60" w:line="276" w:lineRule="auto"/>
              <w:jc w:val="center"/>
              <w:rPr>
                <w:noProof/>
                <w:color w:val="000000" w:themeColor="text1"/>
                <w:szCs w:val="24"/>
              </w:rPr>
            </w:pPr>
            <w:r>
              <w:rPr>
                <w:noProof/>
                <w:color w:val="000000" w:themeColor="text1"/>
                <w:szCs w:val="24"/>
              </w:rPr>
              <w:t>1,193</w:t>
            </w:r>
          </w:p>
        </w:tc>
      </w:tr>
      <w:tr w:rsidR="00B231CB">
        <w:trPr>
          <w:trHeight w:val="255"/>
        </w:trPr>
        <w:tc>
          <w:tcPr>
            <w:tcW w:w="1252" w:type="pct"/>
            <w:noWrap/>
          </w:tcPr>
          <w:p w:rsidR="00B231CB" w:rsidRDefault="00C71431">
            <w:pPr>
              <w:spacing w:after="60" w:line="276" w:lineRule="auto"/>
              <w:rPr>
                <w:noProof/>
                <w:color w:val="000000" w:themeColor="text1"/>
                <w:szCs w:val="24"/>
              </w:rPr>
            </w:pPr>
            <w:r>
              <w:rPr>
                <w:noProof/>
                <w:color w:val="000000" w:themeColor="text1"/>
                <w:szCs w:val="24"/>
              </w:rPr>
              <w:t xml:space="preserve">O&amp;M cost [2] </w:t>
            </w:r>
          </w:p>
        </w:tc>
        <w:tc>
          <w:tcPr>
            <w:tcW w:w="515" w:type="pct"/>
            <w:noWrap/>
          </w:tcPr>
          <w:p w:rsidR="00B231CB" w:rsidRDefault="00C71431">
            <w:pPr>
              <w:spacing w:after="60" w:line="276" w:lineRule="auto"/>
              <w:jc w:val="center"/>
              <w:rPr>
                <w:noProof/>
                <w:color w:val="000000" w:themeColor="text1"/>
                <w:szCs w:val="24"/>
              </w:rPr>
            </w:pPr>
            <w:r>
              <w:rPr>
                <w:noProof/>
                <w:color w:val="000000" w:themeColor="text1"/>
                <w:szCs w:val="24"/>
              </w:rPr>
              <w:t>139</w:t>
            </w:r>
          </w:p>
        </w:tc>
        <w:tc>
          <w:tcPr>
            <w:tcW w:w="574" w:type="pct"/>
            <w:noWrap/>
          </w:tcPr>
          <w:p w:rsidR="00B231CB" w:rsidRDefault="00C71431">
            <w:pPr>
              <w:spacing w:after="60" w:line="276" w:lineRule="auto"/>
              <w:jc w:val="center"/>
              <w:rPr>
                <w:noProof/>
                <w:color w:val="000000" w:themeColor="text1"/>
                <w:szCs w:val="24"/>
              </w:rPr>
            </w:pPr>
            <w:r>
              <w:rPr>
                <w:noProof/>
                <w:color w:val="000000" w:themeColor="text1"/>
                <w:szCs w:val="24"/>
              </w:rPr>
              <w:t>139</w:t>
            </w:r>
          </w:p>
        </w:tc>
        <w:tc>
          <w:tcPr>
            <w:tcW w:w="516" w:type="pct"/>
            <w:noWrap/>
          </w:tcPr>
          <w:p w:rsidR="00B231CB" w:rsidRDefault="00C71431">
            <w:pPr>
              <w:spacing w:after="60" w:line="276" w:lineRule="auto"/>
              <w:jc w:val="center"/>
              <w:rPr>
                <w:noProof/>
                <w:color w:val="000000" w:themeColor="text1"/>
                <w:szCs w:val="24"/>
              </w:rPr>
            </w:pPr>
            <w:r>
              <w:rPr>
                <w:noProof/>
                <w:color w:val="000000" w:themeColor="text1"/>
                <w:szCs w:val="24"/>
              </w:rPr>
              <w:t>130</w:t>
            </w:r>
          </w:p>
        </w:tc>
        <w:tc>
          <w:tcPr>
            <w:tcW w:w="591" w:type="pct"/>
            <w:noWrap/>
          </w:tcPr>
          <w:p w:rsidR="00B231CB" w:rsidRDefault="00C71431">
            <w:pPr>
              <w:spacing w:after="60" w:line="276" w:lineRule="auto"/>
              <w:jc w:val="center"/>
              <w:rPr>
                <w:noProof/>
                <w:color w:val="000000" w:themeColor="text1"/>
                <w:szCs w:val="24"/>
              </w:rPr>
            </w:pPr>
            <w:r>
              <w:rPr>
                <w:noProof/>
                <w:color w:val="000000" w:themeColor="text1"/>
                <w:szCs w:val="24"/>
              </w:rPr>
              <w:t>96</w:t>
            </w:r>
          </w:p>
        </w:tc>
        <w:tc>
          <w:tcPr>
            <w:tcW w:w="742" w:type="pct"/>
            <w:noWrap/>
          </w:tcPr>
          <w:p w:rsidR="00B231CB" w:rsidRDefault="00C71431">
            <w:pPr>
              <w:spacing w:after="60" w:line="276" w:lineRule="auto"/>
              <w:jc w:val="center"/>
              <w:rPr>
                <w:noProof/>
                <w:color w:val="000000" w:themeColor="text1"/>
                <w:szCs w:val="24"/>
              </w:rPr>
            </w:pPr>
            <w:r>
              <w:rPr>
                <w:noProof/>
                <w:color w:val="000000" w:themeColor="text1"/>
                <w:szCs w:val="24"/>
              </w:rPr>
              <w:t>25</w:t>
            </w:r>
          </w:p>
        </w:tc>
        <w:tc>
          <w:tcPr>
            <w:tcW w:w="810" w:type="pct"/>
            <w:noWrap/>
          </w:tcPr>
          <w:p w:rsidR="00B231CB" w:rsidRDefault="00C71431">
            <w:pPr>
              <w:spacing w:after="60" w:line="276" w:lineRule="auto"/>
              <w:jc w:val="center"/>
              <w:rPr>
                <w:noProof/>
                <w:color w:val="000000" w:themeColor="text1"/>
                <w:szCs w:val="24"/>
              </w:rPr>
            </w:pPr>
            <w:r>
              <w:rPr>
                <w:noProof/>
                <w:color w:val="000000" w:themeColor="text1"/>
                <w:szCs w:val="24"/>
              </w:rPr>
              <w:t>22</w:t>
            </w:r>
          </w:p>
        </w:tc>
      </w:tr>
      <w:tr w:rsidR="00B231CB">
        <w:trPr>
          <w:trHeight w:val="255"/>
        </w:trPr>
        <w:tc>
          <w:tcPr>
            <w:tcW w:w="1252" w:type="pct"/>
            <w:tcBorders>
              <w:bottom w:val="single" w:sz="24" w:space="0" w:color="auto"/>
            </w:tcBorders>
            <w:noWrap/>
          </w:tcPr>
          <w:p w:rsidR="00B231CB" w:rsidRDefault="00C71431">
            <w:pPr>
              <w:spacing w:after="60" w:line="276" w:lineRule="auto"/>
              <w:rPr>
                <w:noProof/>
                <w:color w:val="000000" w:themeColor="text1"/>
                <w:szCs w:val="24"/>
              </w:rPr>
            </w:pPr>
            <w:r>
              <w:rPr>
                <w:noProof/>
                <w:color w:val="000000" w:themeColor="text1"/>
                <w:szCs w:val="24"/>
              </w:rPr>
              <w:t>Fuel cost savings [3]</w:t>
            </w:r>
          </w:p>
        </w:tc>
        <w:tc>
          <w:tcPr>
            <w:tcW w:w="515" w:type="pct"/>
            <w:tcBorders>
              <w:bottom w:val="single" w:sz="2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354</w:t>
            </w:r>
          </w:p>
        </w:tc>
        <w:tc>
          <w:tcPr>
            <w:tcW w:w="574" w:type="pct"/>
            <w:tcBorders>
              <w:bottom w:val="single" w:sz="2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514</w:t>
            </w:r>
          </w:p>
        </w:tc>
        <w:tc>
          <w:tcPr>
            <w:tcW w:w="516" w:type="pct"/>
            <w:tcBorders>
              <w:bottom w:val="single" w:sz="2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661</w:t>
            </w:r>
          </w:p>
        </w:tc>
        <w:tc>
          <w:tcPr>
            <w:tcW w:w="591" w:type="pct"/>
            <w:tcBorders>
              <w:bottom w:val="single" w:sz="2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922</w:t>
            </w:r>
          </w:p>
        </w:tc>
        <w:tc>
          <w:tcPr>
            <w:tcW w:w="742" w:type="pct"/>
            <w:tcBorders>
              <w:bottom w:val="single" w:sz="2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1,394</w:t>
            </w:r>
          </w:p>
        </w:tc>
        <w:tc>
          <w:tcPr>
            <w:tcW w:w="810" w:type="pct"/>
            <w:tcBorders>
              <w:bottom w:val="single" w:sz="2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1,198</w:t>
            </w:r>
          </w:p>
        </w:tc>
      </w:tr>
      <w:tr w:rsidR="00B231CB">
        <w:trPr>
          <w:trHeight w:val="255"/>
        </w:trPr>
        <w:tc>
          <w:tcPr>
            <w:tcW w:w="1252" w:type="pct"/>
            <w:noWrap/>
            <w:hideMark/>
          </w:tcPr>
          <w:p w:rsidR="00B231CB" w:rsidRDefault="00C71431">
            <w:pPr>
              <w:spacing w:after="60" w:line="276" w:lineRule="auto"/>
              <w:jc w:val="left"/>
              <w:rPr>
                <w:i/>
                <w:noProof/>
                <w:color w:val="000000" w:themeColor="text1"/>
                <w:szCs w:val="24"/>
              </w:rPr>
            </w:pPr>
            <w:r>
              <w:rPr>
                <w:i/>
                <w:noProof/>
                <w:color w:val="000000" w:themeColor="text1"/>
                <w:szCs w:val="24"/>
              </w:rPr>
              <w:t xml:space="preserve">Net savings </w:t>
            </w:r>
            <w:r>
              <w:rPr>
                <w:i/>
                <w:noProof/>
                <w:color w:val="000000" w:themeColor="text1"/>
                <w:szCs w:val="24"/>
              </w:rPr>
              <w:br/>
              <w:t>[3]-[1]-[2]</w:t>
            </w:r>
          </w:p>
        </w:tc>
        <w:tc>
          <w:tcPr>
            <w:tcW w:w="515" w:type="pct"/>
            <w:noWrap/>
            <w:hideMark/>
          </w:tcPr>
          <w:p w:rsidR="00B231CB" w:rsidRDefault="00C71431">
            <w:pPr>
              <w:spacing w:after="60" w:line="276" w:lineRule="auto"/>
              <w:jc w:val="center"/>
              <w:rPr>
                <w:i/>
                <w:noProof/>
                <w:color w:val="000000" w:themeColor="text1"/>
                <w:szCs w:val="24"/>
              </w:rPr>
            </w:pPr>
            <w:r>
              <w:rPr>
                <w:i/>
                <w:noProof/>
                <w:color w:val="000000" w:themeColor="text1"/>
                <w:szCs w:val="24"/>
              </w:rPr>
              <w:t>100</w:t>
            </w:r>
          </w:p>
        </w:tc>
        <w:tc>
          <w:tcPr>
            <w:tcW w:w="574" w:type="pct"/>
            <w:noWrap/>
          </w:tcPr>
          <w:p w:rsidR="00B231CB" w:rsidRDefault="00C71431">
            <w:pPr>
              <w:spacing w:after="60" w:line="276" w:lineRule="auto"/>
              <w:jc w:val="center"/>
              <w:rPr>
                <w:i/>
                <w:noProof/>
                <w:color w:val="000000" w:themeColor="text1"/>
                <w:szCs w:val="24"/>
              </w:rPr>
            </w:pPr>
            <w:r>
              <w:rPr>
                <w:i/>
                <w:noProof/>
                <w:color w:val="000000" w:themeColor="text1"/>
                <w:szCs w:val="24"/>
              </w:rPr>
              <w:t>147</w:t>
            </w:r>
          </w:p>
        </w:tc>
        <w:tc>
          <w:tcPr>
            <w:tcW w:w="516" w:type="pct"/>
            <w:noWrap/>
            <w:hideMark/>
          </w:tcPr>
          <w:p w:rsidR="00B231CB" w:rsidRDefault="00C71431">
            <w:pPr>
              <w:spacing w:after="60" w:line="276" w:lineRule="auto"/>
              <w:jc w:val="center"/>
              <w:rPr>
                <w:i/>
                <w:noProof/>
                <w:color w:val="000000" w:themeColor="text1"/>
                <w:szCs w:val="24"/>
              </w:rPr>
            </w:pPr>
            <w:r>
              <w:rPr>
                <w:i/>
                <w:noProof/>
                <w:color w:val="000000" w:themeColor="text1"/>
                <w:szCs w:val="24"/>
              </w:rPr>
              <w:t>152</w:t>
            </w:r>
          </w:p>
        </w:tc>
        <w:tc>
          <w:tcPr>
            <w:tcW w:w="591" w:type="pct"/>
            <w:noWrap/>
            <w:hideMark/>
          </w:tcPr>
          <w:p w:rsidR="00B231CB" w:rsidRDefault="00C71431">
            <w:pPr>
              <w:spacing w:after="60" w:line="276" w:lineRule="auto"/>
              <w:jc w:val="center"/>
              <w:rPr>
                <w:i/>
                <w:noProof/>
                <w:color w:val="000000" w:themeColor="text1"/>
                <w:szCs w:val="24"/>
              </w:rPr>
            </w:pPr>
            <w:r>
              <w:rPr>
                <w:i/>
                <w:noProof/>
                <w:color w:val="000000" w:themeColor="text1"/>
                <w:szCs w:val="24"/>
              </w:rPr>
              <w:t>78</w:t>
            </w:r>
          </w:p>
        </w:tc>
        <w:tc>
          <w:tcPr>
            <w:tcW w:w="742" w:type="pct"/>
            <w:noWrap/>
            <w:hideMark/>
          </w:tcPr>
          <w:p w:rsidR="00B231CB" w:rsidRDefault="00C71431">
            <w:pPr>
              <w:spacing w:after="60" w:line="276" w:lineRule="auto"/>
              <w:jc w:val="center"/>
              <w:rPr>
                <w:i/>
                <w:noProof/>
                <w:color w:val="000000" w:themeColor="text1"/>
                <w:szCs w:val="24"/>
              </w:rPr>
            </w:pPr>
            <w:r>
              <w:rPr>
                <w:i/>
                <w:noProof/>
                <w:color w:val="000000" w:themeColor="text1"/>
                <w:szCs w:val="24"/>
              </w:rPr>
              <w:t>-42</w:t>
            </w:r>
          </w:p>
        </w:tc>
        <w:tc>
          <w:tcPr>
            <w:tcW w:w="810" w:type="pct"/>
            <w:noWrap/>
          </w:tcPr>
          <w:p w:rsidR="00B231CB" w:rsidRDefault="00C71431">
            <w:pPr>
              <w:spacing w:after="60" w:line="276" w:lineRule="auto"/>
              <w:jc w:val="center"/>
              <w:rPr>
                <w:i/>
                <w:noProof/>
                <w:color w:val="000000" w:themeColor="text1"/>
                <w:szCs w:val="24"/>
              </w:rPr>
            </w:pPr>
            <w:r>
              <w:rPr>
                <w:i/>
                <w:noProof/>
                <w:color w:val="000000" w:themeColor="text1"/>
                <w:szCs w:val="24"/>
              </w:rPr>
              <w:t>-17</w:t>
            </w:r>
          </w:p>
        </w:tc>
      </w:tr>
    </w:tbl>
    <w:p w:rsidR="00B231CB" w:rsidRDefault="00B231CB">
      <w:pPr>
        <w:pStyle w:val="Heading6"/>
        <w:numPr>
          <w:ilvl w:val="0"/>
          <w:numId w:val="0"/>
        </w:numPr>
        <w:spacing w:after="0"/>
        <w:ind w:left="1152" w:hanging="1152"/>
        <w:rPr>
          <w:noProof/>
          <w:color w:val="000000" w:themeColor="text1"/>
          <w:szCs w:val="24"/>
        </w:rPr>
      </w:pPr>
    </w:p>
    <w:tbl>
      <w:tblPr>
        <w:tblStyle w:val="TableGrid"/>
        <w:tblW w:w="5000" w:type="pct"/>
        <w:tblLook w:val="04A0" w:firstRow="1" w:lastRow="0" w:firstColumn="1" w:lastColumn="0" w:noHBand="0" w:noVBand="1"/>
      </w:tblPr>
      <w:tblGrid>
        <w:gridCol w:w="2325"/>
        <w:gridCol w:w="957"/>
        <w:gridCol w:w="998"/>
        <w:gridCol w:w="1295"/>
        <w:gridCol w:w="957"/>
        <w:gridCol w:w="1378"/>
        <w:gridCol w:w="1378"/>
      </w:tblGrid>
      <w:tr w:rsidR="00B231CB">
        <w:trPr>
          <w:trHeight w:val="255"/>
        </w:trPr>
        <w:tc>
          <w:tcPr>
            <w:tcW w:w="1252" w:type="pct"/>
            <w:noWrap/>
            <w:hideMark/>
          </w:tcPr>
          <w:p w:rsidR="00B231CB" w:rsidRDefault="00C71431">
            <w:pPr>
              <w:spacing w:after="60" w:line="276" w:lineRule="auto"/>
              <w:rPr>
                <w:noProof/>
                <w:color w:val="000000" w:themeColor="text1"/>
                <w:szCs w:val="24"/>
              </w:rPr>
            </w:pPr>
            <w:r>
              <w:rPr>
                <w:b/>
                <w:noProof/>
                <w:color w:val="000000" w:themeColor="text1"/>
                <w:szCs w:val="24"/>
              </w:rPr>
              <w:t>2030 (EUR/car</w:t>
            </w:r>
            <w:r>
              <w:rPr>
                <w:noProof/>
                <w:color w:val="000000" w:themeColor="text1"/>
                <w:szCs w:val="24"/>
              </w:rPr>
              <w:t>)</w:t>
            </w:r>
          </w:p>
        </w:tc>
        <w:tc>
          <w:tcPr>
            <w:tcW w:w="515" w:type="pct"/>
            <w:noWrap/>
          </w:tcPr>
          <w:p w:rsidR="00B231CB" w:rsidRDefault="00C71431">
            <w:pPr>
              <w:spacing w:after="60" w:line="276" w:lineRule="auto"/>
              <w:jc w:val="center"/>
              <w:rPr>
                <w:noProof/>
                <w:color w:val="000000" w:themeColor="text1"/>
                <w:szCs w:val="24"/>
              </w:rPr>
            </w:pPr>
            <w:r>
              <w:rPr>
                <w:noProof/>
                <w:color w:val="000000" w:themeColor="text1"/>
                <w:szCs w:val="24"/>
              </w:rPr>
              <w:t>TLC20</w:t>
            </w:r>
          </w:p>
        </w:tc>
        <w:tc>
          <w:tcPr>
            <w:tcW w:w="537" w:type="pct"/>
            <w:noWrap/>
          </w:tcPr>
          <w:p w:rsidR="00B231CB" w:rsidRDefault="00C71431">
            <w:pPr>
              <w:spacing w:after="60" w:line="276" w:lineRule="auto"/>
              <w:jc w:val="center"/>
              <w:rPr>
                <w:noProof/>
                <w:color w:val="000000" w:themeColor="text1"/>
                <w:szCs w:val="24"/>
              </w:rPr>
            </w:pPr>
            <w:r>
              <w:rPr>
                <w:noProof/>
                <w:color w:val="000000" w:themeColor="text1"/>
                <w:szCs w:val="24"/>
              </w:rPr>
              <w:t>TLC25</w:t>
            </w:r>
          </w:p>
        </w:tc>
        <w:tc>
          <w:tcPr>
            <w:tcW w:w="697" w:type="pct"/>
            <w:noWrap/>
          </w:tcPr>
          <w:p w:rsidR="00B231CB" w:rsidRDefault="00C71431">
            <w:pPr>
              <w:spacing w:after="60" w:line="276" w:lineRule="auto"/>
              <w:jc w:val="center"/>
              <w:rPr>
                <w:noProof/>
                <w:color w:val="000000" w:themeColor="text1"/>
                <w:szCs w:val="24"/>
              </w:rPr>
            </w:pPr>
            <w:r>
              <w:rPr>
                <w:noProof/>
                <w:color w:val="000000" w:themeColor="text1"/>
                <w:szCs w:val="24"/>
              </w:rPr>
              <w:t>TLC30</w:t>
            </w:r>
          </w:p>
        </w:tc>
        <w:tc>
          <w:tcPr>
            <w:tcW w:w="515" w:type="pct"/>
            <w:noWrap/>
          </w:tcPr>
          <w:p w:rsidR="00B231CB" w:rsidRDefault="00C71431">
            <w:pPr>
              <w:spacing w:after="60" w:line="276" w:lineRule="auto"/>
              <w:jc w:val="center"/>
              <w:rPr>
                <w:noProof/>
                <w:color w:val="000000" w:themeColor="text1"/>
                <w:szCs w:val="24"/>
              </w:rPr>
            </w:pPr>
            <w:r>
              <w:rPr>
                <w:noProof/>
                <w:color w:val="000000" w:themeColor="text1"/>
                <w:szCs w:val="24"/>
              </w:rPr>
              <w:t>TLC40</w:t>
            </w:r>
          </w:p>
        </w:tc>
        <w:tc>
          <w:tcPr>
            <w:tcW w:w="742" w:type="pct"/>
            <w:noWrap/>
          </w:tcPr>
          <w:p w:rsidR="00B231CB" w:rsidRDefault="00C71431">
            <w:pPr>
              <w:spacing w:after="60" w:line="276" w:lineRule="auto"/>
              <w:jc w:val="center"/>
              <w:rPr>
                <w:noProof/>
                <w:color w:val="000000" w:themeColor="text1"/>
                <w:szCs w:val="24"/>
              </w:rPr>
            </w:pPr>
            <w:r>
              <w:rPr>
                <w:noProof/>
                <w:color w:val="000000" w:themeColor="text1"/>
                <w:szCs w:val="24"/>
              </w:rPr>
              <w:t>TLC_EP40</w:t>
            </w:r>
          </w:p>
        </w:tc>
        <w:tc>
          <w:tcPr>
            <w:tcW w:w="742" w:type="pct"/>
            <w:noWrap/>
          </w:tcPr>
          <w:p w:rsidR="00B231CB" w:rsidRDefault="00C71431">
            <w:pPr>
              <w:spacing w:after="60" w:line="276" w:lineRule="auto"/>
              <w:jc w:val="center"/>
              <w:rPr>
                <w:noProof/>
                <w:color w:val="000000" w:themeColor="text1"/>
                <w:szCs w:val="24"/>
              </w:rPr>
            </w:pPr>
            <w:r>
              <w:rPr>
                <w:noProof/>
                <w:color w:val="000000" w:themeColor="text1"/>
                <w:szCs w:val="24"/>
              </w:rPr>
              <w:t>TLC_EP50</w:t>
            </w:r>
          </w:p>
        </w:tc>
      </w:tr>
      <w:tr w:rsidR="00B231CB">
        <w:trPr>
          <w:trHeight w:val="255"/>
        </w:trPr>
        <w:tc>
          <w:tcPr>
            <w:tcW w:w="1252" w:type="pct"/>
            <w:noWrap/>
          </w:tcPr>
          <w:p w:rsidR="00B231CB" w:rsidRDefault="00C71431">
            <w:pPr>
              <w:spacing w:after="60" w:line="276" w:lineRule="auto"/>
              <w:rPr>
                <w:noProof/>
                <w:color w:val="000000" w:themeColor="text1"/>
                <w:szCs w:val="24"/>
              </w:rPr>
            </w:pPr>
            <w:r>
              <w:rPr>
                <w:noProof/>
                <w:color w:val="000000" w:themeColor="text1"/>
                <w:szCs w:val="24"/>
              </w:rPr>
              <w:t>Capital cost [1]</w:t>
            </w:r>
          </w:p>
        </w:tc>
        <w:tc>
          <w:tcPr>
            <w:tcW w:w="515" w:type="pct"/>
            <w:noWrap/>
          </w:tcPr>
          <w:p w:rsidR="00B231CB" w:rsidRDefault="00C71431">
            <w:pPr>
              <w:spacing w:after="60" w:line="276" w:lineRule="auto"/>
              <w:jc w:val="center"/>
              <w:rPr>
                <w:noProof/>
                <w:color w:val="000000" w:themeColor="text1"/>
                <w:szCs w:val="24"/>
              </w:rPr>
            </w:pPr>
            <w:r>
              <w:rPr>
                <w:noProof/>
                <w:color w:val="000000" w:themeColor="text1"/>
                <w:szCs w:val="24"/>
              </w:rPr>
              <w:t>419</w:t>
            </w:r>
          </w:p>
        </w:tc>
        <w:tc>
          <w:tcPr>
            <w:tcW w:w="537" w:type="pct"/>
            <w:noWrap/>
          </w:tcPr>
          <w:p w:rsidR="00B231CB" w:rsidRDefault="00C71431">
            <w:pPr>
              <w:spacing w:after="60" w:line="276" w:lineRule="auto"/>
              <w:jc w:val="center"/>
              <w:rPr>
                <w:noProof/>
                <w:color w:val="000000" w:themeColor="text1"/>
                <w:szCs w:val="24"/>
              </w:rPr>
            </w:pPr>
            <w:r>
              <w:rPr>
                <w:noProof/>
                <w:color w:val="000000" w:themeColor="text1"/>
                <w:szCs w:val="24"/>
              </w:rPr>
              <w:t>679</w:t>
            </w:r>
          </w:p>
        </w:tc>
        <w:tc>
          <w:tcPr>
            <w:tcW w:w="697" w:type="pct"/>
            <w:noWrap/>
          </w:tcPr>
          <w:p w:rsidR="00B231CB" w:rsidRDefault="00C71431">
            <w:pPr>
              <w:spacing w:after="60" w:line="276" w:lineRule="auto"/>
              <w:jc w:val="center"/>
              <w:rPr>
                <w:noProof/>
                <w:color w:val="000000" w:themeColor="text1"/>
                <w:szCs w:val="24"/>
              </w:rPr>
            </w:pPr>
            <w:r>
              <w:rPr>
                <w:noProof/>
                <w:color w:val="000000" w:themeColor="text1"/>
                <w:szCs w:val="24"/>
              </w:rPr>
              <w:t>1,020</w:t>
            </w:r>
          </w:p>
        </w:tc>
        <w:tc>
          <w:tcPr>
            <w:tcW w:w="515" w:type="pct"/>
            <w:noWrap/>
          </w:tcPr>
          <w:p w:rsidR="00B231CB" w:rsidRDefault="00C71431">
            <w:pPr>
              <w:spacing w:after="60" w:line="276" w:lineRule="auto"/>
              <w:jc w:val="center"/>
              <w:rPr>
                <w:noProof/>
                <w:color w:val="000000" w:themeColor="text1"/>
                <w:szCs w:val="24"/>
              </w:rPr>
            </w:pPr>
            <w:r>
              <w:rPr>
                <w:noProof/>
                <w:color w:val="000000" w:themeColor="text1"/>
                <w:szCs w:val="24"/>
              </w:rPr>
              <w:t>1,812</w:t>
            </w:r>
          </w:p>
        </w:tc>
        <w:tc>
          <w:tcPr>
            <w:tcW w:w="742" w:type="pct"/>
            <w:noWrap/>
          </w:tcPr>
          <w:p w:rsidR="00B231CB" w:rsidRDefault="00C71431">
            <w:pPr>
              <w:spacing w:after="60" w:line="276" w:lineRule="auto"/>
              <w:jc w:val="center"/>
              <w:rPr>
                <w:noProof/>
                <w:color w:val="000000" w:themeColor="text1"/>
                <w:szCs w:val="24"/>
              </w:rPr>
            </w:pPr>
            <w:r>
              <w:rPr>
                <w:noProof/>
                <w:color w:val="000000" w:themeColor="text1"/>
                <w:szCs w:val="24"/>
              </w:rPr>
              <w:t>1,861</w:t>
            </w:r>
          </w:p>
        </w:tc>
        <w:tc>
          <w:tcPr>
            <w:tcW w:w="742" w:type="pct"/>
            <w:noWrap/>
          </w:tcPr>
          <w:p w:rsidR="00B231CB" w:rsidRDefault="00C71431">
            <w:pPr>
              <w:spacing w:after="60" w:line="276" w:lineRule="auto"/>
              <w:jc w:val="center"/>
              <w:rPr>
                <w:noProof/>
                <w:color w:val="000000" w:themeColor="text1"/>
                <w:szCs w:val="24"/>
              </w:rPr>
            </w:pPr>
            <w:r>
              <w:rPr>
                <w:noProof/>
                <w:color w:val="000000" w:themeColor="text1"/>
                <w:szCs w:val="24"/>
              </w:rPr>
              <w:t>2,752</w:t>
            </w:r>
          </w:p>
        </w:tc>
      </w:tr>
      <w:tr w:rsidR="00B231CB">
        <w:trPr>
          <w:trHeight w:val="255"/>
        </w:trPr>
        <w:tc>
          <w:tcPr>
            <w:tcW w:w="1252" w:type="pct"/>
            <w:tcBorders>
              <w:bottom w:val="single" w:sz="4" w:space="0" w:color="auto"/>
            </w:tcBorders>
            <w:noWrap/>
          </w:tcPr>
          <w:p w:rsidR="00B231CB" w:rsidRDefault="00C71431">
            <w:pPr>
              <w:spacing w:after="60" w:line="276" w:lineRule="auto"/>
              <w:rPr>
                <w:noProof/>
                <w:color w:val="000000" w:themeColor="text1"/>
                <w:szCs w:val="24"/>
              </w:rPr>
            </w:pPr>
            <w:r>
              <w:rPr>
                <w:noProof/>
                <w:color w:val="000000" w:themeColor="text1"/>
                <w:szCs w:val="24"/>
              </w:rPr>
              <w:t xml:space="preserve">O&amp;M cost [2] </w:t>
            </w:r>
          </w:p>
        </w:tc>
        <w:tc>
          <w:tcPr>
            <w:tcW w:w="515" w:type="pct"/>
            <w:tcBorders>
              <w:bottom w:val="single" w:sz="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-62</w:t>
            </w:r>
          </w:p>
        </w:tc>
        <w:tc>
          <w:tcPr>
            <w:tcW w:w="537" w:type="pct"/>
            <w:tcBorders>
              <w:bottom w:val="single" w:sz="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-62</w:t>
            </w:r>
          </w:p>
        </w:tc>
        <w:tc>
          <w:tcPr>
            <w:tcW w:w="697" w:type="pct"/>
            <w:tcBorders>
              <w:bottom w:val="single" w:sz="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-96</w:t>
            </w:r>
          </w:p>
        </w:tc>
        <w:tc>
          <w:tcPr>
            <w:tcW w:w="515" w:type="pct"/>
            <w:tcBorders>
              <w:bottom w:val="single" w:sz="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-157</w:t>
            </w:r>
          </w:p>
        </w:tc>
        <w:tc>
          <w:tcPr>
            <w:tcW w:w="742" w:type="pct"/>
            <w:tcBorders>
              <w:bottom w:val="single" w:sz="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-168</w:t>
            </w:r>
          </w:p>
        </w:tc>
        <w:tc>
          <w:tcPr>
            <w:tcW w:w="742" w:type="pct"/>
            <w:tcBorders>
              <w:bottom w:val="single" w:sz="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-192</w:t>
            </w:r>
          </w:p>
        </w:tc>
      </w:tr>
      <w:tr w:rsidR="00B231CB">
        <w:trPr>
          <w:trHeight w:val="255"/>
        </w:trPr>
        <w:tc>
          <w:tcPr>
            <w:tcW w:w="1252" w:type="pct"/>
            <w:tcBorders>
              <w:bottom w:val="single" w:sz="24" w:space="0" w:color="auto"/>
            </w:tcBorders>
            <w:noWrap/>
          </w:tcPr>
          <w:p w:rsidR="00B231CB" w:rsidRDefault="00C71431">
            <w:pPr>
              <w:spacing w:after="60" w:line="276" w:lineRule="auto"/>
              <w:rPr>
                <w:noProof/>
                <w:color w:val="000000" w:themeColor="text1"/>
                <w:szCs w:val="24"/>
              </w:rPr>
            </w:pPr>
            <w:r>
              <w:rPr>
                <w:noProof/>
                <w:color w:val="000000" w:themeColor="text1"/>
                <w:szCs w:val="24"/>
              </w:rPr>
              <w:t>Fuel cost savings [3]</w:t>
            </w:r>
          </w:p>
        </w:tc>
        <w:tc>
          <w:tcPr>
            <w:tcW w:w="515" w:type="pct"/>
            <w:tcBorders>
              <w:bottom w:val="single" w:sz="2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1,159</w:t>
            </w:r>
          </w:p>
        </w:tc>
        <w:tc>
          <w:tcPr>
            <w:tcW w:w="537" w:type="pct"/>
            <w:tcBorders>
              <w:bottom w:val="single" w:sz="2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1,520</w:t>
            </w:r>
          </w:p>
        </w:tc>
        <w:tc>
          <w:tcPr>
            <w:tcW w:w="697" w:type="pct"/>
            <w:tcBorders>
              <w:bottom w:val="single" w:sz="2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1,802</w:t>
            </w:r>
          </w:p>
        </w:tc>
        <w:tc>
          <w:tcPr>
            <w:tcW w:w="515" w:type="pct"/>
            <w:tcBorders>
              <w:bottom w:val="single" w:sz="2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2,220</w:t>
            </w:r>
          </w:p>
        </w:tc>
        <w:tc>
          <w:tcPr>
            <w:tcW w:w="742" w:type="pct"/>
            <w:tcBorders>
              <w:bottom w:val="single" w:sz="2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2,214</w:t>
            </w:r>
          </w:p>
        </w:tc>
        <w:tc>
          <w:tcPr>
            <w:tcW w:w="742" w:type="pct"/>
            <w:tcBorders>
              <w:bottom w:val="single" w:sz="2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2,558</w:t>
            </w:r>
          </w:p>
        </w:tc>
      </w:tr>
      <w:tr w:rsidR="00B231CB">
        <w:trPr>
          <w:trHeight w:val="255"/>
        </w:trPr>
        <w:tc>
          <w:tcPr>
            <w:tcW w:w="1252" w:type="pct"/>
            <w:noWrap/>
          </w:tcPr>
          <w:p w:rsidR="00B231CB" w:rsidRDefault="00C71431">
            <w:pPr>
              <w:spacing w:after="60" w:line="276" w:lineRule="auto"/>
              <w:jc w:val="left"/>
              <w:rPr>
                <w:noProof/>
                <w:color w:val="000000" w:themeColor="text1"/>
                <w:szCs w:val="24"/>
              </w:rPr>
            </w:pPr>
            <w:r>
              <w:rPr>
                <w:i/>
                <w:noProof/>
                <w:color w:val="000000" w:themeColor="text1"/>
                <w:szCs w:val="24"/>
              </w:rPr>
              <w:t xml:space="preserve">Net savings </w:t>
            </w:r>
            <w:r>
              <w:rPr>
                <w:i/>
                <w:noProof/>
                <w:color w:val="000000" w:themeColor="text1"/>
                <w:szCs w:val="24"/>
              </w:rPr>
              <w:br/>
              <w:t>[3]-[1]-[2]</w:t>
            </w:r>
          </w:p>
        </w:tc>
        <w:tc>
          <w:tcPr>
            <w:tcW w:w="515" w:type="pct"/>
            <w:noWrap/>
          </w:tcPr>
          <w:p w:rsidR="00B231CB" w:rsidRDefault="00C71431">
            <w:pPr>
              <w:spacing w:after="60" w:line="276" w:lineRule="auto"/>
              <w:jc w:val="center"/>
              <w:rPr>
                <w:i/>
                <w:noProof/>
                <w:color w:val="000000" w:themeColor="text1"/>
                <w:szCs w:val="24"/>
              </w:rPr>
            </w:pPr>
            <w:r>
              <w:rPr>
                <w:i/>
                <w:noProof/>
                <w:color w:val="000000" w:themeColor="text1"/>
                <w:szCs w:val="24"/>
              </w:rPr>
              <w:t>802</w:t>
            </w:r>
          </w:p>
        </w:tc>
        <w:tc>
          <w:tcPr>
            <w:tcW w:w="537" w:type="pct"/>
            <w:noWrap/>
          </w:tcPr>
          <w:p w:rsidR="00B231CB" w:rsidRDefault="00C71431">
            <w:pPr>
              <w:spacing w:after="60" w:line="276" w:lineRule="auto"/>
              <w:jc w:val="center"/>
              <w:rPr>
                <w:i/>
                <w:noProof/>
                <w:color w:val="000000" w:themeColor="text1"/>
                <w:szCs w:val="24"/>
              </w:rPr>
            </w:pPr>
            <w:r>
              <w:rPr>
                <w:i/>
                <w:noProof/>
                <w:color w:val="000000" w:themeColor="text1"/>
                <w:szCs w:val="24"/>
              </w:rPr>
              <w:t>902</w:t>
            </w:r>
          </w:p>
        </w:tc>
        <w:tc>
          <w:tcPr>
            <w:tcW w:w="697" w:type="pct"/>
            <w:noWrap/>
          </w:tcPr>
          <w:p w:rsidR="00B231CB" w:rsidRDefault="00C71431">
            <w:pPr>
              <w:spacing w:after="60" w:line="276" w:lineRule="auto"/>
              <w:jc w:val="center"/>
              <w:rPr>
                <w:i/>
                <w:noProof/>
                <w:color w:val="000000" w:themeColor="text1"/>
                <w:szCs w:val="24"/>
              </w:rPr>
            </w:pPr>
            <w:r>
              <w:rPr>
                <w:i/>
                <w:noProof/>
                <w:color w:val="000000" w:themeColor="text1"/>
                <w:szCs w:val="24"/>
              </w:rPr>
              <w:t>878</w:t>
            </w:r>
          </w:p>
        </w:tc>
        <w:tc>
          <w:tcPr>
            <w:tcW w:w="515" w:type="pct"/>
            <w:noWrap/>
          </w:tcPr>
          <w:p w:rsidR="00B231CB" w:rsidRDefault="00C71431">
            <w:pPr>
              <w:spacing w:after="60" w:line="276" w:lineRule="auto"/>
              <w:jc w:val="center"/>
              <w:rPr>
                <w:i/>
                <w:noProof/>
                <w:color w:val="000000" w:themeColor="text1"/>
                <w:szCs w:val="24"/>
              </w:rPr>
            </w:pPr>
            <w:r>
              <w:rPr>
                <w:i/>
                <w:noProof/>
                <w:color w:val="000000" w:themeColor="text1"/>
                <w:szCs w:val="24"/>
              </w:rPr>
              <w:t>565</w:t>
            </w:r>
          </w:p>
        </w:tc>
        <w:tc>
          <w:tcPr>
            <w:tcW w:w="742" w:type="pct"/>
            <w:noWrap/>
          </w:tcPr>
          <w:p w:rsidR="00B231CB" w:rsidRDefault="00C71431">
            <w:pPr>
              <w:spacing w:after="60" w:line="276" w:lineRule="auto"/>
              <w:jc w:val="center"/>
              <w:rPr>
                <w:i/>
                <w:noProof/>
                <w:color w:val="000000" w:themeColor="text1"/>
                <w:szCs w:val="24"/>
              </w:rPr>
            </w:pPr>
            <w:r>
              <w:rPr>
                <w:i/>
                <w:noProof/>
                <w:color w:val="000000" w:themeColor="text1"/>
                <w:szCs w:val="24"/>
              </w:rPr>
              <w:t>521</w:t>
            </w:r>
          </w:p>
        </w:tc>
        <w:tc>
          <w:tcPr>
            <w:tcW w:w="742" w:type="pct"/>
            <w:noWrap/>
          </w:tcPr>
          <w:p w:rsidR="00B231CB" w:rsidRDefault="00C71431">
            <w:pPr>
              <w:spacing w:after="60" w:line="276" w:lineRule="auto"/>
              <w:jc w:val="center"/>
              <w:rPr>
                <w:i/>
                <w:noProof/>
                <w:color w:val="000000" w:themeColor="text1"/>
                <w:szCs w:val="24"/>
              </w:rPr>
            </w:pPr>
            <w:r>
              <w:rPr>
                <w:i/>
                <w:noProof/>
                <w:color w:val="000000" w:themeColor="text1"/>
                <w:szCs w:val="24"/>
              </w:rPr>
              <w:t>-2</w:t>
            </w:r>
          </w:p>
        </w:tc>
      </w:tr>
    </w:tbl>
    <w:p w:rsidR="00B231CB" w:rsidRDefault="00C71431">
      <w:pPr>
        <w:pStyle w:val="Heading5"/>
        <w:rPr>
          <w:noProof/>
          <w:color w:val="000000" w:themeColor="text1"/>
        </w:rPr>
      </w:pPr>
      <w:r>
        <w:rPr>
          <w:noProof/>
          <w:color w:val="000000" w:themeColor="text1"/>
        </w:rPr>
        <w:t>TCO-15 years (vehicle lifetime)</w:t>
      </w:r>
    </w:p>
    <w:p w:rsidR="00B231CB" w:rsidRDefault="00C71431">
      <w:pPr>
        <w:spacing w:after="120"/>
        <w:rPr>
          <w:noProof/>
          <w:color w:val="000000" w:themeColor="text1"/>
        </w:rPr>
      </w:pPr>
      <w:r>
        <w:rPr>
          <w:noProof/>
          <w:color w:val="000000" w:themeColor="text1"/>
          <w:highlight w:val="yellow"/>
        </w:rPr>
        <w:fldChar w:fldCharType="begin"/>
      </w:r>
      <w:r>
        <w:rPr>
          <w:noProof/>
          <w:color w:val="000000" w:themeColor="text1"/>
          <w:highlight w:val="yellow"/>
        </w:rPr>
        <w:instrText xml:space="preserve"> REF _Ref494058214 \h  \* MERGEFORMAT </w:instrText>
      </w:r>
      <w:r>
        <w:rPr>
          <w:noProof/>
          <w:color w:val="000000" w:themeColor="text1"/>
          <w:highlight w:val="yellow"/>
        </w:rPr>
      </w:r>
      <w:r>
        <w:rPr>
          <w:noProof/>
          <w:color w:val="000000" w:themeColor="text1"/>
          <w:highlight w:val="yellow"/>
        </w:rPr>
        <w:fldChar w:fldCharType="separate"/>
      </w:r>
      <w:r>
        <w:rPr>
          <w:noProof/>
          <w:color w:val="000000" w:themeColor="text1"/>
          <w:szCs w:val="24"/>
        </w:rPr>
        <w:t>Table 11</w:t>
      </w:r>
      <w:r>
        <w:rPr>
          <w:noProof/>
          <w:color w:val="000000" w:themeColor="text1"/>
          <w:highlight w:val="yellow"/>
        </w:rPr>
        <w:fldChar w:fldCharType="end"/>
      </w:r>
      <w:r>
        <w:rPr>
          <w:noProof/>
          <w:color w:val="000000" w:themeColor="text1"/>
        </w:rPr>
        <w:t xml:space="preserve"> shows the TCO over 15 years (EUR per car) of an average new passenger car registered in 2025 and in 2030 under the different TLC options (expressed as the difference with the baseline), with </w:t>
      </w:r>
      <w:r>
        <w:rPr>
          <w:noProof/>
          <w:color w:val="000000" w:themeColor="text1"/>
        </w:rPr>
        <w:t xml:space="preserve">"medium" costs assumption. </w:t>
      </w:r>
    </w:p>
    <w:p w:rsidR="00B231CB" w:rsidRDefault="00C71431">
      <w:pPr>
        <w:pStyle w:val="Caption"/>
        <w:keepNext/>
        <w:rPr>
          <w:noProof/>
          <w:color w:val="000000" w:themeColor="text1"/>
          <w:szCs w:val="24"/>
        </w:rPr>
      </w:pPr>
      <w:bookmarkStart w:id="131" w:name="_Ref494058214"/>
      <w:r>
        <w:rPr>
          <w:noProof/>
          <w:color w:val="000000" w:themeColor="text1"/>
          <w:szCs w:val="24"/>
        </w:rPr>
        <w:t xml:space="preserve">Table </w:t>
      </w:r>
      <w:r>
        <w:rPr>
          <w:noProof/>
          <w:color w:val="000000" w:themeColor="text1"/>
          <w:szCs w:val="24"/>
        </w:rPr>
        <w:fldChar w:fldCharType="begin"/>
      </w:r>
      <w:r>
        <w:rPr>
          <w:noProof/>
          <w:color w:val="000000" w:themeColor="text1"/>
          <w:szCs w:val="24"/>
        </w:rPr>
        <w:instrText xml:space="preserve"> SEQ Table \* ARABIC </w:instrText>
      </w:r>
      <w:r>
        <w:rPr>
          <w:noProof/>
          <w:color w:val="000000" w:themeColor="text1"/>
          <w:szCs w:val="24"/>
        </w:rPr>
        <w:fldChar w:fldCharType="separate"/>
      </w:r>
      <w:r>
        <w:rPr>
          <w:noProof/>
          <w:color w:val="000000" w:themeColor="text1"/>
          <w:szCs w:val="24"/>
        </w:rPr>
        <w:t>11</w:t>
      </w:r>
      <w:r>
        <w:rPr>
          <w:noProof/>
          <w:color w:val="000000" w:themeColor="text1"/>
          <w:szCs w:val="24"/>
        </w:rPr>
        <w:fldChar w:fldCharType="end"/>
      </w:r>
      <w:bookmarkEnd w:id="131"/>
      <w:r>
        <w:rPr>
          <w:noProof/>
          <w:color w:val="000000" w:themeColor="text1"/>
          <w:szCs w:val="24"/>
        </w:rPr>
        <w:t xml:space="preserve">: TCO-15 years in 2025 and 2030 (EUR/car) </w:t>
      </w:r>
    </w:p>
    <w:tbl>
      <w:tblPr>
        <w:tblStyle w:val="TableGrid"/>
        <w:tblW w:w="5000" w:type="pct"/>
        <w:tblLook w:val="04A0" w:firstRow="1" w:lastRow="0" w:firstColumn="1" w:lastColumn="0" w:noHBand="0" w:noVBand="1"/>
      </w:tblPr>
      <w:tblGrid>
        <w:gridCol w:w="1384"/>
        <w:gridCol w:w="1317"/>
        <w:gridCol w:w="1317"/>
        <w:gridCol w:w="1319"/>
        <w:gridCol w:w="1317"/>
        <w:gridCol w:w="1317"/>
        <w:gridCol w:w="1317"/>
      </w:tblGrid>
      <w:tr w:rsidR="00B231CB">
        <w:trPr>
          <w:trHeight w:val="255"/>
        </w:trPr>
        <w:tc>
          <w:tcPr>
            <w:tcW w:w="745" w:type="pct"/>
            <w:noWrap/>
            <w:hideMark/>
          </w:tcPr>
          <w:p w:rsidR="00B231CB" w:rsidRDefault="00B231CB">
            <w:pPr>
              <w:spacing w:after="60" w:line="276" w:lineRule="auto"/>
              <w:rPr>
                <w:noProof/>
                <w:color w:val="000000" w:themeColor="text1"/>
                <w:szCs w:val="24"/>
              </w:rPr>
            </w:pPr>
          </w:p>
        </w:tc>
        <w:tc>
          <w:tcPr>
            <w:tcW w:w="709" w:type="pct"/>
            <w:noWrap/>
          </w:tcPr>
          <w:p w:rsidR="00B231CB" w:rsidRDefault="00C71431">
            <w:pPr>
              <w:spacing w:after="60" w:line="276" w:lineRule="auto"/>
              <w:jc w:val="center"/>
              <w:rPr>
                <w:noProof/>
                <w:color w:val="000000" w:themeColor="text1"/>
                <w:szCs w:val="24"/>
              </w:rPr>
            </w:pPr>
            <w:r>
              <w:rPr>
                <w:noProof/>
                <w:color w:val="000000" w:themeColor="text1"/>
                <w:szCs w:val="24"/>
              </w:rPr>
              <w:t>TLC20</w:t>
            </w:r>
          </w:p>
        </w:tc>
        <w:tc>
          <w:tcPr>
            <w:tcW w:w="709" w:type="pct"/>
            <w:noWrap/>
          </w:tcPr>
          <w:p w:rsidR="00B231CB" w:rsidRDefault="00C71431">
            <w:pPr>
              <w:spacing w:after="60" w:line="276" w:lineRule="auto"/>
              <w:jc w:val="center"/>
              <w:rPr>
                <w:noProof/>
                <w:color w:val="000000" w:themeColor="text1"/>
                <w:szCs w:val="24"/>
              </w:rPr>
            </w:pPr>
            <w:r>
              <w:rPr>
                <w:noProof/>
                <w:color w:val="000000" w:themeColor="text1"/>
                <w:szCs w:val="24"/>
              </w:rPr>
              <w:t>TLC25</w:t>
            </w:r>
          </w:p>
        </w:tc>
        <w:tc>
          <w:tcPr>
            <w:tcW w:w="710" w:type="pct"/>
            <w:noWrap/>
          </w:tcPr>
          <w:p w:rsidR="00B231CB" w:rsidRDefault="00C71431">
            <w:pPr>
              <w:spacing w:after="60" w:line="276" w:lineRule="auto"/>
              <w:jc w:val="center"/>
              <w:rPr>
                <w:noProof/>
                <w:color w:val="000000" w:themeColor="text1"/>
                <w:szCs w:val="24"/>
              </w:rPr>
            </w:pPr>
            <w:r>
              <w:rPr>
                <w:noProof/>
                <w:color w:val="000000" w:themeColor="text1"/>
                <w:szCs w:val="24"/>
              </w:rPr>
              <w:t>TLC30</w:t>
            </w:r>
          </w:p>
        </w:tc>
        <w:tc>
          <w:tcPr>
            <w:tcW w:w="709" w:type="pct"/>
            <w:noWrap/>
          </w:tcPr>
          <w:p w:rsidR="00B231CB" w:rsidRDefault="00C71431">
            <w:pPr>
              <w:spacing w:after="60" w:line="276" w:lineRule="auto"/>
              <w:jc w:val="center"/>
              <w:rPr>
                <w:noProof/>
                <w:color w:val="000000" w:themeColor="text1"/>
                <w:szCs w:val="24"/>
              </w:rPr>
            </w:pPr>
            <w:r>
              <w:rPr>
                <w:noProof/>
                <w:color w:val="000000" w:themeColor="text1"/>
                <w:szCs w:val="24"/>
              </w:rPr>
              <w:t>TLC40</w:t>
            </w:r>
          </w:p>
        </w:tc>
        <w:tc>
          <w:tcPr>
            <w:tcW w:w="709" w:type="pct"/>
            <w:noWrap/>
          </w:tcPr>
          <w:p w:rsidR="00B231CB" w:rsidRDefault="00C71431">
            <w:pPr>
              <w:spacing w:after="60" w:line="276" w:lineRule="auto"/>
              <w:jc w:val="center"/>
              <w:rPr>
                <w:noProof/>
                <w:color w:val="000000" w:themeColor="text1"/>
                <w:szCs w:val="24"/>
              </w:rPr>
            </w:pPr>
            <w:r>
              <w:rPr>
                <w:noProof/>
                <w:color w:val="000000" w:themeColor="text1"/>
                <w:szCs w:val="24"/>
              </w:rPr>
              <w:t>TLC_EP40</w:t>
            </w:r>
          </w:p>
        </w:tc>
        <w:tc>
          <w:tcPr>
            <w:tcW w:w="710" w:type="pct"/>
            <w:noWrap/>
          </w:tcPr>
          <w:p w:rsidR="00B231CB" w:rsidRDefault="00C71431">
            <w:pPr>
              <w:spacing w:after="60" w:line="276" w:lineRule="auto"/>
              <w:jc w:val="center"/>
              <w:rPr>
                <w:noProof/>
                <w:color w:val="000000" w:themeColor="text1"/>
                <w:szCs w:val="24"/>
              </w:rPr>
            </w:pPr>
            <w:r>
              <w:rPr>
                <w:noProof/>
                <w:color w:val="000000" w:themeColor="text1"/>
                <w:szCs w:val="24"/>
              </w:rPr>
              <w:t>TLC_EP50</w:t>
            </w:r>
          </w:p>
        </w:tc>
      </w:tr>
      <w:tr w:rsidR="00B231CB">
        <w:trPr>
          <w:trHeight w:val="255"/>
        </w:trPr>
        <w:tc>
          <w:tcPr>
            <w:tcW w:w="745" w:type="pct"/>
            <w:noWrap/>
          </w:tcPr>
          <w:p w:rsidR="00B231CB" w:rsidRDefault="00C71431">
            <w:pPr>
              <w:spacing w:after="120"/>
              <w:rPr>
                <w:noProof/>
                <w:color w:val="000000" w:themeColor="text1"/>
                <w:szCs w:val="24"/>
              </w:rPr>
            </w:pPr>
            <w:r>
              <w:rPr>
                <w:b/>
                <w:noProof/>
                <w:color w:val="000000" w:themeColor="text1"/>
                <w:szCs w:val="24"/>
              </w:rPr>
              <w:t>2025</w:t>
            </w:r>
          </w:p>
        </w:tc>
        <w:tc>
          <w:tcPr>
            <w:tcW w:w="709" w:type="pct"/>
            <w:noWrap/>
          </w:tcPr>
          <w:p w:rsidR="00B231CB" w:rsidRDefault="00C71431">
            <w:pPr>
              <w:spacing w:after="120"/>
              <w:jc w:val="center"/>
              <w:rPr>
                <w:noProof/>
                <w:color w:val="000000" w:themeColor="text1"/>
              </w:rPr>
            </w:pPr>
            <w:r>
              <w:rPr>
                <w:noProof/>
                <w:color w:val="000000" w:themeColor="text1"/>
              </w:rPr>
              <w:t>329</w:t>
            </w:r>
          </w:p>
        </w:tc>
        <w:tc>
          <w:tcPr>
            <w:tcW w:w="709" w:type="pct"/>
            <w:noWrap/>
          </w:tcPr>
          <w:p w:rsidR="00B231CB" w:rsidRDefault="00C71431">
            <w:pPr>
              <w:spacing w:after="120"/>
              <w:jc w:val="center"/>
              <w:rPr>
                <w:noProof/>
                <w:color w:val="000000" w:themeColor="text1"/>
              </w:rPr>
            </w:pPr>
            <w:r>
              <w:rPr>
                <w:noProof/>
                <w:color w:val="000000" w:themeColor="text1"/>
              </w:rPr>
              <w:t>413</w:t>
            </w:r>
          </w:p>
        </w:tc>
        <w:tc>
          <w:tcPr>
            <w:tcW w:w="710" w:type="pct"/>
            <w:noWrap/>
          </w:tcPr>
          <w:p w:rsidR="00B231CB" w:rsidRDefault="00C71431">
            <w:pPr>
              <w:spacing w:after="120"/>
              <w:jc w:val="center"/>
              <w:rPr>
                <w:noProof/>
                <w:color w:val="000000" w:themeColor="text1"/>
              </w:rPr>
            </w:pPr>
            <w:r>
              <w:rPr>
                <w:noProof/>
                <w:color w:val="000000" w:themeColor="text1"/>
              </w:rPr>
              <w:t>436</w:t>
            </w:r>
          </w:p>
        </w:tc>
        <w:tc>
          <w:tcPr>
            <w:tcW w:w="709" w:type="pct"/>
            <w:noWrap/>
          </w:tcPr>
          <w:p w:rsidR="00B231CB" w:rsidRDefault="00C71431">
            <w:pPr>
              <w:spacing w:after="120"/>
              <w:jc w:val="center"/>
              <w:rPr>
                <w:noProof/>
                <w:color w:val="000000" w:themeColor="text1"/>
              </w:rPr>
            </w:pPr>
            <w:r>
              <w:rPr>
                <w:noProof/>
                <w:color w:val="000000" w:themeColor="text1"/>
              </w:rPr>
              <w:t>391</w:t>
            </w:r>
          </w:p>
        </w:tc>
        <w:tc>
          <w:tcPr>
            <w:tcW w:w="709" w:type="pct"/>
            <w:noWrap/>
          </w:tcPr>
          <w:p w:rsidR="00B231CB" w:rsidRDefault="00C71431">
            <w:pPr>
              <w:spacing w:after="120"/>
              <w:jc w:val="center"/>
              <w:rPr>
                <w:noProof/>
                <w:color w:val="000000" w:themeColor="text1"/>
                <w:szCs w:val="24"/>
              </w:rPr>
            </w:pPr>
            <w:r>
              <w:rPr>
                <w:noProof/>
                <w:color w:val="000000" w:themeColor="text1"/>
                <w:szCs w:val="24"/>
              </w:rPr>
              <w:t>253</w:t>
            </w:r>
          </w:p>
        </w:tc>
        <w:tc>
          <w:tcPr>
            <w:tcW w:w="710" w:type="pct"/>
            <w:noWrap/>
          </w:tcPr>
          <w:p w:rsidR="00B231CB" w:rsidRDefault="00C71431">
            <w:pPr>
              <w:spacing w:after="120"/>
              <w:jc w:val="center"/>
              <w:rPr>
                <w:noProof/>
                <w:color w:val="000000" w:themeColor="text1"/>
                <w:szCs w:val="24"/>
              </w:rPr>
            </w:pPr>
            <w:r>
              <w:rPr>
                <w:noProof/>
                <w:color w:val="000000" w:themeColor="text1"/>
                <w:szCs w:val="24"/>
              </w:rPr>
              <w:t>309</w:t>
            </w:r>
          </w:p>
        </w:tc>
      </w:tr>
      <w:tr w:rsidR="00B231CB">
        <w:trPr>
          <w:trHeight w:val="255"/>
        </w:trPr>
        <w:tc>
          <w:tcPr>
            <w:tcW w:w="745" w:type="pct"/>
            <w:noWrap/>
          </w:tcPr>
          <w:p w:rsidR="00B231CB" w:rsidRDefault="00C71431">
            <w:pPr>
              <w:spacing w:after="120"/>
              <w:rPr>
                <w:noProof/>
                <w:color w:val="000000" w:themeColor="text1"/>
                <w:szCs w:val="24"/>
              </w:rPr>
            </w:pPr>
            <w:r>
              <w:rPr>
                <w:b/>
                <w:noProof/>
                <w:color w:val="000000" w:themeColor="text1"/>
                <w:szCs w:val="24"/>
              </w:rPr>
              <w:t>2030</w:t>
            </w:r>
          </w:p>
        </w:tc>
        <w:tc>
          <w:tcPr>
            <w:tcW w:w="709" w:type="pct"/>
            <w:noWrap/>
          </w:tcPr>
          <w:p w:rsidR="00B231CB" w:rsidRDefault="00C71431">
            <w:pPr>
              <w:spacing w:after="120"/>
              <w:jc w:val="center"/>
              <w:rPr>
                <w:noProof/>
                <w:color w:val="000000" w:themeColor="text1"/>
              </w:rPr>
            </w:pPr>
            <w:r>
              <w:rPr>
                <w:noProof/>
                <w:color w:val="000000" w:themeColor="text1"/>
              </w:rPr>
              <w:t>1,227</w:t>
            </w:r>
          </w:p>
        </w:tc>
        <w:tc>
          <w:tcPr>
            <w:tcW w:w="709" w:type="pct"/>
            <w:noWrap/>
          </w:tcPr>
          <w:p w:rsidR="00B231CB" w:rsidRDefault="00C71431">
            <w:pPr>
              <w:spacing w:after="120"/>
              <w:jc w:val="center"/>
              <w:rPr>
                <w:noProof/>
                <w:color w:val="000000" w:themeColor="text1"/>
              </w:rPr>
            </w:pPr>
            <w:r>
              <w:rPr>
                <w:noProof/>
                <w:color w:val="000000" w:themeColor="text1"/>
              </w:rPr>
              <w:t>1,374</w:t>
            </w:r>
          </w:p>
        </w:tc>
        <w:tc>
          <w:tcPr>
            <w:tcW w:w="710" w:type="pct"/>
            <w:noWrap/>
          </w:tcPr>
          <w:p w:rsidR="00B231CB" w:rsidRDefault="00C71431">
            <w:pPr>
              <w:spacing w:after="120"/>
              <w:jc w:val="center"/>
              <w:rPr>
                <w:noProof/>
                <w:color w:val="000000" w:themeColor="text1"/>
              </w:rPr>
            </w:pPr>
            <w:r>
              <w:rPr>
                <w:noProof/>
                <w:color w:val="000000" w:themeColor="text1"/>
              </w:rPr>
              <w:t>1,359</w:t>
            </w:r>
          </w:p>
        </w:tc>
        <w:tc>
          <w:tcPr>
            <w:tcW w:w="709" w:type="pct"/>
            <w:noWrap/>
          </w:tcPr>
          <w:p w:rsidR="00B231CB" w:rsidRDefault="00C71431">
            <w:pPr>
              <w:spacing w:after="120"/>
              <w:jc w:val="center"/>
              <w:rPr>
                <w:noProof/>
                <w:color w:val="000000" w:themeColor="text1"/>
              </w:rPr>
            </w:pPr>
            <w:r>
              <w:rPr>
                <w:noProof/>
                <w:color w:val="000000" w:themeColor="text1"/>
              </w:rPr>
              <w:t>1,012</w:t>
            </w:r>
          </w:p>
        </w:tc>
        <w:tc>
          <w:tcPr>
            <w:tcW w:w="709" w:type="pct"/>
            <w:noWrap/>
          </w:tcPr>
          <w:p w:rsidR="00B231CB" w:rsidRDefault="00C71431">
            <w:pPr>
              <w:spacing w:after="120"/>
              <w:jc w:val="center"/>
              <w:rPr>
                <w:noProof/>
                <w:color w:val="000000" w:themeColor="text1"/>
                <w:szCs w:val="24"/>
              </w:rPr>
            </w:pPr>
            <w:r>
              <w:rPr>
                <w:noProof/>
                <w:color w:val="000000" w:themeColor="text1"/>
                <w:szCs w:val="24"/>
              </w:rPr>
              <w:t>1,012</w:t>
            </w:r>
          </w:p>
        </w:tc>
        <w:tc>
          <w:tcPr>
            <w:tcW w:w="710" w:type="pct"/>
            <w:noWrap/>
          </w:tcPr>
          <w:p w:rsidR="00B231CB" w:rsidRDefault="00C71431">
            <w:pPr>
              <w:spacing w:after="120"/>
              <w:jc w:val="center"/>
              <w:rPr>
                <w:noProof/>
                <w:color w:val="000000" w:themeColor="text1"/>
                <w:szCs w:val="24"/>
              </w:rPr>
            </w:pPr>
            <w:r>
              <w:rPr>
                <w:noProof/>
                <w:color w:val="000000" w:themeColor="text1"/>
                <w:szCs w:val="24"/>
              </w:rPr>
              <w:t>389</w:t>
            </w:r>
          </w:p>
        </w:tc>
      </w:tr>
    </w:tbl>
    <w:p w:rsidR="00B231CB" w:rsidRDefault="00C71431">
      <w:pPr>
        <w:pStyle w:val="Heading5"/>
        <w:rPr>
          <w:noProof/>
          <w:color w:val="000000" w:themeColor="text1"/>
        </w:rPr>
      </w:pPr>
      <w:r>
        <w:rPr>
          <w:noProof/>
          <w:color w:val="000000" w:themeColor="text1"/>
        </w:rPr>
        <w:t>TCO-first user (5 years)</w:t>
      </w:r>
    </w:p>
    <w:p w:rsidR="00B231CB" w:rsidRDefault="00C71431">
      <w:pPr>
        <w:spacing w:after="120"/>
        <w:rPr>
          <w:noProof/>
          <w:color w:val="000000" w:themeColor="text1"/>
        </w:rPr>
      </w:pPr>
      <w:r>
        <w:rPr>
          <w:noProof/>
          <w:color w:val="000000" w:themeColor="text1"/>
          <w:highlight w:val="yellow"/>
        </w:rPr>
        <w:fldChar w:fldCharType="begin"/>
      </w:r>
      <w:r>
        <w:rPr>
          <w:noProof/>
          <w:color w:val="000000" w:themeColor="text1"/>
          <w:highlight w:val="yellow"/>
        </w:rPr>
        <w:instrText xml:space="preserve"> REF _Ref494059118 \h </w:instrText>
      </w:r>
      <w:r>
        <w:rPr>
          <w:noProof/>
          <w:color w:val="000000" w:themeColor="text1"/>
          <w:highlight w:val="yellow"/>
        </w:rPr>
      </w:r>
      <w:r>
        <w:rPr>
          <w:noProof/>
          <w:color w:val="000000" w:themeColor="text1"/>
          <w:highlight w:val="yellow"/>
        </w:rPr>
        <w:fldChar w:fldCharType="separate"/>
      </w:r>
      <w:r>
        <w:rPr>
          <w:noProof/>
        </w:rPr>
        <w:t>Table 12</w:t>
      </w:r>
      <w:r>
        <w:rPr>
          <w:noProof/>
          <w:color w:val="000000" w:themeColor="text1"/>
          <w:highlight w:val="yellow"/>
        </w:rPr>
        <w:fldChar w:fldCharType="end"/>
      </w:r>
      <w:r>
        <w:rPr>
          <w:noProof/>
          <w:color w:val="000000" w:themeColor="text1"/>
        </w:rPr>
        <w:t xml:space="preserve"> shows the net savings (EUR per car) from a first end-user perspective for an average new passenger car registered in 2025 and in 2030 under the different TLC</w:t>
      </w:r>
      <w:r>
        <w:rPr>
          <w:noProof/>
          <w:color w:val="000000" w:themeColor="text1"/>
        </w:rPr>
        <w:t xml:space="preserve"> options (expressed as the difference with the baseline). </w:t>
      </w:r>
    </w:p>
    <w:p w:rsidR="00B231CB" w:rsidRDefault="00C71431">
      <w:pPr>
        <w:pStyle w:val="Caption"/>
        <w:spacing w:after="120"/>
        <w:jc w:val="both"/>
        <w:rPr>
          <w:b w:val="0"/>
          <w:noProof/>
          <w:color w:val="000000" w:themeColor="text1"/>
        </w:rPr>
      </w:pPr>
      <w:r>
        <w:rPr>
          <w:b w:val="0"/>
          <w:noProof/>
          <w:color w:val="000000" w:themeColor="text1"/>
        </w:rPr>
        <w:t>The net savings observed are the result of differences in capital costs, fuel cost savings and O&amp;M costs.</w:t>
      </w:r>
    </w:p>
    <w:p w:rsidR="00B231CB" w:rsidRDefault="00C71431">
      <w:pPr>
        <w:pStyle w:val="Caption"/>
        <w:keepNext/>
        <w:jc w:val="both"/>
        <w:rPr>
          <w:noProof/>
        </w:rPr>
      </w:pPr>
      <w:bookmarkStart w:id="132" w:name="_Ref494059118"/>
      <w:r>
        <w:rPr>
          <w:noProof/>
        </w:rP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bookmarkEnd w:id="132"/>
      <w:r>
        <w:rPr>
          <w:noProof/>
        </w:rPr>
        <w:t xml:space="preserve">: </w:t>
      </w:r>
      <w:r>
        <w:rPr>
          <w:noProof/>
          <w:szCs w:val="24"/>
        </w:rPr>
        <w:t xml:space="preserve">TCO-first user (5 years) in 2025 and 2030 (EUR/car) for </w:t>
      </w:r>
      <w:r>
        <w:rPr>
          <w:noProof/>
          <w:szCs w:val="24"/>
        </w:rPr>
        <w:t>different TLC options</w:t>
      </w:r>
    </w:p>
    <w:tbl>
      <w:tblPr>
        <w:tblStyle w:val="TableGrid"/>
        <w:tblW w:w="5000" w:type="pct"/>
        <w:tblLook w:val="04A0" w:firstRow="1" w:lastRow="0" w:firstColumn="1" w:lastColumn="0" w:noHBand="0" w:noVBand="1"/>
      </w:tblPr>
      <w:tblGrid>
        <w:gridCol w:w="2325"/>
        <w:gridCol w:w="957"/>
        <w:gridCol w:w="998"/>
        <w:gridCol w:w="1295"/>
        <w:gridCol w:w="957"/>
        <w:gridCol w:w="1378"/>
        <w:gridCol w:w="1378"/>
      </w:tblGrid>
      <w:tr w:rsidR="00B231CB">
        <w:trPr>
          <w:trHeight w:val="255"/>
        </w:trPr>
        <w:tc>
          <w:tcPr>
            <w:tcW w:w="1251" w:type="pct"/>
            <w:noWrap/>
            <w:hideMark/>
          </w:tcPr>
          <w:p w:rsidR="00B231CB" w:rsidRDefault="00C71431">
            <w:pPr>
              <w:spacing w:after="60" w:line="276" w:lineRule="auto"/>
              <w:rPr>
                <w:noProof/>
                <w:szCs w:val="24"/>
              </w:rPr>
            </w:pPr>
            <w:r>
              <w:rPr>
                <w:b/>
                <w:noProof/>
                <w:szCs w:val="24"/>
              </w:rPr>
              <w:t>2025 (EUR/car</w:t>
            </w:r>
            <w:r>
              <w:rPr>
                <w:noProof/>
                <w:szCs w:val="24"/>
              </w:rPr>
              <w:t>)</w:t>
            </w:r>
          </w:p>
        </w:tc>
        <w:tc>
          <w:tcPr>
            <w:tcW w:w="515" w:type="pct"/>
            <w:noWrap/>
          </w:tcPr>
          <w:p w:rsidR="00B231CB" w:rsidRDefault="00C71431">
            <w:pPr>
              <w:spacing w:after="60" w:line="276" w:lineRule="auto"/>
              <w:jc w:val="center"/>
              <w:rPr>
                <w:noProof/>
                <w:szCs w:val="24"/>
              </w:rPr>
            </w:pPr>
            <w:r>
              <w:rPr>
                <w:noProof/>
                <w:szCs w:val="24"/>
              </w:rPr>
              <w:t>TLC20</w:t>
            </w:r>
          </w:p>
        </w:tc>
        <w:tc>
          <w:tcPr>
            <w:tcW w:w="537" w:type="pct"/>
            <w:noWrap/>
          </w:tcPr>
          <w:p w:rsidR="00B231CB" w:rsidRDefault="00C71431">
            <w:pPr>
              <w:spacing w:after="60" w:line="276" w:lineRule="auto"/>
              <w:jc w:val="center"/>
              <w:rPr>
                <w:noProof/>
                <w:szCs w:val="24"/>
              </w:rPr>
            </w:pPr>
            <w:r>
              <w:rPr>
                <w:noProof/>
                <w:szCs w:val="24"/>
              </w:rPr>
              <w:t>TLC25</w:t>
            </w:r>
          </w:p>
        </w:tc>
        <w:tc>
          <w:tcPr>
            <w:tcW w:w="697" w:type="pct"/>
            <w:noWrap/>
          </w:tcPr>
          <w:p w:rsidR="00B231CB" w:rsidRDefault="00C71431">
            <w:pPr>
              <w:spacing w:after="60" w:line="276" w:lineRule="auto"/>
              <w:jc w:val="center"/>
              <w:rPr>
                <w:noProof/>
                <w:szCs w:val="24"/>
              </w:rPr>
            </w:pPr>
            <w:r>
              <w:rPr>
                <w:noProof/>
                <w:szCs w:val="24"/>
              </w:rPr>
              <w:t>TLC30</w:t>
            </w:r>
          </w:p>
        </w:tc>
        <w:tc>
          <w:tcPr>
            <w:tcW w:w="515" w:type="pct"/>
            <w:noWrap/>
          </w:tcPr>
          <w:p w:rsidR="00B231CB" w:rsidRDefault="00C71431">
            <w:pPr>
              <w:spacing w:after="60" w:line="276" w:lineRule="auto"/>
              <w:jc w:val="center"/>
              <w:rPr>
                <w:noProof/>
                <w:szCs w:val="24"/>
              </w:rPr>
            </w:pPr>
            <w:r>
              <w:rPr>
                <w:noProof/>
                <w:szCs w:val="24"/>
              </w:rPr>
              <w:t>TLC40</w:t>
            </w:r>
          </w:p>
        </w:tc>
        <w:tc>
          <w:tcPr>
            <w:tcW w:w="742" w:type="pct"/>
            <w:noWrap/>
          </w:tcPr>
          <w:p w:rsidR="00B231CB" w:rsidRDefault="00C71431">
            <w:pPr>
              <w:spacing w:after="60" w:line="276" w:lineRule="auto"/>
              <w:jc w:val="center"/>
              <w:rPr>
                <w:noProof/>
                <w:szCs w:val="24"/>
              </w:rPr>
            </w:pPr>
            <w:r>
              <w:rPr>
                <w:noProof/>
                <w:szCs w:val="24"/>
              </w:rPr>
              <w:t>TLC_EP40</w:t>
            </w:r>
          </w:p>
        </w:tc>
        <w:tc>
          <w:tcPr>
            <w:tcW w:w="742" w:type="pct"/>
            <w:noWrap/>
          </w:tcPr>
          <w:p w:rsidR="00B231CB" w:rsidRDefault="00C71431">
            <w:pPr>
              <w:spacing w:after="60" w:line="276" w:lineRule="auto"/>
              <w:jc w:val="center"/>
              <w:rPr>
                <w:noProof/>
                <w:szCs w:val="24"/>
              </w:rPr>
            </w:pPr>
            <w:r>
              <w:rPr>
                <w:noProof/>
                <w:szCs w:val="24"/>
              </w:rPr>
              <w:t>TLC_EP50</w:t>
            </w:r>
          </w:p>
        </w:tc>
      </w:tr>
      <w:tr w:rsidR="00B231CB">
        <w:trPr>
          <w:trHeight w:val="255"/>
        </w:trPr>
        <w:tc>
          <w:tcPr>
            <w:tcW w:w="1251" w:type="pct"/>
            <w:noWrap/>
          </w:tcPr>
          <w:p w:rsidR="00B231CB" w:rsidRDefault="00C71431">
            <w:pPr>
              <w:spacing w:after="60" w:line="276" w:lineRule="auto"/>
              <w:rPr>
                <w:noProof/>
                <w:szCs w:val="24"/>
              </w:rPr>
            </w:pPr>
            <w:r>
              <w:rPr>
                <w:noProof/>
                <w:szCs w:val="24"/>
              </w:rPr>
              <w:t>Capital cost [1]</w:t>
            </w:r>
          </w:p>
        </w:tc>
        <w:tc>
          <w:tcPr>
            <w:tcW w:w="515" w:type="pct"/>
            <w:noWrap/>
          </w:tcPr>
          <w:p w:rsidR="00B231CB" w:rsidRDefault="00C71431">
            <w:pPr>
              <w:jc w:val="center"/>
              <w:rPr>
                <w:noProof/>
              </w:rPr>
            </w:pPr>
            <w:r>
              <w:rPr>
                <w:noProof/>
              </w:rPr>
              <w:t>90</w:t>
            </w:r>
          </w:p>
        </w:tc>
        <w:tc>
          <w:tcPr>
            <w:tcW w:w="537" w:type="pct"/>
            <w:noWrap/>
          </w:tcPr>
          <w:p w:rsidR="00B231CB" w:rsidRDefault="00C71431">
            <w:pPr>
              <w:jc w:val="center"/>
              <w:rPr>
                <w:noProof/>
              </w:rPr>
            </w:pPr>
            <w:r>
              <w:rPr>
                <w:noProof/>
              </w:rPr>
              <w:t>179</w:t>
            </w:r>
          </w:p>
        </w:tc>
        <w:tc>
          <w:tcPr>
            <w:tcW w:w="697" w:type="pct"/>
            <w:noWrap/>
          </w:tcPr>
          <w:p w:rsidR="00B231CB" w:rsidRDefault="00C71431">
            <w:pPr>
              <w:jc w:val="center"/>
              <w:rPr>
                <w:noProof/>
              </w:rPr>
            </w:pPr>
            <w:r>
              <w:rPr>
                <w:noProof/>
              </w:rPr>
              <w:t>297</w:t>
            </w:r>
          </w:p>
        </w:tc>
        <w:tc>
          <w:tcPr>
            <w:tcW w:w="515" w:type="pct"/>
            <w:noWrap/>
          </w:tcPr>
          <w:p w:rsidR="00B231CB" w:rsidRDefault="00C71431">
            <w:pPr>
              <w:jc w:val="center"/>
              <w:rPr>
                <w:noProof/>
              </w:rPr>
            </w:pPr>
            <w:r>
              <w:rPr>
                <w:noProof/>
              </w:rPr>
              <w:t>585</w:t>
            </w:r>
          </w:p>
        </w:tc>
        <w:tc>
          <w:tcPr>
            <w:tcW w:w="742" w:type="pct"/>
            <w:noWrap/>
          </w:tcPr>
          <w:p w:rsidR="00B231CB" w:rsidRDefault="00C71431">
            <w:pPr>
              <w:spacing w:after="60" w:line="276" w:lineRule="auto"/>
              <w:jc w:val="center"/>
              <w:rPr>
                <w:noProof/>
                <w:szCs w:val="24"/>
              </w:rPr>
            </w:pPr>
            <w:r>
              <w:rPr>
                <w:noProof/>
                <w:szCs w:val="24"/>
              </w:rPr>
              <w:t>1,104</w:t>
            </w:r>
          </w:p>
        </w:tc>
        <w:tc>
          <w:tcPr>
            <w:tcW w:w="742" w:type="pct"/>
            <w:noWrap/>
          </w:tcPr>
          <w:p w:rsidR="00B231CB" w:rsidRDefault="00C71431">
            <w:pPr>
              <w:spacing w:after="60" w:line="276" w:lineRule="auto"/>
              <w:jc w:val="center"/>
              <w:rPr>
                <w:noProof/>
                <w:szCs w:val="24"/>
              </w:rPr>
            </w:pPr>
            <w:r>
              <w:rPr>
                <w:noProof/>
                <w:szCs w:val="24"/>
              </w:rPr>
              <w:t>934</w:t>
            </w:r>
          </w:p>
        </w:tc>
      </w:tr>
      <w:tr w:rsidR="00B231CB">
        <w:trPr>
          <w:trHeight w:val="255"/>
        </w:trPr>
        <w:tc>
          <w:tcPr>
            <w:tcW w:w="1251" w:type="pct"/>
            <w:tcBorders>
              <w:bottom w:val="single" w:sz="4" w:space="0" w:color="auto"/>
            </w:tcBorders>
            <w:noWrap/>
          </w:tcPr>
          <w:p w:rsidR="00B231CB" w:rsidRDefault="00C71431">
            <w:pPr>
              <w:spacing w:after="60" w:line="276" w:lineRule="auto"/>
              <w:rPr>
                <w:noProof/>
                <w:szCs w:val="24"/>
              </w:rPr>
            </w:pPr>
            <w:r>
              <w:rPr>
                <w:noProof/>
                <w:szCs w:val="24"/>
              </w:rPr>
              <w:t xml:space="preserve">O&amp;M cost [2] </w:t>
            </w:r>
          </w:p>
        </w:tc>
        <w:tc>
          <w:tcPr>
            <w:tcW w:w="515" w:type="pct"/>
            <w:tcBorders>
              <w:bottom w:val="single" w:sz="4" w:space="0" w:color="auto"/>
            </w:tcBorders>
            <w:noWrap/>
          </w:tcPr>
          <w:p w:rsidR="00B231CB" w:rsidRDefault="00C71431">
            <w:pPr>
              <w:jc w:val="center"/>
              <w:rPr>
                <w:noProof/>
              </w:rPr>
            </w:pPr>
            <w:r>
              <w:rPr>
                <w:noProof/>
              </w:rPr>
              <w:t>58</w:t>
            </w:r>
          </w:p>
        </w:tc>
        <w:tc>
          <w:tcPr>
            <w:tcW w:w="537" w:type="pct"/>
            <w:tcBorders>
              <w:bottom w:val="single" w:sz="4" w:space="0" w:color="auto"/>
            </w:tcBorders>
            <w:noWrap/>
          </w:tcPr>
          <w:p w:rsidR="00B231CB" w:rsidRDefault="00C71431">
            <w:pPr>
              <w:jc w:val="center"/>
              <w:rPr>
                <w:noProof/>
              </w:rPr>
            </w:pPr>
            <w:r>
              <w:rPr>
                <w:noProof/>
              </w:rPr>
              <w:t>58</w:t>
            </w:r>
          </w:p>
        </w:tc>
        <w:tc>
          <w:tcPr>
            <w:tcW w:w="697" w:type="pct"/>
            <w:tcBorders>
              <w:bottom w:val="single" w:sz="4" w:space="0" w:color="auto"/>
            </w:tcBorders>
            <w:noWrap/>
          </w:tcPr>
          <w:p w:rsidR="00B231CB" w:rsidRDefault="00C71431">
            <w:pPr>
              <w:jc w:val="center"/>
              <w:rPr>
                <w:noProof/>
              </w:rPr>
            </w:pPr>
            <w:r>
              <w:rPr>
                <w:noProof/>
              </w:rPr>
              <w:t>54</w:t>
            </w:r>
          </w:p>
        </w:tc>
        <w:tc>
          <w:tcPr>
            <w:tcW w:w="515" w:type="pct"/>
            <w:tcBorders>
              <w:bottom w:val="single" w:sz="4" w:space="0" w:color="auto"/>
            </w:tcBorders>
            <w:noWrap/>
          </w:tcPr>
          <w:p w:rsidR="00B231CB" w:rsidRDefault="00C71431">
            <w:pPr>
              <w:jc w:val="center"/>
              <w:rPr>
                <w:noProof/>
              </w:rPr>
            </w:pPr>
            <w:r>
              <w:rPr>
                <w:noProof/>
              </w:rPr>
              <w:t>40</w:t>
            </w:r>
          </w:p>
        </w:tc>
        <w:tc>
          <w:tcPr>
            <w:tcW w:w="742" w:type="pct"/>
            <w:tcBorders>
              <w:bottom w:val="single" w:sz="4" w:space="0" w:color="auto"/>
            </w:tcBorders>
            <w:noWrap/>
          </w:tcPr>
          <w:p w:rsidR="00B231CB" w:rsidRDefault="00C71431">
            <w:pPr>
              <w:spacing w:after="60" w:line="276" w:lineRule="auto"/>
              <w:jc w:val="center"/>
              <w:rPr>
                <w:noProof/>
                <w:szCs w:val="24"/>
              </w:rPr>
            </w:pPr>
            <w:r>
              <w:rPr>
                <w:noProof/>
                <w:szCs w:val="24"/>
              </w:rPr>
              <w:t>10</w:t>
            </w:r>
          </w:p>
        </w:tc>
        <w:tc>
          <w:tcPr>
            <w:tcW w:w="742" w:type="pct"/>
            <w:tcBorders>
              <w:bottom w:val="single" w:sz="4" w:space="0" w:color="auto"/>
            </w:tcBorders>
            <w:noWrap/>
          </w:tcPr>
          <w:p w:rsidR="00B231CB" w:rsidRDefault="00C71431">
            <w:pPr>
              <w:spacing w:after="60" w:line="276" w:lineRule="auto"/>
              <w:jc w:val="center"/>
              <w:rPr>
                <w:noProof/>
                <w:szCs w:val="24"/>
              </w:rPr>
            </w:pPr>
            <w:r>
              <w:rPr>
                <w:noProof/>
                <w:szCs w:val="24"/>
              </w:rPr>
              <w:t>9</w:t>
            </w:r>
          </w:p>
        </w:tc>
      </w:tr>
      <w:tr w:rsidR="00B231CB">
        <w:trPr>
          <w:trHeight w:val="255"/>
        </w:trPr>
        <w:tc>
          <w:tcPr>
            <w:tcW w:w="1251" w:type="pct"/>
            <w:tcBorders>
              <w:bottom w:val="single" w:sz="24" w:space="0" w:color="auto"/>
            </w:tcBorders>
            <w:noWrap/>
          </w:tcPr>
          <w:p w:rsidR="00B231CB" w:rsidRDefault="00C71431">
            <w:pPr>
              <w:spacing w:after="60" w:line="276" w:lineRule="auto"/>
              <w:rPr>
                <w:noProof/>
                <w:szCs w:val="24"/>
              </w:rPr>
            </w:pPr>
            <w:r>
              <w:rPr>
                <w:noProof/>
                <w:szCs w:val="24"/>
              </w:rPr>
              <w:t>Fuel cost savings [3]</w:t>
            </w:r>
          </w:p>
        </w:tc>
        <w:tc>
          <w:tcPr>
            <w:tcW w:w="515" w:type="pct"/>
            <w:tcBorders>
              <w:bottom w:val="single" w:sz="24" w:space="0" w:color="auto"/>
            </w:tcBorders>
            <w:noWrap/>
          </w:tcPr>
          <w:p w:rsidR="00B231CB" w:rsidRDefault="00C71431">
            <w:pPr>
              <w:jc w:val="center"/>
              <w:rPr>
                <w:noProof/>
              </w:rPr>
            </w:pPr>
            <w:r>
              <w:rPr>
                <w:noProof/>
              </w:rPr>
              <w:t>348</w:t>
            </w:r>
          </w:p>
        </w:tc>
        <w:tc>
          <w:tcPr>
            <w:tcW w:w="537" w:type="pct"/>
            <w:tcBorders>
              <w:bottom w:val="single" w:sz="24" w:space="0" w:color="auto"/>
            </w:tcBorders>
            <w:noWrap/>
          </w:tcPr>
          <w:p w:rsidR="00B231CB" w:rsidRDefault="00C71431">
            <w:pPr>
              <w:jc w:val="center"/>
              <w:rPr>
                <w:noProof/>
              </w:rPr>
            </w:pPr>
            <w:r>
              <w:rPr>
                <w:noProof/>
              </w:rPr>
              <w:t>482</w:t>
            </w:r>
          </w:p>
        </w:tc>
        <w:tc>
          <w:tcPr>
            <w:tcW w:w="697" w:type="pct"/>
            <w:tcBorders>
              <w:bottom w:val="single" w:sz="24" w:space="0" w:color="auto"/>
            </w:tcBorders>
            <w:noWrap/>
          </w:tcPr>
          <w:p w:rsidR="00B231CB" w:rsidRDefault="00C71431">
            <w:pPr>
              <w:jc w:val="center"/>
              <w:rPr>
                <w:noProof/>
              </w:rPr>
            </w:pPr>
            <w:r>
              <w:rPr>
                <w:noProof/>
              </w:rPr>
              <w:t>614</w:t>
            </w:r>
          </w:p>
        </w:tc>
        <w:tc>
          <w:tcPr>
            <w:tcW w:w="515" w:type="pct"/>
            <w:tcBorders>
              <w:bottom w:val="single" w:sz="24" w:space="0" w:color="auto"/>
            </w:tcBorders>
            <w:noWrap/>
          </w:tcPr>
          <w:p w:rsidR="00B231CB" w:rsidRDefault="00C71431">
            <w:pPr>
              <w:jc w:val="center"/>
              <w:rPr>
                <w:noProof/>
              </w:rPr>
            </w:pPr>
            <w:r>
              <w:rPr>
                <w:noProof/>
              </w:rPr>
              <w:t>866</w:t>
            </w:r>
          </w:p>
        </w:tc>
        <w:tc>
          <w:tcPr>
            <w:tcW w:w="742" w:type="pct"/>
            <w:tcBorders>
              <w:bottom w:val="single" w:sz="24" w:space="0" w:color="auto"/>
            </w:tcBorders>
            <w:noWrap/>
          </w:tcPr>
          <w:p w:rsidR="00B231CB" w:rsidRDefault="00C71431">
            <w:pPr>
              <w:spacing w:after="60" w:line="276" w:lineRule="auto"/>
              <w:jc w:val="center"/>
              <w:rPr>
                <w:noProof/>
                <w:szCs w:val="24"/>
              </w:rPr>
            </w:pPr>
            <w:r>
              <w:rPr>
                <w:noProof/>
                <w:szCs w:val="24"/>
              </w:rPr>
              <w:t>1,286</w:t>
            </w:r>
          </w:p>
        </w:tc>
        <w:tc>
          <w:tcPr>
            <w:tcW w:w="742" w:type="pct"/>
            <w:tcBorders>
              <w:bottom w:val="single" w:sz="24" w:space="0" w:color="auto"/>
            </w:tcBorders>
            <w:noWrap/>
          </w:tcPr>
          <w:p w:rsidR="00B231CB" w:rsidRDefault="00C71431">
            <w:pPr>
              <w:spacing w:after="60" w:line="276" w:lineRule="auto"/>
              <w:jc w:val="center"/>
              <w:rPr>
                <w:noProof/>
                <w:szCs w:val="24"/>
              </w:rPr>
            </w:pPr>
            <w:r>
              <w:rPr>
                <w:noProof/>
                <w:szCs w:val="24"/>
              </w:rPr>
              <w:t>1,138</w:t>
            </w:r>
          </w:p>
        </w:tc>
      </w:tr>
      <w:tr w:rsidR="00B231CB">
        <w:trPr>
          <w:trHeight w:val="255"/>
        </w:trPr>
        <w:tc>
          <w:tcPr>
            <w:tcW w:w="1251" w:type="pct"/>
            <w:noWrap/>
          </w:tcPr>
          <w:p w:rsidR="00B231CB" w:rsidRDefault="00C71431">
            <w:pPr>
              <w:spacing w:after="60" w:line="276" w:lineRule="auto"/>
              <w:jc w:val="left"/>
              <w:rPr>
                <w:i/>
                <w:noProof/>
                <w:szCs w:val="24"/>
              </w:rPr>
            </w:pPr>
            <w:r>
              <w:rPr>
                <w:i/>
                <w:noProof/>
                <w:szCs w:val="24"/>
              </w:rPr>
              <w:t xml:space="preserve">Net savings </w:t>
            </w:r>
            <w:r>
              <w:rPr>
                <w:i/>
                <w:noProof/>
                <w:szCs w:val="24"/>
              </w:rPr>
              <w:br/>
              <w:t>[3]-[1]-[2]</w:t>
            </w:r>
          </w:p>
        </w:tc>
        <w:tc>
          <w:tcPr>
            <w:tcW w:w="515" w:type="pct"/>
            <w:noWrap/>
          </w:tcPr>
          <w:p w:rsidR="00B231CB" w:rsidRDefault="00C71431">
            <w:pPr>
              <w:jc w:val="center"/>
              <w:rPr>
                <w:i/>
                <w:noProof/>
              </w:rPr>
            </w:pPr>
            <w:r>
              <w:rPr>
                <w:i/>
                <w:noProof/>
              </w:rPr>
              <w:t>200</w:t>
            </w:r>
          </w:p>
        </w:tc>
        <w:tc>
          <w:tcPr>
            <w:tcW w:w="537" w:type="pct"/>
            <w:noWrap/>
          </w:tcPr>
          <w:p w:rsidR="00B231CB" w:rsidRDefault="00C71431">
            <w:pPr>
              <w:jc w:val="center"/>
              <w:rPr>
                <w:i/>
                <w:noProof/>
              </w:rPr>
            </w:pPr>
            <w:r>
              <w:rPr>
                <w:i/>
                <w:noProof/>
              </w:rPr>
              <w:t>245</w:t>
            </w:r>
          </w:p>
        </w:tc>
        <w:tc>
          <w:tcPr>
            <w:tcW w:w="697" w:type="pct"/>
            <w:noWrap/>
          </w:tcPr>
          <w:p w:rsidR="00B231CB" w:rsidRDefault="00C71431">
            <w:pPr>
              <w:jc w:val="center"/>
              <w:rPr>
                <w:i/>
                <w:noProof/>
              </w:rPr>
            </w:pPr>
            <w:r>
              <w:rPr>
                <w:i/>
                <w:noProof/>
              </w:rPr>
              <w:t>263</w:t>
            </w:r>
          </w:p>
        </w:tc>
        <w:tc>
          <w:tcPr>
            <w:tcW w:w="515" w:type="pct"/>
            <w:noWrap/>
          </w:tcPr>
          <w:p w:rsidR="00B231CB" w:rsidRDefault="00C71431">
            <w:pPr>
              <w:jc w:val="center"/>
              <w:rPr>
                <w:i/>
                <w:noProof/>
              </w:rPr>
            </w:pPr>
            <w:r>
              <w:rPr>
                <w:i/>
                <w:noProof/>
              </w:rPr>
              <w:t>241</w:t>
            </w:r>
          </w:p>
        </w:tc>
        <w:tc>
          <w:tcPr>
            <w:tcW w:w="742" w:type="pct"/>
            <w:noWrap/>
          </w:tcPr>
          <w:p w:rsidR="00B231CB" w:rsidRDefault="00C71431">
            <w:pPr>
              <w:spacing w:after="60" w:line="276" w:lineRule="auto"/>
              <w:jc w:val="center"/>
              <w:rPr>
                <w:i/>
                <w:noProof/>
                <w:szCs w:val="24"/>
              </w:rPr>
            </w:pPr>
            <w:r>
              <w:rPr>
                <w:i/>
                <w:noProof/>
                <w:szCs w:val="24"/>
              </w:rPr>
              <w:t>171</w:t>
            </w:r>
          </w:p>
        </w:tc>
        <w:tc>
          <w:tcPr>
            <w:tcW w:w="742" w:type="pct"/>
            <w:noWrap/>
          </w:tcPr>
          <w:p w:rsidR="00B231CB" w:rsidRDefault="00C71431">
            <w:pPr>
              <w:spacing w:after="60" w:line="276" w:lineRule="auto"/>
              <w:jc w:val="center"/>
              <w:rPr>
                <w:i/>
                <w:noProof/>
                <w:szCs w:val="24"/>
              </w:rPr>
            </w:pPr>
            <w:r>
              <w:rPr>
                <w:i/>
                <w:noProof/>
                <w:szCs w:val="24"/>
              </w:rPr>
              <w:t>195</w:t>
            </w:r>
          </w:p>
        </w:tc>
      </w:tr>
    </w:tbl>
    <w:p w:rsidR="00B231CB" w:rsidRDefault="00B231CB">
      <w:pPr>
        <w:rPr>
          <w:noProof/>
        </w:rPr>
      </w:pPr>
    </w:p>
    <w:tbl>
      <w:tblPr>
        <w:tblStyle w:val="TableGrid"/>
        <w:tblW w:w="5000" w:type="pct"/>
        <w:tblLook w:val="04A0" w:firstRow="1" w:lastRow="0" w:firstColumn="1" w:lastColumn="0" w:noHBand="0" w:noVBand="1"/>
      </w:tblPr>
      <w:tblGrid>
        <w:gridCol w:w="2325"/>
        <w:gridCol w:w="957"/>
        <w:gridCol w:w="998"/>
        <w:gridCol w:w="1295"/>
        <w:gridCol w:w="957"/>
        <w:gridCol w:w="1378"/>
        <w:gridCol w:w="1378"/>
      </w:tblGrid>
      <w:tr w:rsidR="00B231CB">
        <w:trPr>
          <w:trHeight w:val="255"/>
        </w:trPr>
        <w:tc>
          <w:tcPr>
            <w:tcW w:w="1251" w:type="pct"/>
            <w:noWrap/>
            <w:hideMark/>
          </w:tcPr>
          <w:p w:rsidR="00B231CB" w:rsidRDefault="00C71431">
            <w:pPr>
              <w:spacing w:after="60" w:line="276" w:lineRule="auto"/>
              <w:rPr>
                <w:noProof/>
                <w:szCs w:val="24"/>
              </w:rPr>
            </w:pPr>
            <w:r>
              <w:rPr>
                <w:b/>
                <w:noProof/>
                <w:szCs w:val="24"/>
              </w:rPr>
              <w:t>2030 (EUR/car</w:t>
            </w:r>
            <w:r>
              <w:rPr>
                <w:noProof/>
                <w:szCs w:val="24"/>
              </w:rPr>
              <w:t>)</w:t>
            </w:r>
          </w:p>
        </w:tc>
        <w:tc>
          <w:tcPr>
            <w:tcW w:w="515" w:type="pct"/>
            <w:noWrap/>
          </w:tcPr>
          <w:p w:rsidR="00B231CB" w:rsidRDefault="00C71431">
            <w:pPr>
              <w:spacing w:after="60" w:line="276" w:lineRule="auto"/>
              <w:jc w:val="center"/>
              <w:rPr>
                <w:noProof/>
                <w:szCs w:val="24"/>
              </w:rPr>
            </w:pPr>
            <w:r>
              <w:rPr>
                <w:noProof/>
                <w:szCs w:val="24"/>
              </w:rPr>
              <w:t>TLC20</w:t>
            </w:r>
          </w:p>
        </w:tc>
        <w:tc>
          <w:tcPr>
            <w:tcW w:w="537" w:type="pct"/>
            <w:noWrap/>
          </w:tcPr>
          <w:p w:rsidR="00B231CB" w:rsidRDefault="00C71431">
            <w:pPr>
              <w:spacing w:after="60" w:line="276" w:lineRule="auto"/>
              <w:jc w:val="center"/>
              <w:rPr>
                <w:noProof/>
                <w:szCs w:val="24"/>
              </w:rPr>
            </w:pPr>
            <w:r>
              <w:rPr>
                <w:noProof/>
                <w:szCs w:val="24"/>
              </w:rPr>
              <w:t>TLC25</w:t>
            </w:r>
          </w:p>
        </w:tc>
        <w:tc>
          <w:tcPr>
            <w:tcW w:w="697" w:type="pct"/>
            <w:noWrap/>
          </w:tcPr>
          <w:p w:rsidR="00B231CB" w:rsidRDefault="00C71431">
            <w:pPr>
              <w:spacing w:after="60" w:line="276" w:lineRule="auto"/>
              <w:jc w:val="center"/>
              <w:rPr>
                <w:noProof/>
                <w:szCs w:val="24"/>
              </w:rPr>
            </w:pPr>
            <w:r>
              <w:rPr>
                <w:noProof/>
                <w:szCs w:val="24"/>
              </w:rPr>
              <w:t>TLC30</w:t>
            </w:r>
          </w:p>
        </w:tc>
        <w:tc>
          <w:tcPr>
            <w:tcW w:w="515" w:type="pct"/>
            <w:noWrap/>
          </w:tcPr>
          <w:p w:rsidR="00B231CB" w:rsidRDefault="00C71431">
            <w:pPr>
              <w:spacing w:after="60" w:line="276" w:lineRule="auto"/>
              <w:jc w:val="center"/>
              <w:rPr>
                <w:noProof/>
                <w:szCs w:val="24"/>
              </w:rPr>
            </w:pPr>
            <w:r>
              <w:rPr>
                <w:noProof/>
                <w:szCs w:val="24"/>
              </w:rPr>
              <w:t>TLC40</w:t>
            </w:r>
          </w:p>
        </w:tc>
        <w:tc>
          <w:tcPr>
            <w:tcW w:w="742" w:type="pct"/>
            <w:noWrap/>
          </w:tcPr>
          <w:p w:rsidR="00B231CB" w:rsidRDefault="00C71431">
            <w:pPr>
              <w:spacing w:after="60" w:line="276" w:lineRule="auto"/>
              <w:jc w:val="center"/>
              <w:rPr>
                <w:noProof/>
                <w:szCs w:val="24"/>
              </w:rPr>
            </w:pPr>
            <w:r>
              <w:rPr>
                <w:noProof/>
                <w:szCs w:val="24"/>
              </w:rPr>
              <w:t>TLC_EP40</w:t>
            </w:r>
          </w:p>
        </w:tc>
        <w:tc>
          <w:tcPr>
            <w:tcW w:w="742" w:type="pct"/>
            <w:noWrap/>
          </w:tcPr>
          <w:p w:rsidR="00B231CB" w:rsidRDefault="00C71431">
            <w:pPr>
              <w:spacing w:after="60" w:line="276" w:lineRule="auto"/>
              <w:jc w:val="center"/>
              <w:rPr>
                <w:noProof/>
                <w:szCs w:val="24"/>
              </w:rPr>
            </w:pPr>
            <w:r>
              <w:rPr>
                <w:noProof/>
                <w:szCs w:val="24"/>
              </w:rPr>
              <w:t>TLC_EP50</w:t>
            </w:r>
          </w:p>
        </w:tc>
      </w:tr>
      <w:tr w:rsidR="00B231CB">
        <w:trPr>
          <w:trHeight w:val="255"/>
        </w:trPr>
        <w:tc>
          <w:tcPr>
            <w:tcW w:w="1251" w:type="pct"/>
            <w:noWrap/>
          </w:tcPr>
          <w:p w:rsidR="00B231CB" w:rsidRDefault="00C71431">
            <w:pPr>
              <w:spacing w:after="60" w:line="276" w:lineRule="auto"/>
              <w:rPr>
                <w:noProof/>
                <w:szCs w:val="24"/>
              </w:rPr>
            </w:pPr>
            <w:r>
              <w:rPr>
                <w:noProof/>
                <w:szCs w:val="24"/>
              </w:rPr>
              <w:t>Capital cost [1]</w:t>
            </w:r>
          </w:p>
        </w:tc>
        <w:tc>
          <w:tcPr>
            <w:tcW w:w="515" w:type="pct"/>
            <w:noWrap/>
          </w:tcPr>
          <w:p w:rsidR="00B231CB" w:rsidRDefault="00C71431">
            <w:pPr>
              <w:jc w:val="center"/>
              <w:rPr>
                <w:noProof/>
              </w:rPr>
            </w:pPr>
            <w:r>
              <w:rPr>
                <w:noProof/>
              </w:rPr>
              <w:t>328</w:t>
            </w:r>
          </w:p>
        </w:tc>
        <w:tc>
          <w:tcPr>
            <w:tcW w:w="537" w:type="pct"/>
            <w:noWrap/>
          </w:tcPr>
          <w:p w:rsidR="00B231CB" w:rsidRDefault="00C71431">
            <w:pPr>
              <w:jc w:val="center"/>
              <w:rPr>
                <w:noProof/>
              </w:rPr>
            </w:pPr>
            <w:r>
              <w:rPr>
                <w:noProof/>
              </w:rPr>
              <w:t>532</w:t>
            </w:r>
          </w:p>
        </w:tc>
        <w:tc>
          <w:tcPr>
            <w:tcW w:w="697" w:type="pct"/>
            <w:noWrap/>
          </w:tcPr>
          <w:p w:rsidR="00B231CB" w:rsidRDefault="00C71431">
            <w:pPr>
              <w:jc w:val="center"/>
              <w:rPr>
                <w:noProof/>
              </w:rPr>
            </w:pPr>
            <w:r>
              <w:rPr>
                <w:noProof/>
              </w:rPr>
              <w:t>799</w:t>
            </w:r>
          </w:p>
        </w:tc>
        <w:tc>
          <w:tcPr>
            <w:tcW w:w="515" w:type="pct"/>
            <w:noWrap/>
          </w:tcPr>
          <w:p w:rsidR="00B231CB" w:rsidRDefault="00C71431">
            <w:pPr>
              <w:jc w:val="center"/>
              <w:rPr>
                <w:noProof/>
              </w:rPr>
            </w:pPr>
            <w:r>
              <w:rPr>
                <w:noProof/>
              </w:rPr>
              <w:t>1,419</w:t>
            </w:r>
          </w:p>
        </w:tc>
        <w:tc>
          <w:tcPr>
            <w:tcW w:w="742" w:type="pct"/>
            <w:noWrap/>
          </w:tcPr>
          <w:p w:rsidR="00B231CB" w:rsidRDefault="00C71431">
            <w:pPr>
              <w:spacing w:after="60" w:line="276" w:lineRule="auto"/>
              <w:jc w:val="center"/>
              <w:rPr>
                <w:noProof/>
                <w:szCs w:val="24"/>
              </w:rPr>
            </w:pPr>
            <w:r>
              <w:rPr>
                <w:noProof/>
                <w:szCs w:val="24"/>
              </w:rPr>
              <w:t>1,456</w:t>
            </w:r>
          </w:p>
        </w:tc>
        <w:tc>
          <w:tcPr>
            <w:tcW w:w="742" w:type="pct"/>
            <w:noWrap/>
          </w:tcPr>
          <w:p w:rsidR="00B231CB" w:rsidRDefault="00C71431">
            <w:pPr>
              <w:spacing w:after="60" w:line="276" w:lineRule="auto"/>
              <w:jc w:val="center"/>
              <w:rPr>
                <w:noProof/>
                <w:szCs w:val="24"/>
              </w:rPr>
            </w:pPr>
            <w:r>
              <w:rPr>
                <w:noProof/>
                <w:szCs w:val="24"/>
              </w:rPr>
              <w:t>2,154</w:t>
            </w:r>
          </w:p>
        </w:tc>
      </w:tr>
      <w:tr w:rsidR="00B231CB">
        <w:trPr>
          <w:trHeight w:val="255"/>
        </w:trPr>
        <w:tc>
          <w:tcPr>
            <w:tcW w:w="1251" w:type="pct"/>
            <w:tcBorders>
              <w:bottom w:val="single" w:sz="4" w:space="0" w:color="auto"/>
            </w:tcBorders>
            <w:noWrap/>
          </w:tcPr>
          <w:p w:rsidR="00B231CB" w:rsidRDefault="00C71431">
            <w:pPr>
              <w:spacing w:after="60" w:line="276" w:lineRule="auto"/>
              <w:rPr>
                <w:noProof/>
                <w:szCs w:val="24"/>
              </w:rPr>
            </w:pPr>
            <w:r>
              <w:rPr>
                <w:noProof/>
                <w:szCs w:val="24"/>
              </w:rPr>
              <w:t xml:space="preserve">O&amp;M cost [2] </w:t>
            </w:r>
          </w:p>
        </w:tc>
        <w:tc>
          <w:tcPr>
            <w:tcW w:w="515" w:type="pct"/>
            <w:tcBorders>
              <w:bottom w:val="single" w:sz="4" w:space="0" w:color="auto"/>
            </w:tcBorders>
            <w:noWrap/>
          </w:tcPr>
          <w:p w:rsidR="00B231CB" w:rsidRDefault="00C71431">
            <w:pPr>
              <w:jc w:val="center"/>
              <w:rPr>
                <w:noProof/>
              </w:rPr>
            </w:pPr>
            <w:r>
              <w:rPr>
                <w:noProof/>
              </w:rPr>
              <w:t>-26</w:t>
            </w:r>
          </w:p>
        </w:tc>
        <w:tc>
          <w:tcPr>
            <w:tcW w:w="537" w:type="pct"/>
            <w:tcBorders>
              <w:bottom w:val="single" w:sz="4" w:space="0" w:color="auto"/>
            </w:tcBorders>
            <w:noWrap/>
          </w:tcPr>
          <w:p w:rsidR="00B231CB" w:rsidRDefault="00C71431">
            <w:pPr>
              <w:jc w:val="center"/>
              <w:rPr>
                <w:noProof/>
              </w:rPr>
            </w:pPr>
            <w:r>
              <w:rPr>
                <w:noProof/>
              </w:rPr>
              <w:t>-26</w:t>
            </w:r>
          </w:p>
        </w:tc>
        <w:tc>
          <w:tcPr>
            <w:tcW w:w="697" w:type="pct"/>
            <w:tcBorders>
              <w:bottom w:val="single" w:sz="4" w:space="0" w:color="auto"/>
            </w:tcBorders>
            <w:noWrap/>
          </w:tcPr>
          <w:p w:rsidR="00B231CB" w:rsidRDefault="00C71431">
            <w:pPr>
              <w:jc w:val="center"/>
              <w:rPr>
                <w:noProof/>
              </w:rPr>
            </w:pPr>
            <w:r>
              <w:rPr>
                <w:noProof/>
              </w:rPr>
              <w:t>-40</w:t>
            </w:r>
          </w:p>
        </w:tc>
        <w:tc>
          <w:tcPr>
            <w:tcW w:w="515" w:type="pct"/>
            <w:tcBorders>
              <w:bottom w:val="single" w:sz="4" w:space="0" w:color="auto"/>
            </w:tcBorders>
            <w:noWrap/>
          </w:tcPr>
          <w:p w:rsidR="00B231CB" w:rsidRDefault="00C71431">
            <w:pPr>
              <w:jc w:val="center"/>
              <w:rPr>
                <w:noProof/>
              </w:rPr>
            </w:pPr>
            <w:r>
              <w:rPr>
                <w:noProof/>
              </w:rPr>
              <w:t>-66</w:t>
            </w:r>
          </w:p>
        </w:tc>
        <w:tc>
          <w:tcPr>
            <w:tcW w:w="742" w:type="pct"/>
            <w:tcBorders>
              <w:bottom w:val="single" w:sz="4" w:space="0" w:color="auto"/>
            </w:tcBorders>
            <w:noWrap/>
          </w:tcPr>
          <w:p w:rsidR="00B231CB" w:rsidRDefault="00C71431">
            <w:pPr>
              <w:spacing w:after="60" w:line="276" w:lineRule="auto"/>
              <w:jc w:val="center"/>
              <w:rPr>
                <w:noProof/>
                <w:szCs w:val="24"/>
              </w:rPr>
            </w:pPr>
            <w:r>
              <w:rPr>
                <w:noProof/>
                <w:szCs w:val="24"/>
              </w:rPr>
              <w:t>-71</w:t>
            </w:r>
          </w:p>
        </w:tc>
        <w:tc>
          <w:tcPr>
            <w:tcW w:w="742" w:type="pct"/>
            <w:tcBorders>
              <w:bottom w:val="single" w:sz="4" w:space="0" w:color="auto"/>
            </w:tcBorders>
            <w:noWrap/>
          </w:tcPr>
          <w:p w:rsidR="00B231CB" w:rsidRDefault="00C71431">
            <w:pPr>
              <w:spacing w:after="60" w:line="276" w:lineRule="auto"/>
              <w:jc w:val="center"/>
              <w:rPr>
                <w:noProof/>
                <w:szCs w:val="24"/>
              </w:rPr>
            </w:pPr>
            <w:r>
              <w:rPr>
                <w:noProof/>
                <w:szCs w:val="24"/>
              </w:rPr>
              <w:t>-82</w:t>
            </w:r>
          </w:p>
        </w:tc>
      </w:tr>
      <w:tr w:rsidR="00B231CB">
        <w:trPr>
          <w:trHeight w:val="255"/>
        </w:trPr>
        <w:tc>
          <w:tcPr>
            <w:tcW w:w="1251" w:type="pct"/>
            <w:tcBorders>
              <w:bottom w:val="single" w:sz="24" w:space="0" w:color="auto"/>
            </w:tcBorders>
            <w:noWrap/>
          </w:tcPr>
          <w:p w:rsidR="00B231CB" w:rsidRDefault="00C71431">
            <w:pPr>
              <w:spacing w:after="60" w:line="276" w:lineRule="auto"/>
              <w:rPr>
                <w:noProof/>
                <w:szCs w:val="24"/>
              </w:rPr>
            </w:pPr>
            <w:r>
              <w:rPr>
                <w:noProof/>
                <w:szCs w:val="24"/>
              </w:rPr>
              <w:t>Fuel cost savings [3]</w:t>
            </w:r>
          </w:p>
        </w:tc>
        <w:tc>
          <w:tcPr>
            <w:tcW w:w="515" w:type="pct"/>
            <w:tcBorders>
              <w:bottom w:val="single" w:sz="24" w:space="0" w:color="auto"/>
            </w:tcBorders>
            <w:noWrap/>
          </w:tcPr>
          <w:p w:rsidR="00B231CB" w:rsidRDefault="00C71431">
            <w:pPr>
              <w:jc w:val="center"/>
              <w:rPr>
                <w:noProof/>
              </w:rPr>
            </w:pPr>
            <w:r>
              <w:rPr>
                <w:noProof/>
              </w:rPr>
              <w:t>1,025</w:t>
            </w:r>
          </w:p>
        </w:tc>
        <w:tc>
          <w:tcPr>
            <w:tcW w:w="537" w:type="pct"/>
            <w:tcBorders>
              <w:bottom w:val="single" w:sz="24" w:space="0" w:color="auto"/>
            </w:tcBorders>
            <w:noWrap/>
          </w:tcPr>
          <w:p w:rsidR="00B231CB" w:rsidRDefault="00C71431">
            <w:pPr>
              <w:jc w:val="center"/>
              <w:rPr>
                <w:noProof/>
              </w:rPr>
            </w:pPr>
            <w:r>
              <w:rPr>
                <w:noProof/>
              </w:rPr>
              <w:t>1,323</w:t>
            </w:r>
          </w:p>
        </w:tc>
        <w:tc>
          <w:tcPr>
            <w:tcW w:w="697" w:type="pct"/>
            <w:tcBorders>
              <w:bottom w:val="single" w:sz="24" w:space="0" w:color="auto"/>
            </w:tcBorders>
            <w:noWrap/>
          </w:tcPr>
          <w:p w:rsidR="00B231CB" w:rsidRDefault="00C71431">
            <w:pPr>
              <w:jc w:val="center"/>
              <w:rPr>
                <w:noProof/>
              </w:rPr>
            </w:pPr>
            <w:r>
              <w:rPr>
                <w:noProof/>
              </w:rPr>
              <w:t>1,576</w:t>
            </w:r>
          </w:p>
        </w:tc>
        <w:tc>
          <w:tcPr>
            <w:tcW w:w="515" w:type="pct"/>
            <w:tcBorders>
              <w:bottom w:val="single" w:sz="24" w:space="0" w:color="auto"/>
            </w:tcBorders>
            <w:noWrap/>
          </w:tcPr>
          <w:p w:rsidR="00B231CB" w:rsidRDefault="00C71431">
            <w:pPr>
              <w:jc w:val="center"/>
              <w:rPr>
                <w:noProof/>
              </w:rPr>
            </w:pPr>
            <w:r>
              <w:rPr>
                <w:noProof/>
              </w:rPr>
              <w:t>1,992</w:t>
            </w:r>
          </w:p>
        </w:tc>
        <w:tc>
          <w:tcPr>
            <w:tcW w:w="742" w:type="pct"/>
            <w:tcBorders>
              <w:bottom w:val="single" w:sz="24" w:space="0" w:color="auto"/>
            </w:tcBorders>
            <w:noWrap/>
          </w:tcPr>
          <w:p w:rsidR="00B231CB" w:rsidRDefault="00C71431">
            <w:pPr>
              <w:spacing w:after="60" w:line="276" w:lineRule="auto"/>
              <w:jc w:val="center"/>
              <w:rPr>
                <w:noProof/>
                <w:szCs w:val="24"/>
              </w:rPr>
            </w:pPr>
            <w:r>
              <w:rPr>
                <w:noProof/>
                <w:szCs w:val="24"/>
              </w:rPr>
              <w:t>2,012</w:t>
            </w:r>
          </w:p>
        </w:tc>
        <w:tc>
          <w:tcPr>
            <w:tcW w:w="742" w:type="pct"/>
            <w:tcBorders>
              <w:bottom w:val="single" w:sz="24" w:space="0" w:color="auto"/>
            </w:tcBorders>
            <w:noWrap/>
          </w:tcPr>
          <w:p w:rsidR="00B231CB" w:rsidRDefault="00C71431">
            <w:pPr>
              <w:spacing w:after="60" w:line="276" w:lineRule="auto"/>
              <w:jc w:val="center"/>
              <w:rPr>
                <w:noProof/>
                <w:szCs w:val="24"/>
              </w:rPr>
            </w:pPr>
            <w:r>
              <w:rPr>
                <w:noProof/>
                <w:szCs w:val="24"/>
              </w:rPr>
              <w:t>2,354</w:t>
            </w:r>
          </w:p>
        </w:tc>
      </w:tr>
      <w:tr w:rsidR="00B231CB">
        <w:trPr>
          <w:trHeight w:val="255"/>
        </w:trPr>
        <w:tc>
          <w:tcPr>
            <w:tcW w:w="1251" w:type="pct"/>
            <w:noWrap/>
          </w:tcPr>
          <w:p w:rsidR="00B231CB" w:rsidRDefault="00C71431">
            <w:pPr>
              <w:spacing w:after="60" w:line="276" w:lineRule="auto"/>
              <w:jc w:val="left"/>
              <w:rPr>
                <w:i/>
                <w:noProof/>
                <w:szCs w:val="24"/>
              </w:rPr>
            </w:pPr>
            <w:r>
              <w:rPr>
                <w:i/>
                <w:noProof/>
                <w:szCs w:val="24"/>
              </w:rPr>
              <w:t xml:space="preserve">Net savings </w:t>
            </w:r>
            <w:r>
              <w:rPr>
                <w:i/>
                <w:noProof/>
                <w:szCs w:val="24"/>
              </w:rPr>
              <w:br/>
              <w:t>[3]-[1]-[2]</w:t>
            </w:r>
          </w:p>
        </w:tc>
        <w:tc>
          <w:tcPr>
            <w:tcW w:w="515" w:type="pct"/>
            <w:noWrap/>
          </w:tcPr>
          <w:p w:rsidR="00B231CB" w:rsidRDefault="00C71431">
            <w:pPr>
              <w:jc w:val="center"/>
              <w:rPr>
                <w:i/>
                <w:noProof/>
              </w:rPr>
            </w:pPr>
            <w:r>
              <w:rPr>
                <w:i/>
                <w:noProof/>
              </w:rPr>
              <w:t>723</w:t>
            </w:r>
          </w:p>
        </w:tc>
        <w:tc>
          <w:tcPr>
            <w:tcW w:w="537" w:type="pct"/>
            <w:noWrap/>
          </w:tcPr>
          <w:p w:rsidR="00B231CB" w:rsidRDefault="00C71431">
            <w:pPr>
              <w:jc w:val="center"/>
              <w:rPr>
                <w:i/>
                <w:noProof/>
              </w:rPr>
            </w:pPr>
            <w:r>
              <w:rPr>
                <w:i/>
                <w:noProof/>
              </w:rPr>
              <w:t>817</w:t>
            </w:r>
          </w:p>
        </w:tc>
        <w:tc>
          <w:tcPr>
            <w:tcW w:w="697" w:type="pct"/>
            <w:noWrap/>
          </w:tcPr>
          <w:p w:rsidR="00B231CB" w:rsidRDefault="00C71431">
            <w:pPr>
              <w:jc w:val="center"/>
              <w:rPr>
                <w:i/>
                <w:noProof/>
              </w:rPr>
            </w:pPr>
            <w:r>
              <w:rPr>
                <w:i/>
                <w:noProof/>
              </w:rPr>
              <w:t>818</w:t>
            </w:r>
          </w:p>
        </w:tc>
        <w:tc>
          <w:tcPr>
            <w:tcW w:w="515" w:type="pct"/>
            <w:noWrap/>
          </w:tcPr>
          <w:p w:rsidR="00B231CB" w:rsidRDefault="00C71431">
            <w:pPr>
              <w:jc w:val="center"/>
              <w:rPr>
                <w:i/>
                <w:noProof/>
              </w:rPr>
            </w:pPr>
            <w:r>
              <w:rPr>
                <w:i/>
                <w:noProof/>
              </w:rPr>
              <w:t>639</w:t>
            </w:r>
          </w:p>
        </w:tc>
        <w:tc>
          <w:tcPr>
            <w:tcW w:w="742" w:type="pct"/>
            <w:noWrap/>
          </w:tcPr>
          <w:p w:rsidR="00B231CB" w:rsidRDefault="00C71431">
            <w:pPr>
              <w:spacing w:after="60" w:line="276" w:lineRule="auto"/>
              <w:jc w:val="center"/>
              <w:rPr>
                <w:i/>
                <w:noProof/>
                <w:szCs w:val="24"/>
              </w:rPr>
            </w:pPr>
            <w:r>
              <w:rPr>
                <w:i/>
                <w:noProof/>
                <w:szCs w:val="24"/>
              </w:rPr>
              <w:t>627</w:t>
            </w:r>
          </w:p>
        </w:tc>
        <w:tc>
          <w:tcPr>
            <w:tcW w:w="742" w:type="pct"/>
            <w:noWrap/>
          </w:tcPr>
          <w:p w:rsidR="00B231CB" w:rsidRDefault="00C71431">
            <w:pPr>
              <w:spacing w:after="60" w:line="276" w:lineRule="auto"/>
              <w:jc w:val="center"/>
              <w:rPr>
                <w:i/>
                <w:noProof/>
                <w:szCs w:val="24"/>
              </w:rPr>
            </w:pPr>
            <w:r>
              <w:rPr>
                <w:i/>
                <w:noProof/>
                <w:szCs w:val="24"/>
              </w:rPr>
              <w:t>282</w:t>
            </w:r>
          </w:p>
        </w:tc>
      </w:tr>
    </w:tbl>
    <w:p w:rsidR="00B231CB" w:rsidRDefault="00C71431">
      <w:pPr>
        <w:pStyle w:val="Heading5"/>
        <w:rPr>
          <w:noProof/>
          <w:color w:val="000000" w:themeColor="text1"/>
        </w:rPr>
      </w:pPr>
      <w:bookmarkStart w:id="133" w:name="_Ref493265462"/>
      <w:bookmarkStart w:id="134" w:name="_Toc493873408"/>
      <w:r>
        <w:rPr>
          <w:noProof/>
          <w:color w:val="000000" w:themeColor="text1"/>
        </w:rPr>
        <w:t xml:space="preserve">Sensitivity – economic impacts under </w:t>
      </w:r>
      <w:r>
        <w:rPr>
          <w:i/>
          <w:noProof/>
          <w:color w:val="000000" w:themeColor="text1"/>
        </w:rPr>
        <w:t>varying cost assumptions</w:t>
      </w:r>
      <w:r>
        <w:rPr>
          <w:noProof/>
          <w:color w:val="000000" w:themeColor="text1"/>
        </w:rPr>
        <w:t xml:space="preserve"> </w:t>
      </w:r>
    </w:p>
    <w:p w:rsidR="00B231CB" w:rsidRDefault="00C71431">
      <w:pPr>
        <w:spacing w:after="120"/>
        <w:rPr>
          <w:noProof/>
          <w:szCs w:val="24"/>
        </w:rPr>
      </w:pPr>
      <w:r>
        <w:rPr>
          <w:noProof/>
          <w:color w:val="000000" w:themeColor="text1"/>
        </w:rPr>
        <w:t xml:space="preserve">As explained in Section 6.1 of the Impact Assessment, </w:t>
      </w:r>
      <w:r>
        <w:rPr>
          <w:noProof/>
          <w:szCs w:val="24"/>
        </w:rPr>
        <w:t>for the purpose of analysing the sensitivity of cost assumptions apart from the "medium" costs, a number of cost-curves were developed illu</w:t>
      </w:r>
      <w:r>
        <w:rPr>
          <w:noProof/>
          <w:szCs w:val="24"/>
        </w:rPr>
        <w:t>strating the impact of low and high technology cost estimates. These different cost estimates were calculated using a methodological approach developed and refined in consultation with stakeholders and a statistical model to assess the uncertainty in the f</w:t>
      </w:r>
      <w:r>
        <w:rPr>
          <w:noProof/>
          <w:szCs w:val="24"/>
        </w:rPr>
        <w:t>uture cost projections. The "medium" cost case represents the most likely scenario resulting from significant future technology deployment to meet post-2020 CO</w:t>
      </w:r>
      <w:r>
        <w:rPr>
          <w:noProof/>
          <w:szCs w:val="24"/>
          <w:vertAlign w:val="subscript"/>
        </w:rPr>
        <w:t>2</w:t>
      </w:r>
      <w:r>
        <w:rPr>
          <w:noProof/>
          <w:szCs w:val="24"/>
        </w:rPr>
        <w:t xml:space="preserve"> targets. </w:t>
      </w:r>
    </w:p>
    <w:p w:rsidR="00B231CB" w:rsidRDefault="00C71431">
      <w:pPr>
        <w:spacing w:after="120"/>
        <w:rPr>
          <w:noProof/>
        </w:rPr>
      </w:pPr>
      <w:r>
        <w:rPr>
          <w:noProof/>
        </w:rPr>
        <w:t xml:space="preserve">The tables below summarise the net economic savings for a range of TLC options, with </w:t>
      </w:r>
      <w:r>
        <w:rPr>
          <w:noProof/>
        </w:rPr>
        <w:t xml:space="preserve">technology costs varying as follows: </w:t>
      </w:r>
    </w:p>
    <w:p w:rsidR="00B231CB" w:rsidRDefault="00C71431">
      <w:pPr>
        <w:pStyle w:val="ListParagraph"/>
        <w:numPr>
          <w:ilvl w:val="0"/>
          <w:numId w:val="26"/>
        </w:numPr>
        <w:spacing w:after="120"/>
        <w:contextualSpacing w:val="0"/>
        <w:rPr>
          <w:noProof/>
        </w:rPr>
      </w:pPr>
      <w:r>
        <w:rPr>
          <w:noProof/>
        </w:rPr>
        <w:t>"High": High costs for EV and ICEV</w:t>
      </w:r>
    </w:p>
    <w:p w:rsidR="00B231CB" w:rsidRDefault="00C71431">
      <w:pPr>
        <w:pStyle w:val="ListParagraph"/>
        <w:numPr>
          <w:ilvl w:val="0"/>
          <w:numId w:val="26"/>
        </w:numPr>
        <w:spacing w:after="120"/>
        <w:contextualSpacing w:val="0"/>
        <w:rPr>
          <w:noProof/>
        </w:rPr>
      </w:pPr>
      <w:r>
        <w:rPr>
          <w:noProof/>
        </w:rPr>
        <w:t>"High ICE": Medium costs for EV, High Costs for ICEV</w:t>
      </w:r>
    </w:p>
    <w:p w:rsidR="00B231CB" w:rsidRDefault="00C71431">
      <w:pPr>
        <w:pStyle w:val="ListParagraph"/>
        <w:numPr>
          <w:ilvl w:val="0"/>
          <w:numId w:val="26"/>
        </w:numPr>
        <w:spacing w:after="120"/>
        <w:contextualSpacing w:val="0"/>
        <w:rPr>
          <w:noProof/>
        </w:rPr>
      </w:pPr>
      <w:r>
        <w:rPr>
          <w:noProof/>
        </w:rPr>
        <w:t xml:space="preserve"> "Medium": 'default' case with medium cost assumptions for all technologies, as applied in Section 8.2.1.1;</w:t>
      </w:r>
    </w:p>
    <w:p w:rsidR="00B231CB" w:rsidRDefault="00C71431">
      <w:pPr>
        <w:pStyle w:val="ListParagraph"/>
        <w:numPr>
          <w:ilvl w:val="0"/>
          <w:numId w:val="26"/>
        </w:numPr>
        <w:spacing w:after="120"/>
        <w:contextualSpacing w:val="0"/>
        <w:rPr>
          <w:noProof/>
        </w:rPr>
      </w:pPr>
      <w:r>
        <w:rPr>
          <w:noProof/>
        </w:rPr>
        <w:t xml:space="preserve">"LxEV": Low costs for </w:t>
      </w:r>
      <w:r>
        <w:rPr>
          <w:noProof/>
        </w:rPr>
        <w:t>EV, Medium Costs for ICEV;</w:t>
      </w:r>
    </w:p>
    <w:p w:rsidR="00B231CB" w:rsidRDefault="00C71431">
      <w:pPr>
        <w:pStyle w:val="ListParagraph"/>
        <w:numPr>
          <w:ilvl w:val="0"/>
          <w:numId w:val="26"/>
        </w:numPr>
        <w:spacing w:after="120"/>
        <w:contextualSpacing w:val="0"/>
        <w:rPr>
          <w:noProof/>
        </w:rPr>
      </w:pPr>
      <w:r>
        <w:rPr>
          <w:noProof/>
        </w:rPr>
        <w:t>"Low": Low costs for EV and ICEV</w:t>
      </w:r>
    </w:p>
    <w:p w:rsidR="00B231CB" w:rsidRDefault="00C71431">
      <w:pPr>
        <w:spacing w:after="120"/>
        <w:rPr>
          <w:noProof/>
          <w:color w:val="000000" w:themeColor="text1"/>
        </w:rPr>
      </w:pPr>
      <w:r>
        <w:rPr>
          <w:noProof/>
          <w:color w:val="000000" w:themeColor="text1"/>
        </w:rPr>
        <w:t xml:space="preserve">The tables document to what extent the capital costs, O&amp;M costs and fuel savings, as well as the resulting net savings vary with differing technology cost assumptions. </w:t>
      </w:r>
    </w:p>
    <w:p w:rsidR="00B231CB" w:rsidRDefault="00C71431">
      <w:pPr>
        <w:spacing w:after="120"/>
        <w:rPr>
          <w:noProof/>
          <w:color w:val="000000" w:themeColor="text1"/>
        </w:rPr>
      </w:pPr>
      <w:r>
        <w:rPr>
          <w:noProof/>
          <w:color w:val="000000" w:themeColor="text1"/>
        </w:rPr>
        <w:t>Results are presented for t</w:t>
      </w:r>
      <w:r>
        <w:rPr>
          <w:noProof/>
          <w:color w:val="000000" w:themeColor="text1"/>
        </w:rPr>
        <w:t xml:space="preserve">he savings over a vehicle lifetime from a societal perspective, for a TOC-15-years end-user perspective (only showing the net savings in this case) and from a TCO-first user (5 years) perspective. </w:t>
      </w:r>
    </w:p>
    <w:p w:rsidR="00B231CB" w:rsidRDefault="00C71431">
      <w:pPr>
        <w:spacing w:after="120"/>
        <w:rPr>
          <w:noProof/>
          <w:color w:val="000000" w:themeColor="text1"/>
        </w:rPr>
      </w:pPr>
      <w:r>
        <w:rPr>
          <w:noProof/>
          <w:color w:val="000000" w:themeColor="text1"/>
        </w:rPr>
        <w:t>Net savings increase as technology costs are getting lower</w:t>
      </w:r>
      <w:r>
        <w:rPr>
          <w:noProof/>
          <w:color w:val="000000" w:themeColor="text1"/>
        </w:rPr>
        <w:t xml:space="preserve"> due to a combination of lower capital costs and higher fuel savings (as the share of alternative powertrains, incl. EV, increases).</w:t>
      </w:r>
    </w:p>
    <w:p w:rsidR="00B231CB" w:rsidRDefault="00C71431">
      <w:pPr>
        <w:spacing w:after="120"/>
        <w:rPr>
          <w:noProof/>
          <w:color w:val="000000" w:themeColor="text1"/>
        </w:rPr>
      </w:pPr>
      <w:r>
        <w:rPr>
          <w:noProof/>
          <w:color w:val="000000" w:themeColor="text1"/>
        </w:rPr>
        <w:t>Across the different cost assumptions assessed, the highest net savings are usually found when using "Low" costs.</w:t>
      </w:r>
    </w:p>
    <w:p w:rsidR="00B231CB" w:rsidRDefault="00C71431">
      <w:pPr>
        <w:pStyle w:val="Caption"/>
        <w:keepNext/>
        <w:spacing w:after="240"/>
        <w:jc w:val="both"/>
        <w:rPr>
          <w:noProof/>
        </w:rPr>
      </w:pPr>
      <w:r>
        <w:rPr>
          <w:noProof/>
        </w:rPr>
        <w:t xml:space="preserve">Table </w:t>
      </w:r>
      <w:r>
        <w:rPr>
          <w:noProof/>
        </w:rPr>
        <w:fldChar w:fldCharType="begin"/>
      </w:r>
      <w:r>
        <w:rPr>
          <w:noProof/>
        </w:rPr>
        <w:instrText xml:space="preserve"> SE</w:instrText>
      </w:r>
      <w:r>
        <w:rPr>
          <w:noProof/>
        </w:rPr>
        <w:instrText xml:space="preserve">Q Table \* ARABIC </w:instrText>
      </w:r>
      <w:r>
        <w:rPr>
          <w:noProof/>
        </w:rPr>
        <w:fldChar w:fldCharType="separate"/>
      </w:r>
      <w:r>
        <w:rPr>
          <w:noProof/>
        </w:rPr>
        <w:t>13</w:t>
      </w:r>
      <w:r>
        <w:rPr>
          <w:noProof/>
        </w:rPr>
        <w:fldChar w:fldCharType="end"/>
      </w:r>
      <w:r>
        <w:rPr>
          <w:noProof/>
        </w:rPr>
        <w:t>: Sensitivity - Net economic savings from a societal perspective in 2025 and 2030 under different cost assumptions for a range of TLC options (EUR/car) (N/A: data are not available)</w:t>
      </w: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szCs w:val="24"/>
              </w:rPr>
            </w:pPr>
            <w:r>
              <w:rPr>
                <w:b/>
                <w:noProof/>
                <w:szCs w:val="24"/>
              </w:rPr>
              <w:t>TLC20 - 2025 (EUR/car)</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color w:val="000000" w:themeColor="text1"/>
              </w:rPr>
            </w:pPr>
            <w:r>
              <w:rPr>
                <w:noProof/>
                <w:color w:val="000000" w:themeColor="text1"/>
              </w:rPr>
              <w:t>593</w:t>
            </w:r>
          </w:p>
        </w:tc>
        <w:tc>
          <w:tcPr>
            <w:tcW w:w="673" w:type="pct"/>
            <w:noWrap/>
          </w:tcPr>
          <w:p w:rsidR="00B231CB" w:rsidRDefault="00C71431">
            <w:pPr>
              <w:spacing w:after="120"/>
              <w:jc w:val="center"/>
              <w:rPr>
                <w:noProof/>
                <w:color w:val="000000" w:themeColor="text1"/>
              </w:rPr>
            </w:pPr>
            <w:r>
              <w:rPr>
                <w:noProof/>
                <w:color w:val="000000" w:themeColor="text1"/>
              </w:rPr>
              <w:t>380</w:t>
            </w:r>
          </w:p>
        </w:tc>
        <w:tc>
          <w:tcPr>
            <w:tcW w:w="673" w:type="pct"/>
            <w:noWrap/>
          </w:tcPr>
          <w:p w:rsidR="00B231CB" w:rsidRDefault="00C71431">
            <w:pPr>
              <w:spacing w:after="120"/>
              <w:jc w:val="center"/>
              <w:rPr>
                <w:noProof/>
                <w:color w:val="000000" w:themeColor="text1"/>
                <w:szCs w:val="24"/>
              </w:rPr>
            </w:pPr>
            <w:r>
              <w:rPr>
                <w:noProof/>
                <w:color w:val="000000" w:themeColor="text1"/>
                <w:szCs w:val="24"/>
              </w:rPr>
              <w:t>115</w:t>
            </w:r>
          </w:p>
        </w:tc>
        <w:tc>
          <w:tcPr>
            <w:tcW w:w="673" w:type="pct"/>
            <w:noWrap/>
          </w:tcPr>
          <w:p w:rsidR="00B231CB" w:rsidRDefault="00C71431">
            <w:pPr>
              <w:spacing w:after="120"/>
              <w:jc w:val="center"/>
              <w:rPr>
                <w:noProof/>
                <w:color w:val="000000" w:themeColor="text1"/>
              </w:rPr>
            </w:pPr>
            <w:r>
              <w:rPr>
                <w:noProof/>
                <w:color w:val="000000" w:themeColor="text1"/>
              </w:rPr>
              <w:t>N/A</w:t>
            </w:r>
          </w:p>
        </w:tc>
        <w:tc>
          <w:tcPr>
            <w:tcW w:w="672"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color w:val="000000" w:themeColor="text1"/>
              </w:rPr>
            </w:pPr>
            <w:r>
              <w:rPr>
                <w:noProof/>
                <w:color w:val="000000" w:themeColor="text1"/>
              </w:rPr>
              <w:t>158</w:t>
            </w:r>
          </w:p>
        </w:tc>
        <w:tc>
          <w:tcPr>
            <w:tcW w:w="673" w:type="pct"/>
            <w:noWrap/>
          </w:tcPr>
          <w:p w:rsidR="00B231CB" w:rsidRDefault="00C71431">
            <w:pPr>
              <w:spacing w:after="120"/>
              <w:jc w:val="center"/>
              <w:rPr>
                <w:noProof/>
                <w:color w:val="000000" w:themeColor="text1"/>
              </w:rPr>
            </w:pPr>
            <w:r>
              <w:rPr>
                <w:noProof/>
                <w:color w:val="000000" w:themeColor="text1"/>
              </w:rPr>
              <w:t>147</w:t>
            </w:r>
          </w:p>
        </w:tc>
        <w:tc>
          <w:tcPr>
            <w:tcW w:w="673" w:type="pct"/>
            <w:noWrap/>
          </w:tcPr>
          <w:p w:rsidR="00B231CB" w:rsidRDefault="00C71431">
            <w:pPr>
              <w:spacing w:after="120"/>
              <w:jc w:val="center"/>
              <w:rPr>
                <w:noProof/>
                <w:color w:val="000000" w:themeColor="text1"/>
                <w:szCs w:val="24"/>
              </w:rPr>
            </w:pPr>
            <w:r>
              <w:rPr>
                <w:noProof/>
                <w:color w:val="000000" w:themeColor="text1"/>
                <w:szCs w:val="24"/>
              </w:rPr>
              <w:t>139</w:t>
            </w:r>
          </w:p>
        </w:tc>
        <w:tc>
          <w:tcPr>
            <w:tcW w:w="673" w:type="pct"/>
            <w:noWrap/>
          </w:tcPr>
          <w:p w:rsidR="00B231CB" w:rsidRDefault="00C71431">
            <w:pPr>
              <w:spacing w:after="120"/>
              <w:jc w:val="center"/>
              <w:rPr>
                <w:noProof/>
                <w:color w:val="000000" w:themeColor="text1"/>
              </w:rPr>
            </w:pPr>
            <w:r>
              <w:rPr>
                <w:noProof/>
                <w:color w:val="000000" w:themeColor="text1"/>
              </w:rPr>
              <w:t>N/A</w:t>
            </w:r>
          </w:p>
        </w:tc>
        <w:tc>
          <w:tcPr>
            <w:tcW w:w="672"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412</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321</w:t>
            </w:r>
          </w:p>
        </w:tc>
        <w:tc>
          <w:tcPr>
            <w:tcW w:w="673"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szCs w:val="24"/>
              </w:rPr>
              <w:t>354</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N/A</w:t>
            </w:r>
          </w:p>
        </w:tc>
        <w:tc>
          <w:tcPr>
            <w:tcW w:w="672"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3" w:type="pct"/>
            <w:noWrap/>
          </w:tcPr>
          <w:p w:rsidR="00B231CB" w:rsidRDefault="00C71431">
            <w:pPr>
              <w:spacing w:after="120"/>
              <w:jc w:val="center"/>
              <w:rPr>
                <w:i/>
                <w:noProof/>
                <w:color w:val="000000" w:themeColor="text1"/>
              </w:rPr>
            </w:pPr>
            <w:r>
              <w:rPr>
                <w:i/>
                <w:noProof/>
                <w:color w:val="000000" w:themeColor="text1"/>
              </w:rPr>
              <w:t>-338</w:t>
            </w:r>
          </w:p>
        </w:tc>
        <w:tc>
          <w:tcPr>
            <w:tcW w:w="673" w:type="pct"/>
            <w:noWrap/>
          </w:tcPr>
          <w:p w:rsidR="00B231CB" w:rsidRDefault="00C71431">
            <w:pPr>
              <w:spacing w:after="120"/>
              <w:jc w:val="center"/>
              <w:rPr>
                <w:i/>
                <w:noProof/>
                <w:color w:val="000000" w:themeColor="text1"/>
              </w:rPr>
            </w:pPr>
            <w:r>
              <w:rPr>
                <w:i/>
                <w:noProof/>
                <w:color w:val="000000" w:themeColor="text1"/>
              </w:rPr>
              <w:t>-205</w:t>
            </w:r>
          </w:p>
        </w:tc>
        <w:tc>
          <w:tcPr>
            <w:tcW w:w="673" w:type="pct"/>
            <w:noWrap/>
          </w:tcPr>
          <w:p w:rsidR="00B231CB" w:rsidRDefault="00C71431">
            <w:pPr>
              <w:spacing w:after="120"/>
              <w:jc w:val="center"/>
              <w:rPr>
                <w:i/>
                <w:noProof/>
                <w:color w:val="000000" w:themeColor="text1"/>
                <w:szCs w:val="24"/>
              </w:rPr>
            </w:pPr>
            <w:r>
              <w:rPr>
                <w:i/>
                <w:noProof/>
                <w:color w:val="000000" w:themeColor="text1"/>
                <w:szCs w:val="24"/>
              </w:rPr>
              <w:t>100</w:t>
            </w:r>
          </w:p>
        </w:tc>
        <w:tc>
          <w:tcPr>
            <w:tcW w:w="673" w:type="pct"/>
            <w:noWrap/>
          </w:tcPr>
          <w:p w:rsidR="00B231CB" w:rsidRDefault="00C71431">
            <w:pPr>
              <w:spacing w:after="120"/>
              <w:jc w:val="center"/>
              <w:rPr>
                <w:i/>
                <w:noProof/>
                <w:color w:val="000000" w:themeColor="text1"/>
              </w:rPr>
            </w:pPr>
            <w:r>
              <w:rPr>
                <w:i/>
                <w:noProof/>
                <w:color w:val="000000" w:themeColor="text1"/>
              </w:rPr>
              <w:t>N/A</w:t>
            </w:r>
          </w:p>
        </w:tc>
        <w:tc>
          <w:tcPr>
            <w:tcW w:w="672" w:type="pct"/>
            <w:noWrap/>
          </w:tcPr>
          <w:p w:rsidR="00B231CB" w:rsidRDefault="00C71431">
            <w:pPr>
              <w:spacing w:after="120"/>
              <w:jc w:val="center"/>
              <w:rPr>
                <w:i/>
                <w:noProof/>
                <w:color w:val="000000" w:themeColor="text1"/>
                <w:szCs w:val="24"/>
              </w:rPr>
            </w:pPr>
            <w:r>
              <w:rPr>
                <w:i/>
                <w:noProof/>
                <w:color w:val="000000" w:themeColor="text1"/>
              </w:rPr>
              <w:t>N/A</w:t>
            </w:r>
          </w:p>
        </w:tc>
      </w:tr>
    </w:tbl>
    <w:p w:rsidR="00B231CB" w:rsidRDefault="00B231CB">
      <w:pPr>
        <w:spacing w:after="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TLC20 - 2030 (EUR/car)</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5"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color w:val="000000" w:themeColor="text1"/>
              </w:rPr>
            </w:pPr>
            <w:r>
              <w:rPr>
                <w:noProof/>
                <w:color w:val="000000" w:themeColor="text1"/>
              </w:rPr>
              <w:t>1,000</w:t>
            </w:r>
          </w:p>
        </w:tc>
        <w:tc>
          <w:tcPr>
            <w:tcW w:w="675" w:type="pct"/>
            <w:noWrap/>
          </w:tcPr>
          <w:p w:rsidR="00B231CB" w:rsidRDefault="00C71431">
            <w:pPr>
              <w:spacing w:after="120"/>
              <w:jc w:val="center"/>
              <w:rPr>
                <w:noProof/>
                <w:color w:val="000000" w:themeColor="text1"/>
              </w:rPr>
            </w:pPr>
            <w:r>
              <w:rPr>
                <w:noProof/>
                <w:color w:val="000000" w:themeColor="text1"/>
              </w:rPr>
              <w:t>689</w:t>
            </w:r>
          </w:p>
        </w:tc>
        <w:tc>
          <w:tcPr>
            <w:tcW w:w="675" w:type="pct"/>
            <w:noWrap/>
          </w:tcPr>
          <w:p w:rsidR="00B231CB" w:rsidRDefault="00C71431">
            <w:pPr>
              <w:spacing w:after="120"/>
              <w:jc w:val="center"/>
              <w:rPr>
                <w:noProof/>
                <w:color w:val="000000" w:themeColor="text1"/>
                <w:szCs w:val="24"/>
              </w:rPr>
            </w:pPr>
            <w:r>
              <w:rPr>
                <w:noProof/>
                <w:color w:val="000000" w:themeColor="text1"/>
                <w:szCs w:val="24"/>
              </w:rPr>
              <w:t>419</w:t>
            </w:r>
          </w:p>
        </w:tc>
        <w:tc>
          <w:tcPr>
            <w:tcW w:w="675" w:type="pct"/>
            <w:noWrap/>
          </w:tcPr>
          <w:p w:rsidR="00B231CB" w:rsidRDefault="00C71431">
            <w:pPr>
              <w:spacing w:after="120"/>
              <w:jc w:val="center"/>
              <w:rPr>
                <w:noProof/>
                <w:color w:val="000000" w:themeColor="text1"/>
              </w:rPr>
            </w:pPr>
            <w:r>
              <w:rPr>
                <w:noProof/>
                <w:color w:val="000000" w:themeColor="text1"/>
              </w:rPr>
              <w:t>N/A</w:t>
            </w:r>
          </w:p>
        </w:tc>
        <w:tc>
          <w:tcPr>
            <w:tcW w:w="675"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color w:val="000000" w:themeColor="text1"/>
              </w:rPr>
            </w:pPr>
            <w:r>
              <w:rPr>
                <w:noProof/>
                <w:color w:val="000000" w:themeColor="text1"/>
              </w:rPr>
              <w:t>-31</w:t>
            </w:r>
          </w:p>
        </w:tc>
        <w:tc>
          <w:tcPr>
            <w:tcW w:w="675" w:type="pct"/>
            <w:noWrap/>
          </w:tcPr>
          <w:p w:rsidR="00B231CB" w:rsidRDefault="00C71431">
            <w:pPr>
              <w:spacing w:after="120"/>
              <w:jc w:val="center"/>
              <w:rPr>
                <w:noProof/>
                <w:color w:val="000000" w:themeColor="text1"/>
              </w:rPr>
            </w:pPr>
            <w:r>
              <w:rPr>
                <w:noProof/>
                <w:color w:val="000000" w:themeColor="text1"/>
              </w:rPr>
              <w:t>-45</w:t>
            </w:r>
          </w:p>
        </w:tc>
        <w:tc>
          <w:tcPr>
            <w:tcW w:w="675" w:type="pct"/>
            <w:noWrap/>
          </w:tcPr>
          <w:p w:rsidR="00B231CB" w:rsidRDefault="00C71431">
            <w:pPr>
              <w:spacing w:after="120"/>
              <w:jc w:val="center"/>
              <w:rPr>
                <w:noProof/>
                <w:color w:val="000000" w:themeColor="text1"/>
                <w:szCs w:val="24"/>
              </w:rPr>
            </w:pPr>
            <w:r>
              <w:rPr>
                <w:noProof/>
                <w:color w:val="000000" w:themeColor="text1"/>
                <w:szCs w:val="24"/>
              </w:rPr>
              <w:t>-62</w:t>
            </w:r>
          </w:p>
        </w:tc>
        <w:tc>
          <w:tcPr>
            <w:tcW w:w="675" w:type="pct"/>
            <w:noWrap/>
          </w:tcPr>
          <w:p w:rsidR="00B231CB" w:rsidRDefault="00C71431">
            <w:pPr>
              <w:spacing w:after="120"/>
              <w:jc w:val="center"/>
              <w:rPr>
                <w:noProof/>
                <w:color w:val="000000" w:themeColor="text1"/>
              </w:rPr>
            </w:pPr>
            <w:r>
              <w:rPr>
                <w:noProof/>
                <w:color w:val="000000" w:themeColor="text1"/>
              </w:rPr>
              <w:t>N/A</w:t>
            </w:r>
          </w:p>
        </w:tc>
        <w:tc>
          <w:tcPr>
            <w:tcW w:w="675"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1,260</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1,127</w:t>
            </w:r>
          </w:p>
        </w:tc>
        <w:tc>
          <w:tcPr>
            <w:tcW w:w="675"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szCs w:val="24"/>
              </w:rPr>
              <w:t>1,159</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N/A</w:t>
            </w:r>
          </w:p>
        </w:tc>
        <w:tc>
          <w:tcPr>
            <w:tcW w:w="675"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color w:val="000000" w:themeColor="text1"/>
              </w:rPr>
            </w:pPr>
            <w:r>
              <w:rPr>
                <w:i/>
                <w:noProof/>
                <w:color w:val="000000" w:themeColor="text1"/>
              </w:rPr>
              <w:t>290</w:t>
            </w:r>
          </w:p>
        </w:tc>
        <w:tc>
          <w:tcPr>
            <w:tcW w:w="675" w:type="pct"/>
            <w:noWrap/>
          </w:tcPr>
          <w:p w:rsidR="00B231CB" w:rsidRDefault="00C71431">
            <w:pPr>
              <w:spacing w:after="120"/>
              <w:jc w:val="center"/>
              <w:rPr>
                <w:i/>
                <w:noProof/>
                <w:color w:val="000000" w:themeColor="text1"/>
              </w:rPr>
            </w:pPr>
            <w:r>
              <w:rPr>
                <w:i/>
                <w:noProof/>
                <w:color w:val="000000" w:themeColor="text1"/>
              </w:rPr>
              <w:t>483</w:t>
            </w:r>
          </w:p>
        </w:tc>
        <w:tc>
          <w:tcPr>
            <w:tcW w:w="675" w:type="pct"/>
            <w:noWrap/>
          </w:tcPr>
          <w:p w:rsidR="00B231CB" w:rsidRDefault="00C71431">
            <w:pPr>
              <w:spacing w:after="120"/>
              <w:jc w:val="center"/>
              <w:rPr>
                <w:i/>
                <w:noProof/>
                <w:color w:val="000000" w:themeColor="text1"/>
                <w:szCs w:val="24"/>
              </w:rPr>
            </w:pPr>
            <w:r>
              <w:rPr>
                <w:i/>
                <w:noProof/>
                <w:color w:val="000000" w:themeColor="text1"/>
                <w:szCs w:val="24"/>
              </w:rPr>
              <w:t>802</w:t>
            </w:r>
          </w:p>
        </w:tc>
        <w:tc>
          <w:tcPr>
            <w:tcW w:w="675" w:type="pct"/>
            <w:noWrap/>
          </w:tcPr>
          <w:p w:rsidR="00B231CB" w:rsidRDefault="00C71431">
            <w:pPr>
              <w:spacing w:after="120"/>
              <w:jc w:val="center"/>
              <w:rPr>
                <w:i/>
                <w:noProof/>
                <w:color w:val="000000" w:themeColor="text1"/>
              </w:rPr>
            </w:pPr>
            <w:r>
              <w:rPr>
                <w:i/>
                <w:noProof/>
                <w:color w:val="000000" w:themeColor="text1"/>
              </w:rPr>
              <w:t>N/A</w:t>
            </w:r>
          </w:p>
        </w:tc>
        <w:tc>
          <w:tcPr>
            <w:tcW w:w="675" w:type="pct"/>
            <w:noWrap/>
          </w:tcPr>
          <w:p w:rsidR="00B231CB" w:rsidRDefault="00C71431">
            <w:pPr>
              <w:spacing w:after="120"/>
              <w:jc w:val="center"/>
              <w:rPr>
                <w:i/>
                <w:noProof/>
                <w:color w:val="000000" w:themeColor="text1"/>
                <w:szCs w:val="24"/>
              </w:rPr>
            </w:pPr>
            <w:r>
              <w:rPr>
                <w:i/>
                <w:noProof/>
                <w:color w:val="000000" w:themeColor="text1"/>
              </w:rPr>
              <w:t>N/A</w:t>
            </w:r>
          </w:p>
        </w:tc>
      </w:tr>
    </w:tbl>
    <w:p w:rsidR="00B231CB" w:rsidRDefault="00B231CB">
      <w:pPr>
        <w:spacing w:after="0"/>
        <w:rPr>
          <w:noProof/>
          <w:color w:val="000000" w:themeColor="text1"/>
        </w:rPr>
      </w:pP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szCs w:val="24"/>
              </w:rPr>
            </w:pPr>
            <w:r>
              <w:rPr>
                <w:b/>
                <w:noProof/>
                <w:szCs w:val="24"/>
              </w:rPr>
              <w:t>TLC25 - 2025 (EUR/car)</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color w:val="000000" w:themeColor="text1"/>
              </w:rPr>
            </w:pPr>
            <w:r>
              <w:rPr>
                <w:noProof/>
                <w:color w:val="000000" w:themeColor="text1"/>
              </w:rPr>
              <w:t>769</w:t>
            </w:r>
          </w:p>
        </w:tc>
        <w:tc>
          <w:tcPr>
            <w:tcW w:w="673" w:type="pct"/>
            <w:noWrap/>
          </w:tcPr>
          <w:p w:rsidR="00B231CB" w:rsidRDefault="00C71431">
            <w:pPr>
              <w:spacing w:after="120"/>
              <w:jc w:val="center"/>
              <w:rPr>
                <w:noProof/>
                <w:color w:val="000000" w:themeColor="text1"/>
              </w:rPr>
            </w:pPr>
            <w:r>
              <w:rPr>
                <w:noProof/>
                <w:color w:val="000000" w:themeColor="text1"/>
              </w:rPr>
              <w:t>538</w:t>
            </w:r>
          </w:p>
        </w:tc>
        <w:tc>
          <w:tcPr>
            <w:tcW w:w="673" w:type="pct"/>
            <w:noWrap/>
          </w:tcPr>
          <w:p w:rsidR="00B231CB" w:rsidRDefault="00C71431">
            <w:pPr>
              <w:spacing w:after="120"/>
              <w:jc w:val="center"/>
              <w:rPr>
                <w:noProof/>
                <w:color w:val="000000" w:themeColor="text1"/>
                <w:szCs w:val="24"/>
              </w:rPr>
            </w:pPr>
            <w:r>
              <w:rPr>
                <w:noProof/>
                <w:color w:val="000000" w:themeColor="text1"/>
                <w:szCs w:val="24"/>
              </w:rPr>
              <w:t>229</w:t>
            </w:r>
          </w:p>
        </w:tc>
        <w:tc>
          <w:tcPr>
            <w:tcW w:w="673" w:type="pct"/>
            <w:noWrap/>
          </w:tcPr>
          <w:p w:rsidR="00B231CB" w:rsidRDefault="00C71431">
            <w:pPr>
              <w:spacing w:after="120"/>
              <w:jc w:val="center"/>
              <w:rPr>
                <w:noProof/>
                <w:color w:val="000000" w:themeColor="text1"/>
              </w:rPr>
            </w:pPr>
            <w:r>
              <w:rPr>
                <w:noProof/>
                <w:color w:val="000000" w:themeColor="text1"/>
              </w:rPr>
              <w:t>91</w:t>
            </w:r>
          </w:p>
        </w:tc>
        <w:tc>
          <w:tcPr>
            <w:tcW w:w="672" w:type="pct"/>
            <w:noWrap/>
          </w:tcPr>
          <w:p w:rsidR="00B231CB" w:rsidRDefault="00C71431">
            <w:pPr>
              <w:spacing w:after="120"/>
              <w:jc w:val="center"/>
              <w:rPr>
                <w:noProof/>
                <w:color w:val="000000" w:themeColor="text1"/>
              </w:rPr>
            </w:pPr>
            <w:r>
              <w:rPr>
                <w:noProof/>
                <w:color w:val="000000" w:themeColor="text1"/>
              </w:rPr>
              <w:t>-110</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color w:val="000000" w:themeColor="text1"/>
              </w:rPr>
            </w:pPr>
            <w:r>
              <w:rPr>
                <w:noProof/>
                <w:color w:val="000000" w:themeColor="text1"/>
              </w:rPr>
              <w:t>158</w:t>
            </w:r>
          </w:p>
        </w:tc>
        <w:tc>
          <w:tcPr>
            <w:tcW w:w="673" w:type="pct"/>
            <w:noWrap/>
          </w:tcPr>
          <w:p w:rsidR="00B231CB" w:rsidRDefault="00C71431">
            <w:pPr>
              <w:spacing w:after="120"/>
              <w:jc w:val="center"/>
              <w:rPr>
                <w:noProof/>
                <w:color w:val="000000" w:themeColor="text1"/>
              </w:rPr>
            </w:pPr>
            <w:r>
              <w:rPr>
                <w:noProof/>
                <w:color w:val="000000" w:themeColor="text1"/>
              </w:rPr>
              <w:t>147</w:t>
            </w:r>
          </w:p>
        </w:tc>
        <w:tc>
          <w:tcPr>
            <w:tcW w:w="673" w:type="pct"/>
            <w:noWrap/>
          </w:tcPr>
          <w:p w:rsidR="00B231CB" w:rsidRDefault="00C71431">
            <w:pPr>
              <w:spacing w:after="120"/>
              <w:jc w:val="center"/>
              <w:rPr>
                <w:noProof/>
                <w:color w:val="000000" w:themeColor="text1"/>
                <w:szCs w:val="24"/>
              </w:rPr>
            </w:pPr>
            <w:r>
              <w:rPr>
                <w:noProof/>
                <w:color w:val="000000" w:themeColor="text1"/>
                <w:szCs w:val="24"/>
              </w:rPr>
              <w:t>139</w:t>
            </w:r>
          </w:p>
        </w:tc>
        <w:tc>
          <w:tcPr>
            <w:tcW w:w="673" w:type="pct"/>
            <w:noWrap/>
          </w:tcPr>
          <w:p w:rsidR="00B231CB" w:rsidRDefault="00C71431">
            <w:pPr>
              <w:spacing w:after="120"/>
              <w:jc w:val="center"/>
              <w:rPr>
                <w:noProof/>
                <w:color w:val="000000" w:themeColor="text1"/>
              </w:rPr>
            </w:pPr>
            <w:r>
              <w:rPr>
                <w:noProof/>
                <w:color w:val="000000" w:themeColor="text1"/>
              </w:rPr>
              <w:t>116</w:t>
            </w:r>
          </w:p>
        </w:tc>
        <w:tc>
          <w:tcPr>
            <w:tcW w:w="672" w:type="pct"/>
            <w:noWrap/>
          </w:tcPr>
          <w:p w:rsidR="00B231CB" w:rsidRDefault="00C71431">
            <w:pPr>
              <w:spacing w:after="120"/>
              <w:jc w:val="center"/>
              <w:rPr>
                <w:noProof/>
                <w:color w:val="000000" w:themeColor="text1"/>
              </w:rPr>
            </w:pPr>
            <w:r>
              <w:rPr>
                <w:noProof/>
                <w:color w:val="000000" w:themeColor="text1"/>
              </w:rPr>
              <w:t>106</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587</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495</w:t>
            </w:r>
          </w:p>
        </w:tc>
        <w:tc>
          <w:tcPr>
            <w:tcW w:w="673"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szCs w:val="24"/>
              </w:rPr>
              <w:t>514</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396</w:t>
            </w:r>
          </w:p>
        </w:tc>
        <w:tc>
          <w:tcPr>
            <w:tcW w:w="672"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407</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3" w:type="pct"/>
            <w:noWrap/>
          </w:tcPr>
          <w:p w:rsidR="00B231CB" w:rsidRDefault="00C71431">
            <w:pPr>
              <w:spacing w:after="120"/>
              <w:jc w:val="center"/>
              <w:rPr>
                <w:i/>
                <w:noProof/>
                <w:color w:val="000000" w:themeColor="text1"/>
              </w:rPr>
            </w:pPr>
            <w:r>
              <w:rPr>
                <w:i/>
                <w:noProof/>
                <w:color w:val="000000" w:themeColor="text1"/>
              </w:rPr>
              <w:t>-340</w:t>
            </w:r>
          </w:p>
        </w:tc>
        <w:tc>
          <w:tcPr>
            <w:tcW w:w="673" w:type="pct"/>
            <w:noWrap/>
          </w:tcPr>
          <w:p w:rsidR="00B231CB" w:rsidRDefault="00C71431">
            <w:pPr>
              <w:spacing w:after="120"/>
              <w:jc w:val="center"/>
              <w:rPr>
                <w:i/>
                <w:noProof/>
                <w:color w:val="000000" w:themeColor="text1"/>
              </w:rPr>
            </w:pPr>
            <w:r>
              <w:rPr>
                <w:i/>
                <w:noProof/>
                <w:color w:val="000000" w:themeColor="text1"/>
              </w:rPr>
              <w:t>-190</w:t>
            </w:r>
          </w:p>
        </w:tc>
        <w:tc>
          <w:tcPr>
            <w:tcW w:w="673" w:type="pct"/>
            <w:noWrap/>
          </w:tcPr>
          <w:p w:rsidR="00B231CB" w:rsidRDefault="00C71431">
            <w:pPr>
              <w:spacing w:after="120"/>
              <w:jc w:val="center"/>
              <w:rPr>
                <w:i/>
                <w:noProof/>
                <w:color w:val="000000" w:themeColor="text1"/>
                <w:szCs w:val="24"/>
              </w:rPr>
            </w:pPr>
            <w:r>
              <w:rPr>
                <w:i/>
                <w:noProof/>
                <w:color w:val="000000" w:themeColor="text1"/>
                <w:szCs w:val="24"/>
              </w:rPr>
              <w:t>147</w:t>
            </w:r>
          </w:p>
        </w:tc>
        <w:tc>
          <w:tcPr>
            <w:tcW w:w="673" w:type="pct"/>
            <w:noWrap/>
          </w:tcPr>
          <w:p w:rsidR="00B231CB" w:rsidRDefault="00C71431">
            <w:pPr>
              <w:spacing w:after="120"/>
              <w:jc w:val="center"/>
              <w:rPr>
                <w:i/>
                <w:noProof/>
                <w:color w:val="000000" w:themeColor="text1"/>
              </w:rPr>
            </w:pPr>
            <w:r>
              <w:rPr>
                <w:i/>
                <w:noProof/>
                <w:color w:val="000000" w:themeColor="text1"/>
              </w:rPr>
              <w:t>189</w:t>
            </w:r>
          </w:p>
        </w:tc>
        <w:tc>
          <w:tcPr>
            <w:tcW w:w="672" w:type="pct"/>
            <w:noWrap/>
          </w:tcPr>
          <w:p w:rsidR="00B231CB" w:rsidRDefault="00C71431">
            <w:pPr>
              <w:spacing w:after="120"/>
              <w:jc w:val="center"/>
              <w:rPr>
                <w:i/>
                <w:noProof/>
                <w:color w:val="000000" w:themeColor="text1"/>
              </w:rPr>
            </w:pPr>
            <w:r>
              <w:rPr>
                <w:i/>
                <w:noProof/>
                <w:color w:val="000000" w:themeColor="text1"/>
              </w:rPr>
              <w:t>412</w:t>
            </w:r>
          </w:p>
        </w:tc>
      </w:tr>
    </w:tbl>
    <w:p w:rsidR="00B231CB" w:rsidRDefault="00B231CB">
      <w:pPr>
        <w:spacing w:after="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TLC25 - 2030 (EUR/car)</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color w:val="000000" w:themeColor="text1"/>
              </w:rPr>
            </w:pPr>
            <w:r>
              <w:rPr>
                <w:noProof/>
                <w:color w:val="000000" w:themeColor="text1"/>
              </w:rPr>
              <w:t>1,416</w:t>
            </w:r>
          </w:p>
        </w:tc>
        <w:tc>
          <w:tcPr>
            <w:tcW w:w="675" w:type="pct"/>
            <w:noWrap/>
          </w:tcPr>
          <w:p w:rsidR="00B231CB" w:rsidRDefault="00C71431">
            <w:pPr>
              <w:spacing w:after="120"/>
              <w:jc w:val="center"/>
              <w:rPr>
                <w:noProof/>
                <w:color w:val="000000" w:themeColor="text1"/>
              </w:rPr>
            </w:pPr>
            <w:r>
              <w:rPr>
                <w:noProof/>
                <w:color w:val="000000" w:themeColor="text1"/>
              </w:rPr>
              <w:t>1,034</w:t>
            </w:r>
          </w:p>
        </w:tc>
        <w:tc>
          <w:tcPr>
            <w:tcW w:w="675" w:type="pct"/>
            <w:noWrap/>
          </w:tcPr>
          <w:p w:rsidR="00B231CB" w:rsidRDefault="00C71431">
            <w:pPr>
              <w:spacing w:after="120"/>
              <w:jc w:val="center"/>
              <w:rPr>
                <w:noProof/>
                <w:color w:val="000000" w:themeColor="text1"/>
                <w:szCs w:val="24"/>
              </w:rPr>
            </w:pPr>
            <w:r>
              <w:rPr>
                <w:noProof/>
                <w:color w:val="000000" w:themeColor="text1"/>
                <w:szCs w:val="24"/>
              </w:rPr>
              <w:t>679</w:t>
            </w:r>
          </w:p>
        </w:tc>
        <w:tc>
          <w:tcPr>
            <w:tcW w:w="675" w:type="pct"/>
            <w:noWrap/>
          </w:tcPr>
          <w:p w:rsidR="00B231CB" w:rsidRDefault="00C71431">
            <w:pPr>
              <w:spacing w:after="120"/>
              <w:jc w:val="center"/>
              <w:rPr>
                <w:noProof/>
                <w:color w:val="000000" w:themeColor="text1"/>
              </w:rPr>
            </w:pPr>
            <w:r>
              <w:rPr>
                <w:noProof/>
                <w:color w:val="000000" w:themeColor="text1"/>
              </w:rPr>
              <w:t>366</w:t>
            </w:r>
          </w:p>
        </w:tc>
        <w:tc>
          <w:tcPr>
            <w:tcW w:w="673" w:type="pct"/>
            <w:noWrap/>
          </w:tcPr>
          <w:p w:rsidR="00B231CB" w:rsidRDefault="00C71431">
            <w:pPr>
              <w:spacing w:after="120"/>
              <w:jc w:val="center"/>
              <w:rPr>
                <w:noProof/>
                <w:color w:val="000000" w:themeColor="text1"/>
              </w:rPr>
            </w:pPr>
            <w:r>
              <w:rPr>
                <w:noProof/>
                <w:color w:val="000000" w:themeColor="text1"/>
              </w:rPr>
              <w:t>166</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color w:val="000000" w:themeColor="text1"/>
              </w:rPr>
            </w:pPr>
            <w:r>
              <w:rPr>
                <w:noProof/>
                <w:color w:val="000000" w:themeColor="text1"/>
              </w:rPr>
              <w:t>-31</w:t>
            </w:r>
          </w:p>
        </w:tc>
        <w:tc>
          <w:tcPr>
            <w:tcW w:w="675" w:type="pct"/>
            <w:noWrap/>
          </w:tcPr>
          <w:p w:rsidR="00B231CB" w:rsidRDefault="00C71431">
            <w:pPr>
              <w:spacing w:after="120"/>
              <w:jc w:val="center"/>
              <w:rPr>
                <w:noProof/>
                <w:color w:val="000000" w:themeColor="text1"/>
              </w:rPr>
            </w:pPr>
            <w:r>
              <w:rPr>
                <w:noProof/>
                <w:color w:val="000000" w:themeColor="text1"/>
              </w:rPr>
              <w:t>-45</w:t>
            </w:r>
          </w:p>
        </w:tc>
        <w:tc>
          <w:tcPr>
            <w:tcW w:w="675" w:type="pct"/>
            <w:noWrap/>
          </w:tcPr>
          <w:p w:rsidR="00B231CB" w:rsidRDefault="00C71431">
            <w:pPr>
              <w:spacing w:after="120"/>
              <w:jc w:val="center"/>
              <w:rPr>
                <w:noProof/>
                <w:color w:val="000000" w:themeColor="text1"/>
                <w:szCs w:val="24"/>
              </w:rPr>
            </w:pPr>
            <w:r>
              <w:rPr>
                <w:noProof/>
                <w:color w:val="000000" w:themeColor="text1"/>
                <w:szCs w:val="24"/>
              </w:rPr>
              <w:t>-62</w:t>
            </w:r>
          </w:p>
        </w:tc>
        <w:tc>
          <w:tcPr>
            <w:tcW w:w="675" w:type="pct"/>
            <w:noWrap/>
          </w:tcPr>
          <w:p w:rsidR="00B231CB" w:rsidRDefault="00C71431">
            <w:pPr>
              <w:spacing w:after="120"/>
              <w:jc w:val="center"/>
              <w:rPr>
                <w:noProof/>
                <w:color w:val="000000" w:themeColor="text1"/>
              </w:rPr>
            </w:pPr>
            <w:r>
              <w:rPr>
                <w:noProof/>
                <w:color w:val="000000" w:themeColor="text1"/>
              </w:rPr>
              <w:t>-100</w:t>
            </w:r>
          </w:p>
        </w:tc>
        <w:tc>
          <w:tcPr>
            <w:tcW w:w="673" w:type="pct"/>
            <w:noWrap/>
          </w:tcPr>
          <w:p w:rsidR="00B231CB" w:rsidRDefault="00C71431">
            <w:pPr>
              <w:spacing w:after="120"/>
              <w:jc w:val="center"/>
              <w:rPr>
                <w:noProof/>
                <w:color w:val="000000" w:themeColor="text1"/>
              </w:rPr>
            </w:pPr>
            <w:r>
              <w:rPr>
                <w:noProof/>
                <w:color w:val="000000" w:themeColor="text1"/>
              </w:rPr>
              <w:t>-117</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1,621</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1,486</w:t>
            </w:r>
          </w:p>
        </w:tc>
        <w:tc>
          <w:tcPr>
            <w:tcW w:w="675"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szCs w:val="24"/>
              </w:rPr>
              <w:t>1,520</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1,323</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1,347</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color w:val="000000" w:themeColor="text1"/>
              </w:rPr>
            </w:pPr>
            <w:r>
              <w:rPr>
                <w:i/>
                <w:noProof/>
                <w:color w:val="000000" w:themeColor="text1"/>
              </w:rPr>
              <w:t>236</w:t>
            </w:r>
          </w:p>
        </w:tc>
        <w:tc>
          <w:tcPr>
            <w:tcW w:w="675" w:type="pct"/>
            <w:noWrap/>
          </w:tcPr>
          <w:p w:rsidR="00B231CB" w:rsidRDefault="00C71431">
            <w:pPr>
              <w:spacing w:after="120"/>
              <w:jc w:val="center"/>
              <w:rPr>
                <w:i/>
                <w:noProof/>
                <w:color w:val="000000" w:themeColor="text1"/>
              </w:rPr>
            </w:pPr>
            <w:r>
              <w:rPr>
                <w:i/>
                <w:noProof/>
                <w:color w:val="000000" w:themeColor="text1"/>
              </w:rPr>
              <w:t>498</w:t>
            </w:r>
          </w:p>
        </w:tc>
        <w:tc>
          <w:tcPr>
            <w:tcW w:w="675" w:type="pct"/>
            <w:noWrap/>
          </w:tcPr>
          <w:p w:rsidR="00B231CB" w:rsidRDefault="00C71431">
            <w:pPr>
              <w:spacing w:after="120"/>
              <w:jc w:val="center"/>
              <w:rPr>
                <w:i/>
                <w:noProof/>
                <w:color w:val="000000" w:themeColor="text1"/>
                <w:szCs w:val="24"/>
              </w:rPr>
            </w:pPr>
            <w:r>
              <w:rPr>
                <w:i/>
                <w:noProof/>
                <w:color w:val="000000" w:themeColor="text1"/>
                <w:szCs w:val="24"/>
              </w:rPr>
              <w:t>902</w:t>
            </w:r>
          </w:p>
        </w:tc>
        <w:tc>
          <w:tcPr>
            <w:tcW w:w="675" w:type="pct"/>
            <w:noWrap/>
          </w:tcPr>
          <w:p w:rsidR="00B231CB" w:rsidRDefault="00C71431">
            <w:pPr>
              <w:spacing w:after="120"/>
              <w:jc w:val="center"/>
              <w:rPr>
                <w:i/>
                <w:noProof/>
                <w:color w:val="000000" w:themeColor="text1"/>
              </w:rPr>
            </w:pPr>
            <w:r>
              <w:rPr>
                <w:i/>
                <w:noProof/>
                <w:color w:val="000000" w:themeColor="text1"/>
              </w:rPr>
              <w:t>1,057</w:t>
            </w:r>
          </w:p>
        </w:tc>
        <w:tc>
          <w:tcPr>
            <w:tcW w:w="673" w:type="pct"/>
            <w:noWrap/>
          </w:tcPr>
          <w:p w:rsidR="00B231CB" w:rsidRDefault="00C71431">
            <w:pPr>
              <w:spacing w:after="120"/>
              <w:jc w:val="center"/>
              <w:rPr>
                <w:i/>
                <w:noProof/>
                <w:color w:val="000000" w:themeColor="text1"/>
              </w:rPr>
            </w:pPr>
            <w:r>
              <w:rPr>
                <w:i/>
                <w:noProof/>
                <w:color w:val="000000" w:themeColor="text1"/>
              </w:rPr>
              <w:t>1,297</w:t>
            </w:r>
          </w:p>
        </w:tc>
      </w:tr>
    </w:tbl>
    <w:p w:rsidR="00B231CB" w:rsidRDefault="00B231CB">
      <w:pPr>
        <w:spacing w:after="0"/>
        <w:rPr>
          <w:noProof/>
          <w:color w:val="000000" w:themeColor="text1"/>
        </w:rPr>
      </w:pP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szCs w:val="24"/>
              </w:rPr>
            </w:pPr>
            <w:r>
              <w:rPr>
                <w:b/>
                <w:noProof/>
                <w:szCs w:val="24"/>
              </w:rPr>
              <w:t>TLC30 - 2025 (EUR/car)</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color w:val="000000" w:themeColor="text1"/>
              </w:rPr>
            </w:pPr>
            <w:r>
              <w:rPr>
                <w:noProof/>
                <w:color w:val="000000" w:themeColor="text1"/>
              </w:rPr>
              <w:t>989</w:t>
            </w:r>
          </w:p>
        </w:tc>
        <w:tc>
          <w:tcPr>
            <w:tcW w:w="673" w:type="pct"/>
            <w:noWrap/>
          </w:tcPr>
          <w:p w:rsidR="00B231CB" w:rsidRDefault="00C71431">
            <w:pPr>
              <w:spacing w:after="120"/>
              <w:jc w:val="center"/>
              <w:rPr>
                <w:noProof/>
                <w:color w:val="000000" w:themeColor="text1"/>
              </w:rPr>
            </w:pPr>
            <w:r>
              <w:rPr>
                <w:noProof/>
                <w:color w:val="000000" w:themeColor="text1"/>
              </w:rPr>
              <w:t>716</w:t>
            </w:r>
          </w:p>
        </w:tc>
        <w:tc>
          <w:tcPr>
            <w:tcW w:w="673" w:type="pct"/>
            <w:noWrap/>
          </w:tcPr>
          <w:p w:rsidR="00B231CB" w:rsidRDefault="00C71431">
            <w:pPr>
              <w:spacing w:after="120"/>
              <w:jc w:val="center"/>
              <w:rPr>
                <w:noProof/>
                <w:color w:val="000000" w:themeColor="text1"/>
                <w:szCs w:val="24"/>
              </w:rPr>
            </w:pPr>
            <w:r>
              <w:rPr>
                <w:noProof/>
                <w:color w:val="000000" w:themeColor="text1"/>
                <w:szCs w:val="24"/>
              </w:rPr>
              <w:t>380</w:t>
            </w:r>
          </w:p>
        </w:tc>
        <w:tc>
          <w:tcPr>
            <w:tcW w:w="673" w:type="pct"/>
            <w:noWrap/>
          </w:tcPr>
          <w:p w:rsidR="00B231CB" w:rsidRDefault="00C71431">
            <w:pPr>
              <w:spacing w:after="120"/>
              <w:jc w:val="center"/>
              <w:rPr>
                <w:noProof/>
                <w:color w:val="000000" w:themeColor="text1"/>
              </w:rPr>
            </w:pPr>
            <w:r>
              <w:rPr>
                <w:noProof/>
                <w:color w:val="000000" w:themeColor="text1"/>
              </w:rPr>
              <w:t>215</w:t>
            </w:r>
          </w:p>
        </w:tc>
        <w:tc>
          <w:tcPr>
            <w:tcW w:w="672" w:type="pct"/>
            <w:noWrap/>
          </w:tcPr>
          <w:p w:rsidR="00B231CB" w:rsidRDefault="00C71431">
            <w:pPr>
              <w:spacing w:after="120"/>
              <w:jc w:val="center"/>
              <w:rPr>
                <w:noProof/>
                <w:color w:val="000000" w:themeColor="text1"/>
              </w:rPr>
            </w:pPr>
            <w:r>
              <w:rPr>
                <w:noProof/>
                <w:color w:val="000000" w:themeColor="text1"/>
              </w:rPr>
              <w:t>-19</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color w:val="000000" w:themeColor="text1"/>
              </w:rPr>
            </w:pPr>
            <w:r>
              <w:rPr>
                <w:noProof/>
                <w:color w:val="000000" w:themeColor="text1"/>
              </w:rPr>
              <w:t>131</w:t>
            </w:r>
          </w:p>
        </w:tc>
        <w:tc>
          <w:tcPr>
            <w:tcW w:w="673" w:type="pct"/>
            <w:noWrap/>
          </w:tcPr>
          <w:p w:rsidR="00B231CB" w:rsidRDefault="00C71431">
            <w:pPr>
              <w:spacing w:after="120"/>
              <w:jc w:val="center"/>
              <w:rPr>
                <w:noProof/>
                <w:color w:val="000000" w:themeColor="text1"/>
              </w:rPr>
            </w:pPr>
            <w:r>
              <w:rPr>
                <w:noProof/>
                <w:color w:val="000000" w:themeColor="text1"/>
              </w:rPr>
              <w:t>133</w:t>
            </w:r>
          </w:p>
        </w:tc>
        <w:tc>
          <w:tcPr>
            <w:tcW w:w="673" w:type="pct"/>
            <w:noWrap/>
          </w:tcPr>
          <w:p w:rsidR="00B231CB" w:rsidRDefault="00C71431">
            <w:pPr>
              <w:spacing w:after="120"/>
              <w:jc w:val="center"/>
              <w:rPr>
                <w:noProof/>
                <w:color w:val="000000" w:themeColor="text1"/>
                <w:szCs w:val="24"/>
              </w:rPr>
            </w:pPr>
            <w:r>
              <w:rPr>
                <w:noProof/>
                <w:color w:val="000000" w:themeColor="text1"/>
                <w:szCs w:val="24"/>
              </w:rPr>
              <w:t>130</w:t>
            </w:r>
          </w:p>
        </w:tc>
        <w:tc>
          <w:tcPr>
            <w:tcW w:w="673" w:type="pct"/>
            <w:noWrap/>
          </w:tcPr>
          <w:p w:rsidR="00B231CB" w:rsidRDefault="00C71431">
            <w:pPr>
              <w:spacing w:after="120"/>
              <w:jc w:val="center"/>
              <w:rPr>
                <w:noProof/>
                <w:color w:val="000000" w:themeColor="text1"/>
              </w:rPr>
            </w:pPr>
            <w:r>
              <w:rPr>
                <w:noProof/>
                <w:color w:val="000000" w:themeColor="text1"/>
              </w:rPr>
              <w:t>116</w:t>
            </w:r>
          </w:p>
        </w:tc>
        <w:tc>
          <w:tcPr>
            <w:tcW w:w="672" w:type="pct"/>
            <w:noWrap/>
          </w:tcPr>
          <w:p w:rsidR="00B231CB" w:rsidRDefault="00C71431">
            <w:pPr>
              <w:spacing w:after="120"/>
              <w:jc w:val="center"/>
              <w:rPr>
                <w:noProof/>
                <w:color w:val="000000" w:themeColor="text1"/>
              </w:rPr>
            </w:pPr>
            <w:r>
              <w:rPr>
                <w:noProof/>
                <w:color w:val="000000" w:themeColor="text1"/>
              </w:rPr>
              <w:t>106</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691</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627</w:t>
            </w:r>
          </w:p>
        </w:tc>
        <w:tc>
          <w:tcPr>
            <w:tcW w:w="673"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szCs w:val="24"/>
              </w:rPr>
              <w:t>661</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578</w:t>
            </w:r>
          </w:p>
        </w:tc>
        <w:tc>
          <w:tcPr>
            <w:tcW w:w="672"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592</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 xml:space="preserve">Net </w:t>
            </w:r>
            <w:r>
              <w:rPr>
                <w:i/>
                <w:noProof/>
                <w:color w:val="000000" w:themeColor="text1"/>
                <w:szCs w:val="24"/>
              </w:rPr>
              <w:t>savings [3]-[1]-[2]</w:t>
            </w:r>
          </w:p>
        </w:tc>
        <w:tc>
          <w:tcPr>
            <w:tcW w:w="673" w:type="pct"/>
            <w:noWrap/>
          </w:tcPr>
          <w:p w:rsidR="00B231CB" w:rsidRDefault="00C71431">
            <w:pPr>
              <w:spacing w:after="120"/>
              <w:jc w:val="center"/>
              <w:rPr>
                <w:i/>
                <w:noProof/>
                <w:color w:val="000000" w:themeColor="text1"/>
              </w:rPr>
            </w:pPr>
            <w:r>
              <w:rPr>
                <w:i/>
                <w:noProof/>
                <w:color w:val="000000" w:themeColor="text1"/>
              </w:rPr>
              <w:t>-429</w:t>
            </w:r>
          </w:p>
        </w:tc>
        <w:tc>
          <w:tcPr>
            <w:tcW w:w="673" w:type="pct"/>
            <w:noWrap/>
          </w:tcPr>
          <w:p w:rsidR="00B231CB" w:rsidRDefault="00C71431">
            <w:pPr>
              <w:spacing w:after="120"/>
              <w:jc w:val="center"/>
              <w:rPr>
                <w:i/>
                <w:noProof/>
                <w:color w:val="000000" w:themeColor="text1"/>
              </w:rPr>
            </w:pPr>
            <w:r>
              <w:rPr>
                <w:i/>
                <w:noProof/>
                <w:color w:val="000000" w:themeColor="text1"/>
              </w:rPr>
              <w:t>-222</w:t>
            </w:r>
          </w:p>
        </w:tc>
        <w:tc>
          <w:tcPr>
            <w:tcW w:w="673" w:type="pct"/>
            <w:noWrap/>
          </w:tcPr>
          <w:p w:rsidR="00B231CB" w:rsidRDefault="00C71431">
            <w:pPr>
              <w:spacing w:after="120"/>
              <w:jc w:val="center"/>
              <w:rPr>
                <w:i/>
                <w:noProof/>
                <w:color w:val="000000" w:themeColor="text1"/>
                <w:szCs w:val="24"/>
              </w:rPr>
            </w:pPr>
            <w:r>
              <w:rPr>
                <w:i/>
                <w:noProof/>
                <w:color w:val="000000" w:themeColor="text1"/>
                <w:szCs w:val="24"/>
              </w:rPr>
              <w:t>152</w:t>
            </w:r>
          </w:p>
        </w:tc>
        <w:tc>
          <w:tcPr>
            <w:tcW w:w="673" w:type="pct"/>
            <w:noWrap/>
          </w:tcPr>
          <w:p w:rsidR="00B231CB" w:rsidRDefault="00C71431">
            <w:pPr>
              <w:spacing w:after="120"/>
              <w:jc w:val="center"/>
              <w:rPr>
                <w:i/>
                <w:noProof/>
                <w:color w:val="000000" w:themeColor="text1"/>
              </w:rPr>
            </w:pPr>
            <w:r>
              <w:rPr>
                <w:i/>
                <w:noProof/>
                <w:color w:val="000000" w:themeColor="text1"/>
              </w:rPr>
              <w:t>247</w:t>
            </w:r>
          </w:p>
        </w:tc>
        <w:tc>
          <w:tcPr>
            <w:tcW w:w="672" w:type="pct"/>
            <w:noWrap/>
          </w:tcPr>
          <w:p w:rsidR="00B231CB" w:rsidRDefault="00C71431">
            <w:pPr>
              <w:spacing w:after="120"/>
              <w:jc w:val="center"/>
              <w:rPr>
                <w:i/>
                <w:noProof/>
                <w:color w:val="000000" w:themeColor="text1"/>
              </w:rPr>
            </w:pPr>
            <w:r>
              <w:rPr>
                <w:i/>
                <w:noProof/>
                <w:color w:val="000000" w:themeColor="text1"/>
              </w:rPr>
              <w:t>505</w:t>
            </w:r>
          </w:p>
        </w:tc>
      </w:tr>
    </w:tbl>
    <w:p w:rsidR="00B231CB" w:rsidRDefault="00B231CB">
      <w:pPr>
        <w:spacing w:after="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TLC30 - 2030 (EUR/car)</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color w:val="000000" w:themeColor="text1"/>
              </w:rPr>
            </w:pPr>
            <w:r>
              <w:rPr>
                <w:noProof/>
                <w:color w:val="000000" w:themeColor="text1"/>
              </w:rPr>
              <w:t>1,863</w:t>
            </w:r>
          </w:p>
        </w:tc>
        <w:tc>
          <w:tcPr>
            <w:tcW w:w="675" w:type="pct"/>
            <w:noWrap/>
          </w:tcPr>
          <w:p w:rsidR="00B231CB" w:rsidRDefault="00C71431">
            <w:pPr>
              <w:spacing w:after="120"/>
              <w:jc w:val="center"/>
              <w:rPr>
                <w:noProof/>
                <w:color w:val="000000" w:themeColor="text1"/>
              </w:rPr>
            </w:pPr>
            <w:r>
              <w:rPr>
                <w:noProof/>
                <w:color w:val="000000" w:themeColor="text1"/>
              </w:rPr>
              <w:t>1,415</w:t>
            </w:r>
          </w:p>
        </w:tc>
        <w:tc>
          <w:tcPr>
            <w:tcW w:w="675" w:type="pct"/>
            <w:noWrap/>
          </w:tcPr>
          <w:p w:rsidR="00B231CB" w:rsidRDefault="00C71431">
            <w:pPr>
              <w:spacing w:after="120"/>
              <w:jc w:val="center"/>
              <w:rPr>
                <w:noProof/>
                <w:color w:val="000000" w:themeColor="text1"/>
                <w:szCs w:val="24"/>
              </w:rPr>
            </w:pPr>
            <w:r>
              <w:rPr>
                <w:noProof/>
                <w:color w:val="000000" w:themeColor="text1"/>
                <w:szCs w:val="24"/>
              </w:rPr>
              <w:t>1,020</w:t>
            </w:r>
          </w:p>
        </w:tc>
        <w:tc>
          <w:tcPr>
            <w:tcW w:w="675" w:type="pct"/>
            <w:noWrap/>
          </w:tcPr>
          <w:p w:rsidR="00B231CB" w:rsidRDefault="00C71431">
            <w:pPr>
              <w:spacing w:after="120"/>
              <w:jc w:val="center"/>
              <w:rPr>
                <w:noProof/>
                <w:color w:val="000000" w:themeColor="text1"/>
              </w:rPr>
            </w:pPr>
            <w:r>
              <w:rPr>
                <w:noProof/>
                <w:color w:val="000000" w:themeColor="text1"/>
              </w:rPr>
              <w:t>654</w:t>
            </w:r>
          </w:p>
        </w:tc>
        <w:tc>
          <w:tcPr>
            <w:tcW w:w="673" w:type="pct"/>
            <w:noWrap/>
          </w:tcPr>
          <w:p w:rsidR="00B231CB" w:rsidRDefault="00C71431">
            <w:pPr>
              <w:spacing w:after="120"/>
              <w:jc w:val="center"/>
              <w:rPr>
                <w:noProof/>
                <w:color w:val="000000" w:themeColor="text1"/>
              </w:rPr>
            </w:pPr>
            <w:r>
              <w:rPr>
                <w:noProof/>
                <w:color w:val="000000" w:themeColor="text1"/>
              </w:rPr>
              <w:t>386</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color w:val="000000" w:themeColor="text1"/>
              </w:rPr>
            </w:pPr>
            <w:r>
              <w:rPr>
                <w:noProof/>
                <w:color w:val="000000" w:themeColor="text1"/>
              </w:rPr>
              <w:t>-86</w:t>
            </w:r>
          </w:p>
        </w:tc>
        <w:tc>
          <w:tcPr>
            <w:tcW w:w="675" w:type="pct"/>
            <w:noWrap/>
          </w:tcPr>
          <w:p w:rsidR="00B231CB" w:rsidRDefault="00C71431">
            <w:pPr>
              <w:spacing w:after="120"/>
              <w:jc w:val="center"/>
              <w:rPr>
                <w:noProof/>
                <w:color w:val="000000" w:themeColor="text1"/>
              </w:rPr>
            </w:pPr>
            <w:r>
              <w:rPr>
                <w:noProof/>
                <w:color w:val="000000" w:themeColor="text1"/>
              </w:rPr>
              <w:t>-80</w:t>
            </w:r>
          </w:p>
        </w:tc>
        <w:tc>
          <w:tcPr>
            <w:tcW w:w="675" w:type="pct"/>
            <w:noWrap/>
          </w:tcPr>
          <w:p w:rsidR="00B231CB" w:rsidRDefault="00C71431">
            <w:pPr>
              <w:spacing w:after="120"/>
              <w:jc w:val="center"/>
              <w:rPr>
                <w:noProof/>
                <w:color w:val="000000" w:themeColor="text1"/>
                <w:szCs w:val="24"/>
              </w:rPr>
            </w:pPr>
            <w:r>
              <w:rPr>
                <w:noProof/>
                <w:color w:val="000000" w:themeColor="text1"/>
                <w:szCs w:val="24"/>
              </w:rPr>
              <w:t>-96</w:t>
            </w:r>
          </w:p>
        </w:tc>
        <w:tc>
          <w:tcPr>
            <w:tcW w:w="675" w:type="pct"/>
            <w:noWrap/>
          </w:tcPr>
          <w:p w:rsidR="00B231CB" w:rsidRDefault="00C71431">
            <w:pPr>
              <w:spacing w:after="120"/>
              <w:jc w:val="center"/>
              <w:rPr>
                <w:noProof/>
                <w:color w:val="000000" w:themeColor="text1"/>
              </w:rPr>
            </w:pPr>
            <w:r>
              <w:rPr>
                <w:noProof/>
                <w:color w:val="000000" w:themeColor="text1"/>
              </w:rPr>
              <w:t>-100</w:t>
            </w:r>
          </w:p>
        </w:tc>
        <w:tc>
          <w:tcPr>
            <w:tcW w:w="673" w:type="pct"/>
            <w:noWrap/>
          </w:tcPr>
          <w:p w:rsidR="00B231CB" w:rsidRDefault="00C71431">
            <w:pPr>
              <w:spacing w:after="120"/>
              <w:jc w:val="center"/>
              <w:rPr>
                <w:noProof/>
                <w:color w:val="000000" w:themeColor="text1"/>
              </w:rPr>
            </w:pPr>
            <w:r>
              <w:rPr>
                <w:noProof/>
                <w:color w:val="000000" w:themeColor="text1"/>
              </w:rPr>
              <w:t>-117</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1,829</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1,747</w:t>
            </w:r>
          </w:p>
        </w:tc>
        <w:tc>
          <w:tcPr>
            <w:tcW w:w="675"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szCs w:val="24"/>
              </w:rPr>
              <w:t>1,802</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1,687</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1,717</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color w:val="000000" w:themeColor="text1"/>
              </w:rPr>
            </w:pPr>
            <w:r>
              <w:rPr>
                <w:i/>
                <w:noProof/>
                <w:color w:val="000000" w:themeColor="text1"/>
              </w:rPr>
              <w:t>51</w:t>
            </w:r>
          </w:p>
        </w:tc>
        <w:tc>
          <w:tcPr>
            <w:tcW w:w="675" w:type="pct"/>
            <w:noWrap/>
          </w:tcPr>
          <w:p w:rsidR="00B231CB" w:rsidRDefault="00C71431">
            <w:pPr>
              <w:spacing w:after="120"/>
              <w:jc w:val="center"/>
              <w:rPr>
                <w:i/>
                <w:noProof/>
                <w:color w:val="000000" w:themeColor="text1"/>
              </w:rPr>
            </w:pPr>
            <w:r>
              <w:rPr>
                <w:i/>
                <w:noProof/>
                <w:color w:val="000000" w:themeColor="text1"/>
              </w:rPr>
              <w:t>412</w:t>
            </w:r>
          </w:p>
        </w:tc>
        <w:tc>
          <w:tcPr>
            <w:tcW w:w="675" w:type="pct"/>
            <w:noWrap/>
          </w:tcPr>
          <w:p w:rsidR="00B231CB" w:rsidRDefault="00C71431">
            <w:pPr>
              <w:spacing w:after="120"/>
              <w:jc w:val="center"/>
              <w:rPr>
                <w:i/>
                <w:noProof/>
                <w:color w:val="000000" w:themeColor="text1"/>
                <w:szCs w:val="24"/>
              </w:rPr>
            </w:pPr>
            <w:r>
              <w:rPr>
                <w:i/>
                <w:noProof/>
                <w:color w:val="000000" w:themeColor="text1"/>
                <w:szCs w:val="24"/>
              </w:rPr>
              <w:t>878</w:t>
            </w:r>
          </w:p>
        </w:tc>
        <w:tc>
          <w:tcPr>
            <w:tcW w:w="675" w:type="pct"/>
            <w:noWrap/>
          </w:tcPr>
          <w:p w:rsidR="00B231CB" w:rsidRDefault="00C71431">
            <w:pPr>
              <w:spacing w:after="120"/>
              <w:jc w:val="center"/>
              <w:rPr>
                <w:i/>
                <w:noProof/>
                <w:color w:val="000000" w:themeColor="text1"/>
              </w:rPr>
            </w:pPr>
            <w:r>
              <w:rPr>
                <w:i/>
                <w:noProof/>
                <w:color w:val="000000" w:themeColor="text1"/>
              </w:rPr>
              <w:t>1,133</w:t>
            </w:r>
          </w:p>
        </w:tc>
        <w:tc>
          <w:tcPr>
            <w:tcW w:w="673" w:type="pct"/>
            <w:noWrap/>
          </w:tcPr>
          <w:p w:rsidR="00B231CB" w:rsidRDefault="00C71431">
            <w:pPr>
              <w:spacing w:after="120"/>
              <w:jc w:val="center"/>
              <w:rPr>
                <w:i/>
                <w:noProof/>
                <w:color w:val="000000" w:themeColor="text1"/>
              </w:rPr>
            </w:pPr>
            <w:r>
              <w:rPr>
                <w:i/>
                <w:noProof/>
                <w:color w:val="000000" w:themeColor="text1"/>
              </w:rPr>
              <w:t>1,448</w:t>
            </w:r>
          </w:p>
        </w:tc>
      </w:tr>
    </w:tbl>
    <w:p w:rsidR="00B231CB" w:rsidRDefault="00B231CB">
      <w:pPr>
        <w:spacing w:after="0"/>
        <w:rPr>
          <w:noProof/>
          <w:color w:val="000000" w:themeColor="text1"/>
        </w:rPr>
      </w:pP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szCs w:val="24"/>
              </w:rPr>
            </w:pPr>
            <w:r>
              <w:rPr>
                <w:b/>
                <w:noProof/>
                <w:szCs w:val="24"/>
              </w:rPr>
              <w:t>TLC40 - 2025 (EUR/car)</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color w:val="000000" w:themeColor="text1"/>
              </w:rPr>
            </w:pPr>
            <w:r>
              <w:rPr>
                <w:noProof/>
                <w:color w:val="000000" w:themeColor="text1"/>
              </w:rPr>
              <w:t>1,863</w:t>
            </w:r>
          </w:p>
        </w:tc>
        <w:tc>
          <w:tcPr>
            <w:tcW w:w="673" w:type="pct"/>
            <w:noWrap/>
          </w:tcPr>
          <w:p w:rsidR="00B231CB" w:rsidRDefault="00C71431">
            <w:pPr>
              <w:spacing w:after="120"/>
              <w:jc w:val="center"/>
              <w:rPr>
                <w:noProof/>
                <w:color w:val="000000" w:themeColor="text1"/>
              </w:rPr>
            </w:pPr>
            <w:r>
              <w:rPr>
                <w:noProof/>
                <w:color w:val="000000" w:themeColor="text1"/>
              </w:rPr>
              <w:t>1,415</w:t>
            </w:r>
          </w:p>
        </w:tc>
        <w:tc>
          <w:tcPr>
            <w:tcW w:w="673" w:type="pct"/>
            <w:noWrap/>
          </w:tcPr>
          <w:p w:rsidR="00B231CB" w:rsidRDefault="00C71431">
            <w:pPr>
              <w:spacing w:after="120"/>
              <w:jc w:val="center"/>
              <w:rPr>
                <w:noProof/>
                <w:color w:val="000000" w:themeColor="text1"/>
                <w:szCs w:val="24"/>
              </w:rPr>
            </w:pPr>
            <w:r>
              <w:rPr>
                <w:noProof/>
                <w:color w:val="000000" w:themeColor="text1"/>
                <w:szCs w:val="24"/>
              </w:rPr>
              <w:t>1,020</w:t>
            </w:r>
          </w:p>
        </w:tc>
        <w:tc>
          <w:tcPr>
            <w:tcW w:w="673" w:type="pct"/>
            <w:noWrap/>
          </w:tcPr>
          <w:p w:rsidR="00B231CB" w:rsidRDefault="00C71431">
            <w:pPr>
              <w:spacing w:after="120"/>
              <w:jc w:val="center"/>
              <w:rPr>
                <w:noProof/>
                <w:color w:val="000000" w:themeColor="text1"/>
              </w:rPr>
            </w:pPr>
            <w:r>
              <w:rPr>
                <w:noProof/>
                <w:color w:val="000000" w:themeColor="text1"/>
              </w:rPr>
              <w:t>654</w:t>
            </w:r>
          </w:p>
        </w:tc>
        <w:tc>
          <w:tcPr>
            <w:tcW w:w="672" w:type="pct"/>
            <w:noWrap/>
          </w:tcPr>
          <w:p w:rsidR="00B231CB" w:rsidRDefault="00C71431">
            <w:pPr>
              <w:spacing w:after="120"/>
              <w:jc w:val="center"/>
              <w:rPr>
                <w:noProof/>
                <w:color w:val="000000" w:themeColor="text1"/>
              </w:rPr>
            </w:pPr>
            <w:r>
              <w:rPr>
                <w:noProof/>
                <w:color w:val="000000" w:themeColor="text1"/>
              </w:rPr>
              <w:t>386</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color w:val="000000" w:themeColor="text1"/>
              </w:rPr>
            </w:pPr>
            <w:r>
              <w:rPr>
                <w:noProof/>
                <w:color w:val="000000" w:themeColor="text1"/>
              </w:rPr>
              <w:t>-86</w:t>
            </w:r>
          </w:p>
        </w:tc>
        <w:tc>
          <w:tcPr>
            <w:tcW w:w="673" w:type="pct"/>
            <w:noWrap/>
          </w:tcPr>
          <w:p w:rsidR="00B231CB" w:rsidRDefault="00C71431">
            <w:pPr>
              <w:spacing w:after="120"/>
              <w:jc w:val="center"/>
              <w:rPr>
                <w:noProof/>
                <w:color w:val="000000" w:themeColor="text1"/>
              </w:rPr>
            </w:pPr>
            <w:r>
              <w:rPr>
                <w:noProof/>
                <w:color w:val="000000" w:themeColor="text1"/>
              </w:rPr>
              <w:t>-80</w:t>
            </w:r>
          </w:p>
        </w:tc>
        <w:tc>
          <w:tcPr>
            <w:tcW w:w="673" w:type="pct"/>
            <w:noWrap/>
          </w:tcPr>
          <w:p w:rsidR="00B231CB" w:rsidRDefault="00C71431">
            <w:pPr>
              <w:spacing w:after="120"/>
              <w:jc w:val="center"/>
              <w:rPr>
                <w:noProof/>
                <w:color w:val="000000" w:themeColor="text1"/>
                <w:szCs w:val="24"/>
              </w:rPr>
            </w:pPr>
            <w:r>
              <w:rPr>
                <w:noProof/>
                <w:color w:val="000000" w:themeColor="text1"/>
                <w:szCs w:val="24"/>
              </w:rPr>
              <w:t>-96</w:t>
            </w:r>
          </w:p>
        </w:tc>
        <w:tc>
          <w:tcPr>
            <w:tcW w:w="673" w:type="pct"/>
            <w:noWrap/>
          </w:tcPr>
          <w:p w:rsidR="00B231CB" w:rsidRDefault="00C71431">
            <w:pPr>
              <w:spacing w:after="120"/>
              <w:jc w:val="center"/>
              <w:rPr>
                <w:noProof/>
                <w:color w:val="000000" w:themeColor="text1"/>
              </w:rPr>
            </w:pPr>
            <w:r>
              <w:rPr>
                <w:noProof/>
                <w:color w:val="000000" w:themeColor="text1"/>
              </w:rPr>
              <w:t>-100</w:t>
            </w:r>
          </w:p>
        </w:tc>
        <w:tc>
          <w:tcPr>
            <w:tcW w:w="672" w:type="pct"/>
            <w:noWrap/>
          </w:tcPr>
          <w:p w:rsidR="00B231CB" w:rsidRDefault="00C71431">
            <w:pPr>
              <w:spacing w:after="120"/>
              <w:jc w:val="center"/>
              <w:rPr>
                <w:noProof/>
                <w:color w:val="000000" w:themeColor="text1"/>
              </w:rPr>
            </w:pPr>
            <w:r>
              <w:rPr>
                <w:noProof/>
                <w:color w:val="000000" w:themeColor="text1"/>
              </w:rPr>
              <w:t>-117</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1,829</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1,747</w:t>
            </w:r>
          </w:p>
        </w:tc>
        <w:tc>
          <w:tcPr>
            <w:tcW w:w="673"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szCs w:val="24"/>
              </w:rPr>
              <w:t>1,802</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1,687</w:t>
            </w:r>
          </w:p>
        </w:tc>
        <w:tc>
          <w:tcPr>
            <w:tcW w:w="672"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1,717</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3" w:type="pct"/>
            <w:noWrap/>
          </w:tcPr>
          <w:p w:rsidR="00B231CB" w:rsidRDefault="00C71431">
            <w:pPr>
              <w:spacing w:after="120"/>
              <w:jc w:val="center"/>
              <w:rPr>
                <w:i/>
                <w:noProof/>
                <w:color w:val="000000" w:themeColor="text1"/>
              </w:rPr>
            </w:pPr>
            <w:r>
              <w:rPr>
                <w:i/>
                <w:noProof/>
                <w:color w:val="000000" w:themeColor="text1"/>
              </w:rPr>
              <w:t>51</w:t>
            </w:r>
          </w:p>
        </w:tc>
        <w:tc>
          <w:tcPr>
            <w:tcW w:w="673" w:type="pct"/>
            <w:noWrap/>
          </w:tcPr>
          <w:p w:rsidR="00B231CB" w:rsidRDefault="00C71431">
            <w:pPr>
              <w:spacing w:after="120"/>
              <w:jc w:val="center"/>
              <w:rPr>
                <w:i/>
                <w:noProof/>
                <w:color w:val="000000" w:themeColor="text1"/>
              </w:rPr>
            </w:pPr>
            <w:r>
              <w:rPr>
                <w:i/>
                <w:noProof/>
                <w:color w:val="000000" w:themeColor="text1"/>
              </w:rPr>
              <w:t>412</w:t>
            </w:r>
          </w:p>
        </w:tc>
        <w:tc>
          <w:tcPr>
            <w:tcW w:w="673" w:type="pct"/>
            <w:noWrap/>
          </w:tcPr>
          <w:p w:rsidR="00B231CB" w:rsidRDefault="00C71431">
            <w:pPr>
              <w:spacing w:after="120"/>
              <w:jc w:val="center"/>
              <w:rPr>
                <w:i/>
                <w:noProof/>
                <w:color w:val="000000" w:themeColor="text1"/>
                <w:szCs w:val="24"/>
              </w:rPr>
            </w:pPr>
            <w:r>
              <w:rPr>
                <w:i/>
                <w:noProof/>
                <w:color w:val="000000" w:themeColor="text1"/>
                <w:szCs w:val="24"/>
              </w:rPr>
              <w:t>878</w:t>
            </w:r>
          </w:p>
        </w:tc>
        <w:tc>
          <w:tcPr>
            <w:tcW w:w="673" w:type="pct"/>
            <w:noWrap/>
          </w:tcPr>
          <w:p w:rsidR="00B231CB" w:rsidRDefault="00C71431">
            <w:pPr>
              <w:spacing w:after="120"/>
              <w:jc w:val="center"/>
              <w:rPr>
                <w:i/>
                <w:noProof/>
                <w:color w:val="000000" w:themeColor="text1"/>
              </w:rPr>
            </w:pPr>
            <w:r>
              <w:rPr>
                <w:i/>
                <w:noProof/>
                <w:color w:val="000000" w:themeColor="text1"/>
              </w:rPr>
              <w:t>1,133</w:t>
            </w:r>
          </w:p>
        </w:tc>
        <w:tc>
          <w:tcPr>
            <w:tcW w:w="672" w:type="pct"/>
            <w:noWrap/>
          </w:tcPr>
          <w:p w:rsidR="00B231CB" w:rsidRDefault="00C71431">
            <w:pPr>
              <w:spacing w:after="120"/>
              <w:jc w:val="center"/>
              <w:rPr>
                <w:i/>
                <w:noProof/>
                <w:color w:val="000000" w:themeColor="text1"/>
              </w:rPr>
            </w:pPr>
            <w:r>
              <w:rPr>
                <w:i/>
                <w:noProof/>
                <w:color w:val="000000" w:themeColor="text1"/>
              </w:rPr>
              <w:t>1,448</w:t>
            </w:r>
          </w:p>
        </w:tc>
      </w:tr>
    </w:tbl>
    <w:p w:rsidR="00B231CB" w:rsidRDefault="00B231CB">
      <w:pPr>
        <w:spacing w:after="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TLC40 - 2030 (EUR/car)</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color w:val="000000" w:themeColor="text1"/>
              </w:rPr>
            </w:pPr>
            <w:r>
              <w:rPr>
                <w:noProof/>
                <w:color w:val="000000" w:themeColor="text1"/>
              </w:rPr>
              <w:t>2,807</w:t>
            </w:r>
          </w:p>
        </w:tc>
        <w:tc>
          <w:tcPr>
            <w:tcW w:w="675" w:type="pct"/>
            <w:noWrap/>
          </w:tcPr>
          <w:p w:rsidR="00B231CB" w:rsidRDefault="00C71431">
            <w:pPr>
              <w:spacing w:after="120"/>
              <w:jc w:val="center"/>
              <w:rPr>
                <w:noProof/>
                <w:color w:val="000000" w:themeColor="text1"/>
              </w:rPr>
            </w:pPr>
            <w:r>
              <w:rPr>
                <w:noProof/>
                <w:color w:val="000000" w:themeColor="text1"/>
              </w:rPr>
              <w:t>2,241</w:t>
            </w:r>
          </w:p>
        </w:tc>
        <w:tc>
          <w:tcPr>
            <w:tcW w:w="675" w:type="pct"/>
            <w:noWrap/>
          </w:tcPr>
          <w:p w:rsidR="00B231CB" w:rsidRDefault="00C71431">
            <w:pPr>
              <w:spacing w:after="120"/>
              <w:jc w:val="center"/>
              <w:rPr>
                <w:noProof/>
                <w:color w:val="000000" w:themeColor="text1"/>
                <w:szCs w:val="24"/>
              </w:rPr>
            </w:pPr>
            <w:r>
              <w:rPr>
                <w:noProof/>
                <w:color w:val="000000" w:themeColor="text1"/>
                <w:szCs w:val="24"/>
              </w:rPr>
              <w:t>1,812</w:t>
            </w:r>
          </w:p>
        </w:tc>
        <w:tc>
          <w:tcPr>
            <w:tcW w:w="675" w:type="pct"/>
            <w:noWrap/>
          </w:tcPr>
          <w:p w:rsidR="00B231CB" w:rsidRDefault="00C71431">
            <w:pPr>
              <w:spacing w:after="120"/>
              <w:jc w:val="center"/>
              <w:rPr>
                <w:noProof/>
                <w:color w:val="000000" w:themeColor="text1"/>
              </w:rPr>
            </w:pPr>
            <w:r>
              <w:rPr>
                <w:noProof/>
                <w:color w:val="000000" w:themeColor="text1"/>
              </w:rPr>
              <w:t>1,310</w:t>
            </w:r>
          </w:p>
        </w:tc>
        <w:tc>
          <w:tcPr>
            <w:tcW w:w="673" w:type="pct"/>
            <w:noWrap/>
          </w:tcPr>
          <w:p w:rsidR="00B231CB" w:rsidRDefault="00C71431">
            <w:pPr>
              <w:spacing w:after="120"/>
              <w:jc w:val="center"/>
              <w:rPr>
                <w:noProof/>
                <w:color w:val="000000" w:themeColor="text1"/>
              </w:rPr>
            </w:pPr>
            <w:r>
              <w:rPr>
                <w:noProof/>
                <w:color w:val="000000" w:themeColor="text1"/>
              </w:rPr>
              <w:t>988</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color w:val="000000" w:themeColor="text1"/>
              </w:rPr>
            </w:pPr>
            <w:r>
              <w:rPr>
                <w:noProof/>
                <w:color w:val="000000" w:themeColor="text1"/>
              </w:rPr>
              <w:t>-133</w:t>
            </w:r>
          </w:p>
        </w:tc>
        <w:tc>
          <w:tcPr>
            <w:tcW w:w="675" w:type="pct"/>
            <w:noWrap/>
          </w:tcPr>
          <w:p w:rsidR="00B231CB" w:rsidRDefault="00C71431">
            <w:pPr>
              <w:spacing w:after="120"/>
              <w:jc w:val="center"/>
              <w:rPr>
                <w:noProof/>
                <w:color w:val="000000" w:themeColor="text1"/>
              </w:rPr>
            </w:pPr>
            <w:r>
              <w:rPr>
                <w:noProof/>
                <w:color w:val="000000" w:themeColor="text1"/>
              </w:rPr>
              <w:t>-133</w:t>
            </w:r>
          </w:p>
        </w:tc>
        <w:tc>
          <w:tcPr>
            <w:tcW w:w="675" w:type="pct"/>
            <w:noWrap/>
          </w:tcPr>
          <w:p w:rsidR="00B231CB" w:rsidRDefault="00C71431">
            <w:pPr>
              <w:spacing w:after="120"/>
              <w:jc w:val="center"/>
              <w:rPr>
                <w:noProof/>
                <w:color w:val="000000" w:themeColor="text1"/>
                <w:szCs w:val="24"/>
              </w:rPr>
            </w:pPr>
            <w:r>
              <w:rPr>
                <w:noProof/>
                <w:color w:val="000000" w:themeColor="text1"/>
                <w:szCs w:val="24"/>
              </w:rPr>
              <w:t>-157</w:t>
            </w:r>
          </w:p>
        </w:tc>
        <w:tc>
          <w:tcPr>
            <w:tcW w:w="675" w:type="pct"/>
            <w:noWrap/>
          </w:tcPr>
          <w:p w:rsidR="00B231CB" w:rsidRDefault="00C71431">
            <w:pPr>
              <w:spacing w:after="120"/>
              <w:jc w:val="center"/>
              <w:rPr>
                <w:noProof/>
                <w:color w:val="000000" w:themeColor="text1"/>
              </w:rPr>
            </w:pPr>
            <w:r>
              <w:rPr>
                <w:noProof/>
                <w:color w:val="000000" w:themeColor="text1"/>
              </w:rPr>
              <w:t>-153</w:t>
            </w:r>
          </w:p>
        </w:tc>
        <w:tc>
          <w:tcPr>
            <w:tcW w:w="673" w:type="pct"/>
            <w:noWrap/>
          </w:tcPr>
          <w:p w:rsidR="00B231CB" w:rsidRDefault="00C71431">
            <w:pPr>
              <w:spacing w:after="120"/>
              <w:jc w:val="center"/>
              <w:rPr>
                <w:noProof/>
                <w:color w:val="000000" w:themeColor="text1"/>
              </w:rPr>
            </w:pPr>
            <w:r>
              <w:rPr>
                <w:noProof/>
                <w:color w:val="000000" w:themeColor="text1"/>
              </w:rPr>
              <w:t>-185</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2,168</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2,156</w:t>
            </w:r>
          </w:p>
        </w:tc>
        <w:tc>
          <w:tcPr>
            <w:tcW w:w="675"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szCs w:val="24"/>
              </w:rPr>
              <w:t>2,220</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2,151</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2,213</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color w:val="000000" w:themeColor="text1"/>
              </w:rPr>
            </w:pPr>
            <w:r>
              <w:rPr>
                <w:i/>
                <w:noProof/>
                <w:color w:val="000000" w:themeColor="text1"/>
              </w:rPr>
              <w:t>-506</w:t>
            </w:r>
          </w:p>
        </w:tc>
        <w:tc>
          <w:tcPr>
            <w:tcW w:w="675" w:type="pct"/>
            <w:noWrap/>
          </w:tcPr>
          <w:p w:rsidR="00B231CB" w:rsidRDefault="00C71431">
            <w:pPr>
              <w:spacing w:after="120"/>
              <w:jc w:val="center"/>
              <w:rPr>
                <w:i/>
                <w:noProof/>
                <w:color w:val="000000" w:themeColor="text1"/>
              </w:rPr>
            </w:pPr>
            <w:r>
              <w:rPr>
                <w:i/>
                <w:noProof/>
                <w:color w:val="000000" w:themeColor="text1"/>
              </w:rPr>
              <w:t>48</w:t>
            </w:r>
          </w:p>
        </w:tc>
        <w:tc>
          <w:tcPr>
            <w:tcW w:w="675" w:type="pct"/>
            <w:noWrap/>
          </w:tcPr>
          <w:p w:rsidR="00B231CB" w:rsidRDefault="00C71431">
            <w:pPr>
              <w:spacing w:after="120"/>
              <w:jc w:val="center"/>
              <w:rPr>
                <w:i/>
                <w:noProof/>
                <w:color w:val="000000" w:themeColor="text1"/>
                <w:szCs w:val="24"/>
              </w:rPr>
            </w:pPr>
            <w:r>
              <w:rPr>
                <w:i/>
                <w:noProof/>
                <w:color w:val="000000" w:themeColor="text1"/>
                <w:szCs w:val="24"/>
              </w:rPr>
              <w:t>565</w:t>
            </w:r>
          </w:p>
        </w:tc>
        <w:tc>
          <w:tcPr>
            <w:tcW w:w="675" w:type="pct"/>
            <w:noWrap/>
          </w:tcPr>
          <w:p w:rsidR="00B231CB" w:rsidRDefault="00C71431">
            <w:pPr>
              <w:spacing w:after="120"/>
              <w:jc w:val="center"/>
              <w:rPr>
                <w:i/>
                <w:noProof/>
                <w:color w:val="000000" w:themeColor="text1"/>
              </w:rPr>
            </w:pPr>
            <w:r>
              <w:rPr>
                <w:i/>
                <w:noProof/>
                <w:color w:val="000000" w:themeColor="text1"/>
              </w:rPr>
              <w:t>994</w:t>
            </w:r>
          </w:p>
        </w:tc>
        <w:tc>
          <w:tcPr>
            <w:tcW w:w="673" w:type="pct"/>
            <w:noWrap/>
          </w:tcPr>
          <w:p w:rsidR="00B231CB" w:rsidRDefault="00C71431">
            <w:pPr>
              <w:spacing w:after="120"/>
              <w:jc w:val="center"/>
              <w:rPr>
                <w:i/>
                <w:noProof/>
                <w:color w:val="000000" w:themeColor="text1"/>
              </w:rPr>
            </w:pPr>
            <w:r>
              <w:rPr>
                <w:i/>
                <w:noProof/>
                <w:color w:val="000000" w:themeColor="text1"/>
              </w:rPr>
              <w:t>1,410</w:t>
            </w:r>
          </w:p>
        </w:tc>
      </w:tr>
    </w:tbl>
    <w:p w:rsidR="00B231CB" w:rsidRDefault="00B231CB">
      <w:pPr>
        <w:spacing w:after="0"/>
        <w:rPr>
          <w:noProof/>
          <w:color w:val="000000" w:themeColor="text1"/>
        </w:rPr>
      </w:pPr>
    </w:p>
    <w:p w:rsidR="00B231CB" w:rsidRDefault="00C71431">
      <w:pPr>
        <w:pStyle w:val="Caption"/>
        <w:keepNext/>
        <w:spacing w:before="240" w:after="240"/>
        <w:jc w:val="both"/>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r>
        <w:rPr>
          <w:noProof/>
        </w:rPr>
        <w:t>: Sensitivity - TCO-lifetime (15 years) in 2025 and 2030 under different cost assumptions (net savings in EUR/car) for a range of TLC options</w:t>
      </w:r>
    </w:p>
    <w:tbl>
      <w:tblPr>
        <w:tblStyle w:val="TableGrid"/>
        <w:tblW w:w="4309" w:type="pct"/>
        <w:tblLayout w:type="fixed"/>
        <w:tblLook w:val="04A0" w:firstRow="1" w:lastRow="0" w:firstColumn="1" w:lastColumn="0" w:noHBand="0" w:noVBand="1"/>
      </w:tblPr>
      <w:tblGrid>
        <w:gridCol w:w="1584"/>
        <w:gridCol w:w="1284"/>
        <w:gridCol w:w="1284"/>
        <w:gridCol w:w="1284"/>
        <w:gridCol w:w="1284"/>
        <w:gridCol w:w="1284"/>
      </w:tblGrid>
      <w:tr w:rsidR="00B231CB">
        <w:trPr>
          <w:trHeight w:val="255"/>
        </w:trPr>
        <w:tc>
          <w:tcPr>
            <w:tcW w:w="989" w:type="pct"/>
            <w:tcBorders>
              <w:bottom w:val="single" w:sz="4" w:space="0" w:color="auto"/>
            </w:tcBorders>
            <w:vAlign w:val="center"/>
          </w:tcPr>
          <w:p w:rsidR="00B231CB" w:rsidRDefault="00C71431">
            <w:pPr>
              <w:spacing w:after="60" w:line="276" w:lineRule="auto"/>
              <w:jc w:val="center"/>
              <w:rPr>
                <w:b/>
                <w:noProof/>
              </w:rPr>
            </w:pPr>
            <w:r>
              <w:rPr>
                <w:b/>
                <w:noProof/>
              </w:rPr>
              <w:t>TLC20</w:t>
            </w:r>
          </w:p>
        </w:tc>
        <w:tc>
          <w:tcPr>
            <w:tcW w:w="802" w:type="pct"/>
            <w:tcBorders>
              <w:bottom w:val="single" w:sz="4" w:space="0" w:color="auto"/>
            </w:tcBorders>
          </w:tcPr>
          <w:p w:rsidR="00B231CB" w:rsidRDefault="00C71431">
            <w:pPr>
              <w:spacing w:after="60" w:line="276" w:lineRule="auto"/>
              <w:jc w:val="center"/>
              <w:rPr>
                <w:b/>
                <w:i/>
                <w:noProof/>
              </w:rPr>
            </w:pPr>
            <w:r>
              <w:rPr>
                <w:b/>
                <w:i/>
                <w:noProof/>
              </w:rPr>
              <w:t>High</w:t>
            </w:r>
          </w:p>
        </w:tc>
        <w:tc>
          <w:tcPr>
            <w:tcW w:w="802" w:type="pct"/>
            <w:tcBorders>
              <w:bottom w:val="single" w:sz="4" w:space="0" w:color="auto"/>
            </w:tcBorders>
          </w:tcPr>
          <w:p w:rsidR="00B231CB" w:rsidRDefault="00C71431">
            <w:pPr>
              <w:spacing w:after="60" w:line="276" w:lineRule="auto"/>
              <w:jc w:val="center"/>
              <w:rPr>
                <w:b/>
                <w:i/>
                <w:noProof/>
              </w:rPr>
            </w:pPr>
            <w:r>
              <w:rPr>
                <w:b/>
                <w:i/>
                <w:noProof/>
              </w:rPr>
              <w:t>High ICE</w:t>
            </w:r>
          </w:p>
        </w:tc>
        <w:tc>
          <w:tcPr>
            <w:tcW w:w="802" w:type="pct"/>
            <w:tcBorders>
              <w:bottom w:val="single" w:sz="4" w:space="0" w:color="auto"/>
            </w:tcBorders>
            <w:noWrap/>
            <w:hideMark/>
          </w:tcPr>
          <w:p w:rsidR="00B231CB" w:rsidRDefault="00C71431">
            <w:pPr>
              <w:spacing w:after="60" w:line="276" w:lineRule="auto"/>
              <w:jc w:val="center"/>
              <w:rPr>
                <w:b/>
                <w:i/>
                <w:noProof/>
              </w:rPr>
            </w:pPr>
            <w:r>
              <w:rPr>
                <w:b/>
                <w:i/>
                <w:noProof/>
              </w:rPr>
              <w:t>Medium</w:t>
            </w:r>
          </w:p>
        </w:tc>
        <w:tc>
          <w:tcPr>
            <w:tcW w:w="802" w:type="pct"/>
            <w:tcBorders>
              <w:bottom w:val="single" w:sz="4" w:space="0" w:color="auto"/>
            </w:tcBorders>
            <w:noWrap/>
            <w:hideMark/>
          </w:tcPr>
          <w:p w:rsidR="00B231CB" w:rsidRDefault="00C71431">
            <w:pPr>
              <w:spacing w:after="60" w:line="276" w:lineRule="auto"/>
              <w:jc w:val="center"/>
              <w:rPr>
                <w:b/>
                <w:i/>
                <w:noProof/>
              </w:rPr>
            </w:pPr>
            <w:r>
              <w:rPr>
                <w:b/>
                <w:i/>
                <w:noProof/>
              </w:rPr>
              <w:t>LxEV</w:t>
            </w:r>
          </w:p>
        </w:tc>
        <w:tc>
          <w:tcPr>
            <w:tcW w:w="802" w:type="pct"/>
            <w:tcBorders>
              <w:bottom w:val="single" w:sz="4" w:space="0" w:color="auto"/>
            </w:tcBorders>
            <w:noWrap/>
            <w:hideMark/>
          </w:tcPr>
          <w:p w:rsidR="00B231CB" w:rsidRDefault="00C71431">
            <w:pPr>
              <w:spacing w:after="60" w:line="276" w:lineRule="auto"/>
              <w:jc w:val="center"/>
              <w:rPr>
                <w:b/>
                <w:i/>
                <w:noProof/>
              </w:rPr>
            </w:pPr>
            <w:r>
              <w:rPr>
                <w:b/>
                <w:i/>
                <w:noProof/>
              </w:rPr>
              <w:t>Low</w:t>
            </w:r>
          </w:p>
        </w:tc>
      </w:tr>
      <w:tr w:rsidR="00B231CB">
        <w:trPr>
          <w:trHeight w:val="255"/>
        </w:trPr>
        <w:tc>
          <w:tcPr>
            <w:tcW w:w="989" w:type="pct"/>
            <w:tcBorders>
              <w:top w:val="single" w:sz="4" w:space="0" w:color="auto"/>
            </w:tcBorders>
            <w:vAlign w:val="center"/>
          </w:tcPr>
          <w:p w:rsidR="00B231CB" w:rsidRDefault="00C71431">
            <w:pPr>
              <w:spacing w:after="60" w:line="276" w:lineRule="auto"/>
              <w:jc w:val="center"/>
              <w:rPr>
                <w:noProof/>
              </w:rPr>
            </w:pPr>
            <w:r>
              <w:rPr>
                <w:noProof/>
              </w:rPr>
              <w:t>2025</w:t>
            </w:r>
          </w:p>
        </w:tc>
        <w:tc>
          <w:tcPr>
            <w:tcW w:w="802" w:type="pct"/>
            <w:tcBorders>
              <w:top w:val="single" w:sz="4" w:space="0" w:color="auto"/>
            </w:tcBorders>
          </w:tcPr>
          <w:p w:rsidR="00B231CB" w:rsidRDefault="00C71431">
            <w:pPr>
              <w:spacing w:after="60" w:line="276" w:lineRule="auto"/>
              <w:jc w:val="center"/>
              <w:rPr>
                <w:noProof/>
              </w:rPr>
            </w:pPr>
            <w:r>
              <w:rPr>
                <w:noProof/>
              </w:rPr>
              <w:t>-303</w:t>
            </w:r>
          </w:p>
        </w:tc>
        <w:tc>
          <w:tcPr>
            <w:tcW w:w="802" w:type="pct"/>
            <w:tcBorders>
              <w:top w:val="single" w:sz="4" w:space="0" w:color="auto"/>
            </w:tcBorders>
          </w:tcPr>
          <w:p w:rsidR="00B231CB" w:rsidRDefault="00C71431">
            <w:pPr>
              <w:spacing w:after="60" w:line="276" w:lineRule="auto"/>
              <w:jc w:val="center"/>
              <w:rPr>
                <w:noProof/>
              </w:rPr>
            </w:pPr>
            <w:r>
              <w:rPr>
                <w:noProof/>
              </w:rPr>
              <w:t>-84</w:t>
            </w:r>
          </w:p>
        </w:tc>
        <w:tc>
          <w:tcPr>
            <w:tcW w:w="802" w:type="pct"/>
            <w:tcBorders>
              <w:top w:val="single" w:sz="4" w:space="0" w:color="auto"/>
            </w:tcBorders>
            <w:noWrap/>
          </w:tcPr>
          <w:p w:rsidR="00B231CB" w:rsidRDefault="00C71431">
            <w:pPr>
              <w:spacing w:after="60" w:line="276" w:lineRule="auto"/>
              <w:jc w:val="center"/>
              <w:rPr>
                <w:noProof/>
              </w:rPr>
            </w:pPr>
            <w:r>
              <w:rPr>
                <w:noProof/>
              </w:rPr>
              <w:t>329</w:t>
            </w:r>
          </w:p>
        </w:tc>
        <w:tc>
          <w:tcPr>
            <w:tcW w:w="802"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N/A</w:t>
            </w:r>
          </w:p>
        </w:tc>
        <w:tc>
          <w:tcPr>
            <w:tcW w:w="802" w:type="pct"/>
            <w:tcBorders>
              <w:top w:val="single" w:sz="4" w:space="0" w:color="auto"/>
            </w:tcBorders>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989" w:type="pct"/>
            <w:tcBorders>
              <w:top w:val="single" w:sz="4" w:space="0" w:color="auto"/>
            </w:tcBorders>
            <w:vAlign w:val="center"/>
          </w:tcPr>
          <w:p w:rsidR="00B231CB" w:rsidRDefault="00C71431">
            <w:pPr>
              <w:spacing w:after="60" w:line="276" w:lineRule="auto"/>
              <w:jc w:val="center"/>
              <w:rPr>
                <w:noProof/>
              </w:rPr>
            </w:pPr>
            <w:r>
              <w:rPr>
                <w:noProof/>
              </w:rPr>
              <w:t>2030</w:t>
            </w:r>
          </w:p>
        </w:tc>
        <w:tc>
          <w:tcPr>
            <w:tcW w:w="802" w:type="pct"/>
            <w:tcBorders>
              <w:top w:val="single" w:sz="4" w:space="0" w:color="auto"/>
            </w:tcBorders>
          </w:tcPr>
          <w:p w:rsidR="00B231CB" w:rsidRDefault="00C71431">
            <w:pPr>
              <w:spacing w:after="60" w:line="276" w:lineRule="auto"/>
              <w:jc w:val="center"/>
              <w:rPr>
                <w:noProof/>
              </w:rPr>
            </w:pPr>
            <w:r>
              <w:rPr>
                <w:noProof/>
              </w:rPr>
              <w:t>479</w:t>
            </w:r>
          </w:p>
        </w:tc>
        <w:tc>
          <w:tcPr>
            <w:tcW w:w="802" w:type="pct"/>
            <w:tcBorders>
              <w:top w:val="single" w:sz="4" w:space="0" w:color="auto"/>
            </w:tcBorders>
          </w:tcPr>
          <w:p w:rsidR="00B231CB" w:rsidRDefault="00C71431">
            <w:pPr>
              <w:spacing w:after="60" w:line="276" w:lineRule="auto"/>
              <w:jc w:val="center"/>
              <w:rPr>
                <w:noProof/>
              </w:rPr>
            </w:pPr>
            <w:r>
              <w:rPr>
                <w:noProof/>
              </w:rPr>
              <w:t>798</w:t>
            </w:r>
          </w:p>
        </w:tc>
        <w:tc>
          <w:tcPr>
            <w:tcW w:w="802" w:type="pct"/>
            <w:tcBorders>
              <w:top w:val="single" w:sz="4" w:space="0" w:color="auto"/>
            </w:tcBorders>
            <w:noWrap/>
          </w:tcPr>
          <w:p w:rsidR="00B231CB" w:rsidRDefault="00C71431">
            <w:pPr>
              <w:spacing w:after="60" w:line="276" w:lineRule="auto"/>
              <w:jc w:val="center"/>
              <w:rPr>
                <w:noProof/>
              </w:rPr>
            </w:pPr>
            <w:r>
              <w:rPr>
                <w:noProof/>
              </w:rPr>
              <w:t>1,227</w:t>
            </w:r>
          </w:p>
        </w:tc>
        <w:tc>
          <w:tcPr>
            <w:tcW w:w="802"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N/A</w:t>
            </w:r>
          </w:p>
        </w:tc>
        <w:tc>
          <w:tcPr>
            <w:tcW w:w="802" w:type="pct"/>
            <w:tcBorders>
              <w:top w:val="single" w:sz="4" w:space="0" w:color="auto"/>
            </w:tcBorders>
            <w:noWrap/>
          </w:tcPr>
          <w:p w:rsidR="00B231CB" w:rsidRDefault="00C71431">
            <w:pPr>
              <w:spacing w:after="120"/>
              <w:jc w:val="center"/>
              <w:rPr>
                <w:noProof/>
                <w:color w:val="000000" w:themeColor="text1"/>
                <w:szCs w:val="24"/>
              </w:rPr>
            </w:pPr>
            <w:r>
              <w:rPr>
                <w:noProof/>
                <w:color w:val="000000" w:themeColor="text1"/>
              </w:rPr>
              <w:t>N/A</w:t>
            </w:r>
          </w:p>
        </w:tc>
      </w:tr>
    </w:tbl>
    <w:p w:rsidR="00B231CB" w:rsidRDefault="00B231CB">
      <w:pPr>
        <w:spacing w:after="120"/>
        <w:rPr>
          <w:noProof/>
        </w:rPr>
      </w:pPr>
    </w:p>
    <w:tbl>
      <w:tblPr>
        <w:tblStyle w:val="TableGrid"/>
        <w:tblW w:w="4309" w:type="pct"/>
        <w:tblLayout w:type="fixed"/>
        <w:tblLook w:val="04A0" w:firstRow="1" w:lastRow="0" w:firstColumn="1" w:lastColumn="0" w:noHBand="0" w:noVBand="1"/>
      </w:tblPr>
      <w:tblGrid>
        <w:gridCol w:w="1584"/>
        <w:gridCol w:w="1284"/>
        <w:gridCol w:w="1284"/>
        <w:gridCol w:w="1284"/>
        <w:gridCol w:w="1284"/>
        <w:gridCol w:w="1284"/>
      </w:tblGrid>
      <w:tr w:rsidR="00B231CB">
        <w:trPr>
          <w:trHeight w:val="255"/>
        </w:trPr>
        <w:tc>
          <w:tcPr>
            <w:tcW w:w="989" w:type="pct"/>
            <w:tcBorders>
              <w:bottom w:val="single" w:sz="4" w:space="0" w:color="auto"/>
            </w:tcBorders>
            <w:vAlign w:val="center"/>
          </w:tcPr>
          <w:p w:rsidR="00B231CB" w:rsidRDefault="00C71431">
            <w:pPr>
              <w:spacing w:after="60" w:line="276" w:lineRule="auto"/>
              <w:jc w:val="center"/>
              <w:rPr>
                <w:b/>
                <w:noProof/>
              </w:rPr>
            </w:pPr>
            <w:r>
              <w:rPr>
                <w:b/>
                <w:noProof/>
              </w:rPr>
              <w:t>TLC25</w:t>
            </w:r>
          </w:p>
        </w:tc>
        <w:tc>
          <w:tcPr>
            <w:tcW w:w="802" w:type="pct"/>
            <w:tcBorders>
              <w:bottom w:val="single" w:sz="4" w:space="0" w:color="auto"/>
            </w:tcBorders>
          </w:tcPr>
          <w:p w:rsidR="00B231CB" w:rsidRDefault="00C71431">
            <w:pPr>
              <w:spacing w:after="60" w:line="276" w:lineRule="auto"/>
              <w:jc w:val="center"/>
              <w:rPr>
                <w:b/>
                <w:i/>
                <w:noProof/>
              </w:rPr>
            </w:pPr>
            <w:r>
              <w:rPr>
                <w:b/>
                <w:i/>
                <w:noProof/>
              </w:rPr>
              <w:t>High</w:t>
            </w:r>
          </w:p>
        </w:tc>
        <w:tc>
          <w:tcPr>
            <w:tcW w:w="802" w:type="pct"/>
            <w:tcBorders>
              <w:bottom w:val="single" w:sz="4" w:space="0" w:color="auto"/>
            </w:tcBorders>
          </w:tcPr>
          <w:p w:rsidR="00B231CB" w:rsidRDefault="00C71431">
            <w:pPr>
              <w:spacing w:after="60" w:line="276" w:lineRule="auto"/>
              <w:jc w:val="center"/>
              <w:rPr>
                <w:b/>
                <w:i/>
                <w:noProof/>
              </w:rPr>
            </w:pPr>
            <w:r>
              <w:rPr>
                <w:b/>
                <w:i/>
                <w:noProof/>
              </w:rPr>
              <w:t>High ICE</w:t>
            </w:r>
          </w:p>
        </w:tc>
        <w:tc>
          <w:tcPr>
            <w:tcW w:w="802" w:type="pct"/>
            <w:tcBorders>
              <w:bottom w:val="single" w:sz="4" w:space="0" w:color="auto"/>
            </w:tcBorders>
            <w:noWrap/>
            <w:hideMark/>
          </w:tcPr>
          <w:p w:rsidR="00B231CB" w:rsidRDefault="00C71431">
            <w:pPr>
              <w:spacing w:after="60" w:line="276" w:lineRule="auto"/>
              <w:jc w:val="center"/>
              <w:rPr>
                <w:b/>
                <w:i/>
                <w:noProof/>
              </w:rPr>
            </w:pPr>
            <w:r>
              <w:rPr>
                <w:b/>
                <w:i/>
                <w:noProof/>
              </w:rPr>
              <w:t>Medium</w:t>
            </w:r>
          </w:p>
        </w:tc>
        <w:tc>
          <w:tcPr>
            <w:tcW w:w="802" w:type="pct"/>
            <w:tcBorders>
              <w:bottom w:val="single" w:sz="4" w:space="0" w:color="auto"/>
            </w:tcBorders>
            <w:noWrap/>
            <w:hideMark/>
          </w:tcPr>
          <w:p w:rsidR="00B231CB" w:rsidRDefault="00C71431">
            <w:pPr>
              <w:spacing w:after="60" w:line="276" w:lineRule="auto"/>
              <w:jc w:val="center"/>
              <w:rPr>
                <w:b/>
                <w:i/>
                <w:noProof/>
              </w:rPr>
            </w:pPr>
            <w:r>
              <w:rPr>
                <w:b/>
                <w:i/>
                <w:noProof/>
              </w:rPr>
              <w:t>LxEV</w:t>
            </w:r>
          </w:p>
        </w:tc>
        <w:tc>
          <w:tcPr>
            <w:tcW w:w="802" w:type="pct"/>
            <w:tcBorders>
              <w:bottom w:val="single" w:sz="4" w:space="0" w:color="auto"/>
            </w:tcBorders>
            <w:noWrap/>
            <w:hideMark/>
          </w:tcPr>
          <w:p w:rsidR="00B231CB" w:rsidRDefault="00C71431">
            <w:pPr>
              <w:spacing w:after="60" w:line="276" w:lineRule="auto"/>
              <w:jc w:val="center"/>
              <w:rPr>
                <w:b/>
                <w:i/>
                <w:noProof/>
              </w:rPr>
            </w:pPr>
            <w:r>
              <w:rPr>
                <w:b/>
                <w:i/>
                <w:noProof/>
              </w:rPr>
              <w:t>Low</w:t>
            </w:r>
          </w:p>
        </w:tc>
      </w:tr>
      <w:tr w:rsidR="00B231CB">
        <w:trPr>
          <w:trHeight w:val="255"/>
        </w:trPr>
        <w:tc>
          <w:tcPr>
            <w:tcW w:w="989" w:type="pct"/>
            <w:tcBorders>
              <w:top w:val="single" w:sz="4" w:space="0" w:color="auto"/>
            </w:tcBorders>
            <w:vAlign w:val="center"/>
          </w:tcPr>
          <w:p w:rsidR="00B231CB" w:rsidRDefault="00C71431">
            <w:pPr>
              <w:spacing w:after="60" w:line="276" w:lineRule="auto"/>
              <w:jc w:val="center"/>
              <w:rPr>
                <w:noProof/>
              </w:rPr>
            </w:pPr>
            <w:r>
              <w:rPr>
                <w:noProof/>
              </w:rPr>
              <w:t>2025</w:t>
            </w:r>
          </w:p>
        </w:tc>
        <w:tc>
          <w:tcPr>
            <w:tcW w:w="802" w:type="pct"/>
            <w:tcBorders>
              <w:top w:val="single" w:sz="4" w:space="0" w:color="auto"/>
            </w:tcBorders>
          </w:tcPr>
          <w:p w:rsidR="00B231CB" w:rsidRDefault="00C71431">
            <w:pPr>
              <w:spacing w:after="60" w:line="276" w:lineRule="auto"/>
              <w:jc w:val="center"/>
              <w:rPr>
                <w:noProof/>
              </w:rPr>
            </w:pPr>
            <w:r>
              <w:rPr>
                <w:noProof/>
              </w:rPr>
              <w:t>-297</w:t>
            </w:r>
          </w:p>
        </w:tc>
        <w:tc>
          <w:tcPr>
            <w:tcW w:w="802" w:type="pct"/>
            <w:tcBorders>
              <w:top w:val="single" w:sz="4" w:space="0" w:color="auto"/>
            </w:tcBorders>
          </w:tcPr>
          <w:p w:rsidR="00B231CB" w:rsidRDefault="00C71431">
            <w:pPr>
              <w:spacing w:after="60" w:line="276" w:lineRule="auto"/>
              <w:jc w:val="center"/>
              <w:rPr>
                <w:noProof/>
              </w:rPr>
            </w:pPr>
            <w:r>
              <w:rPr>
                <w:noProof/>
              </w:rPr>
              <w:t>-53</w:t>
            </w:r>
          </w:p>
        </w:tc>
        <w:tc>
          <w:tcPr>
            <w:tcW w:w="802" w:type="pct"/>
            <w:tcBorders>
              <w:top w:val="single" w:sz="4" w:space="0" w:color="auto"/>
            </w:tcBorders>
            <w:noWrap/>
          </w:tcPr>
          <w:p w:rsidR="00B231CB" w:rsidRDefault="00C71431">
            <w:pPr>
              <w:spacing w:after="60" w:line="276" w:lineRule="auto"/>
              <w:jc w:val="center"/>
              <w:rPr>
                <w:noProof/>
              </w:rPr>
            </w:pPr>
            <w:r>
              <w:rPr>
                <w:noProof/>
              </w:rPr>
              <w:t>413</w:t>
            </w:r>
          </w:p>
        </w:tc>
        <w:tc>
          <w:tcPr>
            <w:tcW w:w="802" w:type="pct"/>
            <w:tcBorders>
              <w:top w:val="single" w:sz="4" w:space="0" w:color="auto"/>
            </w:tcBorders>
            <w:noWrap/>
          </w:tcPr>
          <w:p w:rsidR="00B231CB" w:rsidRDefault="00C71431">
            <w:pPr>
              <w:spacing w:after="60" w:line="276" w:lineRule="auto"/>
              <w:jc w:val="center"/>
              <w:rPr>
                <w:noProof/>
              </w:rPr>
            </w:pPr>
            <w:r>
              <w:rPr>
                <w:noProof/>
              </w:rPr>
              <w:t>507</w:t>
            </w:r>
          </w:p>
        </w:tc>
        <w:tc>
          <w:tcPr>
            <w:tcW w:w="802" w:type="pct"/>
            <w:tcBorders>
              <w:top w:val="single" w:sz="4" w:space="0" w:color="auto"/>
            </w:tcBorders>
            <w:noWrap/>
          </w:tcPr>
          <w:p w:rsidR="00B231CB" w:rsidRDefault="00C71431">
            <w:pPr>
              <w:spacing w:after="60" w:line="276" w:lineRule="auto"/>
              <w:jc w:val="center"/>
              <w:rPr>
                <w:noProof/>
              </w:rPr>
            </w:pPr>
            <w:r>
              <w:rPr>
                <w:noProof/>
              </w:rPr>
              <w:t>815</w:t>
            </w:r>
          </w:p>
        </w:tc>
      </w:tr>
      <w:tr w:rsidR="00B231CB">
        <w:trPr>
          <w:trHeight w:val="255"/>
        </w:trPr>
        <w:tc>
          <w:tcPr>
            <w:tcW w:w="989" w:type="pct"/>
            <w:tcBorders>
              <w:top w:val="single" w:sz="4" w:space="0" w:color="auto"/>
            </w:tcBorders>
            <w:vAlign w:val="center"/>
          </w:tcPr>
          <w:p w:rsidR="00B231CB" w:rsidRDefault="00C71431">
            <w:pPr>
              <w:spacing w:after="60" w:line="276" w:lineRule="auto"/>
              <w:jc w:val="center"/>
              <w:rPr>
                <w:noProof/>
              </w:rPr>
            </w:pPr>
            <w:r>
              <w:rPr>
                <w:noProof/>
              </w:rPr>
              <w:t>2030</w:t>
            </w:r>
          </w:p>
        </w:tc>
        <w:tc>
          <w:tcPr>
            <w:tcW w:w="802" w:type="pct"/>
            <w:tcBorders>
              <w:top w:val="single" w:sz="4" w:space="0" w:color="auto"/>
            </w:tcBorders>
          </w:tcPr>
          <w:p w:rsidR="00B231CB" w:rsidRDefault="00C71431">
            <w:pPr>
              <w:spacing w:after="60" w:line="276" w:lineRule="auto"/>
              <w:jc w:val="center"/>
              <w:rPr>
                <w:noProof/>
              </w:rPr>
            </w:pPr>
            <w:r>
              <w:rPr>
                <w:noProof/>
              </w:rPr>
              <w:t>411</w:t>
            </w:r>
          </w:p>
        </w:tc>
        <w:tc>
          <w:tcPr>
            <w:tcW w:w="802" w:type="pct"/>
            <w:tcBorders>
              <w:top w:val="single" w:sz="4" w:space="0" w:color="auto"/>
            </w:tcBorders>
          </w:tcPr>
          <w:p w:rsidR="00B231CB" w:rsidRDefault="00C71431">
            <w:pPr>
              <w:spacing w:after="60" w:line="276" w:lineRule="auto"/>
              <w:jc w:val="center"/>
              <w:rPr>
                <w:noProof/>
              </w:rPr>
            </w:pPr>
            <w:r>
              <w:rPr>
                <w:noProof/>
              </w:rPr>
              <w:t>829</w:t>
            </w:r>
          </w:p>
        </w:tc>
        <w:tc>
          <w:tcPr>
            <w:tcW w:w="802" w:type="pct"/>
            <w:tcBorders>
              <w:top w:val="single" w:sz="4" w:space="0" w:color="auto"/>
            </w:tcBorders>
            <w:noWrap/>
          </w:tcPr>
          <w:p w:rsidR="00B231CB" w:rsidRDefault="00C71431">
            <w:pPr>
              <w:spacing w:after="60" w:line="276" w:lineRule="auto"/>
              <w:jc w:val="center"/>
              <w:rPr>
                <w:noProof/>
              </w:rPr>
            </w:pPr>
            <w:r>
              <w:rPr>
                <w:noProof/>
              </w:rPr>
              <w:t>1,374</w:t>
            </w:r>
          </w:p>
        </w:tc>
        <w:tc>
          <w:tcPr>
            <w:tcW w:w="802" w:type="pct"/>
            <w:tcBorders>
              <w:top w:val="single" w:sz="4" w:space="0" w:color="auto"/>
            </w:tcBorders>
            <w:noWrap/>
          </w:tcPr>
          <w:p w:rsidR="00B231CB" w:rsidRDefault="00C71431">
            <w:pPr>
              <w:spacing w:after="60" w:line="276" w:lineRule="auto"/>
              <w:jc w:val="center"/>
              <w:rPr>
                <w:noProof/>
              </w:rPr>
            </w:pPr>
            <w:r>
              <w:rPr>
                <w:noProof/>
              </w:rPr>
              <w:t>1,660</w:t>
            </w:r>
          </w:p>
        </w:tc>
        <w:tc>
          <w:tcPr>
            <w:tcW w:w="802" w:type="pct"/>
            <w:tcBorders>
              <w:top w:val="single" w:sz="4" w:space="0" w:color="auto"/>
            </w:tcBorders>
            <w:noWrap/>
          </w:tcPr>
          <w:p w:rsidR="00B231CB" w:rsidRDefault="00C71431">
            <w:pPr>
              <w:spacing w:after="60" w:line="276" w:lineRule="auto"/>
              <w:jc w:val="center"/>
              <w:rPr>
                <w:noProof/>
              </w:rPr>
            </w:pPr>
            <w:r>
              <w:rPr>
                <w:noProof/>
              </w:rPr>
              <w:t>1,987</w:t>
            </w:r>
          </w:p>
        </w:tc>
      </w:tr>
    </w:tbl>
    <w:p w:rsidR="00B231CB" w:rsidRDefault="00B231CB">
      <w:pPr>
        <w:rPr>
          <w:noProof/>
        </w:rPr>
      </w:pPr>
    </w:p>
    <w:tbl>
      <w:tblPr>
        <w:tblStyle w:val="TableGrid"/>
        <w:tblW w:w="4309" w:type="pct"/>
        <w:tblLayout w:type="fixed"/>
        <w:tblLook w:val="04A0" w:firstRow="1" w:lastRow="0" w:firstColumn="1" w:lastColumn="0" w:noHBand="0" w:noVBand="1"/>
      </w:tblPr>
      <w:tblGrid>
        <w:gridCol w:w="1584"/>
        <w:gridCol w:w="1284"/>
        <w:gridCol w:w="1284"/>
        <w:gridCol w:w="1284"/>
        <w:gridCol w:w="1284"/>
        <w:gridCol w:w="1284"/>
      </w:tblGrid>
      <w:tr w:rsidR="00B231CB">
        <w:trPr>
          <w:trHeight w:val="255"/>
        </w:trPr>
        <w:tc>
          <w:tcPr>
            <w:tcW w:w="989" w:type="pct"/>
            <w:tcBorders>
              <w:bottom w:val="single" w:sz="4" w:space="0" w:color="auto"/>
            </w:tcBorders>
            <w:vAlign w:val="center"/>
          </w:tcPr>
          <w:p w:rsidR="00B231CB" w:rsidRDefault="00C71431">
            <w:pPr>
              <w:spacing w:after="60" w:line="276" w:lineRule="auto"/>
              <w:jc w:val="center"/>
              <w:rPr>
                <w:b/>
                <w:noProof/>
              </w:rPr>
            </w:pPr>
            <w:r>
              <w:rPr>
                <w:b/>
                <w:noProof/>
              </w:rPr>
              <w:t>TLC30</w:t>
            </w:r>
          </w:p>
        </w:tc>
        <w:tc>
          <w:tcPr>
            <w:tcW w:w="802" w:type="pct"/>
            <w:tcBorders>
              <w:bottom w:val="single" w:sz="4" w:space="0" w:color="auto"/>
            </w:tcBorders>
          </w:tcPr>
          <w:p w:rsidR="00B231CB" w:rsidRDefault="00C71431">
            <w:pPr>
              <w:spacing w:after="60" w:line="276" w:lineRule="auto"/>
              <w:jc w:val="center"/>
              <w:rPr>
                <w:b/>
                <w:i/>
                <w:noProof/>
              </w:rPr>
            </w:pPr>
            <w:r>
              <w:rPr>
                <w:b/>
                <w:i/>
                <w:noProof/>
              </w:rPr>
              <w:t>High</w:t>
            </w:r>
          </w:p>
        </w:tc>
        <w:tc>
          <w:tcPr>
            <w:tcW w:w="802" w:type="pct"/>
            <w:tcBorders>
              <w:bottom w:val="single" w:sz="4" w:space="0" w:color="auto"/>
            </w:tcBorders>
          </w:tcPr>
          <w:p w:rsidR="00B231CB" w:rsidRDefault="00C71431">
            <w:pPr>
              <w:spacing w:after="60" w:line="276" w:lineRule="auto"/>
              <w:jc w:val="center"/>
              <w:rPr>
                <w:b/>
                <w:i/>
                <w:noProof/>
              </w:rPr>
            </w:pPr>
            <w:r>
              <w:rPr>
                <w:b/>
                <w:i/>
                <w:noProof/>
              </w:rPr>
              <w:t>High ICE</w:t>
            </w:r>
          </w:p>
        </w:tc>
        <w:tc>
          <w:tcPr>
            <w:tcW w:w="802" w:type="pct"/>
            <w:tcBorders>
              <w:bottom w:val="single" w:sz="4" w:space="0" w:color="auto"/>
            </w:tcBorders>
            <w:noWrap/>
            <w:hideMark/>
          </w:tcPr>
          <w:p w:rsidR="00B231CB" w:rsidRDefault="00C71431">
            <w:pPr>
              <w:spacing w:after="60" w:line="276" w:lineRule="auto"/>
              <w:jc w:val="center"/>
              <w:rPr>
                <w:b/>
                <w:i/>
                <w:noProof/>
              </w:rPr>
            </w:pPr>
            <w:r>
              <w:rPr>
                <w:b/>
                <w:i/>
                <w:noProof/>
              </w:rPr>
              <w:t>Medium</w:t>
            </w:r>
          </w:p>
        </w:tc>
        <w:tc>
          <w:tcPr>
            <w:tcW w:w="802" w:type="pct"/>
            <w:tcBorders>
              <w:bottom w:val="single" w:sz="4" w:space="0" w:color="auto"/>
            </w:tcBorders>
            <w:noWrap/>
            <w:hideMark/>
          </w:tcPr>
          <w:p w:rsidR="00B231CB" w:rsidRDefault="00C71431">
            <w:pPr>
              <w:spacing w:after="60" w:line="276" w:lineRule="auto"/>
              <w:jc w:val="center"/>
              <w:rPr>
                <w:b/>
                <w:i/>
                <w:noProof/>
              </w:rPr>
            </w:pPr>
            <w:r>
              <w:rPr>
                <w:b/>
                <w:i/>
                <w:noProof/>
              </w:rPr>
              <w:t>LxEV</w:t>
            </w:r>
          </w:p>
        </w:tc>
        <w:tc>
          <w:tcPr>
            <w:tcW w:w="802" w:type="pct"/>
            <w:tcBorders>
              <w:bottom w:val="single" w:sz="4" w:space="0" w:color="auto"/>
            </w:tcBorders>
            <w:noWrap/>
            <w:hideMark/>
          </w:tcPr>
          <w:p w:rsidR="00B231CB" w:rsidRDefault="00C71431">
            <w:pPr>
              <w:spacing w:after="60" w:line="276" w:lineRule="auto"/>
              <w:jc w:val="center"/>
              <w:rPr>
                <w:b/>
                <w:i/>
                <w:noProof/>
              </w:rPr>
            </w:pPr>
            <w:r>
              <w:rPr>
                <w:b/>
                <w:i/>
                <w:noProof/>
              </w:rPr>
              <w:t>Low</w:t>
            </w:r>
          </w:p>
        </w:tc>
      </w:tr>
      <w:tr w:rsidR="00B231CB">
        <w:trPr>
          <w:trHeight w:val="255"/>
        </w:trPr>
        <w:tc>
          <w:tcPr>
            <w:tcW w:w="989" w:type="pct"/>
            <w:tcBorders>
              <w:top w:val="single" w:sz="4" w:space="0" w:color="auto"/>
            </w:tcBorders>
            <w:vAlign w:val="center"/>
          </w:tcPr>
          <w:p w:rsidR="00B231CB" w:rsidRDefault="00C71431">
            <w:pPr>
              <w:spacing w:after="60" w:line="276" w:lineRule="auto"/>
              <w:jc w:val="center"/>
              <w:rPr>
                <w:noProof/>
              </w:rPr>
            </w:pPr>
            <w:r>
              <w:rPr>
                <w:noProof/>
              </w:rPr>
              <w:t>2025</w:t>
            </w:r>
          </w:p>
        </w:tc>
        <w:tc>
          <w:tcPr>
            <w:tcW w:w="802" w:type="pct"/>
            <w:tcBorders>
              <w:top w:val="single" w:sz="4" w:space="0" w:color="auto"/>
            </w:tcBorders>
          </w:tcPr>
          <w:p w:rsidR="00B231CB" w:rsidRDefault="00C71431">
            <w:pPr>
              <w:spacing w:after="60" w:line="276" w:lineRule="auto"/>
              <w:jc w:val="center"/>
              <w:rPr>
                <w:noProof/>
              </w:rPr>
            </w:pPr>
            <w:r>
              <w:rPr>
                <w:noProof/>
              </w:rPr>
              <w:t>-393</w:t>
            </w:r>
          </w:p>
        </w:tc>
        <w:tc>
          <w:tcPr>
            <w:tcW w:w="802" w:type="pct"/>
            <w:tcBorders>
              <w:top w:val="single" w:sz="4" w:space="0" w:color="auto"/>
            </w:tcBorders>
          </w:tcPr>
          <w:p w:rsidR="00B231CB" w:rsidRDefault="00C71431">
            <w:pPr>
              <w:spacing w:after="60" w:line="276" w:lineRule="auto"/>
              <w:jc w:val="center"/>
              <w:rPr>
                <w:noProof/>
              </w:rPr>
            </w:pPr>
            <w:r>
              <w:rPr>
                <w:noProof/>
              </w:rPr>
              <w:t>-75</w:t>
            </w:r>
          </w:p>
        </w:tc>
        <w:tc>
          <w:tcPr>
            <w:tcW w:w="802" w:type="pct"/>
            <w:tcBorders>
              <w:top w:val="single" w:sz="4" w:space="0" w:color="auto"/>
            </w:tcBorders>
            <w:noWrap/>
          </w:tcPr>
          <w:p w:rsidR="00B231CB" w:rsidRDefault="00C71431">
            <w:pPr>
              <w:spacing w:after="60" w:line="276" w:lineRule="auto"/>
              <w:jc w:val="center"/>
              <w:rPr>
                <w:noProof/>
              </w:rPr>
            </w:pPr>
            <w:r>
              <w:rPr>
                <w:noProof/>
              </w:rPr>
              <w:t>439</w:t>
            </w:r>
          </w:p>
        </w:tc>
        <w:tc>
          <w:tcPr>
            <w:tcW w:w="802" w:type="pct"/>
            <w:tcBorders>
              <w:top w:val="single" w:sz="4" w:space="0" w:color="auto"/>
            </w:tcBorders>
            <w:noWrap/>
          </w:tcPr>
          <w:p w:rsidR="00B231CB" w:rsidRDefault="00C71431">
            <w:pPr>
              <w:spacing w:after="60" w:line="276" w:lineRule="auto"/>
              <w:jc w:val="center"/>
              <w:rPr>
                <w:noProof/>
              </w:rPr>
            </w:pPr>
            <w:r>
              <w:rPr>
                <w:noProof/>
              </w:rPr>
              <w:t>599</w:t>
            </w:r>
          </w:p>
        </w:tc>
        <w:tc>
          <w:tcPr>
            <w:tcW w:w="802" w:type="pct"/>
            <w:tcBorders>
              <w:top w:val="single" w:sz="4" w:space="0" w:color="auto"/>
            </w:tcBorders>
            <w:noWrap/>
          </w:tcPr>
          <w:p w:rsidR="00B231CB" w:rsidRDefault="00C71431">
            <w:pPr>
              <w:spacing w:after="60" w:line="276" w:lineRule="auto"/>
              <w:jc w:val="center"/>
              <w:rPr>
                <w:noProof/>
              </w:rPr>
            </w:pPr>
            <w:r>
              <w:rPr>
                <w:noProof/>
              </w:rPr>
              <w:t>952</w:t>
            </w:r>
          </w:p>
        </w:tc>
      </w:tr>
      <w:tr w:rsidR="00B231CB">
        <w:trPr>
          <w:trHeight w:val="255"/>
        </w:trPr>
        <w:tc>
          <w:tcPr>
            <w:tcW w:w="989" w:type="pct"/>
            <w:tcBorders>
              <w:top w:val="single" w:sz="4" w:space="0" w:color="auto"/>
            </w:tcBorders>
            <w:vAlign w:val="center"/>
          </w:tcPr>
          <w:p w:rsidR="00B231CB" w:rsidRDefault="00C71431">
            <w:pPr>
              <w:spacing w:after="60" w:line="276" w:lineRule="auto"/>
              <w:jc w:val="center"/>
              <w:rPr>
                <w:noProof/>
              </w:rPr>
            </w:pPr>
            <w:r>
              <w:rPr>
                <w:noProof/>
              </w:rPr>
              <w:t>2030</w:t>
            </w:r>
          </w:p>
        </w:tc>
        <w:tc>
          <w:tcPr>
            <w:tcW w:w="802" w:type="pct"/>
            <w:tcBorders>
              <w:top w:val="single" w:sz="4" w:space="0" w:color="auto"/>
            </w:tcBorders>
          </w:tcPr>
          <w:p w:rsidR="00B231CB" w:rsidRDefault="00C71431">
            <w:pPr>
              <w:spacing w:after="60" w:line="276" w:lineRule="auto"/>
              <w:jc w:val="center"/>
              <w:rPr>
                <w:noProof/>
              </w:rPr>
            </w:pPr>
            <w:r>
              <w:rPr>
                <w:noProof/>
              </w:rPr>
              <w:t>195</w:t>
            </w:r>
          </w:p>
        </w:tc>
        <w:tc>
          <w:tcPr>
            <w:tcW w:w="802" w:type="pct"/>
            <w:tcBorders>
              <w:top w:val="single" w:sz="4" w:space="0" w:color="auto"/>
            </w:tcBorders>
          </w:tcPr>
          <w:p w:rsidR="00B231CB" w:rsidRDefault="00C71431">
            <w:pPr>
              <w:spacing w:after="60" w:line="276" w:lineRule="auto"/>
              <w:jc w:val="center"/>
              <w:rPr>
                <w:noProof/>
              </w:rPr>
            </w:pPr>
            <w:r>
              <w:rPr>
                <w:noProof/>
              </w:rPr>
              <w:t>738</w:t>
            </w:r>
          </w:p>
        </w:tc>
        <w:tc>
          <w:tcPr>
            <w:tcW w:w="802" w:type="pct"/>
            <w:tcBorders>
              <w:top w:val="single" w:sz="4" w:space="0" w:color="auto"/>
            </w:tcBorders>
            <w:noWrap/>
          </w:tcPr>
          <w:p w:rsidR="00B231CB" w:rsidRDefault="00C71431">
            <w:pPr>
              <w:spacing w:after="60" w:line="276" w:lineRule="auto"/>
              <w:jc w:val="center"/>
              <w:rPr>
                <w:noProof/>
              </w:rPr>
            </w:pPr>
            <w:r>
              <w:rPr>
                <w:noProof/>
              </w:rPr>
              <w:t>1,359</w:t>
            </w:r>
          </w:p>
        </w:tc>
        <w:tc>
          <w:tcPr>
            <w:tcW w:w="802" w:type="pct"/>
            <w:tcBorders>
              <w:top w:val="single" w:sz="4" w:space="0" w:color="auto"/>
            </w:tcBorders>
            <w:noWrap/>
          </w:tcPr>
          <w:p w:rsidR="00B231CB" w:rsidRDefault="00C71431">
            <w:pPr>
              <w:spacing w:after="60" w:line="276" w:lineRule="auto"/>
              <w:jc w:val="center"/>
              <w:rPr>
                <w:noProof/>
              </w:rPr>
            </w:pPr>
            <w:r>
              <w:rPr>
                <w:noProof/>
              </w:rPr>
              <w:t>1,770</w:t>
            </w:r>
          </w:p>
        </w:tc>
        <w:tc>
          <w:tcPr>
            <w:tcW w:w="802" w:type="pct"/>
            <w:tcBorders>
              <w:top w:val="single" w:sz="4" w:space="0" w:color="auto"/>
            </w:tcBorders>
            <w:noWrap/>
          </w:tcPr>
          <w:p w:rsidR="00B231CB" w:rsidRDefault="00C71431">
            <w:pPr>
              <w:spacing w:after="60" w:line="276" w:lineRule="auto"/>
              <w:jc w:val="center"/>
              <w:rPr>
                <w:noProof/>
              </w:rPr>
            </w:pPr>
            <w:r>
              <w:rPr>
                <w:noProof/>
              </w:rPr>
              <w:t>2,187</w:t>
            </w:r>
          </w:p>
        </w:tc>
      </w:tr>
    </w:tbl>
    <w:p w:rsidR="00B231CB" w:rsidRDefault="00B231CB">
      <w:pPr>
        <w:pStyle w:val="Caption"/>
        <w:keepNext/>
        <w:rPr>
          <w:noProof/>
        </w:rPr>
      </w:pPr>
    </w:p>
    <w:tbl>
      <w:tblPr>
        <w:tblStyle w:val="TableGrid"/>
        <w:tblW w:w="4309" w:type="pct"/>
        <w:tblLayout w:type="fixed"/>
        <w:tblLook w:val="04A0" w:firstRow="1" w:lastRow="0" w:firstColumn="1" w:lastColumn="0" w:noHBand="0" w:noVBand="1"/>
      </w:tblPr>
      <w:tblGrid>
        <w:gridCol w:w="1584"/>
        <w:gridCol w:w="1284"/>
        <w:gridCol w:w="1284"/>
        <w:gridCol w:w="1284"/>
        <w:gridCol w:w="1284"/>
        <w:gridCol w:w="1284"/>
      </w:tblGrid>
      <w:tr w:rsidR="00B231CB">
        <w:trPr>
          <w:trHeight w:val="255"/>
        </w:trPr>
        <w:tc>
          <w:tcPr>
            <w:tcW w:w="989" w:type="pct"/>
            <w:tcBorders>
              <w:bottom w:val="single" w:sz="4" w:space="0" w:color="auto"/>
            </w:tcBorders>
            <w:vAlign w:val="center"/>
          </w:tcPr>
          <w:p w:rsidR="00B231CB" w:rsidRDefault="00C71431">
            <w:pPr>
              <w:spacing w:after="60" w:line="276" w:lineRule="auto"/>
              <w:jc w:val="center"/>
              <w:rPr>
                <w:b/>
                <w:noProof/>
              </w:rPr>
            </w:pPr>
            <w:r>
              <w:rPr>
                <w:b/>
                <w:noProof/>
              </w:rPr>
              <w:t>TLC40</w:t>
            </w:r>
          </w:p>
        </w:tc>
        <w:tc>
          <w:tcPr>
            <w:tcW w:w="802" w:type="pct"/>
            <w:tcBorders>
              <w:bottom w:val="single" w:sz="4" w:space="0" w:color="auto"/>
            </w:tcBorders>
          </w:tcPr>
          <w:p w:rsidR="00B231CB" w:rsidRDefault="00C71431">
            <w:pPr>
              <w:spacing w:after="60" w:line="276" w:lineRule="auto"/>
              <w:jc w:val="center"/>
              <w:rPr>
                <w:b/>
                <w:i/>
                <w:noProof/>
              </w:rPr>
            </w:pPr>
            <w:r>
              <w:rPr>
                <w:b/>
                <w:i/>
                <w:noProof/>
              </w:rPr>
              <w:t>High</w:t>
            </w:r>
          </w:p>
        </w:tc>
        <w:tc>
          <w:tcPr>
            <w:tcW w:w="802" w:type="pct"/>
            <w:tcBorders>
              <w:bottom w:val="single" w:sz="4" w:space="0" w:color="auto"/>
            </w:tcBorders>
          </w:tcPr>
          <w:p w:rsidR="00B231CB" w:rsidRDefault="00C71431">
            <w:pPr>
              <w:spacing w:after="60" w:line="276" w:lineRule="auto"/>
              <w:jc w:val="center"/>
              <w:rPr>
                <w:b/>
                <w:i/>
                <w:noProof/>
              </w:rPr>
            </w:pPr>
            <w:r>
              <w:rPr>
                <w:b/>
                <w:i/>
                <w:noProof/>
              </w:rPr>
              <w:t>High ICE</w:t>
            </w:r>
          </w:p>
        </w:tc>
        <w:tc>
          <w:tcPr>
            <w:tcW w:w="802" w:type="pct"/>
            <w:tcBorders>
              <w:bottom w:val="single" w:sz="4" w:space="0" w:color="auto"/>
            </w:tcBorders>
            <w:noWrap/>
            <w:hideMark/>
          </w:tcPr>
          <w:p w:rsidR="00B231CB" w:rsidRDefault="00C71431">
            <w:pPr>
              <w:spacing w:after="60" w:line="276" w:lineRule="auto"/>
              <w:jc w:val="center"/>
              <w:rPr>
                <w:b/>
                <w:i/>
                <w:noProof/>
              </w:rPr>
            </w:pPr>
            <w:r>
              <w:rPr>
                <w:b/>
                <w:i/>
                <w:noProof/>
              </w:rPr>
              <w:t>Medium</w:t>
            </w:r>
          </w:p>
        </w:tc>
        <w:tc>
          <w:tcPr>
            <w:tcW w:w="802" w:type="pct"/>
            <w:tcBorders>
              <w:bottom w:val="single" w:sz="4" w:space="0" w:color="auto"/>
            </w:tcBorders>
            <w:noWrap/>
            <w:hideMark/>
          </w:tcPr>
          <w:p w:rsidR="00B231CB" w:rsidRDefault="00C71431">
            <w:pPr>
              <w:spacing w:after="60" w:line="276" w:lineRule="auto"/>
              <w:jc w:val="center"/>
              <w:rPr>
                <w:b/>
                <w:i/>
                <w:noProof/>
              </w:rPr>
            </w:pPr>
            <w:r>
              <w:rPr>
                <w:b/>
                <w:i/>
                <w:noProof/>
              </w:rPr>
              <w:t>LxEV</w:t>
            </w:r>
          </w:p>
        </w:tc>
        <w:tc>
          <w:tcPr>
            <w:tcW w:w="802" w:type="pct"/>
            <w:tcBorders>
              <w:bottom w:val="single" w:sz="4" w:space="0" w:color="auto"/>
            </w:tcBorders>
            <w:noWrap/>
            <w:hideMark/>
          </w:tcPr>
          <w:p w:rsidR="00B231CB" w:rsidRDefault="00C71431">
            <w:pPr>
              <w:spacing w:after="60" w:line="276" w:lineRule="auto"/>
              <w:jc w:val="center"/>
              <w:rPr>
                <w:b/>
                <w:i/>
                <w:noProof/>
              </w:rPr>
            </w:pPr>
            <w:r>
              <w:rPr>
                <w:b/>
                <w:i/>
                <w:noProof/>
              </w:rPr>
              <w:t>Low</w:t>
            </w:r>
          </w:p>
        </w:tc>
      </w:tr>
      <w:tr w:rsidR="00B231CB">
        <w:trPr>
          <w:trHeight w:val="255"/>
        </w:trPr>
        <w:tc>
          <w:tcPr>
            <w:tcW w:w="989" w:type="pct"/>
            <w:tcBorders>
              <w:top w:val="single" w:sz="4" w:space="0" w:color="auto"/>
            </w:tcBorders>
            <w:vAlign w:val="center"/>
          </w:tcPr>
          <w:p w:rsidR="00B231CB" w:rsidRDefault="00C71431">
            <w:pPr>
              <w:spacing w:after="60" w:line="276" w:lineRule="auto"/>
              <w:jc w:val="center"/>
              <w:rPr>
                <w:noProof/>
              </w:rPr>
            </w:pPr>
            <w:r>
              <w:rPr>
                <w:noProof/>
              </w:rPr>
              <w:t>2025</w:t>
            </w:r>
          </w:p>
        </w:tc>
        <w:tc>
          <w:tcPr>
            <w:tcW w:w="802" w:type="pct"/>
            <w:tcBorders>
              <w:top w:val="single" w:sz="4" w:space="0" w:color="auto"/>
            </w:tcBorders>
          </w:tcPr>
          <w:p w:rsidR="00B231CB" w:rsidRDefault="00C71431">
            <w:pPr>
              <w:spacing w:after="60" w:line="276" w:lineRule="auto"/>
              <w:jc w:val="center"/>
              <w:rPr>
                <w:noProof/>
              </w:rPr>
            </w:pPr>
            <w:r>
              <w:rPr>
                <w:noProof/>
              </w:rPr>
              <w:t>-674</w:t>
            </w:r>
          </w:p>
        </w:tc>
        <w:tc>
          <w:tcPr>
            <w:tcW w:w="802" w:type="pct"/>
            <w:tcBorders>
              <w:top w:val="single" w:sz="4" w:space="0" w:color="auto"/>
            </w:tcBorders>
          </w:tcPr>
          <w:p w:rsidR="00B231CB" w:rsidRDefault="00C71431">
            <w:pPr>
              <w:spacing w:after="60" w:line="276" w:lineRule="auto"/>
              <w:jc w:val="center"/>
              <w:rPr>
                <w:noProof/>
              </w:rPr>
            </w:pPr>
            <w:r>
              <w:rPr>
                <w:noProof/>
              </w:rPr>
              <w:t>-173</w:t>
            </w:r>
          </w:p>
        </w:tc>
        <w:tc>
          <w:tcPr>
            <w:tcW w:w="802" w:type="pct"/>
            <w:tcBorders>
              <w:top w:val="single" w:sz="4" w:space="0" w:color="auto"/>
            </w:tcBorders>
            <w:noWrap/>
          </w:tcPr>
          <w:p w:rsidR="00B231CB" w:rsidRDefault="00C71431">
            <w:pPr>
              <w:spacing w:after="60" w:line="276" w:lineRule="auto"/>
              <w:jc w:val="center"/>
              <w:rPr>
                <w:noProof/>
              </w:rPr>
            </w:pPr>
            <w:r>
              <w:rPr>
                <w:noProof/>
              </w:rPr>
              <w:t>391</w:t>
            </w:r>
          </w:p>
        </w:tc>
        <w:tc>
          <w:tcPr>
            <w:tcW w:w="802" w:type="pct"/>
            <w:tcBorders>
              <w:top w:val="single" w:sz="4" w:space="0" w:color="auto"/>
            </w:tcBorders>
            <w:noWrap/>
          </w:tcPr>
          <w:p w:rsidR="00B231CB" w:rsidRDefault="00C71431">
            <w:pPr>
              <w:spacing w:after="60" w:line="276" w:lineRule="auto"/>
              <w:jc w:val="center"/>
              <w:rPr>
                <w:noProof/>
              </w:rPr>
            </w:pPr>
            <w:r>
              <w:rPr>
                <w:noProof/>
              </w:rPr>
              <w:t>652</w:t>
            </w:r>
          </w:p>
        </w:tc>
        <w:tc>
          <w:tcPr>
            <w:tcW w:w="802" w:type="pct"/>
            <w:tcBorders>
              <w:top w:val="single" w:sz="4" w:space="0" w:color="auto"/>
            </w:tcBorders>
            <w:noWrap/>
          </w:tcPr>
          <w:p w:rsidR="00B231CB" w:rsidRDefault="00C71431">
            <w:pPr>
              <w:spacing w:after="60" w:line="276" w:lineRule="auto"/>
              <w:jc w:val="center"/>
              <w:rPr>
                <w:noProof/>
              </w:rPr>
            </w:pPr>
            <w:r>
              <w:rPr>
                <w:noProof/>
              </w:rPr>
              <w:t>1,084</w:t>
            </w:r>
          </w:p>
        </w:tc>
      </w:tr>
      <w:tr w:rsidR="00B231CB">
        <w:trPr>
          <w:trHeight w:val="255"/>
        </w:trPr>
        <w:tc>
          <w:tcPr>
            <w:tcW w:w="989" w:type="pct"/>
            <w:tcBorders>
              <w:top w:val="single" w:sz="4" w:space="0" w:color="auto"/>
            </w:tcBorders>
            <w:vAlign w:val="center"/>
          </w:tcPr>
          <w:p w:rsidR="00B231CB" w:rsidRDefault="00C71431">
            <w:pPr>
              <w:spacing w:after="60" w:line="276" w:lineRule="auto"/>
              <w:jc w:val="center"/>
              <w:rPr>
                <w:noProof/>
              </w:rPr>
            </w:pPr>
            <w:r>
              <w:rPr>
                <w:noProof/>
              </w:rPr>
              <w:t>2030</w:t>
            </w:r>
          </w:p>
        </w:tc>
        <w:tc>
          <w:tcPr>
            <w:tcW w:w="802" w:type="pct"/>
            <w:tcBorders>
              <w:top w:val="single" w:sz="4" w:space="0" w:color="auto"/>
            </w:tcBorders>
          </w:tcPr>
          <w:p w:rsidR="00B231CB" w:rsidRDefault="00C71431">
            <w:pPr>
              <w:spacing w:after="60" w:line="276" w:lineRule="auto"/>
              <w:jc w:val="center"/>
              <w:rPr>
                <w:noProof/>
              </w:rPr>
            </w:pPr>
            <w:r>
              <w:rPr>
                <w:noProof/>
              </w:rPr>
              <w:t>-441</w:t>
            </w:r>
          </w:p>
        </w:tc>
        <w:tc>
          <w:tcPr>
            <w:tcW w:w="802" w:type="pct"/>
            <w:tcBorders>
              <w:top w:val="single" w:sz="4" w:space="0" w:color="auto"/>
            </w:tcBorders>
          </w:tcPr>
          <w:p w:rsidR="00B231CB" w:rsidRDefault="00C71431">
            <w:pPr>
              <w:spacing w:after="60" w:line="276" w:lineRule="auto"/>
              <w:jc w:val="center"/>
              <w:rPr>
                <w:noProof/>
              </w:rPr>
            </w:pPr>
            <w:r>
              <w:rPr>
                <w:noProof/>
              </w:rPr>
              <w:t>342</w:t>
            </w:r>
          </w:p>
        </w:tc>
        <w:tc>
          <w:tcPr>
            <w:tcW w:w="802" w:type="pct"/>
            <w:tcBorders>
              <w:top w:val="single" w:sz="4" w:space="0" w:color="auto"/>
            </w:tcBorders>
            <w:noWrap/>
          </w:tcPr>
          <w:p w:rsidR="00B231CB" w:rsidRDefault="00C71431">
            <w:pPr>
              <w:spacing w:after="60" w:line="276" w:lineRule="auto"/>
              <w:jc w:val="center"/>
              <w:rPr>
                <w:noProof/>
              </w:rPr>
            </w:pPr>
            <w:r>
              <w:rPr>
                <w:noProof/>
              </w:rPr>
              <w:t>1,012</w:t>
            </w:r>
          </w:p>
        </w:tc>
        <w:tc>
          <w:tcPr>
            <w:tcW w:w="802" w:type="pct"/>
            <w:tcBorders>
              <w:top w:val="single" w:sz="4" w:space="0" w:color="auto"/>
            </w:tcBorders>
            <w:noWrap/>
          </w:tcPr>
          <w:p w:rsidR="00B231CB" w:rsidRDefault="00C71431">
            <w:pPr>
              <w:spacing w:after="60" w:line="276" w:lineRule="auto"/>
              <w:jc w:val="center"/>
              <w:rPr>
                <w:noProof/>
              </w:rPr>
            </w:pPr>
            <w:r>
              <w:rPr>
                <w:noProof/>
              </w:rPr>
              <w:t>1,663</w:t>
            </w:r>
          </w:p>
        </w:tc>
        <w:tc>
          <w:tcPr>
            <w:tcW w:w="802" w:type="pct"/>
            <w:tcBorders>
              <w:top w:val="single" w:sz="4" w:space="0" w:color="auto"/>
            </w:tcBorders>
            <w:noWrap/>
          </w:tcPr>
          <w:p w:rsidR="00B231CB" w:rsidRDefault="00C71431">
            <w:pPr>
              <w:spacing w:after="60" w:line="276" w:lineRule="auto"/>
              <w:jc w:val="center"/>
              <w:rPr>
                <w:noProof/>
              </w:rPr>
            </w:pPr>
            <w:r>
              <w:rPr>
                <w:noProof/>
              </w:rPr>
              <w:t>2,221</w:t>
            </w:r>
          </w:p>
        </w:tc>
      </w:tr>
    </w:tbl>
    <w:p w:rsidR="00B231CB" w:rsidRDefault="00B231CB">
      <w:pPr>
        <w:rPr>
          <w:noProof/>
        </w:rPr>
      </w:pPr>
    </w:p>
    <w:p w:rsidR="00B231CB" w:rsidRDefault="00C71431">
      <w:pPr>
        <w:pStyle w:val="Caption"/>
        <w:keepNext/>
        <w:spacing w:before="240" w:after="240"/>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r>
        <w:rPr>
          <w:noProof/>
        </w:rPr>
        <w:t xml:space="preserve"> Sensitivity - TCO-first end user (5 years) in 2025 and 2030 under different cost assumptions (net savings in EUR/car)</w:t>
      </w: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szCs w:val="24"/>
              </w:rPr>
            </w:pPr>
            <w:r>
              <w:rPr>
                <w:b/>
                <w:noProof/>
                <w:szCs w:val="24"/>
              </w:rPr>
              <w:t>TLC20 - 2025 (EUR/car)</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rPr>
            </w:pPr>
            <w:r>
              <w:rPr>
                <w:noProof/>
              </w:rPr>
              <w:t>464</w:t>
            </w:r>
          </w:p>
        </w:tc>
        <w:tc>
          <w:tcPr>
            <w:tcW w:w="673" w:type="pct"/>
            <w:noWrap/>
          </w:tcPr>
          <w:p w:rsidR="00B231CB" w:rsidRDefault="00C71431">
            <w:pPr>
              <w:spacing w:after="120"/>
              <w:jc w:val="center"/>
              <w:rPr>
                <w:noProof/>
              </w:rPr>
            </w:pPr>
            <w:r>
              <w:rPr>
                <w:noProof/>
              </w:rPr>
              <w:t>297</w:t>
            </w:r>
          </w:p>
        </w:tc>
        <w:tc>
          <w:tcPr>
            <w:tcW w:w="673" w:type="pct"/>
            <w:noWrap/>
          </w:tcPr>
          <w:p w:rsidR="00B231CB" w:rsidRDefault="00C71431">
            <w:pPr>
              <w:spacing w:after="120"/>
              <w:jc w:val="center"/>
              <w:rPr>
                <w:noProof/>
              </w:rPr>
            </w:pPr>
            <w:r>
              <w:rPr>
                <w:noProof/>
              </w:rPr>
              <w:t>90</w:t>
            </w:r>
          </w:p>
        </w:tc>
        <w:tc>
          <w:tcPr>
            <w:tcW w:w="673" w:type="pct"/>
            <w:noWrap/>
          </w:tcPr>
          <w:p w:rsidR="00B231CB" w:rsidRDefault="00C71431">
            <w:pPr>
              <w:spacing w:after="120"/>
              <w:jc w:val="center"/>
              <w:rPr>
                <w:noProof/>
                <w:color w:val="000000" w:themeColor="text1"/>
              </w:rPr>
            </w:pPr>
            <w:r>
              <w:rPr>
                <w:noProof/>
                <w:color w:val="000000" w:themeColor="text1"/>
              </w:rPr>
              <w:t>N/A</w:t>
            </w:r>
          </w:p>
        </w:tc>
        <w:tc>
          <w:tcPr>
            <w:tcW w:w="672"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rPr>
            </w:pPr>
            <w:r>
              <w:rPr>
                <w:noProof/>
              </w:rPr>
              <w:t>67</w:t>
            </w:r>
          </w:p>
        </w:tc>
        <w:tc>
          <w:tcPr>
            <w:tcW w:w="673" w:type="pct"/>
            <w:noWrap/>
          </w:tcPr>
          <w:p w:rsidR="00B231CB" w:rsidRDefault="00C71431">
            <w:pPr>
              <w:spacing w:after="120"/>
              <w:jc w:val="center"/>
              <w:rPr>
                <w:noProof/>
              </w:rPr>
            </w:pPr>
            <w:r>
              <w:rPr>
                <w:noProof/>
              </w:rPr>
              <w:t>63</w:t>
            </w:r>
          </w:p>
        </w:tc>
        <w:tc>
          <w:tcPr>
            <w:tcW w:w="673" w:type="pct"/>
            <w:noWrap/>
          </w:tcPr>
          <w:p w:rsidR="00B231CB" w:rsidRDefault="00C71431">
            <w:pPr>
              <w:spacing w:after="120"/>
              <w:jc w:val="center"/>
              <w:rPr>
                <w:noProof/>
              </w:rPr>
            </w:pPr>
            <w:r>
              <w:rPr>
                <w:noProof/>
              </w:rPr>
              <w:t>58</w:t>
            </w:r>
          </w:p>
        </w:tc>
        <w:tc>
          <w:tcPr>
            <w:tcW w:w="673" w:type="pct"/>
            <w:noWrap/>
          </w:tcPr>
          <w:p w:rsidR="00B231CB" w:rsidRDefault="00C71431">
            <w:pPr>
              <w:spacing w:after="120"/>
              <w:jc w:val="center"/>
              <w:rPr>
                <w:noProof/>
                <w:color w:val="000000" w:themeColor="text1"/>
              </w:rPr>
            </w:pPr>
            <w:r>
              <w:rPr>
                <w:noProof/>
                <w:color w:val="000000" w:themeColor="text1"/>
              </w:rPr>
              <w:t>N/A</w:t>
            </w:r>
          </w:p>
        </w:tc>
        <w:tc>
          <w:tcPr>
            <w:tcW w:w="672"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3" w:type="pct"/>
            <w:tcBorders>
              <w:bottom w:val="single" w:sz="24" w:space="0" w:color="auto"/>
            </w:tcBorders>
            <w:noWrap/>
          </w:tcPr>
          <w:p w:rsidR="00B231CB" w:rsidRDefault="00C71431">
            <w:pPr>
              <w:spacing w:after="120"/>
              <w:jc w:val="center"/>
              <w:rPr>
                <w:noProof/>
              </w:rPr>
            </w:pPr>
            <w:r>
              <w:rPr>
                <w:noProof/>
              </w:rPr>
              <w:t>379</w:t>
            </w:r>
          </w:p>
        </w:tc>
        <w:tc>
          <w:tcPr>
            <w:tcW w:w="673" w:type="pct"/>
            <w:tcBorders>
              <w:bottom w:val="single" w:sz="24" w:space="0" w:color="auto"/>
            </w:tcBorders>
            <w:noWrap/>
          </w:tcPr>
          <w:p w:rsidR="00B231CB" w:rsidRDefault="00C71431">
            <w:pPr>
              <w:spacing w:after="120"/>
              <w:jc w:val="center"/>
              <w:rPr>
                <w:noProof/>
              </w:rPr>
            </w:pPr>
            <w:r>
              <w:rPr>
                <w:noProof/>
              </w:rPr>
              <w:t>326</w:t>
            </w:r>
          </w:p>
        </w:tc>
        <w:tc>
          <w:tcPr>
            <w:tcW w:w="673" w:type="pct"/>
            <w:tcBorders>
              <w:bottom w:val="single" w:sz="24" w:space="0" w:color="auto"/>
            </w:tcBorders>
            <w:noWrap/>
          </w:tcPr>
          <w:p w:rsidR="00B231CB" w:rsidRDefault="00C71431">
            <w:pPr>
              <w:spacing w:after="120"/>
              <w:jc w:val="center"/>
              <w:rPr>
                <w:noProof/>
              </w:rPr>
            </w:pPr>
            <w:r>
              <w:rPr>
                <w:noProof/>
              </w:rPr>
              <w:t>348</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N/A</w:t>
            </w:r>
          </w:p>
        </w:tc>
        <w:tc>
          <w:tcPr>
            <w:tcW w:w="672"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3" w:type="pct"/>
            <w:noWrap/>
          </w:tcPr>
          <w:p w:rsidR="00B231CB" w:rsidRDefault="00C71431">
            <w:pPr>
              <w:spacing w:after="120"/>
              <w:jc w:val="center"/>
              <w:rPr>
                <w:i/>
                <w:noProof/>
              </w:rPr>
            </w:pPr>
            <w:r>
              <w:rPr>
                <w:i/>
                <w:noProof/>
              </w:rPr>
              <w:t>-152</w:t>
            </w:r>
          </w:p>
        </w:tc>
        <w:tc>
          <w:tcPr>
            <w:tcW w:w="673" w:type="pct"/>
            <w:noWrap/>
          </w:tcPr>
          <w:p w:rsidR="00B231CB" w:rsidRDefault="00C71431">
            <w:pPr>
              <w:spacing w:after="120"/>
              <w:jc w:val="center"/>
              <w:rPr>
                <w:i/>
                <w:noProof/>
              </w:rPr>
            </w:pPr>
            <w:r>
              <w:rPr>
                <w:i/>
                <w:noProof/>
              </w:rPr>
              <w:t>-34</w:t>
            </w:r>
          </w:p>
        </w:tc>
        <w:tc>
          <w:tcPr>
            <w:tcW w:w="673" w:type="pct"/>
            <w:noWrap/>
          </w:tcPr>
          <w:p w:rsidR="00B231CB" w:rsidRDefault="00C71431">
            <w:pPr>
              <w:spacing w:after="120"/>
              <w:jc w:val="center"/>
              <w:rPr>
                <w:i/>
                <w:noProof/>
              </w:rPr>
            </w:pPr>
            <w:r>
              <w:rPr>
                <w:i/>
                <w:noProof/>
              </w:rPr>
              <w:t>200</w:t>
            </w:r>
          </w:p>
        </w:tc>
        <w:tc>
          <w:tcPr>
            <w:tcW w:w="673" w:type="pct"/>
            <w:noWrap/>
          </w:tcPr>
          <w:p w:rsidR="00B231CB" w:rsidRDefault="00C71431">
            <w:pPr>
              <w:spacing w:after="120"/>
              <w:jc w:val="center"/>
              <w:rPr>
                <w:i/>
                <w:noProof/>
                <w:color w:val="000000" w:themeColor="text1"/>
              </w:rPr>
            </w:pPr>
            <w:r>
              <w:rPr>
                <w:i/>
                <w:noProof/>
                <w:color w:val="000000" w:themeColor="text1"/>
              </w:rPr>
              <w:t>N/A</w:t>
            </w:r>
          </w:p>
        </w:tc>
        <w:tc>
          <w:tcPr>
            <w:tcW w:w="672" w:type="pct"/>
            <w:noWrap/>
          </w:tcPr>
          <w:p w:rsidR="00B231CB" w:rsidRDefault="00C71431">
            <w:pPr>
              <w:spacing w:after="120"/>
              <w:jc w:val="center"/>
              <w:rPr>
                <w:i/>
                <w:noProof/>
                <w:color w:val="000000" w:themeColor="text1"/>
                <w:szCs w:val="24"/>
              </w:rPr>
            </w:pPr>
            <w:r>
              <w:rPr>
                <w:i/>
                <w:noProof/>
                <w:color w:val="000000" w:themeColor="text1"/>
              </w:rPr>
              <w:t>N/A</w:t>
            </w:r>
          </w:p>
        </w:tc>
      </w:tr>
    </w:tbl>
    <w:p w:rsidR="00B231CB" w:rsidRDefault="00B231CB">
      <w:pPr>
        <w:spacing w:after="12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7" w:type="pct"/>
            <w:noWrap/>
            <w:hideMark/>
          </w:tcPr>
          <w:p w:rsidR="00B231CB" w:rsidRDefault="00C71431">
            <w:pPr>
              <w:spacing w:after="120"/>
              <w:rPr>
                <w:b/>
                <w:noProof/>
                <w:color w:val="000000" w:themeColor="text1"/>
                <w:szCs w:val="24"/>
              </w:rPr>
            </w:pPr>
            <w:r>
              <w:rPr>
                <w:b/>
                <w:noProof/>
                <w:color w:val="000000" w:themeColor="text1"/>
                <w:szCs w:val="24"/>
              </w:rPr>
              <w:t>TLC20 - 2030 (EUR/car)</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7"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rPr>
            </w:pPr>
            <w:r>
              <w:rPr>
                <w:noProof/>
              </w:rPr>
              <w:t>783</w:t>
            </w:r>
          </w:p>
        </w:tc>
        <w:tc>
          <w:tcPr>
            <w:tcW w:w="675" w:type="pct"/>
            <w:noWrap/>
          </w:tcPr>
          <w:p w:rsidR="00B231CB" w:rsidRDefault="00C71431">
            <w:pPr>
              <w:spacing w:after="120"/>
              <w:jc w:val="center"/>
              <w:rPr>
                <w:noProof/>
                <w:highlight w:val="yellow"/>
              </w:rPr>
            </w:pPr>
            <w:r>
              <w:rPr>
                <w:noProof/>
              </w:rPr>
              <w:t>539</w:t>
            </w:r>
          </w:p>
        </w:tc>
        <w:tc>
          <w:tcPr>
            <w:tcW w:w="675" w:type="pct"/>
            <w:noWrap/>
          </w:tcPr>
          <w:p w:rsidR="00B231CB" w:rsidRDefault="00C71431">
            <w:pPr>
              <w:spacing w:after="120"/>
              <w:jc w:val="center"/>
              <w:rPr>
                <w:noProof/>
              </w:rPr>
            </w:pPr>
            <w:r>
              <w:rPr>
                <w:noProof/>
              </w:rPr>
              <w:t>328</w:t>
            </w:r>
          </w:p>
        </w:tc>
        <w:tc>
          <w:tcPr>
            <w:tcW w:w="675" w:type="pct"/>
            <w:noWrap/>
          </w:tcPr>
          <w:p w:rsidR="00B231CB" w:rsidRDefault="00C71431">
            <w:pPr>
              <w:spacing w:after="120"/>
              <w:jc w:val="center"/>
              <w:rPr>
                <w:noProof/>
                <w:color w:val="000000" w:themeColor="text1"/>
              </w:rPr>
            </w:pPr>
            <w:r>
              <w:rPr>
                <w:noProof/>
                <w:color w:val="000000" w:themeColor="text1"/>
              </w:rPr>
              <w:t>N/A</w:t>
            </w:r>
          </w:p>
        </w:tc>
        <w:tc>
          <w:tcPr>
            <w:tcW w:w="673"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27" w:type="pct"/>
            <w:noWrap/>
          </w:tcPr>
          <w:p w:rsidR="00B231CB" w:rsidRDefault="00C71431">
            <w:pPr>
              <w:spacing w:after="120"/>
              <w:rPr>
                <w:noProof/>
                <w:color w:val="000000" w:themeColor="text1"/>
                <w:szCs w:val="24"/>
              </w:rPr>
            </w:pPr>
            <w:r>
              <w:rPr>
                <w:noProof/>
                <w:color w:val="000000" w:themeColor="text1"/>
                <w:szCs w:val="24"/>
              </w:rPr>
              <w:t>O&amp;</w:t>
            </w:r>
            <w:r>
              <w:rPr>
                <w:noProof/>
                <w:color w:val="000000" w:themeColor="text1"/>
                <w:szCs w:val="24"/>
              </w:rPr>
              <w:t xml:space="preserve">M cost [2] </w:t>
            </w:r>
          </w:p>
        </w:tc>
        <w:tc>
          <w:tcPr>
            <w:tcW w:w="674" w:type="pct"/>
            <w:noWrap/>
          </w:tcPr>
          <w:p w:rsidR="00B231CB" w:rsidRDefault="00C71431">
            <w:pPr>
              <w:spacing w:after="120"/>
              <w:jc w:val="center"/>
              <w:rPr>
                <w:noProof/>
              </w:rPr>
            </w:pPr>
            <w:r>
              <w:rPr>
                <w:noProof/>
              </w:rPr>
              <w:t>-13</w:t>
            </w:r>
          </w:p>
        </w:tc>
        <w:tc>
          <w:tcPr>
            <w:tcW w:w="675" w:type="pct"/>
            <w:noWrap/>
          </w:tcPr>
          <w:p w:rsidR="00B231CB" w:rsidRDefault="00C71431">
            <w:pPr>
              <w:spacing w:after="120"/>
              <w:jc w:val="center"/>
              <w:rPr>
                <w:noProof/>
                <w:highlight w:val="yellow"/>
              </w:rPr>
            </w:pPr>
            <w:r>
              <w:rPr>
                <w:noProof/>
              </w:rPr>
              <w:t>-19</w:t>
            </w:r>
          </w:p>
        </w:tc>
        <w:tc>
          <w:tcPr>
            <w:tcW w:w="675" w:type="pct"/>
            <w:noWrap/>
          </w:tcPr>
          <w:p w:rsidR="00B231CB" w:rsidRDefault="00C71431">
            <w:pPr>
              <w:spacing w:after="120"/>
              <w:jc w:val="center"/>
              <w:rPr>
                <w:noProof/>
              </w:rPr>
            </w:pPr>
            <w:r>
              <w:rPr>
                <w:noProof/>
              </w:rPr>
              <w:t>-26</w:t>
            </w:r>
          </w:p>
        </w:tc>
        <w:tc>
          <w:tcPr>
            <w:tcW w:w="675" w:type="pct"/>
            <w:noWrap/>
          </w:tcPr>
          <w:p w:rsidR="00B231CB" w:rsidRDefault="00C71431">
            <w:pPr>
              <w:spacing w:after="120"/>
              <w:jc w:val="center"/>
              <w:rPr>
                <w:noProof/>
                <w:color w:val="000000" w:themeColor="text1"/>
              </w:rPr>
            </w:pPr>
            <w:r>
              <w:rPr>
                <w:noProof/>
                <w:color w:val="000000" w:themeColor="text1"/>
              </w:rPr>
              <w:t>N/A</w:t>
            </w:r>
          </w:p>
        </w:tc>
        <w:tc>
          <w:tcPr>
            <w:tcW w:w="673"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27"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rPr>
            </w:pPr>
            <w:r>
              <w:rPr>
                <w:noProof/>
              </w:rPr>
              <w:t>1,083</w:t>
            </w:r>
          </w:p>
        </w:tc>
        <w:tc>
          <w:tcPr>
            <w:tcW w:w="675" w:type="pct"/>
            <w:tcBorders>
              <w:bottom w:val="single" w:sz="24" w:space="0" w:color="auto"/>
            </w:tcBorders>
            <w:noWrap/>
          </w:tcPr>
          <w:p w:rsidR="00B231CB" w:rsidRDefault="00C71431">
            <w:pPr>
              <w:spacing w:after="120"/>
              <w:jc w:val="center"/>
              <w:rPr>
                <w:noProof/>
                <w:highlight w:val="yellow"/>
              </w:rPr>
            </w:pPr>
            <w:r>
              <w:rPr>
                <w:noProof/>
              </w:rPr>
              <w:t>1,006</w:t>
            </w:r>
          </w:p>
        </w:tc>
        <w:tc>
          <w:tcPr>
            <w:tcW w:w="675" w:type="pct"/>
            <w:tcBorders>
              <w:bottom w:val="single" w:sz="24" w:space="0" w:color="auto"/>
            </w:tcBorders>
            <w:noWrap/>
          </w:tcPr>
          <w:p w:rsidR="00B231CB" w:rsidRDefault="00C71431">
            <w:pPr>
              <w:spacing w:after="120"/>
              <w:jc w:val="center"/>
              <w:rPr>
                <w:noProof/>
              </w:rPr>
            </w:pPr>
            <w:r>
              <w:rPr>
                <w:noProof/>
              </w:rPr>
              <w:t>1,025</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N/A</w:t>
            </w:r>
          </w:p>
        </w:tc>
        <w:tc>
          <w:tcPr>
            <w:tcW w:w="673"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27"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rPr>
            </w:pPr>
            <w:r>
              <w:rPr>
                <w:i/>
                <w:noProof/>
              </w:rPr>
              <w:t>314</w:t>
            </w:r>
          </w:p>
        </w:tc>
        <w:tc>
          <w:tcPr>
            <w:tcW w:w="675" w:type="pct"/>
            <w:noWrap/>
          </w:tcPr>
          <w:p w:rsidR="00B231CB" w:rsidRDefault="00C71431">
            <w:pPr>
              <w:spacing w:after="120"/>
              <w:jc w:val="center"/>
              <w:rPr>
                <w:i/>
                <w:noProof/>
                <w:highlight w:val="yellow"/>
              </w:rPr>
            </w:pPr>
            <w:r>
              <w:rPr>
                <w:i/>
                <w:noProof/>
              </w:rPr>
              <w:t>486</w:t>
            </w:r>
          </w:p>
        </w:tc>
        <w:tc>
          <w:tcPr>
            <w:tcW w:w="675" w:type="pct"/>
            <w:noWrap/>
          </w:tcPr>
          <w:p w:rsidR="00B231CB" w:rsidRDefault="00C71431">
            <w:pPr>
              <w:spacing w:after="120"/>
              <w:jc w:val="center"/>
              <w:rPr>
                <w:i/>
                <w:noProof/>
              </w:rPr>
            </w:pPr>
            <w:r>
              <w:rPr>
                <w:i/>
                <w:noProof/>
              </w:rPr>
              <w:t>723</w:t>
            </w:r>
          </w:p>
        </w:tc>
        <w:tc>
          <w:tcPr>
            <w:tcW w:w="675" w:type="pct"/>
            <w:noWrap/>
          </w:tcPr>
          <w:p w:rsidR="00B231CB" w:rsidRDefault="00C71431">
            <w:pPr>
              <w:spacing w:after="120"/>
              <w:jc w:val="center"/>
              <w:rPr>
                <w:i/>
                <w:noProof/>
                <w:color w:val="000000" w:themeColor="text1"/>
              </w:rPr>
            </w:pPr>
            <w:r>
              <w:rPr>
                <w:i/>
                <w:noProof/>
                <w:color w:val="000000" w:themeColor="text1"/>
              </w:rPr>
              <w:t>N/A</w:t>
            </w:r>
          </w:p>
        </w:tc>
        <w:tc>
          <w:tcPr>
            <w:tcW w:w="673" w:type="pct"/>
            <w:noWrap/>
          </w:tcPr>
          <w:p w:rsidR="00B231CB" w:rsidRDefault="00C71431">
            <w:pPr>
              <w:spacing w:after="120"/>
              <w:jc w:val="center"/>
              <w:rPr>
                <w:i/>
                <w:noProof/>
                <w:color w:val="000000" w:themeColor="text1"/>
                <w:szCs w:val="24"/>
              </w:rPr>
            </w:pPr>
            <w:r>
              <w:rPr>
                <w:i/>
                <w:noProof/>
                <w:color w:val="000000" w:themeColor="text1"/>
              </w:rPr>
              <w:t>N/A</w:t>
            </w:r>
          </w:p>
        </w:tc>
      </w:tr>
    </w:tbl>
    <w:p w:rsidR="00B231CB" w:rsidRDefault="00B231CB">
      <w:pPr>
        <w:spacing w:after="120"/>
        <w:rPr>
          <w:noProof/>
          <w:color w:val="000000" w:themeColor="text1"/>
        </w:rPr>
      </w:pP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szCs w:val="24"/>
              </w:rPr>
            </w:pPr>
            <w:r>
              <w:rPr>
                <w:b/>
                <w:noProof/>
                <w:szCs w:val="24"/>
              </w:rPr>
              <w:t>TLC25 - 2025 (EUR/car)</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rPr>
            </w:pPr>
            <w:r>
              <w:rPr>
                <w:noProof/>
              </w:rPr>
              <w:t>602</w:t>
            </w:r>
          </w:p>
        </w:tc>
        <w:tc>
          <w:tcPr>
            <w:tcW w:w="673" w:type="pct"/>
            <w:noWrap/>
          </w:tcPr>
          <w:p w:rsidR="00B231CB" w:rsidRDefault="00C71431">
            <w:pPr>
              <w:spacing w:after="120"/>
              <w:jc w:val="center"/>
              <w:rPr>
                <w:noProof/>
              </w:rPr>
            </w:pPr>
            <w:r>
              <w:rPr>
                <w:noProof/>
              </w:rPr>
              <w:t>560</w:t>
            </w:r>
          </w:p>
        </w:tc>
        <w:tc>
          <w:tcPr>
            <w:tcW w:w="673" w:type="pct"/>
            <w:noWrap/>
          </w:tcPr>
          <w:p w:rsidR="00B231CB" w:rsidRDefault="00C71431">
            <w:pPr>
              <w:spacing w:after="120"/>
              <w:jc w:val="center"/>
              <w:rPr>
                <w:noProof/>
              </w:rPr>
            </w:pPr>
            <w:r>
              <w:rPr>
                <w:noProof/>
              </w:rPr>
              <w:t>179</w:t>
            </w:r>
          </w:p>
        </w:tc>
        <w:tc>
          <w:tcPr>
            <w:tcW w:w="673" w:type="pct"/>
            <w:noWrap/>
          </w:tcPr>
          <w:p w:rsidR="00B231CB" w:rsidRDefault="00C71431">
            <w:pPr>
              <w:spacing w:after="120"/>
              <w:jc w:val="center"/>
              <w:rPr>
                <w:noProof/>
              </w:rPr>
            </w:pPr>
            <w:r>
              <w:rPr>
                <w:noProof/>
              </w:rPr>
              <w:t>71</w:t>
            </w:r>
          </w:p>
        </w:tc>
        <w:tc>
          <w:tcPr>
            <w:tcW w:w="672" w:type="pct"/>
            <w:noWrap/>
          </w:tcPr>
          <w:p w:rsidR="00B231CB" w:rsidRDefault="00C71431">
            <w:pPr>
              <w:spacing w:after="120"/>
              <w:jc w:val="center"/>
              <w:rPr>
                <w:noProof/>
              </w:rPr>
            </w:pPr>
            <w:r>
              <w:rPr>
                <w:noProof/>
              </w:rPr>
              <w:t>-86</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rPr>
            </w:pPr>
            <w:r>
              <w:rPr>
                <w:noProof/>
              </w:rPr>
              <w:t>67</w:t>
            </w:r>
          </w:p>
        </w:tc>
        <w:tc>
          <w:tcPr>
            <w:tcW w:w="673" w:type="pct"/>
            <w:noWrap/>
          </w:tcPr>
          <w:p w:rsidR="00B231CB" w:rsidRDefault="00C71431">
            <w:pPr>
              <w:spacing w:after="120"/>
              <w:jc w:val="center"/>
              <w:rPr>
                <w:noProof/>
              </w:rPr>
            </w:pPr>
            <w:r>
              <w:rPr>
                <w:noProof/>
              </w:rPr>
              <w:t>57</w:t>
            </w:r>
          </w:p>
        </w:tc>
        <w:tc>
          <w:tcPr>
            <w:tcW w:w="673" w:type="pct"/>
            <w:noWrap/>
          </w:tcPr>
          <w:p w:rsidR="00B231CB" w:rsidRDefault="00C71431">
            <w:pPr>
              <w:spacing w:after="120"/>
              <w:jc w:val="center"/>
              <w:rPr>
                <w:noProof/>
              </w:rPr>
            </w:pPr>
            <w:r>
              <w:rPr>
                <w:noProof/>
              </w:rPr>
              <w:t>58</w:t>
            </w:r>
          </w:p>
        </w:tc>
        <w:tc>
          <w:tcPr>
            <w:tcW w:w="673" w:type="pct"/>
            <w:noWrap/>
          </w:tcPr>
          <w:p w:rsidR="00B231CB" w:rsidRDefault="00C71431">
            <w:pPr>
              <w:spacing w:after="120"/>
              <w:jc w:val="center"/>
              <w:rPr>
                <w:noProof/>
              </w:rPr>
            </w:pPr>
            <w:r>
              <w:rPr>
                <w:noProof/>
              </w:rPr>
              <w:t>50</w:t>
            </w:r>
          </w:p>
        </w:tc>
        <w:tc>
          <w:tcPr>
            <w:tcW w:w="672" w:type="pct"/>
            <w:noWrap/>
          </w:tcPr>
          <w:p w:rsidR="00B231CB" w:rsidRDefault="00C71431">
            <w:pPr>
              <w:spacing w:after="120"/>
              <w:jc w:val="center"/>
              <w:rPr>
                <w:noProof/>
              </w:rPr>
            </w:pPr>
            <w:r>
              <w:rPr>
                <w:noProof/>
              </w:rPr>
              <w:t>45</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 xml:space="preserve">Fuel </w:t>
            </w:r>
            <w:r>
              <w:rPr>
                <w:noProof/>
                <w:color w:val="000000" w:themeColor="text1"/>
                <w:szCs w:val="24"/>
              </w:rPr>
              <w:t>cost savings [3]</w:t>
            </w:r>
          </w:p>
        </w:tc>
        <w:tc>
          <w:tcPr>
            <w:tcW w:w="673" w:type="pct"/>
            <w:tcBorders>
              <w:bottom w:val="single" w:sz="24" w:space="0" w:color="auto"/>
            </w:tcBorders>
            <w:noWrap/>
          </w:tcPr>
          <w:p w:rsidR="00B231CB" w:rsidRDefault="00C71431">
            <w:pPr>
              <w:spacing w:after="120"/>
              <w:jc w:val="center"/>
              <w:rPr>
                <w:noProof/>
              </w:rPr>
            </w:pPr>
            <w:r>
              <w:rPr>
                <w:noProof/>
              </w:rPr>
              <w:t>525</w:t>
            </w:r>
          </w:p>
        </w:tc>
        <w:tc>
          <w:tcPr>
            <w:tcW w:w="673" w:type="pct"/>
            <w:tcBorders>
              <w:bottom w:val="single" w:sz="24" w:space="0" w:color="auto"/>
            </w:tcBorders>
            <w:noWrap/>
          </w:tcPr>
          <w:p w:rsidR="00B231CB" w:rsidRDefault="00C71431">
            <w:pPr>
              <w:spacing w:after="120"/>
              <w:jc w:val="center"/>
              <w:rPr>
                <w:noProof/>
              </w:rPr>
            </w:pPr>
            <w:r>
              <w:rPr>
                <w:noProof/>
              </w:rPr>
              <w:t>594</w:t>
            </w:r>
          </w:p>
        </w:tc>
        <w:tc>
          <w:tcPr>
            <w:tcW w:w="673" w:type="pct"/>
            <w:tcBorders>
              <w:bottom w:val="single" w:sz="24" w:space="0" w:color="auto"/>
            </w:tcBorders>
            <w:noWrap/>
          </w:tcPr>
          <w:p w:rsidR="00B231CB" w:rsidRDefault="00C71431">
            <w:pPr>
              <w:spacing w:after="120"/>
              <w:jc w:val="center"/>
              <w:rPr>
                <w:noProof/>
              </w:rPr>
            </w:pPr>
            <w:r>
              <w:rPr>
                <w:noProof/>
              </w:rPr>
              <w:t>482</w:t>
            </w:r>
          </w:p>
        </w:tc>
        <w:tc>
          <w:tcPr>
            <w:tcW w:w="673" w:type="pct"/>
            <w:tcBorders>
              <w:bottom w:val="single" w:sz="24" w:space="0" w:color="auto"/>
            </w:tcBorders>
            <w:noWrap/>
          </w:tcPr>
          <w:p w:rsidR="00B231CB" w:rsidRDefault="00C71431">
            <w:pPr>
              <w:spacing w:after="120"/>
              <w:jc w:val="center"/>
              <w:rPr>
                <w:noProof/>
              </w:rPr>
            </w:pPr>
            <w:r>
              <w:rPr>
                <w:noProof/>
              </w:rPr>
              <w:t>417</w:t>
            </w:r>
          </w:p>
        </w:tc>
        <w:tc>
          <w:tcPr>
            <w:tcW w:w="672" w:type="pct"/>
            <w:tcBorders>
              <w:bottom w:val="single" w:sz="24" w:space="0" w:color="auto"/>
            </w:tcBorders>
            <w:noWrap/>
          </w:tcPr>
          <w:p w:rsidR="00B231CB" w:rsidRDefault="00C71431">
            <w:pPr>
              <w:spacing w:after="120"/>
              <w:jc w:val="center"/>
              <w:rPr>
                <w:noProof/>
              </w:rPr>
            </w:pPr>
            <w:r>
              <w:rPr>
                <w:noProof/>
              </w:rPr>
              <w:t>424</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3" w:type="pct"/>
            <w:noWrap/>
          </w:tcPr>
          <w:p w:rsidR="00B231CB" w:rsidRDefault="00C71431">
            <w:pPr>
              <w:spacing w:after="120"/>
              <w:jc w:val="center"/>
              <w:rPr>
                <w:i/>
                <w:noProof/>
              </w:rPr>
            </w:pPr>
            <w:r>
              <w:rPr>
                <w:i/>
                <w:noProof/>
              </w:rPr>
              <w:t>-144</w:t>
            </w:r>
          </w:p>
        </w:tc>
        <w:tc>
          <w:tcPr>
            <w:tcW w:w="673" w:type="pct"/>
            <w:noWrap/>
          </w:tcPr>
          <w:p w:rsidR="00B231CB" w:rsidRDefault="00C71431">
            <w:pPr>
              <w:spacing w:after="120"/>
              <w:jc w:val="center"/>
              <w:rPr>
                <w:i/>
                <w:noProof/>
              </w:rPr>
            </w:pPr>
            <w:r>
              <w:rPr>
                <w:i/>
                <w:noProof/>
              </w:rPr>
              <w:t>-22</w:t>
            </w:r>
          </w:p>
        </w:tc>
        <w:tc>
          <w:tcPr>
            <w:tcW w:w="673" w:type="pct"/>
            <w:noWrap/>
          </w:tcPr>
          <w:p w:rsidR="00B231CB" w:rsidRDefault="00C71431">
            <w:pPr>
              <w:spacing w:after="120"/>
              <w:jc w:val="center"/>
              <w:rPr>
                <w:i/>
                <w:noProof/>
              </w:rPr>
            </w:pPr>
            <w:r>
              <w:rPr>
                <w:i/>
                <w:noProof/>
              </w:rPr>
              <w:t>245</w:t>
            </w:r>
          </w:p>
        </w:tc>
        <w:tc>
          <w:tcPr>
            <w:tcW w:w="673" w:type="pct"/>
            <w:noWrap/>
          </w:tcPr>
          <w:p w:rsidR="00B231CB" w:rsidRDefault="00C71431">
            <w:pPr>
              <w:spacing w:after="120"/>
              <w:jc w:val="center"/>
              <w:rPr>
                <w:i/>
                <w:noProof/>
              </w:rPr>
            </w:pPr>
            <w:r>
              <w:rPr>
                <w:i/>
                <w:noProof/>
              </w:rPr>
              <w:t>297</w:t>
            </w:r>
          </w:p>
        </w:tc>
        <w:tc>
          <w:tcPr>
            <w:tcW w:w="672" w:type="pct"/>
            <w:noWrap/>
          </w:tcPr>
          <w:p w:rsidR="00B231CB" w:rsidRDefault="00C71431">
            <w:pPr>
              <w:spacing w:after="120"/>
              <w:jc w:val="center"/>
              <w:rPr>
                <w:i/>
                <w:noProof/>
              </w:rPr>
            </w:pPr>
            <w:r>
              <w:rPr>
                <w:i/>
                <w:noProof/>
              </w:rPr>
              <w:t>466</w:t>
            </w:r>
          </w:p>
        </w:tc>
      </w:tr>
    </w:tbl>
    <w:p w:rsidR="00B231CB" w:rsidRDefault="00B231CB">
      <w:pPr>
        <w:spacing w:after="12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TLC25 - 2030 (EUR/car)</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rPr>
            </w:pPr>
            <w:r>
              <w:rPr>
                <w:noProof/>
              </w:rPr>
              <w:t>1,108</w:t>
            </w:r>
          </w:p>
        </w:tc>
        <w:tc>
          <w:tcPr>
            <w:tcW w:w="675" w:type="pct"/>
            <w:noWrap/>
          </w:tcPr>
          <w:p w:rsidR="00B231CB" w:rsidRDefault="00C71431">
            <w:pPr>
              <w:spacing w:after="120"/>
              <w:jc w:val="center"/>
              <w:rPr>
                <w:noProof/>
              </w:rPr>
            </w:pPr>
            <w:r>
              <w:rPr>
                <w:noProof/>
              </w:rPr>
              <w:t>809</w:t>
            </w:r>
          </w:p>
        </w:tc>
        <w:tc>
          <w:tcPr>
            <w:tcW w:w="675" w:type="pct"/>
            <w:noWrap/>
          </w:tcPr>
          <w:p w:rsidR="00B231CB" w:rsidRDefault="00C71431">
            <w:pPr>
              <w:spacing w:after="120"/>
              <w:jc w:val="center"/>
              <w:rPr>
                <w:noProof/>
              </w:rPr>
            </w:pPr>
            <w:r>
              <w:rPr>
                <w:noProof/>
              </w:rPr>
              <w:t>532</w:t>
            </w:r>
          </w:p>
        </w:tc>
        <w:tc>
          <w:tcPr>
            <w:tcW w:w="675" w:type="pct"/>
            <w:noWrap/>
          </w:tcPr>
          <w:p w:rsidR="00B231CB" w:rsidRDefault="00C71431">
            <w:pPr>
              <w:spacing w:after="120"/>
              <w:jc w:val="center"/>
              <w:rPr>
                <w:noProof/>
              </w:rPr>
            </w:pPr>
            <w:r>
              <w:rPr>
                <w:noProof/>
              </w:rPr>
              <w:t>287</w:t>
            </w:r>
          </w:p>
        </w:tc>
        <w:tc>
          <w:tcPr>
            <w:tcW w:w="673" w:type="pct"/>
            <w:noWrap/>
          </w:tcPr>
          <w:p w:rsidR="00B231CB" w:rsidRDefault="00C71431">
            <w:pPr>
              <w:spacing w:after="120"/>
              <w:jc w:val="center"/>
              <w:rPr>
                <w:noProof/>
              </w:rPr>
            </w:pPr>
            <w:r>
              <w:rPr>
                <w:noProof/>
              </w:rPr>
              <w:t>130</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rPr>
            </w:pPr>
            <w:r>
              <w:rPr>
                <w:noProof/>
              </w:rPr>
              <w:t>-13</w:t>
            </w:r>
          </w:p>
        </w:tc>
        <w:tc>
          <w:tcPr>
            <w:tcW w:w="675" w:type="pct"/>
            <w:noWrap/>
          </w:tcPr>
          <w:p w:rsidR="00B231CB" w:rsidRDefault="00C71431">
            <w:pPr>
              <w:spacing w:after="120"/>
              <w:jc w:val="center"/>
              <w:rPr>
                <w:noProof/>
              </w:rPr>
            </w:pPr>
            <w:r>
              <w:rPr>
                <w:noProof/>
              </w:rPr>
              <w:t>-19</w:t>
            </w:r>
          </w:p>
        </w:tc>
        <w:tc>
          <w:tcPr>
            <w:tcW w:w="675" w:type="pct"/>
            <w:noWrap/>
          </w:tcPr>
          <w:p w:rsidR="00B231CB" w:rsidRDefault="00C71431">
            <w:pPr>
              <w:spacing w:after="120"/>
              <w:jc w:val="center"/>
              <w:rPr>
                <w:noProof/>
              </w:rPr>
            </w:pPr>
            <w:r>
              <w:rPr>
                <w:noProof/>
              </w:rPr>
              <w:t>-26</w:t>
            </w:r>
          </w:p>
        </w:tc>
        <w:tc>
          <w:tcPr>
            <w:tcW w:w="675" w:type="pct"/>
            <w:noWrap/>
          </w:tcPr>
          <w:p w:rsidR="00B231CB" w:rsidRDefault="00C71431">
            <w:pPr>
              <w:spacing w:after="120"/>
              <w:jc w:val="center"/>
              <w:rPr>
                <w:noProof/>
              </w:rPr>
            </w:pPr>
            <w:r>
              <w:rPr>
                <w:noProof/>
              </w:rPr>
              <w:t>-43</w:t>
            </w:r>
          </w:p>
        </w:tc>
        <w:tc>
          <w:tcPr>
            <w:tcW w:w="673" w:type="pct"/>
            <w:noWrap/>
          </w:tcPr>
          <w:p w:rsidR="00B231CB" w:rsidRDefault="00C71431">
            <w:pPr>
              <w:spacing w:after="120"/>
              <w:jc w:val="center"/>
              <w:rPr>
                <w:noProof/>
              </w:rPr>
            </w:pPr>
            <w:r>
              <w:rPr>
                <w:noProof/>
              </w:rPr>
              <w:t>-50</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rPr>
            </w:pPr>
            <w:r>
              <w:rPr>
                <w:noProof/>
              </w:rPr>
              <w:t>1,381</w:t>
            </w:r>
          </w:p>
        </w:tc>
        <w:tc>
          <w:tcPr>
            <w:tcW w:w="675" w:type="pct"/>
            <w:tcBorders>
              <w:bottom w:val="single" w:sz="24" w:space="0" w:color="auto"/>
            </w:tcBorders>
            <w:noWrap/>
          </w:tcPr>
          <w:p w:rsidR="00B231CB" w:rsidRDefault="00C71431">
            <w:pPr>
              <w:spacing w:after="120"/>
              <w:jc w:val="center"/>
              <w:rPr>
                <w:noProof/>
              </w:rPr>
            </w:pPr>
            <w:r>
              <w:rPr>
                <w:noProof/>
              </w:rPr>
              <w:t>1,302</w:t>
            </w:r>
          </w:p>
        </w:tc>
        <w:tc>
          <w:tcPr>
            <w:tcW w:w="675" w:type="pct"/>
            <w:tcBorders>
              <w:bottom w:val="single" w:sz="24" w:space="0" w:color="auto"/>
            </w:tcBorders>
            <w:noWrap/>
          </w:tcPr>
          <w:p w:rsidR="00B231CB" w:rsidRDefault="00C71431">
            <w:pPr>
              <w:spacing w:after="120"/>
              <w:jc w:val="center"/>
              <w:rPr>
                <w:noProof/>
              </w:rPr>
            </w:pPr>
            <w:r>
              <w:rPr>
                <w:noProof/>
              </w:rPr>
              <w:t>1,323</w:t>
            </w:r>
          </w:p>
        </w:tc>
        <w:tc>
          <w:tcPr>
            <w:tcW w:w="675" w:type="pct"/>
            <w:tcBorders>
              <w:bottom w:val="single" w:sz="24" w:space="0" w:color="auto"/>
            </w:tcBorders>
            <w:noWrap/>
          </w:tcPr>
          <w:p w:rsidR="00B231CB" w:rsidRDefault="00C71431">
            <w:pPr>
              <w:spacing w:after="120"/>
              <w:jc w:val="center"/>
              <w:rPr>
                <w:noProof/>
              </w:rPr>
            </w:pPr>
            <w:r>
              <w:rPr>
                <w:noProof/>
              </w:rPr>
              <w:t>1,213</w:t>
            </w:r>
          </w:p>
        </w:tc>
        <w:tc>
          <w:tcPr>
            <w:tcW w:w="673" w:type="pct"/>
            <w:tcBorders>
              <w:bottom w:val="single" w:sz="24" w:space="0" w:color="auto"/>
            </w:tcBorders>
            <w:noWrap/>
          </w:tcPr>
          <w:p w:rsidR="00B231CB" w:rsidRDefault="00C71431">
            <w:pPr>
              <w:spacing w:after="120"/>
              <w:jc w:val="center"/>
              <w:rPr>
                <w:noProof/>
              </w:rPr>
            </w:pPr>
            <w:r>
              <w:rPr>
                <w:noProof/>
              </w:rPr>
              <w:t>1,229</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rPr>
            </w:pPr>
            <w:r>
              <w:rPr>
                <w:i/>
                <w:noProof/>
              </w:rPr>
              <w:t>285</w:t>
            </w:r>
          </w:p>
        </w:tc>
        <w:tc>
          <w:tcPr>
            <w:tcW w:w="675" w:type="pct"/>
            <w:noWrap/>
          </w:tcPr>
          <w:p w:rsidR="00B231CB" w:rsidRDefault="00C71431">
            <w:pPr>
              <w:spacing w:after="120"/>
              <w:jc w:val="center"/>
              <w:rPr>
                <w:i/>
                <w:noProof/>
              </w:rPr>
            </w:pPr>
            <w:r>
              <w:rPr>
                <w:i/>
                <w:noProof/>
              </w:rPr>
              <w:t>513</w:t>
            </w:r>
          </w:p>
        </w:tc>
        <w:tc>
          <w:tcPr>
            <w:tcW w:w="675" w:type="pct"/>
            <w:noWrap/>
          </w:tcPr>
          <w:p w:rsidR="00B231CB" w:rsidRDefault="00C71431">
            <w:pPr>
              <w:spacing w:after="120"/>
              <w:jc w:val="center"/>
              <w:rPr>
                <w:i/>
                <w:noProof/>
              </w:rPr>
            </w:pPr>
            <w:r>
              <w:rPr>
                <w:i/>
                <w:noProof/>
              </w:rPr>
              <w:t>817</w:t>
            </w:r>
          </w:p>
        </w:tc>
        <w:tc>
          <w:tcPr>
            <w:tcW w:w="675" w:type="pct"/>
            <w:noWrap/>
          </w:tcPr>
          <w:p w:rsidR="00B231CB" w:rsidRDefault="00C71431">
            <w:pPr>
              <w:spacing w:after="120"/>
              <w:jc w:val="center"/>
              <w:rPr>
                <w:i/>
                <w:noProof/>
              </w:rPr>
            </w:pPr>
            <w:r>
              <w:rPr>
                <w:i/>
                <w:noProof/>
              </w:rPr>
              <w:t>969</w:t>
            </w:r>
          </w:p>
        </w:tc>
        <w:tc>
          <w:tcPr>
            <w:tcW w:w="673" w:type="pct"/>
            <w:noWrap/>
          </w:tcPr>
          <w:p w:rsidR="00B231CB" w:rsidRDefault="00C71431">
            <w:pPr>
              <w:spacing w:after="120"/>
              <w:jc w:val="center"/>
              <w:rPr>
                <w:i/>
                <w:noProof/>
              </w:rPr>
            </w:pPr>
            <w:r>
              <w:rPr>
                <w:i/>
                <w:noProof/>
              </w:rPr>
              <w:t>1,148</w:t>
            </w:r>
          </w:p>
        </w:tc>
      </w:tr>
    </w:tbl>
    <w:p w:rsidR="00B231CB" w:rsidRDefault="00B231CB">
      <w:pPr>
        <w:spacing w:after="120"/>
        <w:rPr>
          <w:noProof/>
          <w:color w:val="000000" w:themeColor="text1"/>
        </w:rPr>
      </w:pP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szCs w:val="24"/>
              </w:rPr>
            </w:pPr>
            <w:r>
              <w:rPr>
                <w:b/>
                <w:noProof/>
                <w:szCs w:val="24"/>
              </w:rPr>
              <w:t>TLC30 - 2025 (EUR/car)</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rPr>
            </w:pPr>
            <w:r>
              <w:rPr>
                <w:noProof/>
              </w:rPr>
              <w:t>774</w:t>
            </w:r>
          </w:p>
        </w:tc>
        <w:tc>
          <w:tcPr>
            <w:tcW w:w="673" w:type="pct"/>
            <w:noWrap/>
          </w:tcPr>
          <w:p w:rsidR="00B231CB" w:rsidRDefault="00C71431">
            <w:pPr>
              <w:spacing w:after="120"/>
              <w:jc w:val="center"/>
              <w:rPr>
                <w:noProof/>
              </w:rPr>
            </w:pPr>
            <w:r>
              <w:rPr>
                <w:noProof/>
              </w:rPr>
              <w:t>872</w:t>
            </w:r>
          </w:p>
        </w:tc>
        <w:tc>
          <w:tcPr>
            <w:tcW w:w="673" w:type="pct"/>
            <w:noWrap/>
          </w:tcPr>
          <w:p w:rsidR="00B231CB" w:rsidRDefault="00C71431">
            <w:pPr>
              <w:spacing w:after="120"/>
              <w:jc w:val="center"/>
              <w:rPr>
                <w:noProof/>
              </w:rPr>
            </w:pPr>
            <w:r>
              <w:rPr>
                <w:noProof/>
              </w:rPr>
              <w:t>297</w:t>
            </w:r>
          </w:p>
        </w:tc>
        <w:tc>
          <w:tcPr>
            <w:tcW w:w="673" w:type="pct"/>
            <w:noWrap/>
          </w:tcPr>
          <w:p w:rsidR="00B231CB" w:rsidRDefault="00C71431">
            <w:pPr>
              <w:spacing w:after="120"/>
              <w:jc w:val="center"/>
              <w:rPr>
                <w:noProof/>
              </w:rPr>
            </w:pPr>
            <w:r>
              <w:rPr>
                <w:noProof/>
              </w:rPr>
              <w:t>168</w:t>
            </w:r>
          </w:p>
        </w:tc>
        <w:tc>
          <w:tcPr>
            <w:tcW w:w="672" w:type="pct"/>
            <w:noWrap/>
          </w:tcPr>
          <w:p w:rsidR="00B231CB" w:rsidRDefault="00C71431">
            <w:pPr>
              <w:spacing w:after="120"/>
              <w:jc w:val="center"/>
              <w:rPr>
                <w:noProof/>
              </w:rPr>
            </w:pPr>
            <w:r>
              <w:rPr>
                <w:noProof/>
              </w:rPr>
              <w:t>-15</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rPr>
            </w:pPr>
            <w:r>
              <w:rPr>
                <w:noProof/>
              </w:rPr>
              <w:t>56</w:t>
            </w:r>
          </w:p>
        </w:tc>
        <w:tc>
          <w:tcPr>
            <w:tcW w:w="673" w:type="pct"/>
            <w:noWrap/>
          </w:tcPr>
          <w:p w:rsidR="00B231CB" w:rsidRDefault="00C71431">
            <w:pPr>
              <w:spacing w:after="120"/>
              <w:jc w:val="center"/>
              <w:rPr>
                <w:noProof/>
              </w:rPr>
            </w:pPr>
            <w:r>
              <w:rPr>
                <w:noProof/>
              </w:rPr>
              <w:t>41</w:t>
            </w:r>
          </w:p>
        </w:tc>
        <w:tc>
          <w:tcPr>
            <w:tcW w:w="673" w:type="pct"/>
            <w:noWrap/>
          </w:tcPr>
          <w:p w:rsidR="00B231CB" w:rsidRDefault="00C71431">
            <w:pPr>
              <w:spacing w:after="120"/>
              <w:jc w:val="center"/>
              <w:rPr>
                <w:noProof/>
              </w:rPr>
            </w:pPr>
            <w:r>
              <w:rPr>
                <w:noProof/>
              </w:rPr>
              <w:t>54</w:t>
            </w:r>
          </w:p>
        </w:tc>
        <w:tc>
          <w:tcPr>
            <w:tcW w:w="673" w:type="pct"/>
            <w:noWrap/>
          </w:tcPr>
          <w:p w:rsidR="00B231CB" w:rsidRDefault="00C71431">
            <w:pPr>
              <w:spacing w:after="120"/>
              <w:jc w:val="center"/>
              <w:rPr>
                <w:noProof/>
              </w:rPr>
            </w:pPr>
            <w:r>
              <w:rPr>
                <w:noProof/>
              </w:rPr>
              <w:t>50</w:t>
            </w:r>
          </w:p>
        </w:tc>
        <w:tc>
          <w:tcPr>
            <w:tcW w:w="672" w:type="pct"/>
            <w:noWrap/>
          </w:tcPr>
          <w:p w:rsidR="00B231CB" w:rsidRDefault="00C71431">
            <w:pPr>
              <w:spacing w:after="120"/>
              <w:jc w:val="center"/>
              <w:rPr>
                <w:noProof/>
              </w:rPr>
            </w:pPr>
            <w:r>
              <w:rPr>
                <w:noProof/>
              </w:rPr>
              <w:t>45</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3" w:type="pct"/>
            <w:tcBorders>
              <w:bottom w:val="single" w:sz="24" w:space="0" w:color="auto"/>
            </w:tcBorders>
            <w:noWrap/>
          </w:tcPr>
          <w:p w:rsidR="00B231CB" w:rsidRDefault="00C71431">
            <w:pPr>
              <w:spacing w:after="120"/>
              <w:jc w:val="center"/>
              <w:rPr>
                <w:noProof/>
              </w:rPr>
            </w:pPr>
            <w:r>
              <w:rPr>
                <w:noProof/>
              </w:rPr>
              <w:t>631</w:t>
            </w:r>
          </w:p>
        </w:tc>
        <w:tc>
          <w:tcPr>
            <w:tcW w:w="673" w:type="pct"/>
            <w:tcBorders>
              <w:bottom w:val="single" w:sz="24" w:space="0" w:color="auto"/>
            </w:tcBorders>
            <w:noWrap/>
          </w:tcPr>
          <w:p w:rsidR="00B231CB" w:rsidRDefault="00C71431">
            <w:pPr>
              <w:spacing w:after="120"/>
              <w:jc w:val="center"/>
              <w:rPr>
                <w:noProof/>
              </w:rPr>
            </w:pPr>
            <w:r>
              <w:rPr>
                <w:noProof/>
              </w:rPr>
              <w:t>837</w:t>
            </w:r>
          </w:p>
        </w:tc>
        <w:tc>
          <w:tcPr>
            <w:tcW w:w="673" w:type="pct"/>
            <w:tcBorders>
              <w:bottom w:val="single" w:sz="24" w:space="0" w:color="auto"/>
            </w:tcBorders>
            <w:noWrap/>
          </w:tcPr>
          <w:p w:rsidR="00B231CB" w:rsidRDefault="00C71431">
            <w:pPr>
              <w:spacing w:after="120"/>
              <w:jc w:val="center"/>
              <w:rPr>
                <w:noProof/>
              </w:rPr>
            </w:pPr>
            <w:r>
              <w:rPr>
                <w:noProof/>
              </w:rPr>
              <w:t>614</w:t>
            </w:r>
          </w:p>
        </w:tc>
        <w:tc>
          <w:tcPr>
            <w:tcW w:w="673" w:type="pct"/>
            <w:tcBorders>
              <w:bottom w:val="single" w:sz="24" w:space="0" w:color="auto"/>
            </w:tcBorders>
            <w:noWrap/>
          </w:tcPr>
          <w:p w:rsidR="00B231CB" w:rsidRDefault="00C71431">
            <w:pPr>
              <w:spacing w:after="120"/>
              <w:jc w:val="center"/>
              <w:rPr>
                <w:noProof/>
              </w:rPr>
            </w:pPr>
            <w:r>
              <w:rPr>
                <w:noProof/>
              </w:rPr>
              <w:t>569</w:t>
            </w:r>
          </w:p>
        </w:tc>
        <w:tc>
          <w:tcPr>
            <w:tcW w:w="672" w:type="pct"/>
            <w:tcBorders>
              <w:bottom w:val="single" w:sz="24" w:space="0" w:color="auto"/>
            </w:tcBorders>
            <w:noWrap/>
          </w:tcPr>
          <w:p w:rsidR="00B231CB" w:rsidRDefault="00C71431">
            <w:pPr>
              <w:spacing w:after="120"/>
              <w:jc w:val="center"/>
              <w:rPr>
                <w:noProof/>
              </w:rPr>
            </w:pPr>
            <w:r>
              <w:rPr>
                <w:noProof/>
              </w:rPr>
              <w:t>579</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3" w:type="pct"/>
            <w:noWrap/>
          </w:tcPr>
          <w:p w:rsidR="00B231CB" w:rsidRDefault="00C71431">
            <w:pPr>
              <w:spacing w:after="120"/>
              <w:jc w:val="center"/>
              <w:rPr>
                <w:i/>
                <w:noProof/>
              </w:rPr>
            </w:pPr>
            <w:r>
              <w:rPr>
                <w:i/>
                <w:noProof/>
              </w:rPr>
              <w:t>-199</w:t>
            </w:r>
          </w:p>
        </w:tc>
        <w:tc>
          <w:tcPr>
            <w:tcW w:w="673" w:type="pct"/>
            <w:noWrap/>
          </w:tcPr>
          <w:p w:rsidR="00B231CB" w:rsidRDefault="00C71431">
            <w:pPr>
              <w:spacing w:after="120"/>
              <w:jc w:val="center"/>
              <w:rPr>
                <w:i/>
                <w:noProof/>
              </w:rPr>
            </w:pPr>
            <w:r>
              <w:rPr>
                <w:i/>
                <w:noProof/>
              </w:rPr>
              <w:t>-75</w:t>
            </w:r>
          </w:p>
        </w:tc>
        <w:tc>
          <w:tcPr>
            <w:tcW w:w="673" w:type="pct"/>
            <w:noWrap/>
          </w:tcPr>
          <w:p w:rsidR="00B231CB" w:rsidRDefault="00C71431">
            <w:pPr>
              <w:spacing w:after="120"/>
              <w:jc w:val="center"/>
              <w:rPr>
                <w:i/>
                <w:noProof/>
              </w:rPr>
            </w:pPr>
            <w:r>
              <w:rPr>
                <w:i/>
                <w:noProof/>
              </w:rPr>
              <w:t>263</w:t>
            </w:r>
          </w:p>
        </w:tc>
        <w:tc>
          <w:tcPr>
            <w:tcW w:w="673" w:type="pct"/>
            <w:noWrap/>
          </w:tcPr>
          <w:p w:rsidR="00B231CB" w:rsidRDefault="00C71431">
            <w:pPr>
              <w:spacing w:after="120"/>
              <w:jc w:val="center"/>
              <w:rPr>
                <w:i/>
                <w:noProof/>
              </w:rPr>
            </w:pPr>
            <w:r>
              <w:rPr>
                <w:i/>
                <w:noProof/>
              </w:rPr>
              <w:t>352</w:t>
            </w:r>
          </w:p>
        </w:tc>
        <w:tc>
          <w:tcPr>
            <w:tcW w:w="672" w:type="pct"/>
            <w:noWrap/>
          </w:tcPr>
          <w:p w:rsidR="00B231CB" w:rsidRDefault="00C71431">
            <w:pPr>
              <w:spacing w:after="120"/>
              <w:jc w:val="center"/>
              <w:rPr>
                <w:i/>
                <w:noProof/>
              </w:rPr>
            </w:pPr>
            <w:r>
              <w:rPr>
                <w:i/>
                <w:noProof/>
              </w:rPr>
              <w:t>549</w:t>
            </w:r>
          </w:p>
        </w:tc>
      </w:tr>
    </w:tbl>
    <w:p w:rsidR="00B231CB" w:rsidRDefault="00B231CB">
      <w:pPr>
        <w:spacing w:after="12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TLC30 - 2030 (EUR/car)</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rPr>
            </w:pPr>
            <w:r>
              <w:rPr>
                <w:noProof/>
              </w:rPr>
              <w:t>1,458</w:t>
            </w:r>
          </w:p>
        </w:tc>
        <w:tc>
          <w:tcPr>
            <w:tcW w:w="675" w:type="pct"/>
            <w:noWrap/>
          </w:tcPr>
          <w:p w:rsidR="00B231CB" w:rsidRDefault="00C71431">
            <w:pPr>
              <w:spacing w:after="120"/>
              <w:jc w:val="center"/>
              <w:rPr>
                <w:noProof/>
              </w:rPr>
            </w:pPr>
            <w:r>
              <w:rPr>
                <w:noProof/>
              </w:rPr>
              <w:t>1,107</w:t>
            </w:r>
          </w:p>
        </w:tc>
        <w:tc>
          <w:tcPr>
            <w:tcW w:w="675" w:type="pct"/>
            <w:noWrap/>
          </w:tcPr>
          <w:p w:rsidR="00B231CB" w:rsidRDefault="00C71431">
            <w:pPr>
              <w:spacing w:after="120"/>
              <w:jc w:val="center"/>
              <w:rPr>
                <w:noProof/>
              </w:rPr>
            </w:pPr>
            <w:r>
              <w:rPr>
                <w:noProof/>
              </w:rPr>
              <w:t>799</w:t>
            </w:r>
          </w:p>
        </w:tc>
        <w:tc>
          <w:tcPr>
            <w:tcW w:w="675" w:type="pct"/>
            <w:noWrap/>
          </w:tcPr>
          <w:p w:rsidR="00B231CB" w:rsidRDefault="00C71431">
            <w:pPr>
              <w:spacing w:after="120"/>
              <w:jc w:val="center"/>
              <w:rPr>
                <w:noProof/>
              </w:rPr>
            </w:pPr>
            <w:r>
              <w:rPr>
                <w:noProof/>
              </w:rPr>
              <w:t>512</w:t>
            </w:r>
          </w:p>
        </w:tc>
        <w:tc>
          <w:tcPr>
            <w:tcW w:w="673" w:type="pct"/>
            <w:noWrap/>
          </w:tcPr>
          <w:p w:rsidR="00B231CB" w:rsidRDefault="00C71431">
            <w:pPr>
              <w:spacing w:after="120"/>
              <w:jc w:val="center"/>
              <w:rPr>
                <w:noProof/>
              </w:rPr>
            </w:pPr>
            <w:r>
              <w:rPr>
                <w:noProof/>
              </w:rPr>
              <w:t>302</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rPr>
            </w:pPr>
            <w:r>
              <w:rPr>
                <w:noProof/>
              </w:rPr>
              <w:t>-36</w:t>
            </w:r>
          </w:p>
        </w:tc>
        <w:tc>
          <w:tcPr>
            <w:tcW w:w="675" w:type="pct"/>
            <w:noWrap/>
          </w:tcPr>
          <w:p w:rsidR="00B231CB" w:rsidRDefault="00C71431">
            <w:pPr>
              <w:spacing w:after="120"/>
              <w:jc w:val="center"/>
              <w:rPr>
                <w:noProof/>
              </w:rPr>
            </w:pPr>
            <w:r>
              <w:rPr>
                <w:noProof/>
              </w:rPr>
              <w:t>-34</w:t>
            </w:r>
          </w:p>
        </w:tc>
        <w:tc>
          <w:tcPr>
            <w:tcW w:w="675" w:type="pct"/>
            <w:noWrap/>
          </w:tcPr>
          <w:p w:rsidR="00B231CB" w:rsidRDefault="00C71431">
            <w:pPr>
              <w:spacing w:after="120"/>
              <w:jc w:val="center"/>
              <w:rPr>
                <w:noProof/>
              </w:rPr>
            </w:pPr>
            <w:r>
              <w:rPr>
                <w:noProof/>
              </w:rPr>
              <w:t>-40</w:t>
            </w:r>
          </w:p>
        </w:tc>
        <w:tc>
          <w:tcPr>
            <w:tcW w:w="675" w:type="pct"/>
            <w:noWrap/>
          </w:tcPr>
          <w:p w:rsidR="00B231CB" w:rsidRDefault="00C71431">
            <w:pPr>
              <w:spacing w:after="120"/>
              <w:jc w:val="center"/>
              <w:rPr>
                <w:noProof/>
              </w:rPr>
            </w:pPr>
            <w:r>
              <w:rPr>
                <w:noProof/>
              </w:rPr>
              <w:t>-43</w:t>
            </w:r>
          </w:p>
        </w:tc>
        <w:tc>
          <w:tcPr>
            <w:tcW w:w="673" w:type="pct"/>
            <w:noWrap/>
          </w:tcPr>
          <w:p w:rsidR="00B231CB" w:rsidRDefault="00C71431">
            <w:pPr>
              <w:spacing w:after="120"/>
              <w:jc w:val="center"/>
              <w:rPr>
                <w:noProof/>
              </w:rPr>
            </w:pPr>
            <w:r>
              <w:rPr>
                <w:noProof/>
              </w:rPr>
              <w:t>-50</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rPr>
            </w:pPr>
            <w:r>
              <w:rPr>
                <w:noProof/>
              </w:rPr>
              <w:t>1,589</w:t>
            </w:r>
          </w:p>
        </w:tc>
        <w:tc>
          <w:tcPr>
            <w:tcW w:w="675" w:type="pct"/>
            <w:tcBorders>
              <w:bottom w:val="single" w:sz="24" w:space="0" w:color="auto"/>
            </w:tcBorders>
            <w:noWrap/>
          </w:tcPr>
          <w:p w:rsidR="00B231CB" w:rsidRDefault="00C71431">
            <w:pPr>
              <w:spacing w:after="120"/>
              <w:jc w:val="center"/>
              <w:rPr>
                <w:noProof/>
              </w:rPr>
            </w:pPr>
            <w:r>
              <w:rPr>
                <w:noProof/>
              </w:rPr>
              <w:t>1,542</w:t>
            </w:r>
          </w:p>
        </w:tc>
        <w:tc>
          <w:tcPr>
            <w:tcW w:w="675" w:type="pct"/>
            <w:tcBorders>
              <w:bottom w:val="single" w:sz="24" w:space="0" w:color="auto"/>
            </w:tcBorders>
            <w:noWrap/>
          </w:tcPr>
          <w:p w:rsidR="00B231CB" w:rsidRDefault="00C71431">
            <w:pPr>
              <w:spacing w:after="120"/>
              <w:jc w:val="center"/>
              <w:rPr>
                <w:noProof/>
              </w:rPr>
            </w:pPr>
            <w:r>
              <w:rPr>
                <w:noProof/>
              </w:rPr>
              <w:t>1,576</w:t>
            </w:r>
          </w:p>
        </w:tc>
        <w:tc>
          <w:tcPr>
            <w:tcW w:w="675" w:type="pct"/>
            <w:tcBorders>
              <w:bottom w:val="single" w:sz="24" w:space="0" w:color="auto"/>
            </w:tcBorders>
            <w:noWrap/>
          </w:tcPr>
          <w:p w:rsidR="00B231CB" w:rsidRDefault="00C71431">
            <w:pPr>
              <w:spacing w:after="120"/>
              <w:jc w:val="center"/>
              <w:rPr>
                <w:noProof/>
              </w:rPr>
            </w:pPr>
            <w:r>
              <w:rPr>
                <w:noProof/>
              </w:rPr>
              <w:t>1,513</w:t>
            </w:r>
          </w:p>
        </w:tc>
        <w:tc>
          <w:tcPr>
            <w:tcW w:w="673" w:type="pct"/>
            <w:tcBorders>
              <w:bottom w:val="single" w:sz="24" w:space="0" w:color="auto"/>
            </w:tcBorders>
            <w:noWrap/>
          </w:tcPr>
          <w:p w:rsidR="00B231CB" w:rsidRDefault="00C71431">
            <w:pPr>
              <w:spacing w:after="120"/>
              <w:jc w:val="center"/>
              <w:rPr>
                <w:noProof/>
              </w:rPr>
            </w:pPr>
            <w:r>
              <w:rPr>
                <w:noProof/>
              </w:rPr>
              <w:t>1,534</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rPr>
            </w:pPr>
            <w:r>
              <w:rPr>
                <w:i/>
                <w:noProof/>
              </w:rPr>
              <w:t>167</w:t>
            </w:r>
          </w:p>
        </w:tc>
        <w:tc>
          <w:tcPr>
            <w:tcW w:w="675" w:type="pct"/>
            <w:noWrap/>
          </w:tcPr>
          <w:p w:rsidR="00B231CB" w:rsidRDefault="00C71431">
            <w:pPr>
              <w:spacing w:after="120"/>
              <w:jc w:val="center"/>
              <w:rPr>
                <w:i/>
                <w:noProof/>
              </w:rPr>
            </w:pPr>
            <w:r>
              <w:rPr>
                <w:i/>
                <w:noProof/>
              </w:rPr>
              <w:t>469</w:t>
            </w:r>
          </w:p>
        </w:tc>
        <w:tc>
          <w:tcPr>
            <w:tcW w:w="675" w:type="pct"/>
            <w:noWrap/>
          </w:tcPr>
          <w:p w:rsidR="00B231CB" w:rsidRDefault="00C71431">
            <w:pPr>
              <w:spacing w:after="120"/>
              <w:jc w:val="center"/>
              <w:rPr>
                <w:i/>
                <w:noProof/>
              </w:rPr>
            </w:pPr>
            <w:r>
              <w:rPr>
                <w:i/>
                <w:noProof/>
              </w:rPr>
              <w:t>818</w:t>
            </w:r>
          </w:p>
        </w:tc>
        <w:tc>
          <w:tcPr>
            <w:tcW w:w="675" w:type="pct"/>
            <w:noWrap/>
          </w:tcPr>
          <w:p w:rsidR="00B231CB" w:rsidRDefault="00C71431">
            <w:pPr>
              <w:spacing w:after="120"/>
              <w:jc w:val="center"/>
              <w:rPr>
                <w:i/>
                <w:noProof/>
              </w:rPr>
            </w:pPr>
            <w:r>
              <w:rPr>
                <w:i/>
                <w:noProof/>
              </w:rPr>
              <w:t>1,044</w:t>
            </w:r>
          </w:p>
        </w:tc>
        <w:tc>
          <w:tcPr>
            <w:tcW w:w="673" w:type="pct"/>
            <w:noWrap/>
          </w:tcPr>
          <w:p w:rsidR="00B231CB" w:rsidRDefault="00C71431">
            <w:pPr>
              <w:spacing w:after="120"/>
              <w:jc w:val="center"/>
              <w:rPr>
                <w:i/>
                <w:noProof/>
              </w:rPr>
            </w:pPr>
            <w:r>
              <w:rPr>
                <w:i/>
                <w:noProof/>
              </w:rPr>
              <w:t>1,282</w:t>
            </w:r>
          </w:p>
        </w:tc>
      </w:tr>
    </w:tbl>
    <w:p w:rsidR="00B231CB" w:rsidRDefault="00B231CB">
      <w:pPr>
        <w:spacing w:after="120"/>
        <w:rPr>
          <w:noProof/>
          <w:color w:val="000000" w:themeColor="text1"/>
        </w:rPr>
      </w:pP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szCs w:val="24"/>
              </w:rPr>
            </w:pPr>
            <w:r>
              <w:rPr>
                <w:b/>
                <w:noProof/>
                <w:szCs w:val="24"/>
              </w:rPr>
              <w:t>TLC40 - 2025 (EUR/car)</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rPr>
            </w:pPr>
            <w:r>
              <w:rPr>
                <w:noProof/>
              </w:rPr>
              <w:t>1,150</w:t>
            </w:r>
          </w:p>
        </w:tc>
        <w:tc>
          <w:tcPr>
            <w:tcW w:w="673" w:type="pct"/>
            <w:noWrap/>
          </w:tcPr>
          <w:p w:rsidR="00B231CB" w:rsidRDefault="00C71431">
            <w:pPr>
              <w:spacing w:after="120"/>
              <w:jc w:val="center"/>
              <w:rPr>
                <w:noProof/>
              </w:rPr>
            </w:pPr>
            <w:r>
              <w:rPr>
                <w:noProof/>
              </w:rPr>
              <w:t>560</w:t>
            </w:r>
          </w:p>
        </w:tc>
        <w:tc>
          <w:tcPr>
            <w:tcW w:w="673" w:type="pct"/>
            <w:noWrap/>
          </w:tcPr>
          <w:p w:rsidR="00B231CB" w:rsidRDefault="00C71431">
            <w:pPr>
              <w:spacing w:after="120"/>
              <w:jc w:val="center"/>
              <w:rPr>
                <w:noProof/>
              </w:rPr>
            </w:pPr>
            <w:r>
              <w:rPr>
                <w:noProof/>
              </w:rPr>
              <w:t>585</w:t>
            </w:r>
          </w:p>
        </w:tc>
        <w:tc>
          <w:tcPr>
            <w:tcW w:w="673" w:type="pct"/>
            <w:noWrap/>
          </w:tcPr>
          <w:p w:rsidR="00B231CB" w:rsidRDefault="00C71431">
            <w:pPr>
              <w:spacing w:after="120"/>
              <w:jc w:val="center"/>
              <w:rPr>
                <w:noProof/>
              </w:rPr>
            </w:pPr>
            <w:r>
              <w:rPr>
                <w:noProof/>
              </w:rPr>
              <w:t>411</w:t>
            </w:r>
          </w:p>
        </w:tc>
        <w:tc>
          <w:tcPr>
            <w:tcW w:w="672" w:type="pct"/>
            <w:noWrap/>
          </w:tcPr>
          <w:p w:rsidR="00B231CB" w:rsidRDefault="00C71431">
            <w:pPr>
              <w:spacing w:after="120"/>
              <w:jc w:val="center"/>
              <w:rPr>
                <w:noProof/>
              </w:rPr>
            </w:pPr>
            <w:r>
              <w:rPr>
                <w:noProof/>
              </w:rPr>
              <w:t>190</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rPr>
            </w:pPr>
            <w:r>
              <w:rPr>
                <w:noProof/>
              </w:rPr>
              <w:t>41</w:t>
            </w:r>
          </w:p>
        </w:tc>
        <w:tc>
          <w:tcPr>
            <w:tcW w:w="673" w:type="pct"/>
            <w:noWrap/>
          </w:tcPr>
          <w:p w:rsidR="00B231CB" w:rsidRDefault="00C71431">
            <w:pPr>
              <w:spacing w:after="120"/>
              <w:jc w:val="center"/>
              <w:rPr>
                <w:noProof/>
              </w:rPr>
            </w:pPr>
            <w:r>
              <w:rPr>
                <w:noProof/>
              </w:rPr>
              <w:t>57</w:t>
            </w:r>
          </w:p>
        </w:tc>
        <w:tc>
          <w:tcPr>
            <w:tcW w:w="673" w:type="pct"/>
            <w:noWrap/>
          </w:tcPr>
          <w:p w:rsidR="00B231CB" w:rsidRDefault="00C71431">
            <w:pPr>
              <w:spacing w:after="120"/>
              <w:jc w:val="center"/>
              <w:rPr>
                <w:noProof/>
              </w:rPr>
            </w:pPr>
            <w:r>
              <w:rPr>
                <w:noProof/>
              </w:rPr>
              <w:t>40</w:t>
            </w:r>
          </w:p>
        </w:tc>
        <w:tc>
          <w:tcPr>
            <w:tcW w:w="673" w:type="pct"/>
            <w:noWrap/>
          </w:tcPr>
          <w:p w:rsidR="00B231CB" w:rsidRDefault="00C71431">
            <w:pPr>
              <w:spacing w:after="120"/>
              <w:jc w:val="center"/>
              <w:rPr>
                <w:noProof/>
              </w:rPr>
            </w:pPr>
            <w:r>
              <w:rPr>
                <w:noProof/>
              </w:rPr>
              <w:t>39</w:t>
            </w:r>
          </w:p>
        </w:tc>
        <w:tc>
          <w:tcPr>
            <w:tcW w:w="672" w:type="pct"/>
            <w:noWrap/>
          </w:tcPr>
          <w:p w:rsidR="00B231CB" w:rsidRDefault="00C71431">
            <w:pPr>
              <w:spacing w:after="120"/>
              <w:jc w:val="center"/>
              <w:rPr>
                <w:noProof/>
              </w:rPr>
            </w:pPr>
            <w:r>
              <w:rPr>
                <w:noProof/>
              </w:rPr>
              <w:t>39</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3" w:type="pct"/>
            <w:tcBorders>
              <w:bottom w:val="single" w:sz="24" w:space="0" w:color="auto"/>
            </w:tcBorders>
            <w:noWrap/>
          </w:tcPr>
          <w:p w:rsidR="00B231CB" w:rsidRDefault="00C71431">
            <w:pPr>
              <w:spacing w:after="120"/>
              <w:jc w:val="center"/>
              <w:rPr>
                <w:noProof/>
              </w:rPr>
            </w:pPr>
            <w:r>
              <w:rPr>
                <w:noProof/>
              </w:rPr>
              <w:t>835</w:t>
            </w:r>
          </w:p>
        </w:tc>
        <w:tc>
          <w:tcPr>
            <w:tcW w:w="673" w:type="pct"/>
            <w:tcBorders>
              <w:bottom w:val="single" w:sz="24" w:space="0" w:color="auto"/>
            </w:tcBorders>
            <w:noWrap/>
          </w:tcPr>
          <w:p w:rsidR="00B231CB" w:rsidRDefault="00C71431">
            <w:pPr>
              <w:spacing w:after="120"/>
              <w:jc w:val="center"/>
              <w:rPr>
                <w:noProof/>
              </w:rPr>
            </w:pPr>
            <w:r>
              <w:rPr>
                <w:noProof/>
              </w:rPr>
              <w:t>594</w:t>
            </w:r>
          </w:p>
        </w:tc>
        <w:tc>
          <w:tcPr>
            <w:tcW w:w="673" w:type="pct"/>
            <w:tcBorders>
              <w:bottom w:val="single" w:sz="24" w:space="0" w:color="auto"/>
            </w:tcBorders>
            <w:noWrap/>
          </w:tcPr>
          <w:p w:rsidR="00B231CB" w:rsidRDefault="00C71431">
            <w:pPr>
              <w:spacing w:after="120"/>
              <w:jc w:val="center"/>
              <w:rPr>
                <w:noProof/>
              </w:rPr>
            </w:pPr>
            <w:r>
              <w:rPr>
                <w:noProof/>
              </w:rPr>
              <w:t>866</w:t>
            </w:r>
          </w:p>
        </w:tc>
        <w:tc>
          <w:tcPr>
            <w:tcW w:w="673" w:type="pct"/>
            <w:tcBorders>
              <w:bottom w:val="single" w:sz="24" w:space="0" w:color="auto"/>
            </w:tcBorders>
            <w:noWrap/>
          </w:tcPr>
          <w:p w:rsidR="00B231CB" w:rsidRDefault="00C71431">
            <w:pPr>
              <w:spacing w:after="120"/>
              <w:jc w:val="center"/>
              <w:rPr>
                <w:noProof/>
              </w:rPr>
            </w:pPr>
            <w:r>
              <w:rPr>
                <w:noProof/>
              </w:rPr>
              <w:t>836</w:t>
            </w:r>
          </w:p>
        </w:tc>
        <w:tc>
          <w:tcPr>
            <w:tcW w:w="672" w:type="pct"/>
            <w:tcBorders>
              <w:bottom w:val="single" w:sz="24" w:space="0" w:color="auto"/>
            </w:tcBorders>
            <w:noWrap/>
          </w:tcPr>
          <w:p w:rsidR="00B231CB" w:rsidRDefault="00C71431">
            <w:pPr>
              <w:spacing w:after="120"/>
              <w:jc w:val="center"/>
              <w:rPr>
                <w:noProof/>
              </w:rPr>
            </w:pPr>
            <w:r>
              <w:rPr>
                <w:noProof/>
              </w:rPr>
              <w:t>855</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3" w:type="pct"/>
            <w:noWrap/>
          </w:tcPr>
          <w:p w:rsidR="00B231CB" w:rsidRDefault="00C71431">
            <w:pPr>
              <w:spacing w:after="120"/>
              <w:jc w:val="center"/>
              <w:rPr>
                <w:i/>
                <w:noProof/>
              </w:rPr>
            </w:pPr>
            <w:r>
              <w:rPr>
                <w:i/>
                <w:noProof/>
              </w:rPr>
              <w:t>-355</w:t>
            </w:r>
          </w:p>
        </w:tc>
        <w:tc>
          <w:tcPr>
            <w:tcW w:w="673" w:type="pct"/>
            <w:noWrap/>
          </w:tcPr>
          <w:p w:rsidR="00B231CB" w:rsidRDefault="00C71431">
            <w:pPr>
              <w:spacing w:after="120"/>
              <w:jc w:val="center"/>
              <w:rPr>
                <w:i/>
                <w:noProof/>
              </w:rPr>
            </w:pPr>
            <w:r>
              <w:rPr>
                <w:i/>
                <w:noProof/>
              </w:rPr>
              <w:t>-22</w:t>
            </w:r>
          </w:p>
        </w:tc>
        <w:tc>
          <w:tcPr>
            <w:tcW w:w="673" w:type="pct"/>
            <w:noWrap/>
          </w:tcPr>
          <w:p w:rsidR="00B231CB" w:rsidRDefault="00C71431">
            <w:pPr>
              <w:spacing w:after="120"/>
              <w:jc w:val="center"/>
              <w:rPr>
                <w:i/>
                <w:noProof/>
              </w:rPr>
            </w:pPr>
            <w:r>
              <w:rPr>
                <w:i/>
                <w:noProof/>
              </w:rPr>
              <w:t>241</w:t>
            </w:r>
          </w:p>
        </w:tc>
        <w:tc>
          <w:tcPr>
            <w:tcW w:w="673" w:type="pct"/>
            <w:noWrap/>
          </w:tcPr>
          <w:p w:rsidR="00B231CB" w:rsidRDefault="00C71431">
            <w:pPr>
              <w:spacing w:after="120"/>
              <w:jc w:val="center"/>
              <w:rPr>
                <w:i/>
                <w:noProof/>
              </w:rPr>
            </w:pPr>
            <w:r>
              <w:rPr>
                <w:i/>
                <w:noProof/>
              </w:rPr>
              <w:t>386</w:t>
            </w:r>
          </w:p>
        </w:tc>
        <w:tc>
          <w:tcPr>
            <w:tcW w:w="672" w:type="pct"/>
            <w:noWrap/>
          </w:tcPr>
          <w:p w:rsidR="00B231CB" w:rsidRDefault="00C71431">
            <w:pPr>
              <w:spacing w:after="120"/>
              <w:jc w:val="center"/>
              <w:rPr>
                <w:i/>
                <w:noProof/>
              </w:rPr>
            </w:pPr>
            <w:r>
              <w:rPr>
                <w:i/>
                <w:noProof/>
              </w:rPr>
              <w:t>627</w:t>
            </w:r>
          </w:p>
        </w:tc>
      </w:tr>
    </w:tbl>
    <w:p w:rsidR="00B231CB" w:rsidRDefault="00B231CB">
      <w:pPr>
        <w:spacing w:after="12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TLC40 - 2030 (EUR/car)</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rPr>
            </w:pPr>
            <w:r>
              <w:rPr>
                <w:noProof/>
              </w:rPr>
              <w:t>2,197</w:t>
            </w:r>
          </w:p>
        </w:tc>
        <w:tc>
          <w:tcPr>
            <w:tcW w:w="675" w:type="pct"/>
            <w:noWrap/>
          </w:tcPr>
          <w:p w:rsidR="00B231CB" w:rsidRDefault="00C71431">
            <w:pPr>
              <w:spacing w:after="120"/>
              <w:jc w:val="center"/>
              <w:rPr>
                <w:noProof/>
              </w:rPr>
            </w:pPr>
            <w:r>
              <w:rPr>
                <w:noProof/>
              </w:rPr>
              <w:t>1,754</w:t>
            </w:r>
          </w:p>
        </w:tc>
        <w:tc>
          <w:tcPr>
            <w:tcW w:w="675" w:type="pct"/>
            <w:noWrap/>
          </w:tcPr>
          <w:p w:rsidR="00B231CB" w:rsidRDefault="00C71431">
            <w:pPr>
              <w:spacing w:after="120"/>
              <w:jc w:val="center"/>
              <w:rPr>
                <w:noProof/>
              </w:rPr>
            </w:pPr>
            <w:r>
              <w:rPr>
                <w:noProof/>
              </w:rPr>
              <w:t>1,419</w:t>
            </w:r>
          </w:p>
        </w:tc>
        <w:tc>
          <w:tcPr>
            <w:tcW w:w="675" w:type="pct"/>
            <w:noWrap/>
          </w:tcPr>
          <w:p w:rsidR="00B231CB" w:rsidRDefault="00C71431">
            <w:pPr>
              <w:spacing w:after="120"/>
              <w:jc w:val="center"/>
              <w:rPr>
                <w:noProof/>
              </w:rPr>
            </w:pPr>
            <w:r>
              <w:rPr>
                <w:noProof/>
              </w:rPr>
              <w:t>1,025</w:t>
            </w:r>
          </w:p>
        </w:tc>
        <w:tc>
          <w:tcPr>
            <w:tcW w:w="673" w:type="pct"/>
            <w:noWrap/>
          </w:tcPr>
          <w:p w:rsidR="00B231CB" w:rsidRDefault="00C71431">
            <w:pPr>
              <w:spacing w:after="120"/>
              <w:jc w:val="center"/>
              <w:rPr>
                <w:noProof/>
              </w:rPr>
            </w:pPr>
            <w:r>
              <w:rPr>
                <w:noProof/>
              </w:rPr>
              <w:t>773</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rPr>
            </w:pPr>
            <w:r>
              <w:rPr>
                <w:noProof/>
              </w:rPr>
              <w:t>-57</w:t>
            </w:r>
          </w:p>
        </w:tc>
        <w:tc>
          <w:tcPr>
            <w:tcW w:w="675" w:type="pct"/>
            <w:noWrap/>
          </w:tcPr>
          <w:p w:rsidR="00B231CB" w:rsidRDefault="00C71431">
            <w:pPr>
              <w:spacing w:after="120"/>
              <w:jc w:val="center"/>
              <w:rPr>
                <w:noProof/>
              </w:rPr>
            </w:pPr>
            <w:r>
              <w:rPr>
                <w:noProof/>
              </w:rPr>
              <w:t>-57</w:t>
            </w:r>
          </w:p>
        </w:tc>
        <w:tc>
          <w:tcPr>
            <w:tcW w:w="675" w:type="pct"/>
            <w:noWrap/>
          </w:tcPr>
          <w:p w:rsidR="00B231CB" w:rsidRDefault="00C71431">
            <w:pPr>
              <w:spacing w:after="120"/>
              <w:jc w:val="center"/>
              <w:rPr>
                <w:noProof/>
              </w:rPr>
            </w:pPr>
            <w:r>
              <w:rPr>
                <w:noProof/>
              </w:rPr>
              <w:t>-66</w:t>
            </w:r>
          </w:p>
        </w:tc>
        <w:tc>
          <w:tcPr>
            <w:tcW w:w="675" w:type="pct"/>
            <w:noWrap/>
          </w:tcPr>
          <w:p w:rsidR="00B231CB" w:rsidRDefault="00C71431">
            <w:pPr>
              <w:spacing w:after="120"/>
              <w:jc w:val="center"/>
              <w:rPr>
                <w:noProof/>
              </w:rPr>
            </w:pPr>
            <w:r>
              <w:rPr>
                <w:noProof/>
              </w:rPr>
              <w:t>-65</w:t>
            </w:r>
          </w:p>
        </w:tc>
        <w:tc>
          <w:tcPr>
            <w:tcW w:w="673" w:type="pct"/>
            <w:noWrap/>
          </w:tcPr>
          <w:p w:rsidR="00B231CB" w:rsidRDefault="00C71431">
            <w:pPr>
              <w:spacing w:after="120"/>
              <w:jc w:val="center"/>
              <w:rPr>
                <w:noProof/>
              </w:rPr>
            </w:pPr>
            <w:r>
              <w:rPr>
                <w:noProof/>
              </w:rPr>
              <w:t>-79</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rPr>
            </w:pPr>
            <w:r>
              <w:rPr>
                <w:noProof/>
              </w:rPr>
              <w:t>1,957</w:t>
            </w:r>
          </w:p>
        </w:tc>
        <w:tc>
          <w:tcPr>
            <w:tcW w:w="675" w:type="pct"/>
            <w:tcBorders>
              <w:bottom w:val="single" w:sz="24" w:space="0" w:color="auto"/>
            </w:tcBorders>
            <w:noWrap/>
          </w:tcPr>
          <w:p w:rsidR="00B231CB" w:rsidRDefault="00C71431">
            <w:pPr>
              <w:spacing w:after="120"/>
              <w:jc w:val="center"/>
              <w:rPr>
                <w:noProof/>
              </w:rPr>
            </w:pPr>
            <w:r>
              <w:rPr>
                <w:noProof/>
              </w:rPr>
              <w:t>1,951</w:t>
            </w:r>
          </w:p>
        </w:tc>
        <w:tc>
          <w:tcPr>
            <w:tcW w:w="675" w:type="pct"/>
            <w:tcBorders>
              <w:bottom w:val="single" w:sz="24" w:space="0" w:color="auto"/>
            </w:tcBorders>
            <w:noWrap/>
          </w:tcPr>
          <w:p w:rsidR="00B231CB" w:rsidRDefault="00C71431">
            <w:pPr>
              <w:spacing w:after="120"/>
              <w:jc w:val="center"/>
              <w:rPr>
                <w:noProof/>
              </w:rPr>
            </w:pPr>
            <w:r>
              <w:rPr>
                <w:noProof/>
              </w:rPr>
              <w:t>1,992</w:t>
            </w:r>
          </w:p>
        </w:tc>
        <w:tc>
          <w:tcPr>
            <w:tcW w:w="675" w:type="pct"/>
            <w:tcBorders>
              <w:bottom w:val="single" w:sz="24" w:space="0" w:color="auto"/>
            </w:tcBorders>
            <w:noWrap/>
          </w:tcPr>
          <w:p w:rsidR="00B231CB" w:rsidRDefault="00C71431">
            <w:pPr>
              <w:spacing w:after="120"/>
              <w:jc w:val="center"/>
              <w:rPr>
                <w:noProof/>
              </w:rPr>
            </w:pPr>
            <w:r>
              <w:rPr>
                <w:noProof/>
              </w:rPr>
              <w:t>1,959</w:t>
            </w:r>
          </w:p>
        </w:tc>
        <w:tc>
          <w:tcPr>
            <w:tcW w:w="673" w:type="pct"/>
            <w:tcBorders>
              <w:bottom w:val="single" w:sz="24" w:space="0" w:color="auto"/>
            </w:tcBorders>
            <w:noWrap/>
          </w:tcPr>
          <w:p w:rsidR="00B231CB" w:rsidRDefault="00C71431">
            <w:pPr>
              <w:spacing w:after="120"/>
              <w:jc w:val="center"/>
              <w:rPr>
                <w:noProof/>
              </w:rPr>
            </w:pPr>
            <w:r>
              <w:rPr>
                <w:noProof/>
              </w:rPr>
              <w:t>1,999</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rPr>
            </w:pPr>
            <w:r>
              <w:rPr>
                <w:i/>
                <w:noProof/>
              </w:rPr>
              <w:t>-184</w:t>
            </w:r>
          </w:p>
        </w:tc>
        <w:tc>
          <w:tcPr>
            <w:tcW w:w="675" w:type="pct"/>
            <w:noWrap/>
          </w:tcPr>
          <w:p w:rsidR="00B231CB" w:rsidRDefault="00C71431">
            <w:pPr>
              <w:spacing w:after="120"/>
              <w:jc w:val="center"/>
              <w:rPr>
                <w:i/>
                <w:noProof/>
              </w:rPr>
            </w:pPr>
            <w:r>
              <w:rPr>
                <w:i/>
                <w:noProof/>
              </w:rPr>
              <w:t>254</w:t>
            </w:r>
          </w:p>
        </w:tc>
        <w:tc>
          <w:tcPr>
            <w:tcW w:w="675" w:type="pct"/>
            <w:noWrap/>
          </w:tcPr>
          <w:p w:rsidR="00B231CB" w:rsidRDefault="00C71431">
            <w:pPr>
              <w:spacing w:after="120"/>
              <w:jc w:val="center"/>
              <w:rPr>
                <w:i/>
                <w:noProof/>
              </w:rPr>
            </w:pPr>
            <w:r>
              <w:rPr>
                <w:i/>
                <w:noProof/>
              </w:rPr>
              <w:t>639</w:t>
            </w:r>
          </w:p>
        </w:tc>
        <w:tc>
          <w:tcPr>
            <w:tcW w:w="675" w:type="pct"/>
            <w:noWrap/>
          </w:tcPr>
          <w:p w:rsidR="00B231CB" w:rsidRDefault="00C71431">
            <w:pPr>
              <w:spacing w:after="120"/>
              <w:jc w:val="center"/>
              <w:rPr>
                <w:i/>
                <w:noProof/>
              </w:rPr>
            </w:pPr>
            <w:r>
              <w:rPr>
                <w:i/>
                <w:noProof/>
              </w:rPr>
              <w:t>998</w:t>
            </w:r>
          </w:p>
        </w:tc>
        <w:tc>
          <w:tcPr>
            <w:tcW w:w="673" w:type="pct"/>
            <w:noWrap/>
          </w:tcPr>
          <w:p w:rsidR="00B231CB" w:rsidRDefault="00C71431">
            <w:pPr>
              <w:spacing w:after="120"/>
              <w:jc w:val="center"/>
              <w:rPr>
                <w:i/>
                <w:noProof/>
              </w:rPr>
            </w:pPr>
            <w:r>
              <w:rPr>
                <w:i/>
                <w:noProof/>
              </w:rPr>
              <w:t>1,304</w:t>
            </w:r>
          </w:p>
        </w:tc>
      </w:tr>
    </w:tbl>
    <w:p w:rsidR="00B231CB" w:rsidRDefault="00C71431">
      <w:pPr>
        <w:pStyle w:val="Heading5"/>
        <w:rPr>
          <w:noProof/>
          <w:color w:val="000000" w:themeColor="text1"/>
        </w:rPr>
      </w:pPr>
      <w:bookmarkStart w:id="135" w:name="_Ref494118363"/>
      <w:r>
        <w:rPr>
          <w:noProof/>
          <w:color w:val="000000" w:themeColor="text1"/>
        </w:rPr>
        <w:t xml:space="preserve">Sensitivity – economic impacts </w:t>
      </w:r>
      <w:r>
        <w:rPr>
          <w:i/>
          <w:noProof/>
          <w:color w:val="000000" w:themeColor="text1"/>
        </w:rPr>
        <w:t>with varying international</w:t>
      </w:r>
      <w:r>
        <w:rPr>
          <w:i/>
          <w:noProof/>
          <w:color w:val="000000" w:themeColor="text1"/>
        </w:rPr>
        <w:t xml:space="preserve"> oil price</w:t>
      </w:r>
      <w:bookmarkEnd w:id="135"/>
    </w:p>
    <w:p w:rsidR="00B231CB" w:rsidRDefault="00C71431">
      <w:pPr>
        <w:spacing w:after="120"/>
        <w:rPr>
          <w:noProof/>
          <w:color w:val="000000" w:themeColor="text1"/>
        </w:rPr>
      </w:pPr>
      <w:r>
        <w:rPr>
          <w:noProof/>
          <w:color w:val="000000" w:themeColor="text1"/>
        </w:rPr>
        <w:t>Section 6.3.2.2 of the Impact Assessment shows the net economic savings (from different perspectives) from new CO</w:t>
      </w:r>
      <w:r>
        <w:rPr>
          <w:noProof/>
          <w:color w:val="000000" w:themeColor="text1"/>
          <w:vertAlign w:val="subscript"/>
        </w:rPr>
        <w:t>2</w:t>
      </w:r>
      <w:r>
        <w:rPr>
          <w:noProof/>
          <w:color w:val="000000" w:themeColor="text1"/>
        </w:rPr>
        <w:t xml:space="preserve"> target levels, resulting from an higher increase of the fuel savings with respect to the capital costs in case the fleet is compos</w:t>
      </w:r>
      <w:r>
        <w:rPr>
          <w:noProof/>
          <w:color w:val="000000" w:themeColor="text1"/>
        </w:rPr>
        <w:t>ed by more efficient vehicles. The international fuel price projections used for the calculation of the fuel savings are those used in the Reference Scenario 2016</w:t>
      </w:r>
      <w:r>
        <w:rPr>
          <w:rStyle w:val="FootnoteReference"/>
          <w:noProof/>
          <w:color w:val="000000" w:themeColor="text1"/>
        </w:rPr>
        <w:footnoteReference w:id="83"/>
      </w:r>
      <w:r>
        <w:rPr>
          <w:noProof/>
          <w:color w:val="000000" w:themeColor="text1"/>
        </w:rPr>
        <w:t xml:space="preserve">, both for the baseline and for the policy options. </w:t>
      </w:r>
    </w:p>
    <w:p w:rsidR="00B231CB" w:rsidRDefault="00C71431">
      <w:pPr>
        <w:spacing w:after="120"/>
        <w:rPr>
          <w:noProof/>
          <w:color w:val="000000" w:themeColor="text1"/>
        </w:rPr>
      </w:pPr>
      <w:r>
        <w:rPr>
          <w:noProof/>
          <w:color w:val="000000" w:themeColor="text1"/>
        </w:rPr>
        <w:t>As a sensitivity analysis, it is relevan</w:t>
      </w:r>
      <w:r>
        <w:rPr>
          <w:noProof/>
          <w:color w:val="000000" w:themeColor="text1"/>
        </w:rPr>
        <w:t>t to assess the changes to the net economic savings in case of different international fuel price projections. Therefore a scenario is considered assuming a different evolution of the fuel prices in 2030. The new projected fuel price used for this sensitiv</w:t>
      </w:r>
      <w:r>
        <w:rPr>
          <w:noProof/>
          <w:color w:val="000000" w:themeColor="text1"/>
        </w:rPr>
        <w:t>ity is about 25% lower than in the assumptions used for the Reference Scenario 2016.</w:t>
      </w:r>
    </w:p>
    <w:p w:rsidR="00B231CB" w:rsidRDefault="00C71431">
      <w:pPr>
        <w:spacing w:after="120"/>
        <w:rPr>
          <w:noProof/>
          <w:color w:val="000000" w:themeColor="text1"/>
        </w:rPr>
      </w:pPr>
      <w:r>
        <w:rPr>
          <w:noProof/>
          <w:color w:val="000000" w:themeColor="text1"/>
        </w:rPr>
        <w:t>The economic analysis is repeated with the lower international fuel prices, both in the baseline and for selected options for the target levels: TLC20, TLC25, TLC30, TLC40</w:t>
      </w:r>
      <w:r>
        <w:rPr>
          <w:noProof/>
          <w:color w:val="000000" w:themeColor="text1"/>
        </w:rPr>
        <w:t>.</w:t>
      </w:r>
    </w:p>
    <w:p w:rsidR="00B231CB" w:rsidRDefault="00C71431">
      <w:pPr>
        <w:spacing w:after="120"/>
        <w:rPr>
          <w:noProof/>
          <w:color w:val="000000" w:themeColor="text1"/>
        </w:rPr>
      </w:pPr>
      <w:r>
        <w:rPr>
          <w:noProof/>
          <w:color w:val="000000" w:themeColor="text1"/>
        </w:rPr>
        <w:fldChar w:fldCharType="begin"/>
      </w:r>
      <w:r>
        <w:rPr>
          <w:noProof/>
          <w:color w:val="000000" w:themeColor="text1"/>
        </w:rPr>
        <w:instrText xml:space="preserve"> REF _Ref494106956 \h  \* MERGEFORMAT </w:instrText>
      </w:r>
      <w:r>
        <w:rPr>
          <w:noProof/>
          <w:color w:val="000000" w:themeColor="text1"/>
        </w:rPr>
      </w:r>
      <w:r>
        <w:rPr>
          <w:noProof/>
          <w:color w:val="000000" w:themeColor="text1"/>
        </w:rPr>
        <w:fldChar w:fldCharType="separate"/>
      </w:r>
      <w:r>
        <w:rPr>
          <w:noProof/>
          <w:color w:val="000000" w:themeColor="text1"/>
        </w:rPr>
        <w:t>Table 16</w:t>
      </w:r>
      <w:r>
        <w:rPr>
          <w:noProof/>
          <w:color w:val="000000" w:themeColor="text1"/>
        </w:rPr>
        <w:fldChar w:fldCharType="end"/>
      </w:r>
      <w:r>
        <w:rPr>
          <w:noProof/>
          <w:color w:val="000000" w:themeColor="text1"/>
        </w:rPr>
        <w:t xml:space="preserve"> and </w:t>
      </w:r>
      <w:r>
        <w:rPr>
          <w:noProof/>
          <w:color w:val="000000" w:themeColor="text1"/>
        </w:rPr>
        <w:fldChar w:fldCharType="begin"/>
      </w:r>
      <w:r>
        <w:rPr>
          <w:noProof/>
          <w:color w:val="000000" w:themeColor="text1"/>
        </w:rPr>
        <w:instrText xml:space="preserve"> REF _Ref494106962 \h  \* MERGEFORMAT </w:instrText>
      </w:r>
      <w:r>
        <w:rPr>
          <w:noProof/>
          <w:color w:val="000000" w:themeColor="text1"/>
        </w:rPr>
      </w:r>
      <w:r>
        <w:rPr>
          <w:noProof/>
          <w:color w:val="000000" w:themeColor="text1"/>
        </w:rPr>
        <w:fldChar w:fldCharType="separate"/>
      </w:r>
      <w:r>
        <w:rPr>
          <w:noProof/>
          <w:color w:val="000000" w:themeColor="text1"/>
        </w:rPr>
        <w:t>Table 17</w:t>
      </w:r>
      <w:r>
        <w:rPr>
          <w:noProof/>
          <w:color w:val="000000" w:themeColor="text1"/>
        </w:rPr>
        <w:fldChar w:fldCharType="end"/>
      </w:r>
      <w:r>
        <w:rPr>
          <w:noProof/>
          <w:color w:val="000000" w:themeColor="text1"/>
        </w:rPr>
        <w:t xml:space="preserve"> show the results for </w:t>
      </w:r>
      <w:r>
        <w:rPr>
          <w:noProof/>
          <w:color w:val="000000" w:themeColor="text1"/>
        </w:rPr>
        <w:t>the net economic savings for passengers cars from a societal perspective and for the TCO-15 years, respectively. Even with the lower oil prices, CO</w:t>
      </w:r>
      <w:r>
        <w:rPr>
          <w:noProof/>
          <w:color w:val="000000" w:themeColor="text1"/>
          <w:vertAlign w:val="subscript"/>
        </w:rPr>
        <w:t>2</w:t>
      </w:r>
      <w:r>
        <w:rPr>
          <w:noProof/>
          <w:color w:val="000000" w:themeColor="text1"/>
        </w:rPr>
        <w:t xml:space="preserve"> targets continue to have a positive economic effect, with fuel savings continuing to overweight increased capital expenditures for more efficient vehicles.</w:t>
      </w:r>
    </w:p>
    <w:p w:rsidR="00B231CB" w:rsidRDefault="00C71431">
      <w:pPr>
        <w:spacing w:before="120" w:after="120"/>
        <w:rPr>
          <w:i/>
          <w:noProof/>
          <w:color w:val="000000" w:themeColor="text1"/>
        </w:rPr>
      </w:pPr>
      <w:bookmarkStart w:id="136" w:name="_Ref494106956"/>
      <w:r>
        <w:rPr>
          <w:b/>
          <w:noProof/>
          <w:color w:val="000000" w:themeColor="text1"/>
        </w:rPr>
        <w:t xml:space="preserve">Table </w:t>
      </w:r>
      <w:r>
        <w:rPr>
          <w:b/>
          <w:noProof/>
          <w:color w:val="000000" w:themeColor="text1"/>
        </w:rPr>
        <w:fldChar w:fldCharType="begin"/>
      </w:r>
      <w:r>
        <w:rPr>
          <w:b/>
          <w:noProof/>
          <w:color w:val="000000" w:themeColor="text1"/>
        </w:rPr>
        <w:instrText xml:space="preserve"> SEQ Table \* ARABIC </w:instrText>
      </w:r>
      <w:r>
        <w:rPr>
          <w:b/>
          <w:noProof/>
          <w:color w:val="000000" w:themeColor="text1"/>
        </w:rPr>
        <w:fldChar w:fldCharType="separate"/>
      </w:r>
      <w:r>
        <w:rPr>
          <w:b/>
          <w:noProof/>
          <w:color w:val="000000" w:themeColor="text1"/>
        </w:rPr>
        <w:t>16</w:t>
      </w:r>
      <w:r>
        <w:rPr>
          <w:b/>
          <w:noProof/>
          <w:color w:val="000000" w:themeColor="text1"/>
        </w:rPr>
        <w:fldChar w:fldCharType="end"/>
      </w:r>
      <w:bookmarkEnd w:id="136"/>
      <w:r>
        <w:rPr>
          <w:b/>
          <w:noProof/>
          <w:color w:val="000000" w:themeColor="text1"/>
        </w:rPr>
        <w:t>: Net economic savings over the vehicle lifetime from a societal pe</w:t>
      </w:r>
      <w:r>
        <w:rPr>
          <w:b/>
          <w:noProof/>
          <w:color w:val="000000" w:themeColor="text1"/>
        </w:rPr>
        <w:t>rspective in 2025 and 2030 (EUR/car) under different TLC options in case of a lower international fuel price</w:t>
      </w:r>
    </w:p>
    <w:tbl>
      <w:tblPr>
        <w:tblStyle w:val="TableGrid"/>
        <w:tblW w:w="5000" w:type="pct"/>
        <w:tblLook w:val="04A0" w:firstRow="1" w:lastRow="0" w:firstColumn="1" w:lastColumn="0" w:noHBand="0" w:noVBand="1"/>
      </w:tblPr>
      <w:tblGrid>
        <w:gridCol w:w="2189"/>
        <w:gridCol w:w="1775"/>
        <w:gridCol w:w="1775"/>
        <w:gridCol w:w="1775"/>
        <w:gridCol w:w="1774"/>
      </w:tblGrid>
      <w:tr w:rsidR="00B231CB">
        <w:trPr>
          <w:trHeight w:val="255"/>
        </w:trPr>
        <w:tc>
          <w:tcPr>
            <w:tcW w:w="1178" w:type="pct"/>
            <w:tcBorders>
              <w:bottom w:val="single" w:sz="4" w:space="0" w:color="auto"/>
            </w:tcBorders>
            <w:vAlign w:val="center"/>
          </w:tcPr>
          <w:p w:rsidR="00B231CB" w:rsidRDefault="00B231CB">
            <w:pPr>
              <w:spacing w:after="120"/>
              <w:rPr>
                <w:b/>
                <w:noProof/>
                <w:color w:val="000000" w:themeColor="text1"/>
              </w:rPr>
            </w:pPr>
          </w:p>
        </w:tc>
        <w:tc>
          <w:tcPr>
            <w:tcW w:w="955" w:type="pct"/>
            <w:tcBorders>
              <w:bottom w:val="single" w:sz="4" w:space="0" w:color="auto"/>
            </w:tcBorders>
            <w:noWrap/>
            <w:hideMark/>
          </w:tcPr>
          <w:p w:rsidR="00B231CB" w:rsidRDefault="00C71431">
            <w:pPr>
              <w:spacing w:after="120"/>
              <w:jc w:val="center"/>
              <w:rPr>
                <w:b/>
                <w:noProof/>
                <w:color w:val="000000" w:themeColor="text1"/>
              </w:rPr>
            </w:pPr>
            <w:r>
              <w:rPr>
                <w:b/>
                <w:noProof/>
                <w:color w:val="000000" w:themeColor="text1"/>
              </w:rPr>
              <w:t>TLC20</w:t>
            </w:r>
          </w:p>
        </w:tc>
        <w:tc>
          <w:tcPr>
            <w:tcW w:w="955" w:type="pct"/>
            <w:tcBorders>
              <w:bottom w:val="single" w:sz="4" w:space="0" w:color="auto"/>
            </w:tcBorders>
          </w:tcPr>
          <w:p w:rsidR="00B231CB" w:rsidRDefault="00C71431">
            <w:pPr>
              <w:spacing w:after="120"/>
              <w:jc w:val="center"/>
              <w:rPr>
                <w:b/>
                <w:noProof/>
                <w:color w:val="000000" w:themeColor="text1"/>
              </w:rPr>
            </w:pPr>
            <w:r>
              <w:rPr>
                <w:b/>
                <w:noProof/>
                <w:color w:val="000000" w:themeColor="text1"/>
              </w:rPr>
              <w:t>TLC25</w:t>
            </w:r>
          </w:p>
        </w:tc>
        <w:tc>
          <w:tcPr>
            <w:tcW w:w="955" w:type="pct"/>
            <w:tcBorders>
              <w:bottom w:val="single" w:sz="4" w:space="0" w:color="auto"/>
            </w:tcBorders>
            <w:noWrap/>
          </w:tcPr>
          <w:p w:rsidR="00B231CB" w:rsidRDefault="00C71431">
            <w:pPr>
              <w:spacing w:after="120"/>
              <w:jc w:val="center"/>
              <w:rPr>
                <w:b/>
                <w:noProof/>
                <w:color w:val="000000" w:themeColor="text1"/>
              </w:rPr>
            </w:pPr>
            <w:r>
              <w:rPr>
                <w:b/>
                <w:noProof/>
                <w:color w:val="000000" w:themeColor="text1"/>
              </w:rPr>
              <w:t>TLC30</w:t>
            </w:r>
          </w:p>
        </w:tc>
        <w:tc>
          <w:tcPr>
            <w:tcW w:w="955" w:type="pct"/>
            <w:tcBorders>
              <w:bottom w:val="single" w:sz="4" w:space="0" w:color="auto"/>
            </w:tcBorders>
            <w:noWrap/>
          </w:tcPr>
          <w:p w:rsidR="00B231CB" w:rsidRDefault="00C71431">
            <w:pPr>
              <w:spacing w:after="120"/>
              <w:jc w:val="center"/>
              <w:rPr>
                <w:b/>
                <w:noProof/>
                <w:color w:val="000000" w:themeColor="text1"/>
              </w:rPr>
            </w:pPr>
            <w:r>
              <w:rPr>
                <w:b/>
                <w:noProof/>
                <w:color w:val="000000" w:themeColor="text1"/>
              </w:rPr>
              <w:t>TLC40</w:t>
            </w:r>
          </w:p>
        </w:tc>
      </w:tr>
      <w:tr w:rsidR="00B231CB">
        <w:trPr>
          <w:trHeight w:val="255"/>
        </w:trPr>
        <w:tc>
          <w:tcPr>
            <w:tcW w:w="1178" w:type="pct"/>
            <w:tcBorders>
              <w:top w:val="single" w:sz="4" w:space="0" w:color="auto"/>
            </w:tcBorders>
            <w:vAlign w:val="center"/>
          </w:tcPr>
          <w:p w:rsidR="00B231CB" w:rsidRDefault="00C71431">
            <w:pPr>
              <w:spacing w:after="120"/>
              <w:jc w:val="center"/>
              <w:rPr>
                <w:noProof/>
                <w:color w:val="000000" w:themeColor="text1"/>
              </w:rPr>
            </w:pPr>
            <w:r>
              <w:rPr>
                <w:noProof/>
                <w:color w:val="000000" w:themeColor="text1"/>
              </w:rPr>
              <w:t>2025</w:t>
            </w:r>
          </w:p>
        </w:tc>
        <w:tc>
          <w:tcPr>
            <w:tcW w:w="955"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13</w:t>
            </w:r>
          </w:p>
        </w:tc>
        <w:tc>
          <w:tcPr>
            <w:tcW w:w="955" w:type="pct"/>
            <w:tcBorders>
              <w:top w:val="single" w:sz="4" w:space="0" w:color="auto"/>
            </w:tcBorders>
          </w:tcPr>
          <w:p w:rsidR="00B231CB" w:rsidRDefault="00C71431">
            <w:pPr>
              <w:spacing w:after="120"/>
              <w:jc w:val="center"/>
              <w:rPr>
                <w:noProof/>
                <w:color w:val="000000" w:themeColor="text1"/>
              </w:rPr>
            </w:pPr>
            <w:r>
              <w:rPr>
                <w:noProof/>
                <w:color w:val="000000" w:themeColor="text1"/>
              </w:rPr>
              <w:t>31</w:t>
            </w:r>
          </w:p>
        </w:tc>
        <w:tc>
          <w:tcPr>
            <w:tcW w:w="955"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4</w:t>
            </w:r>
          </w:p>
        </w:tc>
        <w:tc>
          <w:tcPr>
            <w:tcW w:w="955"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-135</w:t>
            </w:r>
          </w:p>
        </w:tc>
      </w:tr>
      <w:tr w:rsidR="00B231CB">
        <w:trPr>
          <w:trHeight w:val="255"/>
        </w:trPr>
        <w:tc>
          <w:tcPr>
            <w:tcW w:w="1178" w:type="pct"/>
            <w:tcBorders>
              <w:top w:val="single" w:sz="4" w:space="0" w:color="auto"/>
            </w:tcBorders>
            <w:vAlign w:val="center"/>
          </w:tcPr>
          <w:p w:rsidR="00B231CB" w:rsidRDefault="00C71431">
            <w:pPr>
              <w:spacing w:after="120"/>
              <w:jc w:val="center"/>
              <w:rPr>
                <w:noProof/>
                <w:color w:val="000000" w:themeColor="text1"/>
              </w:rPr>
            </w:pPr>
            <w:r>
              <w:rPr>
                <w:noProof/>
                <w:color w:val="000000" w:themeColor="text1"/>
              </w:rPr>
              <w:t>2030</w:t>
            </w:r>
          </w:p>
        </w:tc>
        <w:tc>
          <w:tcPr>
            <w:tcW w:w="955"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570</w:t>
            </w:r>
          </w:p>
        </w:tc>
        <w:tc>
          <w:tcPr>
            <w:tcW w:w="955" w:type="pct"/>
            <w:tcBorders>
              <w:top w:val="single" w:sz="4" w:space="0" w:color="auto"/>
            </w:tcBorders>
          </w:tcPr>
          <w:p w:rsidR="00B231CB" w:rsidRDefault="00C71431">
            <w:pPr>
              <w:spacing w:after="120"/>
              <w:jc w:val="center"/>
              <w:rPr>
                <w:noProof/>
                <w:color w:val="000000" w:themeColor="text1"/>
              </w:rPr>
            </w:pPr>
            <w:r>
              <w:rPr>
                <w:noProof/>
                <w:color w:val="000000" w:themeColor="text1"/>
              </w:rPr>
              <w:t>612</w:t>
            </w:r>
          </w:p>
        </w:tc>
        <w:tc>
          <w:tcPr>
            <w:tcW w:w="955"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525</w:t>
            </w:r>
          </w:p>
        </w:tc>
        <w:tc>
          <w:tcPr>
            <w:tcW w:w="955"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96</w:t>
            </w:r>
          </w:p>
        </w:tc>
      </w:tr>
    </w:tbl>
    <w:p w:rsidR="00B231CB" w:rsidRDefault="00C71431">
      <w:pPr>
        <w:spacing w:before="240" w:after="120"/>
        <w:rPr>
          <w:b/>
          <w:noProof/>
          <w:color w:val="000000" w:themeColor="text1"/>
        </w:rPr>
      </w:pPr>
      <w:bookmarkStart w:id="137" w:name="_Ref494106962"/>
      <w:r>
        <w:rPr>
          <w:b/>
          <w:noProof/>
          <w:color w:val="000000" w:themeColor="text1"/>
        </w:rPr>
        <w:t xml:space="preserve">Table </w:t>
      </w:r>
      <w:r>
        <w:rPr>
          <w:b/>
          <w:noProof/>
          <w:color w:val="000000" w:themeColor="text1"/>
        </w:rPr>
        <w:fldChar w:fldCharType="begin"/>
      </w:r>
      <w:r>
        <w:rPr>
          <w:b/>
          <w:noProof/>
          <w:color w:val="000000" w:themeColor="text1"/>
        </w:rPr>
        <w:instrText xml:space="preserve"> SEQ Table \* ARABIC </w:instrText>
      </w:r>
      <w:r>
        <w:rPr>
          <w:b/>
          <w:noProof/>
          <w:color w:val="000000" w:themeColor="text1"/>
        </w:rPr>
        <w:fldChar w:fldCharType="separate"/>
      </w:r>
      <w:r>
        <w:rPr>
          <w:b/>
          <w:noProof/>
          <w:color w:val="000000" w:themeColor="text1"/>
        </w:rPr>
        <w:t>17</w:t>
      </w:r>
      <w:r>
        <w:rPr>
          <w:b/>
          <w:noProof/>
          <w:color w:val="000000" w:themeColor="text1"/>
        </w:rPr>
        <w:fldChar w:fldCharType="end"/>
      </w:r>
      <w:bookmarkEnd w:id="137"/>
      <w:r>
        <w:rPr>
          <w:b/>
          <w:noProof/>
          <w:color w:val="000000" w:themeColor="text1"/>
        </w:rPr>
        <w:t xml:space="preserve">: TCO-lifetime (15 years) in 2025 and 2030 under </w:t>
      </w:r>
      <w:r>
        <w:rPr>
          <w:b/>
          <w:noProof/>
          <w:color w:val="000000" w:themeColor="text1"/>
        </w:rPr>
        <w:t>different cost assumptions (net savings in EUR/car) for a range of TLC options in case of a lower international fuel price</w:t>
      </w:r>
    </w:p>
    <w:tbl>
      <w:tblPr>
        <w:tblStyle w:val="TableGrid"/>
        <w:tblW w:w="5000" w:type="pct"/>
        <w:tblLook w:val="04A0" w:firstRow="1" w:lastRow="0" w:firstColumn="1" w:lastColumn="0" w:noHBand="0" w:noVBand="1"/>
      </w:tblPr>
      <w:tblGrid>
        <w:gridCol w:w="2189"/>
        <w:gridCol w:w="1775"/>
        <w:gridCol w:w="1775"/>
        <w:gridCol w:w="1775"/>
        <w:gridCol w:w="1774"/>
      </w:tblGrid>
      <w:tr w:rsidR="00B231CB">
        <w:trPr>
          <w:trHeight w:val="255"/>
        </w:trPr>
        <w:tc>
          <w:tcPr>
            <w:tcW w:w="1178" w:type="pct"/>
            <w:tcBorders>
              <w:bottom w:val="single" w:sz="4" w:space="0" w:color="auto"/>
            </w:tcBorders>
            <w:vAlign w:val="center"/>
          </w:tcPr>
          <w:p w:rsidR="00B231CB" w:rsidRDefault="00B231CB">
            <w:pPr>
              <w:spacing w:after="120"/>
              <w:rPr>
                <w:b/>
                <w:noProof/>
                <w:color w:val="000000" w:themeColor="text1"/>
              </w:rPr>
            </w:pPr>
          </w:p>
        </w:tc>
        <w:tc>
          <w:tcPr>
            <w:tcW w:w="955" w:type="pct"/>
            <w:tcBorders>
              <w:bottom w:val="single" w:sz="4" w:space="0" w:color="auto"/>
            </w:tcBorders>
            <w:noWrap/>
            <w:hideMark/>
          </w:tcPr>
          <w:p w:rsidR="00B231CB" w:rsidRDefault="00C71431">
            <w:pPr>
              <w:spacing w:after="120"/>
              <w:jc w:val="center"/>
              <w:rPr>
                <w:b/>
                <w:noProof/>
                <w:color w:val="000000" w:themeColor="text1"/>
              </w:rPr>
            </w:pPr>
            <w:r>
              <w:rPr>
                <w:b/>
                <w:noProof/>
                <w:color w:val="000000" w:themeColor="text1"/>
              </w:rPr>
              <w:t>TLC20</w:t>
            </w:r>
          </w:p>
        </w:tc>
        <w:tc>
          <w:tcPr>
            <w:tcW w:w="955" w:type="pct"/>
            <w:tcBorders>
              <w:bottom w:val="single" w:sz="4" w:space="0" w:color="auto"/>
            </w:tcBorders>
          </w:tcPr>
          <w:p w:rsidR="00B231CB" w:rsidRDefault="00C71431">
            <w:pPr>
              <w:spacing w:after="120"/>
              <w:jc w:val="center"/>
              <w:rPr>
                <w:b/>
                <w:noProof/>
                <w:color w:val="000000" w:themeColor="text1"/>
              </w:rPr>
            </w:pPr>
            <w:r>
              <w:rPr>
                <w:b/>
                <w:noProof/>
                <w:color w:val="000000" w:themeColor="text1"/>
              </w:rPr>
              <w:t>TLC25</w:t>
            </w:r>
          </w:p>
        </w:tc>
        <w:tc>
          <w:tcPr>
            <w:tcW w:w="955" w:type="pct"/>
            <w:tcBorders>
              <w:bottom w:val="single" w:sz="4" w:space="0" w:color="auto"/>
            </w:tcBorders>
            <w:noWrap/>
          </w:tcPr>
          <w:p w:rsidR="00B231CB" w:rsidRDefault="00C71431">
            <w:pPr>
              <w:spacing w:after="120"/>
              <w:jc w:val="center"/>
              <w:rPr>
                <w:b/>
                <w:noProof/>
                <w:color w:val="000000" w:themeColor="text1"/>
              </w:rPr>
            </w:pPr>
            <w:r>
              <w:rPr>
                <w:b/>
                <w:noProof/>
                <w:color w:val="000000" w:themeColor="text1"/>
              </w:rPr>
              <w:t>TLC30</w:t>
            </w:r>
          </w:p>
        </w:tc>
        <w:tc>
          <w:tcPr>
            <w:tcW w:w="955" w:type="pct"/>
            <w:tcBorders>
              <w:bottom w:val="single" w:sz="4" w:space="0" w:color="auto"/>
            </w:tcBorders>
            <w:noWrap/>
          </w:tcPr>
          <w:p w:rsidR="00B231CB" w:rsidRDefault="00C71431">
            <w:pPr>
              <w:spacing w:after="120"/>
              <w:jc w:val="center"/>
              <w:rPr>
                <w:b/>
                <w:noProof/>
                <w:color w:val="000000" w:themeColor="text1"/>
              </w:rPr>
            </w:pPr>
            <w:r>
              <w:rPr>
                <w:b/>
                <w:noProof/>
                <w:color w:val="000000" w:themeColor="text1"/>
              </w:rPr>
              <w:t>TLC40</w:t>
            </w:r>
          </w:p>
        </w:tc>
      </w:tr>
      <w:tr w:rsidR="00B231CB">
        <w:trPr>
          <w:trHeight w:val="255"/>
        </w:trPr>
        <w:tc>
          <w:tcPr>
            <w:tcW w:w="1178" w:type="pct"/>
            <w:tcBorders>
              <w:top w:val="single" w:sz="4" w:space="0" w:color="auto"/>
            </w:tcBorders>
            <w:vAlign w:val="center"/>
          </w:tcPr>
          <w:p w:rsidR="00B231CB" w:rsidRDefault="00C71431">
            <w:pPr>
              <w:spacing w:after="120"/>
              <w:jc w:val="center"/>
              <w:rPr>
                <w:noProof/>
                <w:color w:val="000000" w:themeColor="text1"/>
              </w:rPr>
            </w:pPr>
            <w:r>
              <w:rPr>
                <w:noProof/>
                <w:color w:val="000000" w:themeColor="text1"/>
              </w:rPr>
              <w:t>2025</w:t>
            </w:r>
          </w:p>
        </w:tc>
        <w:tc>
          <w:tcPr>
            <w:tcW w:w="955"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253</w:t>
            </w:r>
          </w:p>
        </w:tc>
        <w:tc>
          <w:tcPr>
            <w:tcW w:w="955" w:type="pct"/>
            <w:tcBorders>
              <w:top w:val="single" w:sz="4" w:space="0" w:color="auto"/>
            </w:tcBorders>
          </w:tcPr>
          <w:p w:rsidR="00B231CB" w:rsidRDefault="00C71431">
            <w:pPr>
              <w:spacing w:after="120"/>
              <w:jc w:val="center"/>
              <w:rPr>
                <w:noProof/>
                <w:color w:val="000000" w:themeColor="text1"/>
              </w:rPr>
            </w:pPr>
            <w:r>
              <w:rPr>
                <w:noProof/>
                <w:color w:val="000000" w:themeColor="text1"/>
              </w:rPr>
              <w:t>304</w:t>
            </w:r>
          </w:p>
        </w:tc>
        <w:tc>
          <w:tcPr>
            <w:tcW w:w="955"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301</w:t>
            </w:r>
          </w:p>
        </w:tc>
        <w:tc>
          <w:tcPr>
            <w:tcW w:w="955"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195</w:t>
            </w:r>
          </w:p>
        </w:tc>
      </w:tr>
      <w:tr w:rsidR="00B231CB">
        <w:trPr>
          <w:trHeight w:val="424"/>
        </w:trPr>
        <w:tc>
          <w:tcPr>
            <w:tcW w:w="1178" w:type="pct"/>
            <w:tcBorders>
              <w:top w:val="single" w:sz="4" w:space="0" w:color="auto"/>
            </w:tcBorders>
            <w:vAlign w:val="center"/>
          </w:tcPr>
          <w:p w:rsidR="00B231CB" w:rsidRDefault="00C71431">
            <w:pPr>
              <w:spacing w:after="120"/>
              <w:jc w:val="center"/>
              <w:rPr>
                <w:noProof/>
                <w:color w:val="000000" w:themeColor="text1"/>
              </w:rPr>
            </w:pPr>
            <w:r>
              <w:rPr>
                <w:noProof/>
                <w:color w:val="000000" w:themeColor="text1"/>
              </w:rPr>
              <w:t>2030</w:t>
            </w:r>
          </w:p>
        </w:tc>
        <w:tc>
          <w:tcPr>
            <w:tcW w:w="955"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1,010</w:t>
            </w:r>
          </w:p>
        </w:tc>
        <w:tc>
          <w:tcPr>
            <w:tcW w:w="955" w:type="pct"/>
            <w:tcBorders>
              <w:top w:val="single" w:sz="4" w:space="0" w:color="auto"/>
            </w:tcBorders>
          </w:tcPr>
          <w:p w:rsidR="00B231CB" w:rsidRDefault="00C71431">
            <w:pPr>
              <w:spacing w:after="120"/>
              <w:jc w:val="center"/>
              <w:rPr>
                <w:noProof/>
                <w:color w:val="000000" w:themeColor="text1"/>
              </w:rPr>
            </w:pPr>
            <w:r>
              <w:rPr>
                <w:noProof/>
                <w:color w:val="000000" w:themeColor="text1"/>
              </w:rPr>
              <w:t>1,106</w:t>
            </w:r>
          </w:p>
        </w:tc>
        <w:tc>
          <w:tcPr>
            <w:tcW w:w="955"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1,035</w:t>
            </w:r>
          </w:p>
        </w:tc>
        <w:tc>
          <w:tcPr>
            <w:tcW w:w="955"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590</w:t>
            </w:r>
          </w:p>
        </w:tc>
      </w:tr>
    </w:tbl>
    <w:p w:rsidR="00B231CB" w:rsidRDefault="00C71431">
      <w:pPr>
        <w:pStyle w:val="Heading4"/>
        <w:rPr>
          <w:noProof/>
        </w:rPr>
      </w:pPr>
      <w:bookmarkStart w:id="138" w:name="_Ref491162744"/>
      <w:bookmarkStart w:id="139" w:name="_Toc485119153"/>
      <w:bookmarkStart w:id="140" w:name="_Toc487211787"/>
      <w:bookmarkEnd w:id="133"/>
      <w:bookmarkEnd w:id="134"/>
      <w:r>
        <w:rPr>
          <w:noProof/>
        </w:rPr>
        <w:t>Light commercial vehicles (TLV)</w:t>
      </w:r>
      <w:bookmarkEnd w:id="138"/>
    </w:p>
    <w:p w:rsidR="00B231CB" w:rsidRDefault="00C71431">
      <w:pPr>
        <w:pStyle w:val="Heading5"/>
        <w:rPr>
          <w:noProof/>
        </w:rPr>
      </w:pPr>
      <w:bookmarkStart w:id="141" w:name="_Ref493774755"/>
      <w:r>
        <w:rPr>
          <w:noProof/>
        </w:rPr>
        <w:t>Net economic savings over</w:t>
      </w:r>
      <w:r>
        <w:rPr>
          <w:noProof/>
        </w:rPr>
        <w:t xml:space="preserve"> the vehicle lifetime from a societal perspective</w:t>
      </w:r>
      <w:bookmarkEnd w:id="141"/>
    </w:p>
    <w:p w:rsidR="00B231CB" w:rsidRDefault="00C71431">
      <w:pPr>
        <w:rPr>
          <w:noProof/>
          <w:color w:val="000000" w:themeColor="text1"/>
        </w:rPr>
      </w:pPr>
      <w:r>
        <w:rPr>
          <w:noProof/>
          <w:color w:val="000000" w:themeColor="text1"/>
        </w:rPr>
        <w:t>This Section of the Annex provides an overview of the details of the calculations of the net savings and their components. The main results and the assessment are to be found in Section 6.3.2.2 of the Impac</w:t>
      </w:r>
      <w:r>
        <w:rPr>
          <w:noProof/>
          <w:color w:val="000000" w:themeColor="text1"/>
        </w:rPr>
        <w:t>t Assessment.</w:t>
      </w:r>
    </w:p>
    <w:p w:rsidR="00B231CB" w:rsidRDefault="00C71431">
      <w:pPr>
        <w:spacing w:after="120"/>
        <w:rPr>
          <w:noProof/>
          <w:color w:val="000000" w:themeColor="text1"/>
        </w:rPr>
      </w:pPr>
      <w:r>
        <w:rPr>
          <w:noProof/>
          <w:color w:val="000000" w:themeColor="text1"/>
        </w:rPr>
        <w:fldChar w:fldCharType="begin"/>
      </w:r>
      <w:r>
        <w:rPr>
          <w:noProof/>
          <w:color w:val="000000" w:themeColor="text1"/>
        </w:rPr>
        <w:instrText xml:space="preserve"> REF _Ref493774462 \h </w:instrText>
      </w:r>
      <w:r>
        <w:rPr>
          <w:noProof/>
          <w:color w:val="000000" w:themeColor="text1"/>
        </w:rPr>
      </w:r>
      <w:r>
        <w:rPr>
          <w:noProof/>
          <w:color w:val="000000" w:themeColor="text1"/>
        </w:rPr>
        <w:fldChar w:fldCharType="separate"/>
      </w:r>
      <w:r>
        <w:rPr>
          <w:b/>
          <w:noProof/>
          <w:color w:val="000000" w:themeColor="text1"/>
        </w:rPr>
        <w:t>Table 18</w:t>
      </w:r>
      <w:r>
        <w:rPr>
          <w:noProof/>
          <w:color w:val="000000" w:themeColor="text1"/>
        </w:rPr>
        <w:fldChar w:fldCharType="end"/>
      </w:r>
      <w:r>
        <w:rPr>
          <w:noProof/>
          <w:color w:val="000000" w:themeColor="text1"/>
        </w:rPr>
        <w:t xml:space="preserve"> shows the net savings over the vehicle lifetime from a societal perspective for an average new van registered in 2025 and in 2030 under the dif</w:t>
      </w:r>
      <w:r>
        <w:rPr>
          <w:noProof/>
          <w:color w:val="000000" w:themeColor="text1"/>
        </w:rPr>
        <w:t xml:space="preserve">ferent TLV options (expressed as the difference with the baseline). </w:t>
      </w:r>
    </w:p>
    <w:p w:rsidR="00B231CB" w:rsidRDefault="00C71431">
      <w:pPr>
        <w:pStyle w:val="Caption"/>
        <w:spacing w:after="120"/>
        <w:jc w:val="both"/>
        <w:rPr>
          <w:b w:val="0"/>
          <w:noProof/>
          <w:color w:val="000000" w:themeColor="text1"/>
        </w:rPr>
      </w:pPr>
      <w:r>
        <w:rPr>
          <w:b w:val="0"/>
          <w:noProof/>
          <w:color w:val="000000" w:themeColor="text1"/>
        </w:rPr>
        <w:t>The net savings observed are the result of differences in capital costs– which in this case are equal to manufacturing costs -, fuel cost savings and O&amp;M costs.</w:t>
      </w:r>
    </w:p>
    <w:p w:rsidR="00B231CB" w:rsidRDefault="00C71431">
      <w:pPr>
        <w:spacing w:after="120"/>
        <w:rPr>
          <w:b/>
          <w:noProof/>
          <w:color w:val="000000" w:themeColor="text1"/>
        </w:rPr>
      </w:pPr>
      <w:bookmarkStart w:id="142" w:name="_Ref493267507"/>
      <w:bookmarkStart w:id="143" w:name="_Ref493774462"/>
      <w:bookmarkStart w:id="144" w:name="_Ref493266485"/>
      <w:r>
        <w:rPr>
          <w:b/>
          <w:noProof/>
          <w:color w:val="000000" w:themeColor="text1"/>
        </w:rPr>
        <w:t xml:space="preserve">Table </w:t>
      </w:r>
      <w:r>
        <w:rPr>
          <w:b/>
          <w:noProof/>
          <w:color w:val="000000" w:themeColor="text1"/>
        </w:rPr>
        <w:fldChar w:fldCharType="begin"/>
      </w:r>
      <w:r>
        <w:rPr>
          <w:b/>
          <w:noProof/>
          <w:color w:val="000000" w:themeColor="text1"/>
        </w:rPr>
        <w:instrText xml:space="preserve"> SEQ Table \* ARABIC </w:instrText>
      </w:r>
      <w:r>
        <w:rPr>
          <w:b/>
          <w:noProof/>
          <w:color w:val="000000" w:themeColor="text1"/>
        </w:rPr>
        <w:fldChar w:fldCharType="separate"/>
      </w:r>
      <w:r>
        <w:rPr>
          <w:b/>
          <w:noProof/>
          <w:color w:val="000000" w:themeColor="text1"/>
        </w:rPr>
        <w:t>18</w:t>
      </w:r>
      <w:r>
        <w:rPr>
          <w:b/>
          <w:noProof/>
          <w:color w:val="000000" w:themeColor="text1"/>
        </w:rPr>
        <w:fldChar w:fldCharType="end"/>
      </w:r>
      <w:bookmarkEnd w:id="142"/>
      <w:bookmarkEnd w:id="143"/>
      <w:r>
        <w:rPr>
          <w:b/>
          <w:noProof/>
          <w:color w:val="000000" w:themeColor="text1"/>
        </w:rPr>
        <w:t>: Net economic savings over the vehicle lifetime from a societal perspective in 2025 and 2030 (EUR/van)</w:t>
      </w:r>
    </w:p>
    <w:tbl>
      <w:tblPr>
        <w:tblStyle w:val="TableGrid"/>
        <w:tblW w:w="5000" w:type="pct"/>
        <w:tblLayout w:type="fixed"/>
        <w:tblLook w:val="04A0" w:firstRow="1" w:lastRow="0" w:firstColumn="1" w:lastColumn="0" w:noHBand="0" w:noVBand="1"/>
      </w:tblPr>
      <w:tblGrid>
        <w:gridCol w:w="2376"/>
        <w:gridCol w:w="1152"/>
        <w:gridCol w:w="1152"/>
        <w:gridCol w:w="1152"/>
        <w:gridCol w:w="1152"/>
        <w:gridCol w:w="1152"/>
        <w:gridCol w:w="1152"/>
      </w:tblGrid>
      <w:tr w:rsidR="00B231CB">
        <w:trPr>
          <w:trHeight w:val="255"/>
        </w:trPr>
        <w:tc>
          <w:tcPr>
            <w:tcW w:w="1279" w:type="pct"/>
            <w:noWrap/>
            <w:hideMark/>
          </w:tcPr>
          <w:p w:rsidR="00B231CB" w:rsidRDefault="00C71431">
            <w:pPr>
              <w:spacing w:after="60" w:line="276" w:lineRule="auto"/>
              <w:rPr>
                <w:noProof/>
                <w:color w:val="000000" w:themeColor="text1"/>
                <w:szCs w:val="24"/>
              </w:rPr>
            </w:pPr>
            <w:r>
              <w:rPr>
                <w:noProof/>
                <w:color w:val="000000" w:themeColor="text1"/>
                <w:szCs w:val="24"/>
              </w:rPr>
              <w:t>2025</w:t>
            </w:r>
          </w:p>
        </w:tc>
        <w:tc>
          <w:tcPr>
            <w:tcW w:w="620" w:type="pct"/>
            <w:noWrap/>
          </w:tcPr>
          <w:p w:rsidR="00B231CB" w:rsidRDefault="00C71431">
            <w:pPr>
              <w:spacing w:after="60" w:line="276" w:lineRule="auto"/>
              <w:jc w:val="center"/>
              <w:rPr>
                <w:noProof/>
                <w:color w:val="000000" w:themeColor="text1"/>
                <w:szCs w:val="24"/>
              </w:rPr>
            </w:pPr>
            <w:r>
              <w:rPr>
                <w:noProof/>
                <w:color w:val="000000" w:themeColor="text1"/>
                <w:szCs w:val="24"/>
              </w:rPr>
              <w:t>TLV20</w:t>
            </w:r>
          </w:p>
        </w:tc>
        <w:tc>
          <w:tcPr>
            <w:tcW w:w="620" w:type="pct"/>
            <w:noWrap/>
          </w:tcPr>
          <w:p w:rsidR="00B231CB" w:rsidRDefault="00C71431">
            <w:pPr>
              <w:spacing w:after="60" w:line="276" w:lineRule="auto"/>
              <w:jc w:val="center"/>
              <w:rPr>
                <w:noProof/>
                <w:color w:val="000000" w:themeColor="text1"/>
                <w:szCs w:val="24"/>
              </w:rPr>
            </w:pPr>
            <w:r>
              <w:rPr>
                <w:noProof/>
                <w:color w:val="000000" w:themeColor="text1"/>
                <w:szCs w:val="24"/>
              </w:rPr>
              <w:t>TLV25</w:t>
            </w:r>
          </w:p>
        </w:tc>
        <w:tc>
          <w:tcPr>
            <w:tcW w:w="620" w:type="pct"/>
          </w:tcPr>
          <w:p w:rsidR="00B231CB" w:rsidRDefault="00C71431">
            <w:pPr>
              <w:spacing w:after="60" w:line="276" w:lineRule="auto"/>
              <w:jc w:val="center"/>
              <w:rPr>
                <w:noProof/>
                <w:color w:val="000000" w:themeColor="text1"/>
                <w:szCs w:val="24"/>
              </w:rPr>
            </w:pPr>
            <w:r>
              <w:rPr>
                <w:noProof/>
                <w:color w:val="000000" w:themeColor="text1"/>
                <w:szCs w:val="24"/>
              </w:rPr>
              <w:t>TLV30</w:t>
            </w:r>
          </w:p>
        </w:tc>
        <w:tc>
          <w:tcPr>
            <w:tcW w:w="620" w:type="pct"/>
            <w:noWrap/>
          </w:tcPr>
          <w:p w:rsidR="00B231CB" w:rsidRDefault="00C71431">
            <w:pPr>
              <w:spacing w:after="60" w:line="276" w:lineRule="auto"/>
              <w:jc w:val="center"/>
              <w:rPr>
                <w:noProof/>
                <w:color w:val="000000" w:themeColor="text1"/>
                <w:szCs w:val="24"/>
              </w:rPr>
            </w:pPr>
            <w:r>
              <w:rPr>
                <w:noProof/>
                <w:color w:val="000000" w:themeColor="text1"/>
                <w:szCs w:val="24"/>
              </w:rPr>
              <w:t>TLV40</w:t>
            </w:r>
          </w:p>
        </w:tc>
        <w:tc>
          <w:tcPr>
            <w:tcW w:w="620" w:type="pct"/>
            <w:noWrap/>
          </w:tcPr>
          <w:p w:rsidR="00B231CB" w:rsidRDefault="00C71431">
            <w:pPr>
              <w:spacing w:after="60" w:line="276" w:lineRule="auto"/>
              <w:jc w:val="center"/>
              <w:rPr>
                <w:noProof/>
                <w:color w:val="000000" w:themeColor="text1"/>
                <w:szCs w:val="24"/>
              </w:rPr>
            </w:pPr>
            <w:r>
              <w:rPr>
                <w:noProof/>
                <w:color w:val="000000" w:themeColor="text1"/>
                <w:szCs w:val="24"/>
              </w:rPr>
              <w:t>TLV_EP40</w:t>
            </w:r>
          </w:p>
        </w:tc>
        <w:tc>
          <w:tcPr>
            <w:tcW w:w="620" w:type="pct"/>
            <w:noWrap/>
          </w:tcPr>
          <w:p w:rsidR="00B231CB" w:rsidRDefault="00C71431">
            <w:pPr>
              <w:spacing w:after="60" w:line="276" w:lineRule="auto"/>
              <w:jc w:val="center"/>
              <w:rPr>
                <w:noProof/>
                <w:color w:val="000000" w:themeColor="text1"/>
                <w:szCs w:val="24"/>
              </w:rPr>
            </w:pPr>
            <w:r>
              <w:rPr>
                <w:noProof/>
                <w:color w:val="000000" w:themeColor="text1"/>
                <w:szCs w:val="24"/>
              </w:rPr>
              <w:t>TLV_EP50</w:t>
            </w:r>
          </w:p>
        </w:tc>
      </w:tr>
      <w:tr w:rsidR="00B231CB">
        <w:trPr>
          <w:trHeight w:val="255"/>
        </w:trPr>
        <w:tc>
          <w:tcPr>
            <w:tcW w:w="1279" w:type="pct"/>
            <w:noWrap/>
            <w:hideMark/>
          </w:tcPr>
          <w:p w:rsidR="00B231CB" w:rsidRDefault="00C71431">
            <w:pPr>
              <w:spacing w:after="60" w:line="276" w:lineRule="auto"/>
              <w:rPr>
                <w:noProof/>
                <w:color w:val="000000" w:themeColor="text1"/>
                <w:szCs w:val="24"/>
              </w:rPr>
            </w:pPr>
            <w:r>
              <w:rPr>
                <w:noProof/>
                <w:color w:val="000000" w:themeColor="text1"/>
                <w:szCs w:val="24"/>
              </w:rPr>
              <w:t>Capital cost [1]</w:t>
            </w:r>
          </w:p>
        </w:tc>
        <w:tc>
          <w:tcPr>
            <w:tcW w:w="620" w:type="pct"/>
            <w:noWrap/>
          </w:tcPr>
          <w:p w:rsidR="00B231CB" w:rsidRDefault="00C71431">
            <w:pPr>
              <w:spacing w:after="60" w:line="276" w:lineRule="auto"/>
              <w:jc w:val="center"/>
              <w:rPr>
                <w:noProof/>
                <w:color w:val="000000" w:themeColor="text1"/>
                <w:szCs w:val="24"/>
              </w:rPr>
            </w:pPr>
            <w:r>
              <w:rPr>
                <w:noProof/>
                <w:color w:val="000000" w:themeColor="text1"/>
              </w:rPr>
              <w:t>232</w:t>
            </w:r>
          </w:p>
        </w:tc>
        <w:tc>
          <w:tcPr>
            <w:tcW w:w="620" w:type="pct"/>
            <w:noWrap/>
          </w:tcPr>
          <w:p w:rsidR="00B231CB" w:rsidRDefault="00C71431">
            <w:pPr>
              <w:spacing w:after="60" w:line="276" w:lineRule="auto"/>
              <w:jc w:val="center"/>
              <w:rPr>
                <w:noProof/>
                <w:color w:val="000000" w:themeColor="text1"/>
                <w:szCs w:val="24"/>
              </w:rPr>
            </w:pPr>
            <w:r>
              <w:rPr>
                <w:noProof/>
                <w:color w:val="000000" w:themeColor="text1"/>
              </w:rPr>
              <w:t>355</w:t>
            </w:r>
          </w:p>
        </w:tc>
        <w:tc>
          <w:tcPr>
            <w:tcW w:w="620" w:type="pct"/>
          </w:tcPr>
          <w:p w:rsidR="00B231CB" w:rsidRDefault="00C71431">
            <w:pPr>
              <w:spacing w:after="60" w:line="276" w:lineRule="auto"/>
              <w:jc w:val="center"/>
              <w:rPr>
                <w:noProof/>
                <w:color w:val="000000" w:themeColor="text1"/>
              </w:rPr>
            </w:pPr>
            <w:r>
              <w:rPr>
                <w:noProof/>
                <w:color w:val="000000" w:themeColor="text1"/>
              </w:rPr>
              <w:t>393</w:t>
            </w:r>
          </w:p>
        </w:tc>
        <w:tc>
          <w:tcPr>
            <w:tcW w:w="620" w:type="pct"/>
            <w:noWrap/>
          </w:tcPr>
          <w:p w:rsidR="00B231CB" w:rsidRDefault="00C71431">
            <w:pPr>
              <w:spacing w:after="60" w:line="276" w:lineRule="auto"/>
              <w:jc w:val="center"/>
              <w:rPr>
                <w:noProof/>
                <w:color w:val="000000" w:themeColor="text1"/>
                <w:szCs w:val="24"/>
              </w:rPr>
            </w:pPr>
            <w:r>
              <w:rPr>
                <w:noProof/>
                <w:color w:val="000000" w:themeColor="text1"/>
              </w:rPr>
              <w:t>877</w:t>
            </w:r>
          </w:p>
        </w:tc>
        <w:tc>
          <w:tcPr>
            <w:tcW w:w="620" w:type="pct"/>
            <w:noWrap/>
          </w:tcPr>
          <w:p w:rsidR="00B231CB" w:rsidRDefault="00C71431">
            <w:pPr>
              <w:spacing w:after="60" w:line="276" w:lineRule="auto"/>
              <w:jc w:val="center"/>
              <w:rPr>
                <w:noProof/>
                <w:color w:val="000000" w:themeColor="text1"/>
                <w:szCs w:val="24"/>
              </w:rPr>
            </w:pPr>
            <w:r>
              <w:rPr>
                <w:noProof/>
                <w:color w:val="000000" w:themeColor="text1"/>
              </w:rPr>
              <w:t>1,251</w:t>
            </w:r>
          </w:p>
        </w:tc>
        <w:tc>
          <w:tcPr>
            <w:tcW w:w="620" w:type="pct"/>
            <w:noWrap/>
          </w:tcPr>
          <w:p w:rsidR="00B231CB" w:rsidRDefault="00C71431">
            <w:pPr>
              <w:spacing w:after="60" w:line="276" w:lineRule="auto"/>
              <w:jc w:val="center"/>
              <w:rPr>
                <w:noProof/>
                <w:color w:val="000000" w:themeColor="text1"/>
                <w:szCs w:val="24"/>
              </w:rPr>
            </w:pPr>
            <w:r>
              <w:rPr>
                <w:noProof/>
                <w:color w:val="000000" w:themeColor="text1"/>
                <w:szCs w:val="24"/>
              </w:rPr>
              <w:t>1,469</w:t>
            </w:r>
          </w:p>
        </w:tc>
      </w:tr>
      <w:tr w:rsidR="00B231CB">
        <w:trPr>
          <w:trHeight w:val="255"/>
        </w:trPr>
        <w:tc>
          <w:tcPr>
            <w:tcW w:w="1279" w:type="pct"/>
            <w:tcBorders>
              <w:bottom w:val="single" w:sz="4" w:space="0" w:color="auto"/>
            </w:tcBorders>
            <w:noWrap/>
          </w:tcPr>
          <w:p w:rsidR="00B231CB" w:rsidRDefault="00C71431">
            <w:pPr>
              <w:spacing w:after="60" w:line="276" w:lineRule="auto"/>
              <w:rPr>
                <w:noProof/>
                <w:color w:val="000000" w:themeColor="text1"/>
                <w:szCs w:val="24"/>
              </w:rPr>
            </w:pPr>
            <w:r>
              <w:rPr>
                <w:noProof/>
                <w:color w:val="000000" w:themeColor="text1"/>
                <w:szCs w:val="24"/>
              </w:rPr>
              <w:t xml:space="preserve">O&amp;M cost [2] </w:t>
            </w:r>
          </w:p>
        </w:tc>
        <w:tc>
          <w:tcPr>
            <w:tcW w:w="620" w:type="pct"/>
            <w:tcBorders>
              <w:bottom w:val="single" w:sz="4" w:space="0" w:color="auto"/>
            </w:tcBorders>
            <w:noWrap/>
          </w:tcPr>
          <w:p w:rsidR="00B231CB" w:rsidRDefault="00C71431">
            <w:pPr>
              <w:spacing w:after="60" w:line="276" w:lineRule="auto"/>
              <w:jc w:val="center"/>
              <w:rPr>
                <w:noProof/>
                <w:color w:val="000000" w:themeColor="text1"/>
                <w:szCs w:val="24"/>
              </w:rPr>
            </w:pPr>
            <w:r>
              <w:rPr>
                <w:noProof/>
                <w:color w:val="000000" w:themeColor="text1"/>
              </w:rPr>
              <w:t>-40</w:t>
            </w:r>
          </w:p>
        </w:tc>
        <w:tc>
          <w:tcPr>
            <w:tcW w:w="620" w:type="pct"/>
            <w:tcBorders>
              <w:bottom w:val="single" w:sz="4" w:space="0" w:color="auto"/>
            </w:tcBorders>
            <w:noWrap/>
          </w:tcPr>
          <w:p w:rsidR="00B231CB" w:rsidRDefault="00C71431">
            <w:pPr>
              <w:spacing w:after="60" w:line="276" w:lineRule="auto"/>
              <w:jc w:val="center"/>
              <w:rPr>
                <w:noProof/>
                <w:color w:val="000000" w:themeColor="text1"/>
                <w:szCs w:val="24"/>
              </w:rPr>
            </w:pPr>
            <w:r>
              <w:rPr>
                <w:noProof/>
                <w:color w:val="000000" w:themeColor="text1"/>
              </w:rPr>
              <w:t>-52</w:t>
            </w:r>
          </w:p>
        </w:tc>
        <w:tc>
          <w:tcPr>
            <w:tcW w:w="620" w:type="pct"/>
            <w:tcBorders>
              <w:bottom w:val="single" w:sz="4" w:space="0" w:color="auto"/>
            </w:tcBorders>
          </w:tcPr>
          <w:p w:rsidR="00B231CB" w:rsidRDefault="00C71431">
            <w:pPr>
              <w:spacing w:after="60" w:line="276" w:lineRule="auto"/>
              <w:jc w:val="center"/>
              <w:rPr>
                <w:noProof/>
                <w:color w:val="000000" w:themeColor="text1"/>
              </w:rPr>
            </w:pPr>
            <w:r>
              <w:rPr>
                <w:noProof/>
                <w:color w:val="000000" w:themeColor="text1"/>
              </w:rPr>
              <w:t>-58</w:t>
            </w:r>
          </w:p>
        </w:tc>
        <w:tc>
          <w:tcPr>
            <w:tcW w:w="620" w:type="pct"/>
            <w:tcBorders>
              <w:bottom w:val="single" w:sz="4" w:space="0" w:color="auto"/>
            </w:tcBorders>
            <w:noWrap/>
          </w:tcPr>
          <w:p w:rsidR="00B231CB" w:rsidRDefault="00C71431">
            <w:pPr>
              <w:spacing w:after="60" w:line="276" w:lineRule="auto"/>
              <w:jc w:val="center"/>
              <w:rPr>
                <w:noProof/>
                <w:color w:val="000000" w:themeColor="text1"/>
                <w:szCs w:val="24"/>
              </w:rPr>
            </w:pPr>
            <w:r>
              <w:rPr>
                <w:noProof/>
                <w:color w:val="000000" w:themeColor="text1"/>
              </w:rPr>
              <w:t>-106</w:t>
            </w:r>
          </w:p>
        </w:tc>
        <w:tc>
          <w:tcPr>
            <w:tcW w:w="620" w:type="pct"/>
            <w:tcBorders>
              <w:bottom w:val="single" w:sz="4" w:space="0" w:color="auto"/>
            </w:tcBorders>
            <w:noWrap/>
          </w:tcPr>
          <w:p w:rsidR="00B231CB" w:rsidRDefault="00C71431">
            <w:pPr>
              <w:spacing w:after="60" w:line="276" w:lineRule="auto"/>
              <w:jc w:val="center"/>
              <w:rPr>
                <w:noProof/>
                <w:color w:val="000000" w:themeColor="text1"/>
                <w:szCs w:val="24"/>
              </w:rPr>
            </w:pPr>
            <w:r>
              <w:rPr>
                <w:noProof/>
                <w:color w:val="000000" w:themeColor="text1"/>
              </w:rPr>
              <w:t>-91</w:t>
            </w:r>
          </w:p>
        </w:tc>
        <w:tc>
          <w:tcPr>
            <w:tcW w:w="620" w:type="pct"/>
            <w:tcBorders>
              <w:bottom w:val="single" w:sz="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-119</w:t>
            </w:r>
          </w:p>
        </w:tc>
      </w:tr>
      <w:tr w:rsidR="00B231CB">
        <w:trPr>
          <w:trHeight w:val="255"/>
        </w:trPr>
        <w:tc>
          <w:tcPr>
            <w:tcW w:w="1279" w:type="pct"/>
            <w:tcBorders>
              <w:bottom w:val="single" w:sz="24" w:space="0" w:color="auto"/>
            </w:tcBorders>
            <w:noWrap/>
            <w:hideMark/>
          </w:tcPr>
          <w:p w:rsidR="00B231CB" w:rsidRDefault="00C71431">
            <w:pPr>
              <w:spacing w:after="60" w:line="276" w:lineRule="auto"/>
              <w:rPr>
                <w:noProof/>
                <w:color w:val="000000" w:themeColor="text1"/>
                <w:szCs w:val="24"/>
              </w:rPr>
            </w:pPr>
            <w:r>
              <w:rPr>
                <w:noProof/>
                <w:color w:val="000000" w:themeColor="text1"/>
                <w:szCs w:val="24"/>
              </w:rPr>
              <w:t>Fuel cost savings [3]</w:t>
            </w:r>
          </w:p>
        </w:tc>
        <w:tc>
          <w:tcPr>
            <w:tcW w:w="620" w:type="pct"/>
            <w:tcBorders>
              <w:bottom w:val="single" w:sz="24" w:space="0" w:color="auto"/>
            </w:tcBorders>
            <w:noWrap/>
          </w:tcPr>
          <w:p w:rsidR="00B231CB" w:rsidRDefault="00C71431">
            <w:pPr>
              <w:spacing w:after="60" w:line="276" w:lineRule="auto"/>
              <w:jc w:val="center"/>
              <w:rPr>
                <w:noProof/>
                <w:color w:val="000000" w:themeColor="text1"/>
                <w:szCs w:val="24"/>
              </w:rPr>
            </w:pPr>
            <w:r>
              <w:rPr>
                <w:noProof/>
                <w:color w:val="000000" w:themeColor="text1"/>
              </w:rPr>
              <w:t>1,002</w:t>
            </w:r>
          </w:p>
        </w:tc>
        <w:tc>
          <w:tcPr>
            <w:tcW w:w="620" w:type="pct"/>
            <w:tcBorders>
              <w:bottom w:val="single" w:sz="24" w:space="0" w:color="auto"/>
            </w:tcBorders>
            <w:noWrap/>
          </w:tcPr>
          <w:p w:rsidR="00B231CB" w:rsidRDefault="00C71431">
            <w:pPr>
              <w:spacing w:after="60" w:line="276" w:lineRule="auto"/>
              <w:jc w:val="center"/>
              <w:rPr>
                <w:noProof/>
                <w:color w:val="000000" w:themeColor="text1"/>
                <w:szCs w:val="24"/>
              </w:rPr>
            </w:pPr>
            <w:r>
              <w:rPr>
                <w:noProof/>
                <w:color w:val="000000" w:themeColor="text1"/>
              </w:rPr>
              <w:t>1,265</w:t>
            </w:r>
          </w:p>
        </w:tc>
        <w:tc>
          <w:tcPr>
            <w:tcW w:w="620" w:type="pct"/>
            <w:tcBorders>
              <w:bottom w:val="single" w:sz="24" w:space="0" w:color="auto"/>
            </w:tcBorders>
          </w:tcPr>
          <w:p w:rsidR="00B231CB" w:rsidRDefault="00C71431">
            <w:pPr>
              <w:spacing w:after="60" w:line="276" w:lineRule="auto"/>
              <w:jc w:val="center"/>
              <w:rPr>
                <w:noProof/>
                <w:color w:val="000000" w:themeColor="text1"/>
              </w:rPr>
            </w:pPr>
            <w:r>
              <w:rPr>
                <w:noProof/>
                <w:color w:val="000000" w:themeColor="text1"/>
              </w:rPr>
              <w:t>1,685</w:t>
            </w:r>
          </w:p>
        </w:tc>
        <w:tc>
          <w:tcPr>
            <w:tcW w:w="620" w:type="pct"/>
            <w:tcBorders>
              <w:bottom w:val="single" w:sz="24" w:space="0" w:color="auto"/>
            </w:tcBorders>
            <w:noWrap/>
          </w:tcPr>
          <w:p w:rsidR="00B231CB" w:rsidRDefault="00C71431">
            <w:pPr>
              <w:spacing w:after="60" w:line="276" w:lineRule="auto"/>
              <w:jc w:val="center"/>
              <w:rPr>
                <w:noProof/>
                <w:color w:val="000000" w:themeColor="text1"/>
                <w:szCs w:val="24"/>
              </w:rPr>
            </w:pPr>
            <w:r>
              <w:rPr>
                <w:noProof/>
                <w:color w:val="000000" w:themeColor="text1"/>
              </w:rPr>
              <w:t>2,061</w:t>
            </w:r>
          </w:p>
        </w:tc>
        <w:tc>
          <w:tcPr>
            <w:tcW w:w="620" w:type="pct"/>
            <w:tcBorders>
              <w:bottom w:val="single" w:sz="24" w:space="0" w:color="auto"/>
            </w:tcBorders>
            <w:noWrap/>
          </w:tcPr>
          <w:p w:rsidR="00B231CB" w:rsidRDefault="00C71431">
            <w:pPr>
              <w:spacing w:after="60" w:line="276" w:lineRule="auto"/>
              <w:jc w:val="center"/>
              <w:rPr>
                <w:noProof/>
                <w:color w:val="000000" w:themeColor="text1"/>
                <w:szCs w:val="24"/>
              </w:rPr>
            </w:pPr>
            <w:r>
              <w:rPr>
                <w:noProof/>
                <w:color w:val="000000" w:themeColor="text1"/>
              </w:rPr>
              <w:t>2,529</w:t>
            </w:r>
          </w:p>
        </w:tc>
        <w:tc>
          <w:tcPr>
            <w:tcW w:w="620" w:type="pct"/>
            <w:tcBorders>
              <w:bottom w:val="single" w:sz="24" w:space="0" w:color="auto"/>
            </w:tcBorders>
            <w:noWrap/>
          </w:tcPr>
          <w:p w:rsidR="00B231CB" w:rsidRDefault="00C71431">
            <w:pPr>
              <w:spacing w:after="60" w:line="276" w:lineRule="auto"/>
              <w:jc w:val="center"/>
              <w:rPr>
                <w:noProof/>
                <w:color w:val="000000" w:themeColor="text1"/>
                <w:szCs w:val="24"/>
              </w:rPr>
            </w:pPr>
            <w:r>
              <w:rPr>
                <w:noProof/>
                <w:color w:val="000000" w:themeColor="text1"/>
                <w:szCs w:val="24"/>
              </w:rPr>
              <w:t>2,316</w:t>
            </w:r>
          </w:p>
        </w:tc>
      </w:tr>
      <w:tr w:rsidR="00B231CB">
        <w:trPr>
          <w:trHeight w:val="255"/>
        </w:trPr>
        <w:tc>
          <w:tcPr>
            <w:tcW w:w="1279" w:type="pct"/>
            <w:noWrap/>
            <w:hideMark/>
          </w:tcPr>
          <w:p w:rsidR="00B231CB" w:rsidRDefault="00C71431">
            <w:pPr>
              <w:spacing w:after="60" w:line="276" w:lineRule="auto"/>
              <w:rPr>
                <w:i/>
                <w:noProof/>
                <w:color w:val="000000" w:themeColor="text1"/>
                <w:szCs w:val="24"/>
              </w:rPr>
            </w:pPr>
            <w:r>
              <w:rPr>
                <w:i/>
                <w:noProof/>
                <w:color w:val="000000" w:themeColor="text1"/>
                <w:szCs w:val="24"/>
              </w:rPr>
              <w:t>Net savings [3-1-2]</w:t>
            </w:r>
          </w:p>
        </w:tc>
        <w:tc>
          <w:tcPr>
            <w:tcW w:w="620" w:type="pct"/>
            <w:noWrap/>
          </w:tcPr>
          <w:p w:rsidR="00B231CB" w:rsidRDefault="00C71431">
            <w:pPr>
              <w:spacing w:after="60" w:line="276" w:lineRule="auto"/>
              <w:jc w:val="center"/>
              <w:rPr>
                <w:i/>
                <w:noProof/>
                <w:color w:val="000000" w:themeColor="text1"/>
                <w:szCs w:val="24"/>
              </w:rPr>
            </w:pPr>
            <w:r>
              <w:rPr>
                <w:i/>
                <w:noProof/>
                <w:color w:val="000000" w:themeColor="text1"/>
              </w:rPr>
              <w:t>810</w:t>
            </w:r>
          </w:p>
        </w:tc>
        <w:tc>
          <w:tcPr>
            <w:tcW w:w="620" w:type="pct"/>
            <w:noWrap/>
          </w:tcPr>
          <w:p w:rsidR="00B231CB" w:rsidRDefault="00C71431">
            <w:pPr>
              <w:spacing w:after="60" w:line="276" w:lineRule="auto"/>
              <w:jc w:val="center"/>
              <w:rPr>
                <w:i/>
                <w:noProof/>
                <w:color w:val="000000" w:themeColor="text1"/>
                <w:szCs w:val="24"/>
              </w:rPr>
            </w:pPr>
            <w:r>
              <w:rPr>
                <w:i/>
                <w:noProof/>
                <w:color w:val="000000" w:themeColor="text1"/>
              </w:rPr>
              <w:t>962</w:t>
            </w:r>
          </w:p>
        </w:tc>
        <w:tc>
          <w:tcPr>
            <w:tcW w:w="620" w:type="pct"/>
          </w:tcPr>
          <w:p w:rsidR="00B231CB" w:rsidRDefault="00C71431">
            <w:pPr>
              <w:spacing w:after="60" w:line="276" w:lineRule="auto"/>
              <w:jc w:val="center"/>
              <w:rPr>
                <w:i/>
                <w:noProof/>
                <w:color w:val="000000" w:themeColor="text1"/>
              </w:rPr>
            </w:pPr>
            <w:r>
              <w:rPr>
                <w:i/>
                <w:noProof/>
                <w:color w:val="000000" w:themeColor="text1"/>
              </w:rPr>
              <w:t>1,350</w:t>
            </w:r>
          </w:p>
        </w:tc>
        <w:tc>
          <w:tcPr>
            <w:tcW w:w="620" w:type="pct"/>
            <w:noWrap/>
          </w:tcPr>
          <w:p w:rsidR="00B231CB" w:rsidRDefault="00C71431">
            <w:pPr>
              <w:spacing w:after="60" w:line="276" w:lineRule="auto"/>
              <w:jc w:val="center"/>
              <w:rPr>
                <w:i/>
                <w:noProof/>
                <w:color w:val="000000" w:themeColor="text1"/>
                <w:szCs w:val="24"/>
              </w:rPr>
            </w:pPr>
            <w:r>
              <w:rPr>
                <w:i/>
                <w:noProof/>
                <w:color w:val="000000" w:themeColor="text1"/>
              </w:rPr>
              <w:t>1,290</w:t>
            </w:r>
          </w:p>
        </w:tc>
        <w:tc>
          <w:tcPr>
            <w:tcW w:w="620" w:type="pct"/>
            <w:noWrap/>
          </w:tcPr>
          <w:p w:rsidR="00B231CB" w:rsidRDefault="00C71431">
            <w:pPr>
              <w:spacing w:after="60" w:line="276" w:lineRule="auto"/>
              <w:jc w:val="center"/>
              <w:rPr>
                <w:i/>
                <w:noProof/>
                <w:color w:val="000000" w:themeColor="text1"/>
                <w:szCs w:val="24"/>
              </w:rPr>
            </w:pPr>
            <w:r>
              <w:rPr>
                <w:i/>
                <w:noProof/>
                <w:color w:val="000000" w:themeColor="text1"/>
              </w:rPr>
              <w:t>1,369</w:t>
            </w:r>
          </w:p>
        </w:tc>
        <w:tc>
          <w:tcPr>
            <w:tcW w:w="620" w:type="pct"/>
            <w:noWrap/>
          </w:tcPr>
          <w:p w:rsidR="00B231CB" w:rsidRDefault="00C71431">
            <w:pPr>
              <w:spacing w:after="60" w:line="276" w:lineRule="auto"/>
              <w:jc w:val="center"/>
              <w:rPr>
                <w:i/>
                <w:noProof/>
                <w:color w:val="000000" w:themeColor="text1"/>
                <w:szCs w:val="24"/>
              </w:rPr>
            </w:pPr>
            <w:r>
              <w:rPr>
                <w:i/>
                <w:noProof/>
                <w:color w:val="000000" w:themeColor="text1"/>
                <w:szCs w:val="24"/>
              </w:rPr>
              <w:t>967</w:t>
            </w:r>
          </w:p>
        </w:tc>
      </w:tr>
    </w:tbl>
    <w:p w:rsidR="00B231CB" w:rsidRDefault="00B231CB">
      <w:pPr>
        <w:pStyle w:val="Heading6"/>
        <w:numPr>
          <w:ilvl w:val="0"/>
          <w:numId w:val="0"/>
        </w:numPr>
        <w:spacing w:after="0"/>
        <w:rPr>
          <w:noProof/>
          <w:color w:val="000000" w:themeColor="text1"/>
        </w:rPr>
      </w:pPr>
    </w:p>
    <w:tbl>
      <w:tblPr>
        <w:tblStyle w:val="TableGrid"/>
        <w:tblW w:w="5000" w:type="pct"/>
        <w:tblLayout w:type="fixed"/>
        <w:tblLook w:val="04A0" w:firstRow="1" w:lastRow="0" w:firstColumn="1" w:lastColumn="0" w:noHBand="0" w:noVBand="1"/>
      </w:tblPr>
      <w:tblGrid>
        <w:gridCol w:w="2375"/>
        <w:gridCol w:w="1151"/>
        <w:gridCol w:w="1152"/>
        <w:gridCol w:w="1152"/>
        <w:gridCol w:w="1152"/>
        <w:gridCol w:w="1152"/>
        <w:gridCol w:w="1154"/>
      </w:tblGrid>
      <w:tr w:rsidR="00B231CB">
        <w:trPr>
          <w:trHeight w:val="255"/>
        </w:trPr>
        <w:tc>
          <w:tcPr>
            <w:tcW w:w="1279" w:type="pct"/>
            <w:noWrap/>
            <w:hideMark/>
          </w:tcPr>
          <w:p w:rsidR="00B231CB" w:rsidRDefault="00C71431">
            <w:pPr>
              <w:keepNext/>
              <w:spacing w:after="60" w:line="276" w:lineRule="auto"/>
              <w:rPr>
                <w:noProof/>
                <w:color w:val="000000" w:themeColor="text1"/>
              </w:rPr>
            </w:pPr>
            <w:r>
              <w:rPr>
                <w:noProof/>
                <w:color w:val="000000" w:themeColor="text1"/>
              </w:rPr>
              <w:t>2030</w:t>
            </w:r>
          </w:p>
        </w:tc>
        <w:tc>
          <w:tcPr>
            <w:tcW w:w="620" w:type="pct"/>
            <w:noWrap/>
          </w:tcPr>
          <w:p w:rsidR="00B231CB" w:rsidRDefault="00C71431">
            <w:pPr>
              <w:keepNext/>
              <w:spacing w:after="60" w:line="276" w:lineRule="auto"/>
              <w:jc w:val="center"/>
              <w:rPr>
                <w:noProof/>
                <w:color w:val="000000" w:themeColor="text1"/>
              </w:rPr>
            </w:pPr>
            <w:r>
              <w:rPr>
                <w:noProof/>
                <w:color w:val="000000" w:themeColor="text1"/>
                <w:szCs w:val="24"/>
              </w:rPr>
              <w:t>TLV20</w:t>
            </w:r>
          </w:p>
        </w:tc>
        <w:tc>
          <w:tcPr>
            <w:tcW w:w="620" w:type="pct"/>
            <w:noWrap/>
          </w:tcPr>
          <w:p w:rsidR="00B231CB" w:rsidRDefault="00C71431">
            <w:pPr>
              <w:keepNext/>
              <w:spacing w:after="60" w:line="276" w:lineRule="auto"/>
              <w:jc w:val="center"/>
              <w:rPr>
                <w:noProof/>
                <w:color w:val="000000" w:themeColor="text1"/>
              </w:rPr>
            </w:pPr>
            <w:r>
              <w:rPr>
                <w:noProof/>
                <w:color w:val="000000" w:themeColor="text1"/>
                <w:szCs w:val="24"/>
              </w:rPr>
              <w:t>TLV25</w:t>
            </w:r>
          </w:p>
        </w:tc>
        <w:tc>
          <w:tcPr>
            <w:tcW w:w="620" w:type="pct"/>
          </w:tcPr>
          <w:p w:rsidR="00B231CB" w:rsidRDefault="00C71431">
            <w:pPr>
              <w:keepNext/>
              <w:spacing w:after="60" w:line="276" w:lineRule="auto"/>
              <w:jc w:val="center"/>
              <w:rPr>
                <w:noProof/>
                <w:color w:val="000000" w:themeColor="text1"/>
                <w:szCs w:val="24"/>
              </w:rPr>
            </w:pPr>
            <w:r>
              <w:rPr>
                <w:noProof/>
                <w:color w:val="000000" w:themeColor="text1"/>
                <w:szCs w:val="24"/>
              </w:rPr>
              <w:t>TLV30</w:t>
            </w:r>
          </w:p>
        </w:tc>
        <w:tc>
          <w:tcPr>
            <w:tcW w:w="620" w:type="pct"/>
            <w:noWrap/>
          </w:tcPr>
          <w:p w:rsidR="00B231CB" w:rsidRDefault="00C71431">
            <w:pPr>
              <w:keepNext/>
              <w:spacing w:after="60" w:line="276" w:lineRule="auto"/>
              <w:jc w:val="center"/>
              <w:rPr>
                <w:noProof/>
                <w:color w:val="000000" w:themeColor="text1"/>
              </w:rPr>
            </w:pPr>
            <w:r>
              <w:rPr>
                <w:noProof/>
                <w:color w:val="000000" w:themeColor="text1"/>
                <w:szCs w:val="24"/>
              </w:rPr>
              <w:t>TLV40</w:t>
            </w:r>
          </w:p>
        </w:tc>
        <w:tc>
          <w:tcPr>
            <w:tcW w:w="620" w:type="pct"/>
            <w:noWrap/>
          </w:tcPr>
          <w:p w:rsidR="00B231CB" w:rsidRDefault="00C71431">
            <w:pPr>
              <w:keepNext/>
              <w:spacing w:after="60" w:line="276" w:lineRule="auto"/>
              <w:jc w:val="center"/>
              <w:rPr>
                <w:noProof/>
                <w:color w:val="000000" w:themeColor="text1"/>
              </w:rPr>
            </w:pPr>
            <w:r>
              <w:rPr>
                <w:noProof/>
                <w:color w:val="000000" w:themeColor="text1"/>
                <w:szCs w:val="24"/>
              </w:rPr>
              <w:t>TLV_EP40</w:t>
            </w:r>
          </w:p>
        </w:tc>
        <w:tc>
          <w:tcPr>
            <w:tcW w:w="621" w:type="pct"/>
            <w:noWrap/>
          </w:tcPr>
          <w:p w:rsidR="00B231CB" w:rsidRDefault="00C71431">
            <w:pPr>
              <w:keepNext/>
              <w:spacing w:after="60" w:line="276" w:lineRule="auto"/>
              <w:jc w:val="center"/>
              <w:rPr>
                <w:noProof/>
                <w:color w:val="000000" w:themeColor="text1"/>
              </w:rPr>
            </w:pPr>
            <w:r>
              <w:rPr>
                <w:noProof/>
                <w:color w:val="000000" w:themeColor="text1"/>
                <w:szCs w:val="24"/>
              </w:rPr>
              <w:t>TLV_EP50</w:t>
            </w:r>
          </w:p>
        </w:tc>
      </w:tr>
      <w:tr w:rsidR="00B231CB">
        <w:trPr>
          <w:trHeight w:val="255"/>
        </w:trPr>
        <w:tc>
          <w:tcPr>
            <w:tcW w:w="1279" w:type="pct"/>
            <w:noWrap/>
          </w:tcPr>
          <w:p w:rsidR="00B231CB" w:rsidRDefault="00C71431">
            <w:pPr>
              <w:keepNext/>
              <w:spacing w:after="60" w:line="276" w:lineRule="auto"/>
              <w:rPr>
                <w:noProof/>
                <w:color w:val="000000" w:themeColor="text1"/>
              </w:rPr>
            </w:pPr>
            <w:r>
              <w:rPr>
                <w:noProof/>
                <w:color w:val="000000" w:themeColor="text1"/>
              </w:rPr>
              <w:t>Capital cost [1]</w:t>
            </w:r>
          </w:p>
        </w:tc>
        <w:tc>
          <w:tcPr>
            <w:tcW w:w="620" w:type="pct"/>
            <w:noWrap/>
          </w:tcPr>
          <w:p w:rsidR="00B231CB" w:rsidRDefault="00C71431">
            <w:pPr>
              <w:keepNext/>
              <w:spacing w:after="60" w:line="276" w:lineRule="auto"/>
              <w:jc w:val="center"/>
              <w:rPr>
                <w:noProof/>
                <w:color w:val="000000" w:themeColor="text1"/>
              </w:rPr>
            </w:pPr>
            <w:r>
              <w:rPr>
                <w:noProof/>
                <w:color w:val="000000" w:themeColor="text1"/>
              </w:rPr>
              <w:t>426</w:t>
            </w:r>
          </w:p>
        </w:tc>
        <w:tc>
          <w:tcPr>
            <w:tcW w:w="620" w:type="pct"/>
            <w:noWrap/>
          </w:tcPr>
          <w:p w:rsidR="00B231CB" w:rsidRDefault="00C71431">
            <w:pPr>
              <w:keepNext/>
              <w:spacing w:after="60" w:line="276" w:lineRule="auto"/>
              <w:jc w:val="center"/>
              <w:rPr>
                <w:noProof/>
                <w:color w:val="000000" w:themeColor="text1"/>
              </w:rPr>
            </w:pPr>
            <w:r>
              <w:rPr>
                <w:noProof/>
                <w:color w:val="000000" w:themeColor="text1"/>
              </w:rPr>
              <w:t>620</w:t>
            </w:r>
          </w:p>
        </w:tc>
        <w:tc>
          <w:tcPr>
            <w:tcW w:w="620" w:type="pct"/>
          </w:tcPr>
          <w:p w:rsidR="00B231CB" w:rsidRDefault="00C71431">
            <w:pPr>
              <w:keepNext/>
              <w:spacing w:after="60" w:line="276" w:lineRule="auto"/>
              <w:jc w:val="center"/>
              <w:rPr>
                <w:noProof/>
                <w:color w:val="000000" w:themeColor="text1"/>
              </w:rPr>
            </w:pPr>
            <w:r>
              <w:rPr>
                <w:noProof/>
                <w:color w:val="000000" w:themeColor="text1"/>
              </w:rPr>
              <w:t>891</w:t>
            </w:r>
          </w:p>
        </w:tc>
        <w:tc>
          <w:tcPr>
            <w:tcW w:w="620" w:type="pct"/>
            <w:noWrap/>
          </w:tcPr>
          <w:p w:rsidR="00B231CB" w:rsidRDefault="00C71431">
            <w:pPr>
              <w:keepNext/>
              <w:spacing w:after="60" w:line="276" w:lineRule="auto"/>
              <w:jc w:val="center"/>
              <w:rPr>
                <w:noProof/>
                <w:color w:val="000000" w:themeColor="text1"/>
              </w:rPr>
            </w:pPr>
            <w:r>
              <w:rPr>
                <w:noProof/>
                <w:color w:val="000000" w:themeColor="text1"/>
              </w:rPr>
              <w:t>1,582</w:t>
            </w:r>
          </w:p>
        </w:tc>
        <w:tc>
          <w:tcPr>
            <w:tcW w:w="620" w:type="pct"/>
            <w:noWrap/>
          </w:tcPr>
          <w:p w:rsidR="00B231CB" w:rsidRDefault="00C71431">
            <w:pPr>
              <w:keepNext/>
              <w:spacing w:after="60" w:line="276" w:lineRule="auto"/>
              <w:jc w:val="center"/>
              <w:rPr>
                <w:noProof/>
                <w:color w:val="000000" w:themeColor="text1"/>
              </w:rPr>
            </w:pPr>
            <w:r>
              <w:rPr>
                <w:noProof/>
                <w:color w:val="000000" w:themeColor="text1"/>
              </w:rPr>
              <w:t>1,415</w:t>
            </w:r>
          </w:p>
        </w:tc>
        <w:tc>
          <w:tcPr>
            <w:tcW w:w="621" w:type="pct"/>
            <w:noWrap/>
          </w:tcPr>
          <w:p w:rsidR="00B231CB" w:rsidRDefault="00C71431">
            <w:pPr>
              <w:keepNext/>
              <w:spacing w:after="60" w:line="276" w:lineRule="auto"/>
              <w:jc w:val="center"/>
              <w:rPr>
                <w:noProof/>
                <w:color w:val="000000" w:themeColor="text1"/>
              </w:rPr>
            </w:pPr>
            <w:r>
              <w:rPr>
                <w:noProof/>
                <w:color w:val="000000" w:themeColor="text1"/>
              </w:rPr>
              <w:t>2,439</w:t>
            </w:r>
          </w:p>
        </w:tc>
      </w:tr>
      <w:tr w:rsidR="00B231CB">
        <w:trPr>
          <w:trHeight w:val="255"/>
        </w:trPr>
        <w:tc>
          <w:tcPr>
            <w:tcW w:w="1279" w:type="pct"/>
            <w:tcBorders>
              <w:bottom w:val="single" w:sz="4" w:space="0" w:color="auto"/>
            </w:tcBorders>
            <w:noWrap/>
          </w:tcPr>
          <w:p w:rsidR="00B231CB" w:rsidRDefault="00C71431">
            <w:pPr>
              <w:keepNext/>
              <w:spacing w:after="60" w:line="276" w:lineRule="auto"/>
              <w:rPr>
                <w:noProof/>
                <w:color w:val="000000" w:themeColor="text1"/>
              </w:rPr>
            </w:pPr>
            <w:r>
              <w:rPr>
                <w:noProof/>
                <w:color w:val="000000" w:themeColor="text1"/>
              </w:rPr>
              <w:t xml:space="preserve">O&amp;M cost [2] </w:t>
            </w:r>
          </w:p>
        </w:tc>
        <w:tc>
          <w:tcPr>
            <w:tcW w:w="620" w:type="pct"/>
            <w:tcBorders>
              <w:bottom w:val="single" w:sz="4" w:space="0" w:color="auto"/>
            </w:tcBorders>
            <w:noWrap/>
          </w:tcPr>
          <w:p w:rsidR="00B231CB" w:rsidRDefault="00C71431">
            <w:pPr>
              <w:keepNext/>
              <w:spacing w:after="60" w:line="276" w:lineRule="auto"/>
              <w:jc w:val="center"/>
              <w:rPr>
                <w:noProof/>
                <w:color w:val="000000" w:themeColor="text1"/>
              </w:rPr>
            </w:pPr>
            <w:r>
              <w:rPr>
                <w:noProof/>
                <w:color w:val="000000" w:themeColor="text1"/>
              </w:rPr>
              <w:t>-50</w:t>
            </w:r>
          </w:p>
        </w:tc>
        <w:tc>
          <w:tcPr>
            <w:tcW w:w="620" w:type="pct"/>
            <w:tcBorders>
              <w:bottom w:val="single" w:sz="4" w:space="0" w:color="auto"/>
            </w:tcBorders>
            <w:noWrap/>
          </w:tcPr>
          <w:p w:rsidR="00B231CB" w:rsidRDefault="00C71431">
            <w:pPr>
              <w:keepNext/>
              <w:spacing w:after="60" w:line="276" w:lineRule="auto"/>
              <w:jc w:val="center"/>
              <w:rPr>
                <w:noProof/>
                <w:color w:val="000000" w:themeColor="text1"/>
              </w:rPr>
            </w:pPr>
            <w:r>
              <w:rPr>
                <w:noProof/>
                <w:color w:val="000000" w:themeColor="text1"/>
              </w:rPr>
              <w:t>-55</w:t>
            </w:r>
          </w:p>
        </w:tc>
        <w:tc>
          <w:tcPr>
            <w:tcW w:w="620" w:type="pct"/>
            <w:tcBorders>
              <w:bottom w:val="single" w:sz="4" w:space="0" w:color="auto"/>
            </w:tcBorders>
          </w:tcPr>
          <w:p w:rsidR="00B231CB" w:rsidRDefault="00C71431">
            <w:pPr>
              <w:keepNext/>
              <w:spacing w:after="60" w:line="276" w:lineRule="auto"/>
              <w:jc w:val="center"/>
              <w:rPr>
                <w:noProof/>
                <w:color w:val="000000" w:themeColor="text1"/>
              </w:rPr>
            </w:pPr>
            <w:r>
              <w:rPr>
                <w:noProof/>
                <w:color w:val="000000" w:themeColor="text1"/>
              </w:rPr>
              <w:t>-75</w:t>
            </w:r>
          </w:p>
        </w:tc>
        <w:tc>
          <w:tcPr>
            <w:tcW w:w="620" w:type="pct"/>
            <w:tcBorders>
              <w:bottom w:val="single" w:sz="4" w:space="0" w:color="auto"/>
            </w:tcBorders>
            <w:noWrap/>
          </w:tcPr>
          <w:p w:rsidR="00B231CB" w:rsidRDefault="00C71431">
            <w:pPr>
              <w:keepNext/>
              <w:spacing w:after="60" w:line="276" w:lineRule="auto"/>
              <w:jc w:val="center"/>
              <w:rPr>
                <w:noProof/>
                <w:color w:val="000000" w:themeColor="text1"/>
              </w:rPr>
            </w:pPr>
            <w:r>
              <w:rPr>
                <w:noProof/>
                <w:color w:val="000000" w:themeColor="text1"/>
              </w:rPr>
              <w:t>-142</w:t>
            </w:r>
          </w:p>
        </w:tc>
        <w:tc>
          <w:tcPr>
            <w:tcW w:w="620" w:type="pct"/>
            <w:tcBorders>
              <w:bottom w:val="single" w:sz="4" w:space="0" w:color="auto"/>
            </w:tcBorders>
            <w:noWrap/>
          </w:tcPr>
          <w:p w:rsidR="00B231CB" w:rsidRDefault="00C71431">
            <w:pPr>
              <w:keepNext/>
              <w:spacing w:after="60" w:line="276" w:lineRule="auto"/>
              <w:jc w:val="center"/>
              <w:rPr>
                <w:noProof/>
                <w:color w:val="000000" w:themeColor="text1"/>
              </w:rPr>
            </w:pPr>
            <w:r>
              <w:rPr>
                <w:noProof/>
                <w:color w:val="000000" w:themeColor="text1"/>
              </w:rPr>
              <w:t>-141</w:t>
            </w:r>
          </w:p>
        </w:tc>
        <w:tc>
          <w:tcPr>
            <w:tcW w:w="621" w:type="pct"/>
            <w:tcBorders>
              <w:bottom w:val="single" w:sz="4" w:space="0" w:color="auto"/>
            </w:tcBorders>
            <w:noWrap/>
          </w:tcPr>
          <w:p w:rsidR="00B231CB" w:rsidRDefault="00C71431">
            <w:pPr>
              <w:keepNext/>
              <w:spacing w:after="60" w:line="276" w:lineRule="auto"/>
              <w:jc w:val="center"/>
              <w:rPr>
                <w:noProof/>
                <w:color w:val="000000" w:themeColor="text1"/>
              </w:rPr>
            </w:pPr>
            <w:r>
              <w:rPr>
                <w:noProof/>
                <w:color w:val="000000" w:themeColor="text1"/>
              </w:rPr>
              <w:t>-239</w:t>
            </w:r>
          </w:p>
        </w:tc>
      </w:tr>
      <w:tr w:rsidR="00B231CB">
        <w:trPr>
          <w:trHeight w:val="255"/>
        </w:trPr>
        <w:tc>
          <w:tcPr>
            <w:tcW w:w="1279" w:type="pct"/>
            <w:tcBorders>
              <w:bottom w:val="single" w:sz="24" w:space="0" w:color="auto"/>
            </w:tcBorders>
            <w:noWrap/>
          </w:tcPr>
          <w:p w:rsidR="00B231CB" w:rsidRDefault="00C71431">
            <w:pPr>
              <w:keepNext/>
              <w:spacing w:after="60" w:line="276" w:lineRule="auto"/>
              <w:rPr>
                <w:noProof/>
                <w:color w:val="000000" w:themeColor="text1"/>
              </w:rPr>
            </w:pPr>
            <w:r>
              <w:rPr>
                <w:noProof/>
                <w:color w:val="000000" w:themeColor="text1"/>
              </w:rPr>
              <w:t>Fuel cost savings [3]</w:t>
            </w:r>
          </w:p>
        </w:tc>
        <w:tc>
          <w:tcPr>
            <w:tcW w:w="620" w:type="pct"/>
            <w:tcBorders>
              <w:bottom w:val="single" w:sz="24" w:space="0" w:color="auto"/>
            </w:tcBorders>
            <w:noWrap/>
          </w:tcPr>
          <w:p w:rsidR="00B231CB" w:rsidRDefault="00C71431">
            <w:pPr>
              <w:keepNext/>
              <w:spacing w:after="60" w:line="276" w:lineRule="auto"/>
              <w:jc w:val="center"/>
              <w:rPr>
                <w:noProof/>
                <w:color w:val="000000" w:themeColor="text1"/>
              </w:rPr>
            </w:pPr>
            <w:r>
              <w:rPr>
                <w:noProof/>
                <w:color w:val="000000" w:themeColor="text1"/>
              </w:rPr>
              <w:t>2,063</w:t>
            </w:r>
          </w:p>
        </w:tc>
        <w:tc>
          <w:tcPr>
            <w:tcW w:w="620" w:type="pct"/>
            <w:tcBorders>
              <w:bottom w:val="single" w:sz="24" w:space="0" w:color="auto"/>
            </w:tcBorders>
            <w:noWrap/>
          </w:tcPr>
          <w:p w:rsidR="00B231CB" w:rsidRDefault="00C71431">
            <w:pPr>
              <w:keepNext/>
              <w:spacing w:after="60" w:line="276" w:lineRule="auto"/>
              <w:jc w:val="center"/>
              <w:rPr>
                <w:noProof/>
                <w:color w:val="000000" w:themeColor="text1"/>
              </w:rPr>
            </w:pPr>
            <w:r>
              <w:rPr>
                <w:noProof/>
                <w:color w:val="000000" w:themeColor="text1"/>
              </w:rPr>
              <w:t>2,600</w:t>
            </w:r>
          </w:p>
        </w:tc>
        <w:tc>
          <w:tcPr>
            <w:tcW w:w="620" w:type="pct"/>
            <w:tcBorders>
              <w:bottom w:val="single" w:sz="24" w:space="0" w:color="auto"/>
            </w:tcBorders>
          </w:tcPr>
          <w:p w:rsidR="00B231CB" w:rsidRDefault="00C71431">
            <w:pPr>
              <w:keepNext/>
              <w:spacing w:after="60" w:line="276" w:lineRule="auto"/>
              <w:jc w:val="center"/>
              <w:rPr>
                <w:noProof/>
                <w:color w:val="000000" w:themeColor="text1"/>
              </w:rPr>
            </w:pPr>
            <w:r>
              <w:rPr>
                <w:noProof/>
                <w:color w:val="000000" w:themeColor="text1"/>
              </w:rPr>
              <w:t>3,064</w:t>
            </w:r>
          </w:p>
        </w:tc>
        <w:tc>
          <w:tcPr>
            <w:tcW w:w="620" w:type="pct"/>
            <w:tcBorders>
              <w:bottom w:val="single" w:sz="24" w:space="0" w:color="auto"/>
            </w:tcBorders>
            <w:noWrap/>
          </w:tcPr>
          <w:p w:rsidR="00B231CB" w:rsidRDefault="00C71431">
            <w:pPr>
              <w:keepNext/>
              <w:spacing w:after="60" w:line="276" w:lineRule="auto"/>
              <w:jc w:val="center"/>
              <w:rPr>
                <w:noProof/>
                <w:color w:val="000000" w:themeColor="text1"/>
              </w:rPr>
            </w:pPr>
            <w:r>
              <w:rPr>
                <w:noProof/>
                <w:color w:val="000000" w:themeColor="text1"/>
              </w:rPr>
              <w:t>3,827</w:t>
            </w:r>
          </w:p>
        </w:tc>
        <w:tc>
          <w:tcPr>
            <w:tcW w:w="620" w:type="pct"/>
            <w:tcBorders>
              <w:bottom w:val="single" w:sz="24" w:space="0" w:color="auto"/>
            </w:tcBorders>
            <w:noWrap/>
          </w:tcPr>
          <w:p w:rsidR="00B231CB" w:rsidRDefault="00C71431">
            <w:pPr>
              <w:keepNext/>
              <w:spacing w:after="60" w:line="276" w:lineRule="auto"/>
              <w:jc w:val="center"/>
              <w:rPr>
                <w:noProof/>
                <w:color w:val="000000" w:themeColor="text1"/>
              </w:rPr>
            </w:pPr>
            <w:r>
              <w:rPr>
                <w:noProof/>
                <w:color w:val="000000" w:themeColor="text1"/>
              </w:rPr>
              <w:t>3,341</w:t>
            </w:r>
          </w:p>
        </w:tc>
        <w:tc>
          <w:tcPr>
            <w:tcW w:w="621" w:type="pct"/>
            <w:tcBorders>
              <w:bottom w:val="single" w:sz="24" w:space="0" w:color="auto"/>
            </w:tcBorders>
            <w:noWrap/>
          </w:tcPr>
          <w:p w:rsidR="00B231CB" w:rsidRDefault="00C71431">
            <w:pPr>
              <w:keepNext/>
              <w:spacing w:after="60" w:line="276" w:lineRule="auto"/>
              <w:jc w:val="center"/>
              <w:rPr>
                <w:noProof/>
                <w:color w:val="000000" w:themeColor="text1"/>
              </w:rPr>
            </w:pPr>
            <w:r>
              <w:rPr>
                <w:noProof/>
                <w:color w:val="000000" w:themeColor="text1"/>
              </w:rPr>
              <w:t>4,261</w:t>
            </w:r>
          </w:p>
        </w:tc>
      </w:tr>
      <w:tr w:rsidR="00B231CB">
        <w:trPr>
          <w:trHeight w:val="255"/>
        </w:trPr>
        <w:tc>
          <w:tcPr>
            <w:tcW w:w="1279" w:type="pct"/>
            <w:tcBorders>
              <w:top w:val="single" w:sz="24" w:space="0" w:color="auto"/>
            </w:tcBorders>
            <w:noWrap/>
          </w:tcPr>
          <w:p w:rsidR="00B231CB" w:rsidRDefault="00C71431">
            <w:pPr>
              <w:spacing w:after="60" w:line="276" w:lineRule="auto"/>
              <w:rPr>
                <w:noProof/>
                <w:color w:val="000000" w:themeColor="text1"/>
              </w:rPr>
            </w:pPr>
            <w:r>
              <w:rPr>
                <w:i/>
                <w:noProof/>
                <w:color w:val="000000" w:themeColor="text1"/>
              </w:rPr>
              <w:t>Net savings [3-1-2]</w:t>
            </w:r>
          </w:p>
        </w:tc>
        <w:tc>
          <w:tcPr>
            <w:tcW w:w="620" w:type="pct"/>
            <w:tcBorders>
              <w:top w:val="single" w:sz="24" w:space="0" w:color="auto"/>
            </w:tcBorders>
            <w:noWrap/>
          </w:tcPr>
          <w:p w:rsidR="00B231CB" w:rsidRDefault="00C71431">
            <w:pPr>
              <w:spacing w:after="60" w:line="276" w:lineRule="auto"/>
              <w:jc w:val="center"/>
              <w:rPr>
                <w:i/>
                <w:noProof/>
                <w:color w:val="000000" w:themeColor="text1"/>
              </w:rPr>
            </w:pPr>
            <w:r>
              <w:rPr>
                <w:i/>
                <w:noProof/>
                <w:color w:val="000000" w:themeColor="text1"/>
              </w:rPr>
              <w:t>1,687</w:t>
            </w:r>
          </w:p>
        </w:tc>
        <w:tc>
          <w:tcPr>
            <w:tcW w:w="620" w:type="pct"/>
            <w:tcBorders>
              <w:top w:val="single" w:sz="24" w:space="0" w:color="auto"/>
            </w:tcBorders>
            <w:noWrap/>
          </w:tcPr>
          <w:p w:rsidR="00B231CB" w:rsidRDefault="00C71431">
            <w:pPr>
              <w:spacing w:after="60" w:line="276" w:lineRule="auto"/>
              <w:jc w:val="center"/>
              <w:rPr>
                <w:i/>
                <w:noProof/>
                <w:color w:val="000000" w:themeColor="text1"/>
              </w:rPr>
            </w:pPr>
            <w:r>
              <w:rPr>
                <w:i/>
                <w:noProof/>
                <w:color w:val="000000" w:themeColor="text1"/>
              </w:rPr>
              <w:t>2,036</w:t>
            </w:r>
          </w:p>
        </w:tc>
        <w:tc>
          <w:tcPr>
            <w:tcW w:w="620" w:type="pct"/>
            <w:tcBorders>
              <w:top w:val="single" w:sz="24" w:space="0" w:color="auto"/>
            </w:tcBorders>
          </w:tcPr>
          <w:p w:rsidR="00B231CB" w:rsidRDefault="00C71431">
            <w:pPr>
              <w:spacing w:after="60" w:line="276" w:lineRule="auto"/>
              <w:jc w:val="center"/>
              <w:rPr>
                <w:i/>
                <w:noProof/>
                <w:color w:val="000000" w:themeColor="text1"/>
              </w:rPr>
            </w:pPr>
            <w:r>
              <w:rPr>
                <w:i/>
                <w:noProof/>
                <w:color w:val="000000" w:themeColor="text1"/>
              </w:rPr>
              <w:t>2,247</w:t>
            </w:r>
          </w:p>
        </w:tc>
        <w:tc>
          <w:tcPr>
            <w:tcW w:w="620" w:type="pct"/>
            <w:tcBorders>
              <w:top w:val="single" w:sz="24" w:space="0" w:color="auto"/>
            </w:tcBorders>
            <w:noWrap/>
          </w:tcPr>
          <w:p w:rsidR="00B231CB" w:rsidRDefault="00C71431">
            <w:pPr>
              <w:spacing w:after="60" w:line="276" w:lineRule="auto"/>
              <w:jc w:val="center"/>
              <w:rPr>
                <w:i/>
                <w:noProof/>
                <w:color w:val="000000" w:themeColor="text1"/>
              </w:rPr>
            </w:pPr>
            <w:r>
              <w:rPr>
                <w:i/>
                <w:noProof/>
                <w:color w:val="000000" w:themeColor="text1"/>
              </w:rPr>
              <w:t>2,386</w:t>
            </w:r>
          </w:p>
        </w:tc>
        <w:tc>
          <w:tcPr>
            <w:tcW w:w="620" w:type="pct"/>
            <w:tcBorders>
              <w:top w:val="single" w:sz="24" w:space="0" w:color="auto"/>
            </w:tcBorders>
            <w:noWrap/>
          </w:tcPr>
          <w:p w:rsidR="00B231CB" w:rsidRDefault="00C71431">
            <w:pPr>
              <w:spacing w:after="60" w:line="276" w:lineRule="auto"/>
              <w:jc w:val="center"/>
              <w:rPr>
                <w:i/>
                <w:noProof/>
                <w:color w:val="000000" w:themeColor="text1"/>
              </w:rPr>
            </w:pPr>
            <w:r>
              <w:rPr>
                <w:i/>
                <w:noProof/>
                <w:color w:val="000000" w:themeColor="text1"/>
              </w:rPr>
              <w:t>2,067</w:t>
            </w:r>
          </w:p>
        </w:tc>
        <w:tc>
          <w:tcPr>
            <w:tcW w:w="621" w:type="pct"/>
            <w:tcBorders>
              <w:top w:val="single" w:sz="24" w:space="0" w:color="auto"/>
            </w:tcBorders>
            <w:noWrap/>
          </w:tcPr>
          <w:p w:rsidR="00B231CB" w:rsidRDefault="00C71431">
            <w:pPr>
              <w:spacing w:after="60" w:line="276" w:lineRule="auto"/>
              <w:jc w:val="center"/>
              <w:rPr>
                <w:i/>
                <w:noProof/>
                <w:color w:val="000000" w:themeColor="text1"/>
              </w:rPr>
            </w:pPr>
            <w:r>
              <w:rPr>
                <w:i/>
                <w:noProof/>
                <w:color w:val="000000" w:themeColor="text1"/>
              </w:rPr>
              <w:t>2,060</w:t>
            </w:r>
          </w:p>
        </w:tc>
      </w:tr>
    </w:tbl>
    <w:bookmarkEnd w:id="144"/>
    <w:p w:rsidR="00B231CB" w:rsidRDefault="00C71431">
      <w:pPr>
        <w:pStyle w:val="Heading5"/>
        <w:rPr>
          <w:noProof/>
          <w:color w:val="000000" w:themeColor="text1"/>
        </w:rPr>
      </w:pPr>
      <w:r>
        <w:rPr>
          <w:noProof/>
          <w:color w:val="000000" w:themeColor="text1"/>
        </w:rPr>
        <w:t xml:space="preserve">TCO-15 years (vehicle lifetime) </w:t>
      </w:r>
    </w:p>
    <w:bookmarkStart w:id="145" w:name="_Ref493267879"/>
    <w:bookmarkStart w:id="146" w:name="_Ref493267868"/>
    <w:p w:rsidR="00B231CB" w:rsidRDefault="00C71431">
      <w:pPr>
        <w:spacing w:after="120"/>
        <w:rPr>
          <w:noProof/>
          <w:color w:val="000000" w:themeColor="text1"/>
        </w:rPr>
      </w:pPr>
      <w:r>
        <w:rPr>
          <w:noProof/>
          <w:color w:val="000000" w:themeColor="text1"/>
          <w:highlight w:val="yellow"/>
        </w:rPr>
        <w:fldChar w:fldCharType="begin"/>
      </w:r>
      <w:r>
        <w:rPr>
          <w:noProof/>
          <w:color w:val="000000" w:themeColor="text1"/>
        </w:rPr>
        <w:instrText xml:space="preserve"> REF _Ref494106733 \h </w:instrText>
      </w:r>
      <w:r>
        <w:rPr>
          <w:noProof/>
          <w:color w:val="000000" w:themeColor="text1"/>
          <w:highlight w:val="yellow"/>
        </w:rPr>
      </w:r>
      <w:r>
        <w:rPr>
          <w:noProof/>
          <w:color w:val="000000" w:themeColor="text1"/>
          <w:highlight w:val="yellow"/>
        </w:rPr>
        <w:fldChar w:fldCharType="separate"/>
      </w:r>
      <w:r>
        <w:rPr>
          <w:noProof/>
          <w:color w:val="000000" w:themeColor="text1"/>
          <w:szCs w:val="24"/>
        </w:rPr>
        <w:t>Table 19</w:t>
      </w:r>
      <w:r>
        <w:rPr>
          <w:noProof/>
          <w:color w:val="000000" w:themeColor="text1"/>
          <w:highlight w:val="yellow"/>
        </w:rPr>
        <w:fldChar w:fldCharType="end"/>
      </w:r>
      <w:r>
        <w:rPr>
          <w:noProof/>
          <w:color w:val="000000" w:themeColor="text1"/>
        </w:rPr>
        <w:t xml:space="preserve"> shows the TCO over 15 years (EUR per car) of an average new passenger car registered in 2025 and in 2030 under the different TLC options (expressed as the difference with the baseline). </w:t>
      </w:r>
    </w:p>
    <w:p w:rsidR="00B231CB" w:rsidRDefault="00C71431">
      <w:pPr>
        <w:pStyle w:val="Caption"/>
        <w:keepNext/>
        <w:rPr>
          <w:noProof/>
          <w:color w:val="000000" w:themeColor="text1"/>
          <w:szCs w:val="24"/>
        </w:rPr>
      </w:pPr>
      <w:bookmarkStart w:id="147" w:name="_Ref494106733"/>
      <w:r>
        <w:rPr>
          <w:noProof/>
          <w:color w:val="000000" w:themeColor="text1"/>
          <w:szCs w:val="24"/>
        </w:rPr>
        <w:t>Tabl</w:t>
      </w:r>
      <w:r>
        <w:rPr>
          <w:noProof/>
          <w:color w:val="000000" w:themeColor="text1"/>
          <w:szCs w:val="24"/>
        </w:rPr>
        <w:t xml:space="preserve">e </w:t>
      </w:r>
      <w:r>
        <w:rPr>
          <w:noProof/>
          <w:color w:val="000000" w:themeColor="text1"/>
          <w:szCs w:val="24"/>
        </w:rPr>
        <w:fldChar w:fldCharType="begin"/>
      </w:r>
      <w:r>
        <w:rPr>
          <w:noProof/>
          <w:color w:val="000000" w:themeColor="text1"/>
          <w:szCs w:val="24"/>
        </w:rPr>
        <w:instrText xml:space="preserve"> SEQ Table \* ARABIC </w:instrText>
      </w:r>
      <w:r>
        <w:rPr>
          <w:noProof/>
          <w:color w:val="000000" w:themeColor="text1"/>
          <w:szCs w:val="24"/>
        </w:rPr>
        <w:fldChar w:fldCharType="separate"/>
      </w:r>
      <w:r>
        <w:rPr>
          <w:noProof/>
          <w:color w:val="000000" w:themeColor="text1"/>
          <w:szCs w:val="24"/>
        </w:rPr>
        <w:t>19</w:t>
      </w:r>
      <w:r>
        <w:rPr>
          <w:noProof/>
          <w:color w:val="000000" w:themeColor="text1"/>
          <w:szCs w:val="24"/>
        </w:rPr>
        <w:fldChar w:fldCharType="end"/>
      </w:r>
      <w:bookmarkEnd w:id="147"/>
      <w:r>
        <w:rPr>
          <w:noProof/>
          <w:color w:val="000000" w:themeColor="text1"/>
          <w:szCs w:val="24"/>
        </w:rPr>
        <w:t xml:space="preserve">: TCO-15 years in 2025 and 2030 (EUR/van) </w:t>
      </w:r>
    </w:p>
    <w:tbl>
      <w:tblPr>
        <w:tblStyle w:val="TableGrid"/>
        <w:tblW w:w="5000" w:type="pct"/>
        <w:tblLook w:val="04A0" w:firstRow="1" w:lastRow="0" w:firstColumn="1" w:lastColumn="0" w:noHBand="0" w:noVBand="1"/>
      </w:tblPr>
      <w:tblGrid>
        <w:gridCol w:w="1381"/>
        <w:gridCol w:w="1314"/>
        <w:gridCol w:w="1315"/>
        <w:gridCol w:w="1317"/>
        <w:gridCol w:w="1315"/>
        <w:gridCol w:w="1323"/>
        <w:gridCol w:w="1323"/>
      </w:tblGrid>
      <w:tr w:rsidR="00B231CB">
        <w:trPr>
          <w:trHeight w:val="255"/>
        </w:trPr>
        <w:tc>
          <w:tcPr>
            <w:tcW w:w="743" w:type="pct"/>
            <w:noWrap/>
            <w:hideMark/>
          </w:tcPr>
          <w:p w:rsidR="00B231CB" w:rsidRDefault="00B231CB">
            <w:pPr>
              <w:spacing w:after="60" w:line="276" w:lineRule="auto"/>
              <w:rPr>
                <w:noProof/>
                <w:color w:val="000000" w:themeColor="text1"/>
                <w:szCs w:val="24"/>
              </w:rPr>
            </w:pPr>
          </w:p>
        </w:tc>
        <w:tc>
          <w:tcPr>
            <w:tcW w:w="707" w:type="pct"/>
            <w:noWrap/>
          </w:tcPr>
          <w:p w:rsidR="00B231CB" w:rsidRDefault="00C71431">
            <w:pPr>
              <w:spacing w:after="60" w:line="276" w:lineRule="auto"/>
              <w:jc w:val="center"/>
              <w:rPr>
                <w:noProof/>
                <w:color w:val="000000" w:themeColor="text1"/>
                <w:szCs w:val="24"/>
              </w:rPr>
            </w:pPr>
            <w:r>
              <w:rPr>
                <w:noProof/>
                <w:szCs w:val="24"/>
              </w:rPr>
              <w:t>TLV20</w:t>
            </w:r>
          </w:p>
        </w:tc>
        <w:tc>
          <w:tcPr>
            <w:tcW w:w="708" w:type="pct"/>
            <w:noWrap/>
          </w:tcPr>
          <w:p w:rsidR="00B231CB" w:rsidRDefault="00C71431">
            <w:pPr>
              <w:spacing w:after="60" w:line="276" w:lineRule="auto"/>
              <w:jc w:val="center"/>
              <w:rPr>
                <w:noProof/>
                <w:color w:val="000000" w:themeColor="text1"/>
                <w:szCs w:val="24"/>
              </w:rPr>
            </w:pPr>
            <w:r>
              <w:rPr>
                <w:noProof/>
                <w:szCs w:val="24"/>
              </w:rPr>
              <w:t>TLV25</w:t>
            </w:r>
          </w:p>
        </w:tc>
        <w:tc>
          <w:tcPr>
            <w:tcW w:w="709" w:type="pct"/>
            <w:noWrap/>
          </w:tcPr>
          <w:p w:rsidR="00B231CB" w:rsidRDefault="00C71431">
            <w:pPr>
              <w:spacing w:after="60" w:line="276" w:lineRule="auto"/>
              <w:jc w:val="center"/>
              <w:rPr>
                <w:noProof/>
                <w:color w:val="000000" w:themeColor="text1"/>
                <w:szCs w:val="24"/>
              </w:rPr>
            </w:pPr>
            <w:r>
              <w:rPr>
                <w:noProof/>
                <w:szCs w:val="24"/>
              </w:rPr>
              <w:t>TLV30</w:t>
            </w:r>
          </w:p>
        </w:tc>
        <w:tc>
          <w:tcPr>
            <w:tcW w:w="708" w:type="pct"/>
            <w:noWrap/>
          </w:tcPr>
          <w:p w:rsidR="00B231CB" w:rsidRDefault="00C71431">
            <w:pPr>
              <w:spacing w:after="60" w:line="276" w:lineRule="auto"/>
              <w:jc w:val="center"/>
              <w:rPr>
                <w:noProof/>
                <w:color w:val="000000" w:themeColor="text1"/>
                <w:szCs w:val="24"/>
              </w:rPr>
            </w:pPr>
            <w:r>
              <w:rPr>
                <w:noProof/>
                <w:szCs w:val="24"/>
              </w:rPr>
              <w:t>TLV40</w:t>
            </w:r>
          </w:p>
        </w:tc>
        <w:tc>
          <w:tcPr>
            <w:tcW w:w="712" w:type="pct"/>
            <w:noWrap/>
          </w:tcPr>
          <w:p w:rsidR="00B231CB" w:rsidRDefault="00C71431">
            <w:pPr>
              <w:spacing w:after="60" w:line="276" w:lineRule="auto"/>
              <w:jc w:val="center"/>
              <w:rPr>
                <w:noProof/>
                <w:color w:val="000000" w:themeColor="text1"/>
                <w:szCs w:val="24"/>
              </w:rPr>
            </w:pPr>
            <w:r>
              <w:rPr>
                <w:noProof/>
                <w:szCs w:val="24"/>
              </w:rPr>
              <w:t>TLV_EP40</w:t>
            </w:r>
          </w:p>
        </w:tc>
        <w:tc>
          <w:tcPr>
            <w:tcW w:w="712" w:type="pct"/>
            <w:noWrap/>
          </w:tcPr>
          <w:p w:rsidR="00B231CB" w:rsidRDefault="00C71431">
            <w:pPr>
              <w:spacing w:after="60" w:line="276" w:lineRule="auto"/>
              <w:jc w:val="center"/>
              <w:rPr>
                <w:noProof/>
                <w:color w:val="000000" w:themeColor="text1"/>
                <w:szCs w:val="24"/>
              </w:rPr>
            </w:pPr>
            <w:r>
              <w:rPr>
                <w:noProof/>
                <w:szCs w:val="24"/>
              </w:rPr>
              <w:t>TLV_EP50</w:t>
            </w:r>
          </w:p>
        </w:tc>
      </w:tr>
      <w:tr w:rsidR="00B231CB">
        <w:trPr>
          <w:trHeight w:val="255"/>
        </w:trPr>
        <w:tc>
          <w:tcPr>
            <w:tcW w:w="743" w:type="pct"/>
            <w:noWrap/>
          </w:tcPr>
          <w:p w:rsidR="00B231CB" w:rsidRDefault="00C71431">
            <w:pPr>
              <w:spacing w:after="120"/>
              <w:rPr>
                <w:noProof/>
                <w:color w:val="000000" w:themeColor="text1"/>
                <w:szCs w:val="24"/>
              </w:rPr>
            </w:pPr>
            <w:r>
              <w:rPr>
                <w:b/>
                <w:noProof/>
                <w:color w:val="000000" w:themeColor="text1"/>
                <w:szCs w:val="24"/>
              </w:rPr>
              <w:t>2025</w:t>
            </w:r>
          </w:p>
        </w:tc>
        <w:tc>
          <w:tcPr>
            <w:tcW w:w="707" w:type="pct"/>
            <w:noWrap/>
          </w:tcPr>
          <w:p w:rsidR="00B231CB" w:rsidRDefault="00C71431">
            <w:pPr>
              <w:spacing w:after="120"/>
              <w:jc w:val="center"/>
              <w:rPr>
                <w:noProof/>
                <w:color w:val="000000" w:themeColor="text1"/>
              </w:rPr>
            </w:pPr>
            <w:r>
              <w:rPr>
                <w:noProof/>
              </w:rPr>
              <w:t>1,382</w:t>
            </w:r>
          </w:p>
        </w:tc>
        <w:tc>
          <w:tcPr>
            <w:tcW w:w="708" w:type="pct"/>
            <w:noWrap/>
          </w:tcPr>
          <w:p w:rsidR="00B231CB" w:rsidRDefault="00C71431">
            <w:pPr>
              <w:spacing w:after="120"/>
              <w:jc w:val="center"/>
              <w:rPr>
                <w:noProof/>
                <w:color w:val="000000" w:themeColor="text1"/>
              </w:rPr>
            </w:pPr>
            <w:r>
              <w:rPr>
                <w:noProof/>
              </w:rPr>
              <w:t>1,680</w:t>
            </w:r>
          </w:p>
        </w:tc>
        <w:tc>
          <w:tcPr>
            <w:tcW w:w="709" w:type="pct"/>
            <w:noWrap/>
          </w:tcPr>
          <w:p w:rsidR="00B231CB" w:rsidRDefault="00C71431">
            <w:pPr>
              <w:spacing w:after="120"/>
              <w:jc w:val="center"/>
              <w:rPr>
                <w:noProof/>
                <w:color w:val="000000" w:themeColor="text1"/>
              </w:rPr>
            </w:pPr>
            <w:r>
              <w:rPr>
                <w:noProof/>
              </w:rPr>
              <w:t>2,255</w:t>
            </w:r>
          </w:p>
        </w:tc>
        <w:tc>
          <w:tcPr>
            <w:tcW w:w="708" w:type="pct"/>
            <w:noWrap/>
          </w:tcPr>
          <w:p w:rsidR="00B231CB" w:rsidRDefault="00C71431">
            <w:pPr>
              <w:spacing w:after="120"/>
              <w:jc w:val="center"/>
              <w:rPr>
                <w:noProof/>
                <w:color w:val="000000" w:themeColor="text1"/>
              </w:rPr>
            </w:pPr>
            <w:r>
              <w:rPr>
                <w:noProof/>
              </w:rPr>
              <w:t>2,466</w:t>
            </w:r>
          </w:p>
        </w:tc>
        <w:tc>
          <w:tcPr>
            <w:tcW w:w="712" w:type="pct"/>
            <w:noWrap/>
          </w:tcPr>
          <w:p w:rsidR="00B231CB" w:rsidRDefault="00C71431">
            <w:pPr>
              <w:spacing w:after="120"/>
              <w:jc w:val="center"/>
              <w:rPr>
                <w:noProof/>
                <w:color w:val="000000" w:themeColor="text1"/>
                <w:szCs w:val="24"/>
              </w:rPr>
            </w:pPr>
            <w:r>
              <w:rPr>
                <w:noProof/>
              </w:rPr>
              <w:t>2,520</w:t>
            </w:r>
          </w:p>
        </w:tc>
        <w:tc>
          <w:tcPr>
            <w:tcW w:w="712" w:type="pct"/>
            <w:noWrap/>
          </w:tcPr>
          <w:p w:rsidR="00B231CB" w:rsidRDefault="00C71431">
            <w:pPr>
              <w:spacing w:after="120"/>
              <w:jc w:val="center"/>
              <w:rPr>
                <w:noProof/>
                <w:color w:val="000000" w:themeColor="text1"/>
                <w:szCs w:val="24"/>
              </w:rPr>
            </w:pPr>
            <w:r>
              <w:rPr>
                <w:noProof/>
              </w:rPr>
              <w:t>2,390</w:t>
            </w:r>
          </w:p>
        </w:tc>
      </w:tr>
      <w:tr w:rsidR="00B231CB">
        <w:trPr>
          <w:trHeight w:val="255"/>
        </w:trPr>
        <w:tc>
          <w:tcPr>
            <w:tcW w:w="743" w:type="pct"/>
            <w:noWrap/>
          </w:tcPr>
          <w:p w:rsidR="00B231CB" w:rsidRDefault="00C71431">
            <w:pPr>
              <w:spacing w:after="120"/>
              <w:rPr>
                <w:noProof/>
                <w:color w:val="000000" w:themeColor="text1"/>
                <w:szCs w:val="24"/>
              </w:rPr>
            </w:pPr>
            <w:r>
              <w:rPr>
                <w:b/>
                <w:noProof/>
                <w:color w:val="000000" w:themeColor="text1"/>
                <w:szCs w:val="24"/>
              </w:rPr>
              <w:t>2030</w:t>
            </w:r>
          </w:p>
        </w:tc>
        <w:tc>
          <w:tcPr>
            <w:tcW w:w="707" w:type="pct"/>
            <w:noWrap/>
          </w:tcPr>
          <w:p w:rsidR="00B231CB" w:rsidRDefault="00C71431">
            <w:pPr>
              <w:spacing w:after="120"/>
              <w:jc w:val="center"/>
              <w:rPr>
                <w:noProof/>
                <w:color w:val="000000" w:themeColor="text1"/>
              </w:rPr>
            </w:pPr>
            <w:r>
              <w:rPr>
                <w:noProof/>
              </w:rPr>
              <w:t>2,764</w:t>
            </w:r>
          </w:p>
        </w:tc>
        <w:tc>
          <w:tcPr>
            <w:tcW w:w="708" w:type="pct"/>
            <w:noWrap/>
          </w:tcPr>
          <w:p w:rsidR="00B231CB" w:rsidRDefault="00C71431">
            <w:pPr>
              <w:spacing w:after="120"/>
              <w:jc w:val="center"/>
              <w:rPr>
                <w:noProof/>
                <w:color w:val="000000" w:themeColor="text1"/>
              </w:rPr>
            </w:pPr>
            <w:r>
              <w:rPr>
                <w:noProof/>
              </w:rPr>
              <w:t>3,377</w:t>
            </w:r>
          </w:p>
        </w:tc>
        <w:tc>
          <w:tcPr>
            <w:tcW w:w="709" w:type="pct"/>
            <w:noWrap/>
          </w:tcPr>
          <w:p w:rsidR="00B231CB" w:rsidRDefault="00C71431">
            <w:pPr>
              <w:spacing w:after="120"/>
              <w:jc w:val="center"/>
              <w:rPr>
                <w:noProof/>
                <w:color w:val="000000" w:themeColor="text1"/>
              </w:rPr>
            </w:pPr>
            <w:r>
              <w:rPr>
                <w:noProof/>
              </w:rPr>
              <w:t>3,825</w:t>
            </w:r>
          </w:p>
        </w:tc>
        <w:tc>
          <w:tcPr>
            <w:tcW w:w="708" w:type="pct"/>
            <w:noWrap/>
          </w:tcPr>
          <w:p w:rsidR="00B231CB" w:rsidRDefault="00C71431">
            <w:pPr>
              <w:spacing w:after="120"/>
              <w:jc w:val="center"/>
              <w:rPr>
                <w:noProof/>
                <w:color w:val="000000" w:themeColor="text1"/>
              </w:rPr>
            </w:pPr>
            <w:r>
              <w:rPr>
                <w:noProof/>
              </w:rPr>
              <w:t>4,390</w:t>
            </w:r>
          </w:p>
        </w:tc>
        <w:tc>
          <w:tcPr>
            <w:tcW w:w="712" w:type="pct"/>
            <w:noWrap/>
          </w:tcPr>
          <w:p w:rsidR="00B231CB" w:rsidRDefault="00C71431">
            <w:pPr>
              <w:spacing w:after="120"/>
              <w:jc w:val="center"/>
              <w:rPr>
                <w:noProof/>
                <w:color w:val="000000" w:themeColor="text1"/>
                <w:szCs w:val="24"/>
              </w:rPr>
            </w:pPr>
            <w:r>
              <w:rPr>
                <w:noProof/>
              </w:rPr>
              <w:t>3,211</w:t>
            </w:r>
          </w:p>
        </w:tc>
        <w:tc>
          <w:tcPr>
            <w:tcW w:w="712" w:type="pct"/>
            <w:noWrap/>
          </w:tcPr>
          <w:p w:rsidR="00B231CB" w:rsidRDefault="00C71431">
            <w:pPr>
              <w:spacing w:after="120"/>
              <w:jc w:val="center"/>
              <w:rPr>
                <w:noProof/>
                <w:color w:val="000000" w:themeColor="text1"/>
                <w:szCs w:val="24"/>
              </w:rPr>
            </w:pPr>
            <w:r>
              <w:rPr>
                <w:noProof/>
              </w:rPr>
              <w:t>4,403</w:t>
            </w:r>
          </w:p>
        </w:tc>
      </w:tr>
    </w:tbl>
    <w:p w:rsidR="00B231CB" w:rsidRDefault="00C71431">
      <w:pPr>
        <w:pStyle w:val="Heading5"/>
        <w:rPr>
          <w:noProof/>
        </w:rPr>
      </w:pPr>
      <w:bookmarkStart w:id="148" w:name="_Ref493270454"/>
      <w:bookmarkEnd w:id="145"/>
      <w:bookmarkEnd w:id="146"/>
      <w:r>
        <w:rPr>
          <w:noProof/>
        </w:rPr>
        <w:t>TCO-first user (5 years)</w:t>
      </w:r>
      <w:bookmarkEnd w:id="148"/>
    </w:p>
    <w:p w:rsidR="00B231CB" w:rsidRDefault="00C71431">
      <w:pPr>
        <w:spacing w:after="120"/>
        <w:rPr>
          <w:noProof/>
          <w:color w:val="000000" w:themeColor="text1"/>
        </w:rPr>
      </w:pPr>
      <w:r>
        <w:rPr>
          <w:noProof/>
          <w:color w:val="000000" w:themeColor="text1"/>
        </w:rPr>
        <w:fldChar w:fldCharType="begin"/>
      </w:r>
      <w:r>
        <w:rPr>
          <w:noProof/>
          <w:color w:val="000000" w:themeColor="text1"/>
        </w:rPr>
        <w:instrText xml:space="preserve"> REF _Ref494106772 \h </w:instrText>
      </w:r>
      <w:r>
        <w:rPr>
          <w:noProof/>
          <w:color w:val="000000" w:themeColor="text1"/>
        </w:rPr>
      </w:r>
      <w:r>
        <w:rPr>
          <w:noProof/>
          <w:color w:val="000000" w:themeColor="text1"/>
        </w:rPr>
        <w:fldChar w:fldCharType="separate"/>
      </w:r>
      <w:r>
        <w:rPr>
          <w:noProof/>
        </w:rPr>
        <w:t>Table 20</w:t>
      </w:r>
      <w:r>
        <w:rPr>
          <w:noProof/>
          <w:color w:val="000000" w:themeColor="text1"/>
        </w:rPr>
        <w:fldChar w:fldCharType="end"/>
      </w:r>
      <w:r>
        <w:rPr>
          <w:noProof/>
          <w:color w:val="000000" w:themeColor="text1"/>
        </w:rPr>
        <w:t xml:space="preserve"> shows the net savings from a first end-user perspective for an average new van registered in 2025 and in 2030 under the different TLV options (expressed as the difference with the baseline)</w:t>
      </w:r>
      <w:r>
        <w:rPr>
          <w:noProof/>
          <w:color w:val="000000" w:themeColor="text1"/>
        </w:rPr>
        <w:t xml:space="preserve">. </w:t>
      </w:r>
    </w:p>
    <w:p w:rsidR="00B231CB" w:rsidRDefault="00C71431">
      <w:pPr>
        <w:pStyle w:val="Caption"/>
        <w:keepNext/>
        <w:jc w:val="both"/>
        <w:rPr>
          <w:noProof/>
          <w:szCs w:val="24"/>
        </w:rPr>
      </w:pPr>
      <w:bookmarkStart w:id="149" w:name="_Ref494106772"/>
      <w:r>
        <w:rPr>
          <w:noProof/>
        </w:rPr>
        <w:t xml:space="preserve">Table </w:t>
      </w:r>
      <w:r>
        <w:rPr>
          <w:noProof/>
        </w:rPr>
        <w:fldChar w:fldCharType="begin"/>
      </w:r>
      <w:r>
        <w:rPr>
          <w:noProof/>
        </w:rPr>
        <w:instrText xml:space="preserve"> SEQ Table \* ARABIC </w:instrText>
      </w:r>
      <w:r>
        <w:rPr>
          <w:noProof/>
        </w:rPr>
        <w:fldChar w:fldCharType="separate"/>
      </w:r>
      <w:r>
        <w:rPr>
          <w:noProof/>
        </w:rPr>
        <w:t>20</w:t>
      </w:r>
      <w:r>
        <w:rPr>
          <w:noProof/>
        </w:rPr>
        <w:fldChar w:fldCharType="end"/>
      </w:r>
      <w:bookmarkEnd w:id="149"/>
      <w:r>
        <w:rPr>
          <w:noProof/>
        </w:rPr>
        <w:t xml:space="preserve">: </w:t>
      </w:r>
      <w:r>
        <w:rPr>
          <w:noProof/>
          <w:szCs w:val="24"/>
        </w:rPr>
        <w:t>TCO-first user (5 years) in 2025 and 2030 (EUR/van)</w:t>
      </w:r>
    </w:p>
    <w:tbl>
      <w:tblPr>
        <w:tblStyle w:val="TableGrid"/>
        <w:tblW w:w="5000" w:type="pct"/>
        <w:tblLook w:val="04A0" w:firstRow="1" w:lastRow="0" w:firstColumn="1" w:lastColumn="0" w:noHBand="0" w:noVBand="1"/>
      </w:tblPr>
      <w:tblGrid>
        <w:gridCol w:w="2325"/>
        <w:gridCol w:w="957"/>
        <w:gridCol w:w="998"/>
        <w:gridCol w:w="1295"/>
        <w:gridCol w:w="957"/>
        <w:gridCol w:w="1378"/>
        <w:gridCol w:w="1378"/>
      </w:tblGrid>
      <w:tr w:rsidR="00B231CB">
        <w:trPr>
          <w:trHeight w:val="255"/>
        </w:trPr>
        <w:tc>
          <w:tcPr>
            <w:tcW w:w="1252" w:type="pct"/>
            <w:noWrap/>
            <w:hideMark/>
          </w:tcPr>
          <w:p w:rsidR="00B231CB" w:rsidRDefault="00C71431">
            <w:pPr>
              <w:spacing w:after="120"/>
              <w:rPr>
                <w:noProof/>
                <w:szCs w:val="24"/>
              </w:rPr>
            </w:pPr>
            <w:r>
              <w:rPr>
                <w:b/>
                <w:noProof/>
                <w:szCs w:val="24"/>
              </w:rPr>
              <w:t>2025 (EUR/van</w:t>
            </w:r>
            <w:r>
              <w:rPr>
                <w:noProof/>
                <w:szCs w:val="24"/>
              </w:rPr>
              <w:t>)</w:t>
            </w:r>
          </w:p>
        </w:tc>
        <w:tc>
          <w:tcPr>
            <w:tcW w:w="515" w:type="pct"/>
            <w:noWrap/>
          </w:tcPr>
          <w:p w:rsidR="00B231CB" w:rsidRDefault="00C71431">
            <w:pPr>
              <w:spacing w:after="120"/>
              <w:jc w:val="center"/>
              <w:rPr>
                <w:noProof/>
                <w:szCs w:val="24"/>
              </w:rPr>
            </w:pPr>
            <w:r>
              <w:rPr>
                <w:noProof/>
                <w:szCs w:val="24"/>
              </w:rPr>
              <w:t>TLV20</w:t>
            </w:r>
          </w:p>
        </w:tc>
        <w:tc>
          <w:tcPr>
            <w:tcW w:w="537" w:type="pct"/>
            <w:noWrap/>
          </w:tcPr>
          <w:p w:rsidR="00B231CB" w:rsidRDefault="00C71431">
            <w:pPr>
              <w:spacing w:after="120"/>
              <w:jc w:val="center"/>
              <w:rPr>
                <w:noProof/>
                <w:szCs w:val="24"/>
              </w:rPr>
            </w:pPr>
            <w:r>
              <w:rPr>
                <w:noProof/>
                <w:szCs w:val="24"/>
              </w:rPr>
              <w:t>TLV25</w:t>
            </w:r>
          </w:p>
        </w:tc>
        <w:tc>
          <w:tcPr>
            <w:tcW w:w="697" w:type="pct"/>
            <w:noWrap/>
          </w:tcPr>
          <w:p w:rsidR="00B231CB" w:rsidRDefault="00C71431">
            <w:pPr>
              <w:spacing w:after="120"/>
              <w:jc w:val="center"/>
              <w:rPr>
                <w:noProof/>
                <w:szCs w:val="24"/>
              </w:rPr>
            </w:pPr>
            <w:r>
              <w:rPr>
                <w:noProof/>
                <w:szCs w:val="24"/>
              </w:rPr>
              <w:t>TLV30</w:t>
            </w:r>
          </w:p>
        </w:tc>
        <w:tc>
          <w:tcPr>
            <w:tcW w:w="515" w:type="pct"/>
            <w:noWrap/>
          </w:tcPr>
          <w:p w:rsidR="00B231CB" w:rsidRDefault="00C71431">
            <w:pPr>
              <w:spacing w:after="120"/>
              <w:jc w:val="center"/>
              <w:rPr>
                <w:noProof/>
                <w:szCs w:val="24"/>
              </w:rPr>
            </w:pPr>
            <w:r>
              <w:rPr>
                <w:noProof/>
                <w:szCs w:val="24"/>
              </w:rPr>
              <w:t>TLV40</w:t>
            </w:r>
          </w:p>
        </w:tc>
        <w:tc>
          <w:tcPr>
            <w:tcW w:w="742" w:type="pct"/>
            <w:noWrap/>
          </w:tcPr>
          <w:p w:rsidR="00B231CB" w:rsidRDefault="00C71431">
            <w:pPr>
              <w:spacing w:after="120"/>
              <w:jc w:val="center"/>
              <w:rPr>
                <w:noProof/>
                <w:szCs w:val="24"/>
              </w:rPr>
            </w:pPr>
            <w:r>
              <w:rPr>
                <w:noProof/>
                <w:szCs w:val="24"/>
              </w:rPr>
              <w:t>TLV_EP40</w:t>
            </w:r>
          </w:p>
        </w:tc>
        <w:tc>
          <w:tcPr>
            <w:tcW w:w="742" w:type="pct"/>
            <w:noWrap/>
          </w:tcPr>
          <w:p w:rsidR="00B231CB" w:rsidRDefault="00C71431">
            <w:pPr>
              <w:spacing w:after="120"/>
              <w:jc w:val="center"/>
              <w:rPr>
                <w:noProof/>
                <w:szCs w:val="24"/>
              </w:rPr>
            </w:pPr>
            <w:r>
              <w:rPr>
                <w:noProof/>
                <w:szCs w:val="24"/>
              </w:rPr>
              <w:t>TLV_EP50</w:t>
            </w:r>
          </w:p>
        </w:tc>
      </w:tr>
      <w:tr w:rsidR="00B231CB">
        <w:trPr>
          <w:trHeight w:val="255"/>
        </w:trPr>
        <w:tc>
          <w:tcPr>
            <w:tcW w:w="1252" w:type="pct"/>
            <w:noWrap/>
          </w:tcPr>
          <w:p w:rsidR="00B231CB" w:rsidRDefault="00C71431">
            <w:pPr>
              <w:spacing w:after="120"/>
              <w:rPr>
                <w:noProof/>
                <w:szCs w:val="24"/>
              </w:rPr>
            </w:pPr>
            <w:r>
              <w:rPr>
                <w:noProof/>
                <w:szCs w:val="24"/>
              </w:rPr>
              <w:t>Capital cost [1]</w:t>
            </w:r>
          </w:p>
        </w:tc>
        <w:tc>
          <w:tcPr>
            <w:tcW w:w="515" w:type="pct"/>
            <w:noWrap/>
          </w:tcPr>
          <w:p w:rsidR="00B231CB" w:rsidRDefault="00C71431">
            <w:pPr>
              <w:spacing w:after="120"/>
              <w:jc w:val="center"/>
              <w:rPr>
                <w:noProof/>
              </w:rPr>
            </w:pPr>
            <w:r>
              <w:rPr>
                <w:noProof/>
              </w:rPr>
              <w:t>144</w:t>
            </w:r>
          </w:p>
        </w:tc>
        <w:tc>
          <w:tcPr>
            <w:tcW w:w="537" w:type="pct"/>
            <w:noWrap/>
          </w:tcPr>
          <w:p w:rsidR="00B231CB" w:rsidRDefault="00C71431">
            <w:pPr>
              <w:spacing w:after="120"/>
              <w:jc w:val="center"/>
              <w:rPr>
                <w:noProof/>
              </w:rPr>
            </w:pPr>
            <w:r>
              <w:rPr>
                <w:noProof/>
              </w:rPr>
              <w:t>221</w:t>
            </w:r>
          </w:p>
        </w:tc>
        <w:tc>
          <w:tcPr>
            <w:tcW w:w="697" w:type="pct"/>
            <w:noWrap/>
          </w:tcPr>
          <w:p w:rsidR="00B231CB" w:rsidRDefault="00C71431">
            <w:pPr>
              <w:spacing w:after="120"/>
              <w:jc w:val="center"/>
              <w:rPr>
                <w:noProof/>
              </w:rPr>
            </w:pPr>
            <w:r>
              <w:rPr>
                <w:noProof/>
              </w:rPr>
              <w:t>244</w:t>
            </w:r>
          </w:p>
        </w:tc>
        <w:tc>
          <w:tcPr>
            <w:tcW w:w="515" w:type="pct"/>
            <w:noWrap/>
          </w:tcPr>
          <w:p w:rsidR="00B231CB" w:rsidRDefault="00C71431">
            <w:pPr>
              <w:spacing w:after="120"/>
              <w:jc w:val="center"/>
              <w:rPr>
                <w:noProof/>
              </w:rPr>
            </w:pPr>
            <w:r>
              <w:rPr>
                <w:noProof/>
              </w:rPr>
              <w:t>545</w:t>
            </w:r>
          </w:p>
        </w:tc>
        <w:tc>
          <w:tcPr>
            <w:tcW w:w="742" w:type="pct"/>
            <w:noWrap/>
          </w:tcPr>
          <w:p w:rsidR="00B231CB" w:rsidRDefault="00C71431">
            <w:pPr>
              <w:spacing w:after="120"/>
              <w:jc w:val="center"/>
              <w:rPr>
                <w:noProof/>
              </w:rPr>
            </w:pPr>
            <w:r>
              <w:rPr>
                <w:noProof/>
              </w:rPr>
              <w:t>778</w:t>
            </w:r>
          </w:p>
        </w:tc>
        <w:tc>
          <w:tcPr>
            <w:tcW w:w="742" w:type="pct"/>
            <w:noWrap/>
          </w:tcPr>
          <w:p w:rsidR="00B231CB" w:rsidRDefault="00C71431">
            <w:pPr>
              <w:spacing w:after="120"/>
              <w:jc w:val="center"/>
              <w:rPr>
                <w:noProof/>
              </w:rPr>
            </w:pPr>
            <w:r>
              <w:rPr>
                <w:noProof/>
              </w:rPr>
              <w:t>913</w:t>
            </w:r>
          </w:p>
        </w:tc>
      </w:tr>
      <w:tr w:rsidR="00B231CB">
        <w:trPr>
          <w:trHeight w:val="255"/>
        </w:trPr>
        <w:tc>
          <w:tcPr>
            <w:tcW w:w="1252" w:type="pct"/>
            <w:tcBorders>
              <w:bottom w:val="single" w:sz="4" w:space="0" w:color="auto"/>
            </w:tcBorders>
            <w:noWrap/>
          </w:tcPr>
          <w:p w:rsidR="00B231CB" w:rsidRDefault="00C71431">
            <w:pPr>
              <w:spacing w:after="120"/>
              <w:rPr>
                <w:noProof/>
                <w:szCs w:val="24"/>
              </w:rPr>
            </w:pPr>
            <w:r>
              <w:rPr>
                <w:noProof/>
                <w:szCs w:val="24"/>
              </w:rPr>
              <w:t xml:space="preserve">O&amp;M cost [2] </w:t>
            </w:r>
          </w:p>
        </w:tc>
        <w:tc>
          <w:tcPr>
            <w:tcW w:w="515" w:type="pct"/>
            <w:tcBorders>
              <w:bottom w:val="single" w:sz="4" w:space="0" w:color="auto"/>
            </w:tcBorders>
            <w:noWrap/>
          </w:tcPr>
          <w:p w:rsidR="00B231CB" w:rsidRDefault="00C71431">
            <w:pPr>
              <w:spacing w:after="120"/>
              <w:jc w:val="center"/>
              <w:rPr>
                <w:noProof/>
              </w:rPr>
            </w:pPr>
            <w:r>
              <w:rPr>
                <w:noProof/>
              </w:rPr>
              <w:t>-17</w:t>
            </w:r>
          </w:p>
        </w:tc>
        <w:tc>
          <w:tcPr>
            <w:tcW w:w="537" w:type="pct"/>
            <w:tcBorders>
              <w:bottom w:val="single" w:sz="4" w:space="0" w:color="auto"/>
            </w:tcBorders>
            <w:noWrap/>
          </w:tcPr>
          <w:p w:rsidR="00B231CB" w:rsidRDefault="00C71431">
            <w:pPr>
              <w:spacing w:after="120"/>
              <w:jc w:val="center"/>
              <w:rPr>
                <w:noProof/>
              </w:rPr>
            </w:pPr>
            <w:r>
              <w:rPr>
                <w:noProof/>
              </w:rPr>
              <w:t>-23</w:t>
            </w:r>
          </w:p>
        </w:tc>
        <w:tc>
          <w:tcPr>
            <w:tcW w:w="697" w:type="pct"/>
            <w:tcBorders>
              <w:bottom w:val="single" w:sz="4" w:space="0" w:color="auto"/>
            </w:tcBorders>
            <w:noWrap/>
          </w:tcPr>
          <w:p w:rsidR="00B231CB" w:rsidRDefault="00C71431">
            <w:pPr>
              <w:spacing w:after="120"/>
              <w:jc w:val="center"/>
              <w:rPr>
                <w:noProof/>
              </w:rPr>
            </w:pPr>
            <w:r>
              <w:rPr>
                <w:noProof/>
              </w:rPr>
              <w:t>-25</w:t>
            </w:r>
          </w:p>
        </w:tc>
        <w:tc>
          <w:tcPr>
            <w:tcW w:w="515" w:type="pct"/>
            <w:tcBorders>
              <w:bottom w:val="single" w:sz="4" w:space="0" w:color="auto"/>
            </w:tcBorders>
            <w:noWrap/>
          </w:tcPr>
          <w:p w:rsidR="00B231CB" w:rsidRDefault="00C71431">
            <w:pPr>
              <w:spacing w:after="120"/>
              <w:jc w:val="center"/>
              <w:rPr>
                <w:noProof/>
              </w:rPr>
            </w:pPr>
            <w:r>
              <w:rPr>
                <w:noProof/>
              </w:rPr>
              <w:t>-46</w:t>
            </w:r>
          </w:p>
        </w:tc>
        <w:tc>
          <w:tcPr>
            <w:tcW w:w="742" w:type="pct"/>
            <w:tcBorders>
              <w:bottom w:val="single" w:sz="4" w:space="0" w:color="auto"/>
            </w:tcBorders>
            <w:noWrap/>
          </w:tcPr>
          <w:p w:rsidR="00B231CB" w:rsidRDefault="00C71431">
            <w:pPr>
              <w:spacing w:after="120"/>
              <w:jc w:val="center"/>
              <w:rPr>
                <w:noProof/>
              </w:rPr>
            </w:pPr>
            <w:r>
              <w:rPr>
                <w:noProof/>
              </w:rPr>
              <w:t>-40</w:t>
            </w:r>
          </w:p>
        </w:tc>
        <w:tc>
          <w:tcPr>
            <w:tcW w:w="742" w:type="pct"/>
            <w:tcBorders>
              <w:bottom w:val="single" w:sz="4" w:space="0" w:color="auto"/>
            </w:tcBorders>
            <w:noWrap/>
          </w:tcPr>
          <w:p w:rsidR="00B231CB" w:rsidRDefault="00C71431">
            <w:pPr>
              <w:spacing w:after="120"/>
              <w:jc w:val="center"/>
              <w:rPr>
                <w:noProof/>
              </w:rPr>
            </w:pPr>
            <w:r>
              <w:rPr>
                <w:noProof/>
              </w:rPr>
              <w:t>-52</w:t>
            </w:r>
          </w:p>
        </w:tc>
      </w:tr>
      <w:tr w:rsidR="00B231CB">
        <w:trPr>
          <w:trHeight w:val="255"/>
        </w:trPr>
        <w:tc>
          <w:tcPr>
            <w:tcW w:w="1252" w:type="pct"/>
            <w:tcBorders>
              <w:bottom w:val="single" w:sz="24" w:space="0" w:color="auto"/>
            </w:tcBorders>
            <w:noWrap/>
          </w:tcPr>
          <w:p w:rsidR="00B231CB" w:rsidRDefault="00C71431">
            <w:pPr>
              <w:spacing w:after="120"/>
              <w:rPr>
                <w:noProof/>
                <w:szCs w:val="24"/>
              </w:rPr>
            </w:pPr>
            <w:r>
              <w:rPr>
                <w:noProof/>
                <w:szCs w:val="24"/>
              </w:rPr>
              <w:t>Fuel cost savings [3]</w:t>
            </w:r>
          </w:p>
        </w:tc>
        <w:tc>
          <w:tcPr>
            <w:tcW w:w="515" w:type="pct"/>
            <w:tcBorders>
              <w:bottom w:val="single" w:sz="24" w:space="0" w:color="auto"/>
            </w:tcBorders>
            <w:noWrap/>
          </w:tcPr>
          <w:p w:rsidR="00B231CB" w:rsidRDefault="00C71431">
            <w:pPr>
              <w:spacing w:after="120"/>
              <w:jc w:val="center"/>
              <w:rPr>
                <w:noProof/>
              </w:rPr>
            </w:pPr>
            <w:r>
              <w:rPr>
                <w:noProof/>
              </w:rPr>
              <w:t>1,016</w:t>
            </w:r>
          </w:p>
        </w:tc>
        <w:tc>
          <w:tcPr>
            <w:tcW w:w="537" w:type="pct"/>
            <w:tcBorders>
              <w:bottom w:val="single" w:sz="24" w:space="0" w:color="auto"/>
            </w:tcBorders>
            <w:noWrap/>
          </w:tcPr>
          <w:p w:rsidR="00B231CB" w:rsidRDefault="00C71431">
            <w:pPr>
              <w:spacing w:after="120"/>
              <w:jc w:val="center"/>
              <w:rPr>
                <w:noProof/>
              </w:rPr>
            </w:pPr>
            <w:r>
              <w:rPr>
                <w:noProof/>
              </w:rPr>
              <w:t>1,281</w:t>
            </w:r>
          </w:p>
        </w:tc>
        <w:tc>
          <w:tcPr>
            <w:tcW w:w="697" w:type="pct"/>
            <w:tcBorders>
              <w:bottom w:val="single" w:sz="24" w:space="0" w:color="auto"/>
            </w:tcBorders>
            <w:noWrap/>
          </w:tcPr>
          <w:p w:rsidR="00B231CB" w:rsidRDefault="00C71431">
            <w:pPr>
              <w:spacing w:after="120"/>
              <w:jc w:val="center"/>
              <w:rPr>
                <w:noProof/>
              </w:rPr>
            </w:pPr>
            <w:r>
              <w:rPr>
                <w:noProof/>
              </w:rPr>
              <w:t>1,662</w:t>
            </w:r>
          </w:p>
        </w:tc>
        <w:tc>
          <w:tcPr>
            <w:tcW w:w="515" w:type="pct"/>
            <w:tcBorders>
              <w:bottom w:val="single" w:sz="24" w:space="0" w:color="auto"/>
            </w:tcBorders>
            <w:noWrap/>
          </w:tcPr>
          <w:p w:rsidR="00B231CB" w:rsidRDefault="00C71431">
            <w:pPr>
              <w:spacing w:after="120"/>
              <w:jc w:val="center"/>
              <w:rPr>
                <w:noProof/>
              </w:rPr>
            </w:pPr>
            <w:r>
              <w:rPr>
                <w:noProof/>
              </w:rPr>
              <w:t>2,115</w:t>
            </w:r>
          </w:p>
        </w:tc>
        <w:tc>
          <w:tcPr>
            <w:tcW w:w="742" w:type="pct"/>
            <w:tcBorders>
              <w:bottom w:val="single" w:sz="24" w:space="0" w:color="auto"/>
            </w:tcBorders>
            <w:noWrap/>
          </w:tcPr>
          <w:p w:rsidR="00B231CB" w:rsidRDefault="00C71431">
            <w:pPr>
              <w:spacing w:after="120"/>
              <w:jc w:val="center"/>
              <w:rPr>
                <w:noProof/>
              </w:rPr>
            </w:pPr>
            <w:r>
              <w:rPr>
                <w:noProof/>
              </w:rPr>
              <w:t>2,614</w:t>
            </w:r>
          </w:p>
        </w:tc>
        <w:tc>
          <w:tcPr>
            <w:tcW w:w="742" w:type="pct"/>
            <w:tcBorders>
              <w:bottom w:val="single" w:sz="24" w:space="0" w:color="auto"/>
            </w:tcBorders>
            <w:noWrap/>
          </w:tcPr>
          <w:p w:rsidR="00B231CB" w:rsidRDefault="00C71431">
            <w:pPr>
              <w:spacing w:after="120"/>
              <w:jc w:val="center"/>
              <w:rPr>
                <w:noProof/>
              </w:rPr>
            </w:pPr>
            <w:r>
              <w:rPr>
                <w:noProof/>
              </w:rPr>
              <w:t>2,485</w:t>
            </w:r>
          </w:p>
        </w:tc>
      </w:tr>
      <w:tr w:rsidR="00B231CB">
        <w:trPr>
          <w:trHeight w:val="255"/>
        </w:trPr>
        <w:tc>
          <w:tcPr>
            <w:tcW w:w="1252" w:type="pct"/>
            <w:noWrap/>
          </w:tcPr>
          <w:p w:rsidR="00B231CB" w:rsidRDefault="00C71431">
            <w:pPr>
              <w:spacing w:after="120"/>
              <w:rPr>
                <w:i/>
                <w:noProof/>
                <w:szCs w:val="24"/>
              </w:rPr>
            </w:pPr>
            <w:r>
              <w:rPr>
                <w:i/>
                <w:noProof/>
                <w:szCs w:val="24"/>
              </w:rPr>
              <w:t xml:space="preserve">Net savings </w:t>
            </w:r>
            <w:r>
              <w:rPr>
                <w:i/>
                <w:noProof/>
                <w:szCs w:val="24"/>
              </w:rPr>
              <w:br/>
              <w:t>[3]-[1]-[2]</w:t>
            </w:r>
          </w:p>
        </w:tc>
        <w:tc>
          <w:tcPr>
            <w:tcW w:w="515" w:type="pct"/>
            <w:noWrap/>
          </w:tcPr>
          <w:p w:rsidR="00B231CB" w:rsidRDefault="00C71431">
            <w:pPr>
              <w:spacing w:after="120"/>
              <w:jc w:val="center"/>
              <w:rPr>
                <w:i/>
                <w:noProof/>
              </w:rPr>
            </w:pPr>
            <w:r>
              <w:rPr>
                <w:i/>
                <w:noProof/>
              </w:rPr>
              <w:t>889</w:t>
            </w:r>
          </w:p>
        </w:tc>
        <w:tc>
          <w:tcPr>
            <w:tcW w:w="537" w:type="pct"/>
            <w:noWrap/>
          </w:tcPr>
          <w:p w:rsidR="00B231CB" w:rsidRDefault="00C71431">
            <w:pPr>
              <w:spacing w:after="120"/>
              <w:jc w:val="center"/>
              <w:rPr>
                <w:i/>
                <w:noProof/>
              </w:rPr>
            </w:pPr>
            <w:r>
              <w:rPr>
                <w:i/>
                <w:noProof/>
              </w:rPr>
              <w:t>1,083</w:t>
            </w:r>
          </w:p>
        </w:tc>
        <w:tc>
          <w:tcPr>
            <w:tcW w:w="697" w:type="pct"/>
            <w:noWrap/>
          </w:tcPr>
          <w:p w:rsidR="00B231CB" w:rsidRDefault="00C71431">
            <w:pPr>
              <w:spacing w:after="120"/>
              <w:jc w:val="center"/>
              <w:rPr>
                <w:i/>
                <w:noProof/>
              </w:rPr>
            </w:pPr>
            <w:r>
              <w:rPr>
                <w:i/>
                <w:noProof/>
              </w:rPr>
              <w:t>1,443</w:t>
            </w:r>
          </w:p>
        </w:tc>
        <w:tc>
          <w:tcPr>
            <w:tcW w:w="515" w:type="pct"/>
            <w:noWrap/>
          </w:tcPr>
          <w:p w:rsidR="00B231CB" w:rsidRDefault="00C71431">
            <w:pPr>
              <w:spacing w:after="120"/>
              <w:jc w:val="center"/>
              <w:rPr>
                <w:i/>
                <w:noProof/>
              </w:rPr>
            </w:pPr>
            <w:r>
              <w:rPr>
                <w:i/>
                <w:noProof/>
              </w:rPr>
              <w:t>1,616</w:t>
            </w:r>
          </w:p>
        </w:tc>
        <w:tc>
          <w:tcPr>
            <w:tcW w:w="742" w:type="pct"/>
            <w:noWrap/>
          </w:tcPr>
          <w:p w:rsidR="00B231CB" w:rsidRDefault="00C71431">
            <w:pPr>
              <w:spacing w:after="120"/>
              <w:jc w:val="center"/>
              <w:rPr>
                <w:i/>
                <w:noProof/>
              </w:rPr>
            </w:pPr>
            <w:r>
              <w:rPr>
                <w:i/>
                <w:noProof/>
              </w:rPr>
              <w:t>1,876</w:t>
            </w:r>
          </w:p>
        </w:tc>
        <w:tc>
          <w:tcPr>
            <w:tcW w:w="742" w:type="pct"/>
            <w:noWrap/>
          </w:tcPr>
          <w:p w:rsidR="00B231CB" w:rsidRDefault="00C71431">
            <w:pPr>
              <w:spacing w:after="120"/>
              <w:jc w:val="center"/>
              <w:rPr>
                <w:i/>
                <w:noProof/>
              </w:rPr>
            </w:pPr>
            <w:r>
              <w:rPr>
                <w:i/>
                <w:noProof/>
              </w:rPr>
              <w:t>1,624</w:t>
            </w:r>
          </w:p>
        </w:tc>
      </w:tr>
    </w:tbl>
    <w:p w:rsidR="00B231CB" w:rsidRDefault="00B231CB">
      <w:pPr>
        <w:spacing w:after="0"/>
        <w:rPr>
          <w:noProof/>
        </w:rPr>
      </w:pPr>
    </w:p>
    <w:tbl>
      <w:tblPr>
        <w:tblStyle w:val="TableGrid"/>
        <w:tblW w:w="5000" w:type="pct"/>
        <w:tblLook w:val="04A0" w:firstRow="1" w:lastRow="0" w:firstColumn="1" w:lastColumn="0" w:noHBand="0" w:noVBand="1"/>
      </w:tblPr>
      <w:tblGrid>
        <w:gridCol w:w="2325"/>
        <w:gridCol w:w="957"/>
        <w:gridCol w:w="998"/>
        <w:gridCol w:w="1295"/>
        <w:gridCol w:w="957"/>
        <w:gridCol w:w="1378"/>
        <w:gridCol w:w="1378"/>
      </w:tblGrid>
      <w:tr w:rsidR="00B231CB">
        <w:trPr>
          <w:trHeight w:val="255"/>
        </w:trPr>
        <w:tc>
          <w:tcPr>
            <w:tcW w:w="1251" w:type="pct"/>
            <w:noWrap/>
            <w:hideMark/>
          </w:tcPr>
          <w:p w:rsidR="00B231CB" w:rsidRDefault="00C71431">
            <w:pPr>
              <w:spacing w:after="120"/>
              <w:rPr>
                <w:noProof/>
                <w:szCs w:val="24"/>
              </w:rPr>
            </w:pPr>
            <w:r>
              <w:rPr>
                <w:b/>
                <w:noProof/>
                <w:szCs w:val="24"/>
              </w:rPr>
              <w:t>2030 (EUR/van</w:t>
            </w:r>
            <w:r>
              <w:rPr>
                <w:noProof/>
                <w:szCs w:val="24"/>
              </w:rPr>
              <w:t>)</w:t>
            </w:r>
          </w:p>
        </w:tc>
        <w:tc>
          <w:tcPr>
            <w:tcW w:w="515" w:type="pct"/>
            <w:noWrap/>
          </w:tcPr>
          <w:p w:rsidR="00B231CB" w:rsidRDefault="00C71431">
            <w:pPr>
              <w:spacing w:after="120"/>
              <w:jc w:val="center"/>
              <w:rPr>
                <w:noProof/>
                <w:szCs w:val="24"/>
              </w:rPr>
            </w:pPr>
            <w:r>
              <w:rPr>
                <w:noProof/>
                <w:szCs w:val="24"/>
              </w:rPr>
              <w:t>TLV20</w:t>
            </w:r>
          </w:p>
        </w:tc>
        <w:tc>
          <w:tcPr>
            <w:tcW w:w="537" w:type="pct"/>
            <w:noWrap/>
          </w:tcPr>
          <w:p w:rsidR="00B231CB" w:rsidRDefault="00C71431">
            <w:pPr>
              <w:spacing w:after="120"/>
              <w:jc w:val="center"/>
              <w:rPr>
                <w:noProof/>
                <w:szCs w:val="24"/>
              </w:rPr>
            </w:pPr>
            <w:r>
              <w:rPr>
                <w:noProof/>
                <w:szCs w:val="24"/>
              </w:rPr>
              <w:t>TLV25</w:t>
            </w:r>
          </w:p>
        </w:tc>
        <w:tc>
          <w:tcPr>
            <w:tcW w:w="697" w:type="pct"/>
            <w:noWrap/>
          </w:tcPr>
          <w:p w:rsidR="00B231CB" w:rsidRDefault="00C71431">
            <w:pPr>
              <w:spacing w:after="120"/>
              <w:jc w:val="center"/>
              <w:rPr>
                <w:noProof/>
                <w:szCs w:val="24"/>
              </w:rPr>
            </w:pPr>
            <w:r>
              <w:rPr>
                <w:noProof/>
                <w:szCs w:val="24"/>
              </w:rPr>
              <w:t>TLV30</w:t>
            </w:r>
          </w:p>
        </w:tc>
        <w:tc>
          <w:tcPr>
            <w:tcW w:w="515" w:type="pct"/>
            <w:noWrap/>
          </w:tcPr>
          <w:p w:rsidR="00B231CB" w:rsidRDefault="00C71431">
            <w:pPr>
              <w:spacing w:after="120"/>
              <w:jc w:val="center"/>
              <w:rPr>
                <w:noProof/>
                <w:szCs w:val="24"/>
              </w:rPr>
            </w:pPr>
            <w:r>
              <w:rPr>
                <w:noProof/>
                <w:szCs w:val="24"/>
              </w:rPr>
              <w:t>TLV40</w:t>
            </w:r>
          </w:p>
        </w:tc>
        <w:tc>
          <w:tcPr>
            <w:tcW w:w="742" w:type="pct"/>
            <w:noWrap/>
          </w:tcPr>
          <w:p w:rsidR="00B231CB" w:rsidRDefault="00C71431">
            <w:pPr>
              <w:spacing w:after="120"/>
              <w:jc w:val="center"/>
              <w:rPr>
                <w:noProof/>
                <w:szCs w:val="24"/>
              </w:rPr>
            </w:pPr>
            <w:r>
              <w:rPr>
                <w:noProof/>
                <w:szCs w:val="24"/>
              </w:rPr>
              <w:t>TLV_EP40</w:t>
            </w:r>
          </w:p>
        </w:tc>
        <w:tc>
          <w:tcPr>
            <w:tcW w:w="742" w:type="pct"/>
            <w:noWrap/>
          </w:tcPr>
          <w:p w:rsidR="00B231CB" w:rsidRDefault="00C71431">
            <w:pPr>
              <w:spacing w:after="120"/>
              <w:jc w:val="center"/>
              <w:rPr>
                <w:noProof/>
                <w:szCs w:val="24"/>
              </w:rPr>
            </w:pPr>
            <w:r>
              <w:rPr>
                <w:noProof/>
                <w:szCs w:val="24"/>
              </w:rPr>
              <w:t>TLV_EP50</w:t>
            </w:r>
          </w:p>
        </w:tc>
      </w:tr>
      <w:tr w:rsidR="00B231CB">
        <w:trPr>
          <w:trHeight w:val="255"/>
        </w:trPr>
        <w:tc>
          <w:tcPr>
            <w:tcW w:w="1251" w:type="pct"/>
            <w:noWrap/>
          </w:tcPr>
          <w:p w:rsidR="00B231CB" w:rsidRDefault="00C71431">
            <w:pPr>
              <w:spacing w:after="120"/>
              <w:rPr>
                <w:noProof/>
                <w:szCs w:val="24"/>
              </w:rPr>
            </w:pPr>
            <w:r>
              <w:rPr>
                <w:noProof/>
                <w:szCs w:val="24"/>
              </w:rPr>
              <w:t>Capital cost [1]</w:t>
            </w:r>
          </w:p>
        </w:tc>
        <w:tc>
          <w:tcPr>
            <w:tcW w:w="515" w:type="pct"/>
            <w:noWrap/>
          </w:tcPr>
          <w:p w:rsidR="00B231CB" w:rsidRDefault="00C71431">
            <w:pPr>
              <w:spacing w:after="120"/>
              <w:jc w:val="center"/>
              <w:rPr>
                <w:noProof/>
              </w:rPr>
            </w:pPr>
            <w:r>
              <w:rPr>
                <w:noProof/>
              </w:rPr>
              <w:t>265</w:t>
            </w:r>
          </w:p>
        </w:tc>
        <w:tc>
          <w:tcPr>
            <w:tcW w:w="537" w:type="pct"/>
            <w:noWrap/>
          </w:tcPr>
          <w:p w:rsidR="00B231CB" w:rsidRDefault="00C71431">
            <w:pPr>
              <w:spacing w:after="120"/>
              <w:jc w:val="center"/>
              <w:rPr>
                <w:noProof/>
              </w:rPr>
            </w:pPr>
            <w:r>
              <w:rPr>
                <w:noProof/>
              </w:rPr>
              <w:t>386</w:t>
            </w:r>
          </w:p>
        </w:tc>
        <w:tc>
          <w:tcPr>
            <w:tcW w:w="697" w:type="pct"/>
            <w:noWrap/>
          </w:tcPr>
          <w:p w:rsidR="00B231CB" w:rsidRDefault="00C71431">
            <w:pPr>
              <w:spacing w:after="120"/>
              <w:jc w:val="center"/>
              <w:rPr>
                <w:noProof/>
              </w:rPr>
            </w:pPr>
            <w:r>
              <w:rPr>
                <w:noProof/>
              </w:rPr>
              <w:t>554</w:t>
            </w:r>
          </w:p>
        </w:tc>
        <w:tc>
          <w:tcPr>
            <w:tcW w:w="515" w:type="pct"/>
            <w:noWrap/>
          </w:tcPr>
          <w:p w:rsidR="00B231CB" w:rsidRDefault="00C71431">
            <w:pPr>
              <w:spacing w:after="120"/>
              <w:jc w:val="center"/>
              <w:rPr>
                <w:noProof/>
              </w:rPr>
            </w:pPr>
            <w:r>
              <w:rPr>
                <w:noProof/>
              </w:rPr>
              <w:t>984</w:t>
            </w:r>
          </w:p>
        </w:tc>
        <w:tc>
          <w:tcPr>
            <w:tcW w:w="742" w:type="pct"/>
            <w:noWrap/>
          </w:tcPr>
          <w:p w:rsidR="00B231CB" w:rsidRDefault="00C71431">
            <w:pPr>
              <w:spacing w:after="120"/>
              <w:jc w:val="center"/>
              <w:rPr>
                <w:noProof/>
              </w:rPr>
            </w:pPr>
            <w:r>
              <w:rPr>
                <w:noProof/>
              </w:rPr>
              <w:t>879</w:t>
            </w:r>
          </w:p>
        </w:tc>
        <w:tc>
          <w:tcPr>
            <w:tcW w:w="742" w:type="pct"/>
            <w:noWrap/>
          </w:tcPr>
          <w:p w:rsidR="00B231CB" w:rsidRDefault="00C71431">
            <w:pPr>
              <w:spacing w:after="120"/>
              <w:jc w:val="center"/>
              <w:rPr>
                <w:noProof/>
              </w:rPr>
            </w:pPr>
            <w:r>
              <w:rPr>
                <w:noProof/>
              </w:rPr>
              <w:t>1,516</w:t>
            </w:r>
          </w:p>
        </w:tc>
      </w:tr>
      <w:tr w:rsidR="00B231CB">
        <w:trPr>
          <w:trHeight w:val="255"/>
        </w:trPr>
        <w:tc>
          <w:tcPr>
            <w:tcW w:w="1251" w:type="pct"/>
            <w:tcBorders>
              <w:bottom w:val="single" w:sz="4" w:space="0" w:color="auto"/>
            </w:tcBorders>
            <w:noWrap/>
          </w:tcPr>
          <w:p w:rsidR="00B231CB" w:rsidRDefault="00C71431">
            <w:pPr>
              <w:spacing w:after="120"/>
              <w:rPr>
                <w:noProof/>
                <w:szCs w:val="24"/>
              </w:rPr>
            </w:pPr>
            <w:r>
              <w:rPr>
                <w:noProof/>
                <w:szCs w:val="24"/>
              </w:rPr>
              <w:t xml:space="preserve">O&amp;M cost [2] </w:t>
            </w:r>
          </w:p>
        </w:tc>
        <w:tc>
          <w:tcPr>
            <w:tcW w:w="515" w:type="pct"/>
            <w:tcBorders>
              <w:bottom w:val="single" w:sz="4" w:space="0" w:color="auto"/>
            </w:tcBorders>
            <w:noWrap/>
          </w:tcPr>
          <w:p w:rsidR="00B231CB" w:rsidRDefault="00C71431">
            <w:pPr>
              <w:spacing w:after="120"/>
              <w:jc w:val="center"/>
              <w:rPr>
                <w:noProof/>
              </w:rPr>
            </w:pPr>
            <w:r>
              <w:rPr>
                <w:noProof/>
              </w:rPr>
              <w:t>-22</w:t>
            </w:r>
          </w:p>
        </w:tc>
        <w:tc>
          <w:tcPr>
            <w:tcW w:w="537" w:type="pct"/>
            <w:tcBorders>
              <w:bottom w:val="single" w:sz="4" w:space="0" w:color="auto"/>
            </w:tcBorders>
            <w:noWrap/>
          </w:tcPr>
          <w:p w:rsidR="00B231CB" w:rsidRDefault="00C71431">
            <w:pPr>
              <w:spacing w:after="120"/>
              <w:jc w:val="center"/>
              <w:rPr>
                <w:noProof/>
              </w:rPr>
            </w:pPr>
            <w:r>
              <w:rPr>
                <w:noProof/>
              </w:rPr>
              <w:t>-24</w:t>
            </w:r>
          </w:p>
        </w:tc>
        <w:tc>
          <w:tcPr>
            <w:tcW w:w="697" w:type="pct"/>
            <w:tcBorders>
              <w:bottom w:val="single" w:sz="4" w:space="0" w:color="auto"/>
            </w:tcBorders>
            <w:noWrap/>
          </w:tcPr>
          <w:p w:rsidR="00B231CB" w:rsidRDefault="00C71431">
            <w:pPr>
              <w:spacing w:after="120"/>
              <w:jc w:val="center"/>
              <w:rPr>
                <w:noProof/>
              </w:rPr>
            </w:pPr>
            <w:r>
              <w:rPr>
                <w:noProof/>
              </w:rPr>
              <w:t>-33</w:t>
            </w:r>
          </w:p>
        </w:tc>
        <w:tc>
          <w:tcPr>
            <w:tcW w:w="515" w:type="pct"/>
            <w:tcBorders>
              <w:bottom w:val="single" w:sz="4" w:space="0" w:color="auto"/>
            </w:tcBorders>
            <w:noWrap/>
          </w:tcPr>
          <w:p w:rsidR="00B231CB" w:rsidRDefault="00C71431">
            <w:pPr>
              <w:spacing w:after="120"/>
              <w:jc w:val="center"/>
              <w:rPr>
                <w:noProof/>
              </w:rPr>
            </w:pPr>
            <w:r>
              <w:rPr>
                <w:noProof/>
              </w:rPr>
              <w:t>-62</w:t>
            </w:r>
          </w:p>
        </w:tc>
        <w:tc>
          <w:tcPr>
            <w:tcW w:w="742" w:type="pct"/>
            <w:tcBorders>
              <w:bottom w:val="single" w:sz="4" w:space="0" w:color="auto"/>
            </w:tcBorders>
            <w:noWrap/>
          </w:tcPr>
          <w:p w:rsidR="00B231CB" w:rsidRDefault="00C71431">
            <w:pPr>
              <w:spacing w:after="120"/>
              <w:jc w:val="center"/>
              <w:rPr>
                <w:noProof/>
              </w:rPr>
            </w:pPr>
            <w:r>
              <w:rPr>
                <w:noProof/>
              </w:rPr>
              <w:t>-61</w:t>
            </w:r>
          </w:p>
        </w:tc>
        <w:tc>
          <w:tcPr>
            <w:tcW w:w="742" w:type="pct"/>
            <w:tcBorders>
              <w:bottom w:val="single" w:sz="4" w:space="0" w:color="auto"/>
            </w:tcBorders>
            <w:noWrap/>
          </w:tcPr>
          <w:p w:rsidR="00B231CB" w:rsidRDefault="00C71431">
            <w:pPr>
              <w:spacing w:after="120"/>
              <w:jc w:val="center"/>
              <w:rPr>
                <w:noProof/>
              </w:rPr>
            </w:pPr>
            <w:r>
              <w:rPr>
                <w:noProof/>
              </w:rPr>
              <w:t>-104</w:t>
            </w:r>
          </w:p>
        </w:tc>
      </w:tr>
      <w:tr w:rsidR="00B231CB">
        <w:trPr>
          <w:trHeight w:val="255"/>
        </w:trPr>
        <w:tc>
          <w:tcPr>
            <w:tcW w:w="1251" w:type="pct"/>
            <w:tcBorders>
              <w:bottom w:val="single" w:sz="24" w:space="0" w:color="auto"/>
            </w:tcBorders>
            <w:noWrap/>
          </w:tcPr>
          <w:p w:rsidR="00B231CB" w:rsidRDefault="00C71431">
            <w:pPr>
              <w:spacing w:after="120"/>
              <w:rPr>
                <w:noProof/>
                <w:szCs w:val="24"/>
              </w:rPr>
            </w:pPr>
            <w:r>
              <w:rPr>
                <w:noProof/>
                <w:szCs w:val="24"/>
              </w:rPr>
              <w:t>Fuel cost savings [3]</w:t>
            </w:r>
          </w:p>
        </w:tc>
        <w:tc>
          <w:tcPr>
            <w:tcW w:w="515" w:type="pct"/>
            <w:tcBorders>
              <w:bottom w:val="single" w:sz="24" w:space="0" w:color="auto"/>
            </w:tcBorders>
            <w:noWrap/>
          </w:tcPr>
          <w:p w:rsidR="00B231CB" w:rsidRDefault="00C71431">
            <w:pPr>
              <w:spacing w:after="120"/>
              <w:jc w:val="center"/>
              <w:rPr>
                <w:noProof/>
              </w:rPr>
            </w:pPr>
            <w:r>
              <w:rPr>
                <w:noProof/>
              </w:rPr>
              <w:t>2,026</w:t>
            </w:r>
          </w:p>
        </w:tc>
        <w:tc>
          <w:tcPr>
            <w:tcW w:w="537" w:type="pct"/>
            <w:tcBorders>
              <w:bottom w:val="single" w:sz="24" w:space="0" w:color="auto"/>
            </w:tcBorders>
            <w:noWrap/>
          </w:tcPr>
          <w:p w:rsidR="00B231CB" w:rsidRDefault="00C71431">
            <w:pPr>
              <w:spacing w:after="120"/>
              <w:jc w:val="center"/>
              <w:rPr>
                <w:noProof/>
              </w:rPr>
            </w:pPr>
            <w:r>
              <w:rPr>
                <w:noProof/>
              </w:rPr>
              <w:t>2,546</w:t>
            </w:r>
          </w:p>
        </w:tc>
        <w:tc>
          <w:tcPr>
            <w:tcW w:w="697" w:type="pct"/>
            <w:tcBorders>
              <w:bottom w:val="single" w:sz="24" w:space="0" w:color="auto"/>
            </w:tcBorders>
            <w:noWrap/>
          </w:tcPr>
          <w:p w:rsidR="00B231CB" w:rsidRDefault="00C71431">
            <w:pPr>
              <w:spacing w:after="120"/>
              <w:jc w:val="center"/>
              <w:rPr>
                <w:noProof/>
              </w:rPr>
            </w:pPr>
            <w:r>
              <w:rPr>
                <w:noProof/>
              </w:rPr>
              <w:t>3,013</w:t>
            </w:r>
          </w:p>
        </w:tc>
        <w:tc>
          <w:tcPr>
            <w:tcW w:w="515" w:type="pct"/>
            <w:tcBorders>
              <w:bottom w:val="single" w:sz="24" w:space="0" w:color="auto"/>
            </w:tcBorders>
            <w:noWrap/>
          </w:tcPr>
          <w:p w:rsidR="00B231CB" w:rsidRDefault="00C71431">
            <w:pPr>
              <w:spacing w:after="120"/>
              <w:jc w:val="center"/>
              <w:rPr>
                <w:noProof/>
              </w:rPr>
            </w:pPr>
            <w:r>
              <w:rPr>
                <w:noProof/>
              </w:rPr>
              <w:t>3,833</w:t>
            </w:r>
          </w:p>
        </w:tc>
        <w:tc>
          <w:tcPr>
            <w:tcW w:w="742" w:type="pct"/>
            <w:tcBorders>
              <w:bottom w:val="single" w:sz="24" w:space="0" w:color="auto"/>
            </w:tcBorders>
            <w:noWrap/>
          </w:tcPr>
          <w:p w:rsidR="00B231CB" w:rsidRDefault="00C71431">
            <w:pPr>
              <w:spacing w:after="120"/>
              <w:jc w:val="center"/>
              <w:rPr>
                <w:noProof/>
              </w:rPr>
            </w:pPr>
            <w:r>
              <w:rPr>
                <w:noProof/>
              </w:rPr>
              <w:t>3,382</w:t>
            </w:r>
          </w:p>
        </w:tc>
        <w:tc>
          <w:tcPr>
            <w:tcW w:w="742" w:type="pct"/>
            <w:tcBorders>
              <w:bottom w:val="single" w:sz="24" w:space="0" w:color="auto"/>
            </w:tcBorders>
            <w:noWrap/>
          </w:tcPr>
          <w:p w:rsidR="00B231CB" w:rsidRDefault="00C71431">
            <w:pPr>
              <w:spacing w:after="120"/>
              <w:jc w:val="center"/>
              <w:rPr>
                <w:noProof/>
              </w:rPr>
            </w:pPr>
            <w:r>
              <w:rPr>
                <w:noProof/>
              </w:rPr>
              <w:t>4,412</w:t>
            </w:r>
          </w:p>
        </w:tc>
      </w:tr>
      <w:tr w:rsidR="00B231CB">
        <w:trPr>
          <w:trHeight w:val="255"/>
        </w:trPr>
        <w:tc>
          <w:tcPr>
            <w:tcW w:w="1251" w:type="pct"/>
            <w:noWrap/>
          </w:tcPr>
          <w:p w:rsidR="00B231CB" w:rsidRDefault="00C71431">
            <w:pPr>
              <w:spacing w:after="120"/>
              <w:rPr>
                <w:i/>
                <w:noProof/>
                <w:szCs w:val="24"/>
              </w:rPr>
            </w:pPr>
            <w:r>
              <w:rPr>
                <w:i/>
                <w:noProof/>
                <w:szCs w:val="24"/>
              </w:rPr>
              <w:t xml:space="preserve">Net savings </w:t>
            </w:r>
            <w:r>
              <w:rPr>
                <w:i/>
                <w:noProof/>
                <w:szCs w:val="24"/>
              </w:rPr>
              <w:br/>
              <w:t>[3]-[1]-[2]</w:t>
            </w:r>
          </w:p>
        </w:tc>
        <w:tc>
          <w:tcPr>
            <w:tcW w:w="515" w:type="pct"/>
            <w:noWrap/>
          </w:tcPr>
          <w:p w:rsidR="00B231CB" w:rsidRDefault="00C71431">
            <w:pPr>
              <w:spacing w:after="120"/>
              <w:jc w:val="center"/>
              <w:rPr>
                <w:i/>
                <w:noProof/>
              </w:rPr>
            </w:pPr>
            <w:r>
              <w:rPr>
                <w:i/>
                <w:noProof/>
              </w:rPr>
              <w:t>1,783</w:t>
            </w:r>
          </w:p>
        </w:tc>
        <w:tc>
          <w:tcPr>
            <w:tcW w:w="537" w:type="pct"/>
            <w:noWrap/>
          </w:tcPr>
          <w:p w:rsidR="00B231CB" w:rsidRDefault="00C71431">
            <w:pPr>
              <w:spacing w:after="120"/>
              <w:jc w:val="center"/>
              <w:rPr>
                <w:i/>
                <w:noProof/>
              </w:rPr>
            </w:pPr>
            <w:r>
              <w:rPr>
                <w:i/>
                <w:noProof/>
              </w:rPr>
              <w:t>2,184</w:t>
            </w:r>
          </w:p>
        </w:tc>
        <w:tc>
          <w:tcPr>
            <w:tcW w:w="697" w:type="pct"/>
            <w:noWrap/>
          </w:tcPr>
          <w:p w:rsidR="00B231CB" w:rsidRDefault="00C71431">
            <w:pPr>
              <w:spacing w:after="120"/>
              <w:jc w:val="center"/>
              <w:rPr>
                <w:i/>
                <w:noProof/>
              </w:rPr>
            </w:pPr>
            <w:r>
              <w:rPr>
                <w:i/>
                <w:noProof/>
              </w:rPr>
              <w:t>2,492</w:t>
            </w:r>
          </w:p>
        </w:tc>
        <w:tc>
          <w:tcPr>
            <w:tcW w:w="515" w:type="pct"/>
            <w:noWrap/>
          </w:tcPr>
          <w:p w:rsidR="00B231CB" w:rsidRDefault="00C71431">
            <w:pPr>
              <w:spacing w:after="120"/>
              <w:jc w:val="center"/>
              <w:rPr>
                <w:i/>
                <w:noProof/>
              </w:rPr>
            </w:pPr>
            <w:r>
              <w:rPr>
                <w:i/>
                <w:noProof/>
              </w:rPr>
              <w:t>2,912</w:t>
            </w:r>
          </w:p>
        </w:tc>
        <w:tc>
          <w:tcPr>
            <w:tcW w:w="742" w:type="pct"/>
            <w:noWrap/>
          </w:tcPr>
          <w:p w:rsidR="00B231CB" w:rsidRDefault="00C71431">
            <w:pPr>
              <w:spacing w:after="120"/>
              <w:jc w:val="center"/>
              <w:rPr>
                <w:i/>
                <w:noProof/>
              </w:rPr>
            </w:pPr>
            <w:r>
              <w:rPr>
                <w:i/>
                <w:noProof/>
              </w:rPr>
              <w:t>2,564</w:t>
            </w:r>
          </w:p>
        </w:tc>
        <w:tc>
          <w:tcPr>
            <w:tcW w:w="742" w:type="pct"/>
            <w:noWrap/>
          </w:tcPr>
          <w:p w:rsidR="00B231CB" w:rsidRDefault="00C71431">
            <w:pPr>
              <w:spacing w:after="120"/>
              <w:jc w:val="center"/>
              <w:rPr>
                <w:i/>
                <w:noProof/>
              </w:rPr>
            </w:pPr>
            <w:r>
              <w:rPr>
                <w:i/>
                <w:noProof/>
              </w:rPr>
              <w:t>3,000</w:t>
            </w:r>
          </w:p>
        </w:tc>
      </w:tr>
    </w:tbl>
    <w:p w:rsidR="00B231CB" w:rsidRDefault="00C71431">
      <w:pPr>
        <w:pStyle w:val="Heading5"/>
        <w:keepNext/>
        <w:rPr>
          <w:noProof/>
          <w:color w:val="000000" w:themeColor="text1"/>
        </w:rPr>
      </w:pPr>
      <w:r>
        <w:rPr>
          <w:noProof/>
          <w:color w:val="000000" w:themeColor="text1"/>
        </w:rPr>
        <w:t xml:space="preserve">Sensitivity – economic impacts under </w:t>
      </w:r>
      <w:r>
        <w:rPr>
          <w:i/>
          <w:noProof/>
          <w:color w:val="000000" w:themeColor="text1"/>
        </w:rPr>
        <w:t>varying cost assumptions</w:t>
      </w:r>
      <w:r>
        <w:rPr>
          <w:noProof/>
          <w:color w:val="000000" w:themeColor="text1"/>
        </w:rPr>
        <w:t xml:space="preserve"> </w:t>
      </w:r>
    </w:p>
    <w:p w:rsidR="00B231CB" w:rsidRDefault="00C71431">
      <w:pPr>
        <w:spacing w:after="120"/>
        <w:rPr>
          <w:noProof/>
          <w:szCs w:val="24"/>
        </w:rPr>
      </w:pPr>
      <w:r>
        <w:rPr>
          <w:noProof/>
          <w:color w:val="000000" w:themeColor="text1"/>
        </w:rPr>
        <w:t xml:space="preserve">As explained in Section 6.1 of the Impact Assessment, </w:t>
      </w:r>
      <w:r>
        <w:rPr>
          <w:noProof/>
          <w:szCs w:val="24"/>
        </w:rPr>
        <w:t xml:space="preserve">for the purpose of analysing the </w:t>
      </w:r>
      <w:r>
        <w:rPr>
          <w:noProof/>
          <w:szCs w:val="24"/>
        </w:rPr>
        <w:t>sensitivity of cost assumptions apart from the "medium" costs, a number of cost-curves were developed illustrating the impact of low and high technology cost estimates. These different cost estimates were calculated using a methodological approach develope</w:t>
      </w:r>
      <w:r>
        <w:rPr>
          <w:noProof/>
          <w:szCs w:val="24"/>
        </w:rPr>
        <w:t>d and refined in consultation with stakeholders and a statistical model to assess the uncertainty in the future cost projections. The "medium" cost case represents the most likely scenario resulting from significant future technology deployment to meet pos</w:t>
      </w:r>
      <w:r>
        <w:rPr>
          <w:noProof/>
          <w:szCs w:val="24"/>
        </w:rPr>
        <w:t>t-2020 CO</w:t>
      </w:r>
      <w:r>
        <w:rPr>
          <w:noProof/>
          <w:szCs w:val="24"/>
          <w:vertAlign w:val="subscript"/>
        </w:rPr>
        <w:t>2</w:t>
      </w:r>
      <w:r>
        <w:rPr>
          <w:noProof/>
          <w:szCs w:val="24"/>
        </w:rPr>
        <w:t xml:space="preserve"> targets. </w:t>
      </w:r>
    </w:p>
    <w:p w:rsidR="00B231CB" w:rsidRDefault="00C71431">
      <w:pPr>
        <w:spacing w:after="120"/>
        <w:rPr>
          <w:noProof/>
        </w:rPr>
      </w:pPr>
      <w:r>
        <w:rPr>
          <w:noProof/>
        </w:rPr>
        <w:t xml:space="preserve">The tables below summarise the net economic savings for a range of TLV options, with technology costs varying as follows: </w:t>
      </w:r>
    </w:p>
    <w:p w:rsidR="00B231CB" w:rsidRDefault="00C71431">
      <w:pPr>
        <w:pStyle w:val="ListParagraph"/>
        <w:numPr>
          <w:ilvl w:val="0"/>
          <w:numId w:val="26"/>
        </w:numPr>
        <w:spacing w:after="120"/>
        <w:contextualSpacing w:val="0"/>
        <w:rPr>
          <w:noProof/>
        </w:rPr>
      </w:pPr>
      <w:r>
        <w:rPr>
          <w:noProof/>
        </w:rPr>
        <w:t>"High": High costs for EV and ICEV</w:t>
      </w:r>
    </w:p>
    <w:p w:rsidR="00B231CB" w:rsidRDefault="00C71431">
      <w:pPr>
        <w:pStyle w:val="ListParagraph"/>
        <w:numPr>
          <w:ilvl w:val="0"/>
          <w:numId w:val="26"/>
        </w:numPr>
        <w:spacing w:after="120"/>
        <w:contextualSpacing w:val="0"/>
        <w:rPr>
          <w:noProof/>
        </w:rPr>
      </w:pPr>
      <w:r>
        <w:rPr>
          <w:noProof/>
        </w:rPr>
        <w:t>"High ICE": Medium costs for EV, High Costs for ICEV</w:t>
      </w:r>
    </w:p>
    <w:p w:rsidR="00B231CB" w:rsidRDefault="00C71431">
      <w:pPr>
        <w:pStyle w:val="ListParagraph"/>
        <w:numPr>
          <w:ilvl w:val="0"/>
          <w:numId w:val="26"/>
        </w:numPr>
        <w:spacing w:after="120"/>
        <w:contextualSpacing w:val="0"/>
        <w:rPr>
          <w:noProof/>
        </w:rPr>
      </w:pPr>
      <w:r>
        <w:rPr>
          <w:noProof/>
        </w:rPr>
        <w:t xml:space="preserve"> "Medium": 'default' cas</w:t>
      </w:r>
      <w:r>
        <w:rPr>
          <w:noProof/>
        </w:rPr>
        <w:t>e with medium cost assumptions for all technologies, as applied in Section 8.2.1.1;</w:t>
      </w:r>
    </w:p>
    <w:p w:rsidR="00B231CB" w:rsidRDefault="00C71431">
      <w:pPr>
        <w:pStyle w:val="ListParagraph"/>
        <w:numPr>
          <w:ilvl w:val="0"/>
          <w:numId w:val="26"/>
        </w:numPr>
        <w:spacing w:after="120"/>
        <w:contextualSpacing w:val="0"/>
        <w:rPr>
          <w:noProof/>
        </w:rPr>
      </w:pPr>
      <w:r>
        <w:rPr>
          <w:noProof/>
        </w:rPr>
        <w:t>"LxEV": Low costs for EV, Medium Costs for ICEV;</w:t>
      </w:r>
    </w:p>
    <w:p w:rsidR="00B231CB" w:rsidRDefault="00C71431">
      <w:pPr>
        <w:pStyle w:val="ListParagraph"/>
        <w:numPr>
          <w:ilvl w:val="0"/>
          <w:numId w:val="26"/>
        </w:numPr>
        <w:spacing w:after="120"/>
        <w:contextualSpacing w:val="0"/>
        <w:rPr>
          <w:noProof/>
        </w:rPr>
      </w:pPr>
      <w:r>
        <w:rPr>
          <w:noProof/>
        </w:rPr>
        <w:t>"Low": Low costs for EV and ICEV</w:t>
      </w:r>
    </w:p>
    <w:p w:rsidR="00B231CB" w:rsidRDefault="00C71431">
      <w:pPr>
        <w:spacing w:after="120"/>
        <w:rPr>
          <w:noProof/>
          <w:color w:val="000000" w:themeColor="text1"/>
        </w:rPr>
      </w:pPr>
      <w:r>
        <w:rPr>
          <w:noProof/>
          <w:color w:val="000000" w:themeColor="text1"/>
        </w:rPr>
        <w:t xml:space="preserve">The tables document to what extent the capital costs, O&amp;M costs and fuel savings, as well </w:t>
      </w:r>
      <w:r>
        <w:rPr>
          <w:noProof/>
          <w:color w:val="000000" w:themeColor="text1"/>
        </w:rPr>
        <w:t xml:space="preserve">as the resulting net savings vary with differing technology cost assumptions. </w:t>
      </w:r>
    </w:p>
    <w:p w:rsidR="00B231CB" w:rsidRDefault="00C71431">
      <w:pPr>
        <w:spacing w:after="120"/>
        <w:rPr>
          <w:noProof/>
          <w:color w:val="000000" w:themeColor="text1"/>
        </w:rPr>
      </w:pPr>
      <w:r>
        <w:rPr>
          <w:noProof/>
          <w:color w:val="000000" w:themeColor="text1"/>
        </w:rPr>
        <w:t>Results are presented for the savings over a vehicle lifetime from a societal perspective, for a TOC-15-years end-user perspective (only showing the net savings in this case) an</w:t>
      </w:r>
      <w:r>
        <w:rPr>
          <w:noProof/>
          <w:color w:val="000000" w:themeColor="text1"/>
        </w:rPr>
        <w:t xml:space="preserve">d from a TCO-first user (5 years) perspective. </w:t>
      </w:r>
    </w:p>
    <w:p w:rsidR="00B231CB" w:rsidRDefault="00C71431">
      <w:pPr>
        <w:spacing w:after="120"/>
        <w:rPr>
          <w:noProof/>
          <w:color w:val="000000" w:themeColor="text1"/>
        </w:rPr>
      </w:pPr>
      <w:r>
        <w:rPr>
          <w:noProof/>
          <w:color w:val="000000" w:themeColor="text1"/>
        </w:rPr>
        <w:t>Net savings increase as technology costs are getting lower due to a combination of lower capital costs and higher fuel savings (as the share of alternative powertrains, incl. EV, increases).</w:t>
      </w:r>
    </w:p>
    <w:p w:rsidR="00B231CB" w:rsidRDefault="00C71431">
      <w:pPr>
        <w:spacing w:after="120"/>
        <w:rPr>
          <w:noProof/>
          <w:color w:val="000000" w:themeColor="text1"/>
        </w:rPr>
      </w:pPr>
      <w:r>
        <w:rPr>
          <w:noProof/>
          <w:color w:val="000000" w:themeColor="text1"/>
        </w:rPr>
        <w:t>Across the differ</w:t>
      </w:r>
      <w:r>
        <w:rPr>
          <w:noProof/>
          <w:color w:val="000000" w:themeColor="text1"/>
        </w:rPr>
        <w:t>ent cost assumptions assessed, the highest net savings are usually found when using "Low" costs.</w:t>
      </w:r>
    </w:p>
    <w:p w:rsidR="00B231CB" w:rsidRDefault="00C71431">
      <w:pPr>
        <w:pStyle w:val="Caption"/>
        <w:keepNext/>
        <w:spacing w:after="240"/>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21</w:t>
      </w:r>
      <w:r>
        <w:rPr>
          <w:noProof/>
        </w:rPr>
        <w:fldChar w:fldCharType="end"/>
      </w:r>
      <w:r>
        <w:rPr>
          <w:noProof/>
        </w:rPr>
        <w:t xml:space="preserve">: Sensitivity - Net economic savings from a societal perspective in 2025 and 2030 under different cost assumptions for a range </w:t>
      </w:r>
      <w:r>
        <w:rPr>
          <w:noProof/>
        </w:rPr>
        <w:t>of TLV options (EUR/van) (N/A: data are not available)</w:t>
      </w: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color w:val="000000" w:themeColor="text1"/>
                <w:szCs w:val="24"/>
              </w:rPr>
            </w:pPr>
            <w:r>
              <w:rPr>
                <w:b/>
                <w:noProof/>
                <w:color w:val="000000" w:themeColor="text1"/>
                <w:szCs w:val="24"/>
              </w:rPr>
              <w:t>TLV20 - 2025 (EUR/van)</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color w:val="000000" w:themeColor="text1"/>
              </w:rPr>
            </w:pPr>
            <w:r>
              <w:rPr>
                <w:noProof/>
                <w:color w:val="000000" w:themeColor="text1"/>
              </w:rPr>
              <w:t>565</w:t>
            </w:r>
          </w:p>
        </w:tc>
        <w:tc>
          <w:tcPr>
            <w:tcW w:w="673" w:type="pct"/>
            <w:noWrap/>
          </w:tcPr>
          <w:p w:rsidR="00B231CB" w:rsidRDefault="00C71431">
            <w:pPr>
              <w:spacing w:after="120"/>
              <w:jc w:val="center"/>
              <w:rPr>
                <w:noProof/>
                <w:color w:val="000000" w:themeColor="text1"/>
              </w:rPr>
            </w:pPr>
            <w:r>
              <w:rPr>
                <w:noProof/>
                <w:color w:val="000000" w:themeColor="text1"/>
              </w:rPr>
              <w:t>393</w:t>
            </w:r>
          </w:p>
        </w:tc>
        <w:tc>
          <w:tcPr>
            <w:tcW w:w="673" w:type="pct"/>
            <w:noWrap/>
          </w:tcPr>
          <w:p w:rsidR="00B231CB" w:rsidRDefault="00C71431">
            <w:pPr>
              <w:spacing w:after="120"/>
              <w:jc w:val="center"/>
              <w:rPr>
                <w:noProof/>
                <w:color w:val="000000" w:themeColor="text1"/>
                <w:szCs w:val="24"/>
              </w:rPr>
            </w:pPr>
            <w:r>
              <w:rPr>
                <w:noProof/>
                <w:color w:val="000000" w:themeColor="text1"/>
              </w:rPr>
              <w:t>232</w:t>
            </w:r>
          </w:p>
        </w:tc>
        <w:tc>
          <w:tcPr>
            <w:tcW w:w="673" w:type="pct"/>
            <w:noWrap/>
          </w:tcPr>
          <w:p w:rsidR="00B231CB" w:rsidRDefault="00C71431">
            <w:pPr>
              <w:spacing w:after="120"/>
              <w:jc w:val="center"/>
              <w:rPr>
                <w:noProof/>
                <w:color w:val="000000" w:themeColor="text1"/>
              </w:rPr>
            </w:pPr>
            <w:r>
              <w:rPr>
                <w:noProof/>
                <w:color w:val="000000" w:themeColor="text1"/>
              </w:rPr>
              <w:t>N/A</w:t>
            </w:r>
          </w:p>
        </w:tc>
        <w:tc>
          <w:tcPr>
            <w:tcW w:w="672"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color w:val="000000" w:themeColor="text1"/>
              </w:rPr>
            </w:pPr>
            <w:r>
              <w:rPr>
                <w:noProof/>
                <w:color w:val="000000" w:themeColor="text1"/>
              </w:rPr>
              <w:t>-32</w:t>
            </w:r>
          </w:p>
        </w:tc>
        <w:tc>
          <w:tcPr>
            <w:tcW w:w="673" w:type="pct"/>
            <w:noWrap/>
          </w:tcPr>
          <w:p w:rsidR="00B231CB" w:rsidRDefault="00C71431">
            <w:pPr>
              <w:spacing w:after="120"/>
              <w:jc w:val="center"/>
              <w:rPr>
                <w:noProof/>
                <w:color w:val="000000" w:themeColor="text1"/>
              </w:rPr>
            </w:pPr>
            <w:r>
              <w:rPr>
                <w:noProof/>
                <w:color w:val="000000" w:themeColor="text1"/>
              </w:rPr>
              <w:t>-45</w:t>
            </w:r>
          </w:p>
        </w:tc>
        <w:tc>
          <w:tcPr>
            <w:tcW w:w="673" w:type="pct"/>
            <w:noWrap/>
          </w:tcPr>
          <w:p w:rsidR="00B231CB" w:rsidRDefault="00C71431">
            <w:pPr>
              <w:spacing w:after="120"/>
              <w:jc w:val="center"/>
              <w:rPr>
                <w:noProof/>
                <w:color w:val="000000" w:themeColor="text1"/>
                <w:szCs w:val="24"/>
              </w:rPr>
            </w:pPr>
            <w:r>
              <w:rPr>
                <w:noProof/>
                <w:color w:val="000000" w:themeColor="text1"/>
              </w:rPr>
              <w:t>-40</w:t>
            </w:r>
          </w:p>
        </w:tc>
        <w:tc>
          <w:tcPr>
            <w:tcW w:w="673" w:type="pct"/>
            <w:noWrap/>
          </w:tcPr>
          <w:p w:rsidR="00B231CB" w:rsidRDefault="00C71431">
            <w:pPr>
              <w:spacing w:after="120"/>
              <w:jc w:val="center"/>
              <w:rPr>
                <w:noProof/>
                <w:color w:val="000000" w:themeColor="text1"/>
              </w:rPr>
            </w:pPr>
            <w:r>
              <w:rPr>
                <w:noProof/>
                <w:color w:val="000000" w:themeColor="text1"/>
              </w:rPr>
              <w:t>N/A</w:t>
            </w:r>
          </w:p>
        </w:tc>
        <w:tc>
          <w:tcPr>
            <w:tcW w:w="672"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1,067</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959</w:t>
            </w:r>
          </w:p>
        </w:tc>
        <w:tc>
          <w:tcPr>
            <w:tcW w:w="673"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rPr>
              <w:t>1,002</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N/A</w:t>
            </w:r>
          </w:p>
        </w:tc>
        <w:tc>
          <w:tcPr>
            <w:tcW w:w="672"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3" w:type="pct"/>
            <w:noWrap/>
          </w:tcPr>
          <w:p w:rsidR="00B231CB" w:rsidRDefault="00C71431">
            <w:pPr>
              <w:spacing w:after="120"/>
              <w:jc w:val="center"/>
              <w:rPr>
                <w:i/>
                <w:noProof/>
                <w:color w:val="000000" w:themeColor="text1"/>
              </w:rPr>
            </w:pPr>
            <w:r>
              <w:rPr>
                <w:i/>
                <w:noProof/>
                <w:color w:val="000000" w:themeColor="text1"/>
              </w:rPr>
              <w:t>534</w:t>
            </w:r>
          </w:p>
        </w:tc>
        <w:tc>
          <w:tcPr>
            <w:tcW w:w="673" w:type="pct"/>
            <w:noWrap/>
          </w:tcPr>
          <w:p w:rsidR="00B231CB" w:rsidRDefault="00C71431">
            <w:pPr>
              <w:spacing w:after="120"/>
              <w:jc w:val="center"/>
              <w:rPr>
                <w:i/>
                <w:noProof/>
                <w:color w:val="000000" w:themeColor="text1"/>
              </w:rPr>
            </w:pPr>
            <w:r>
              <w:rPr>
                <w:i/>
                <w:noProof/>
                <w:color w:val="000000" w:themeColor="text1"/>
              </w:rPr>
              <w:t>611</w:t>
            </w:r>
          </w:p>
        </w:tc>
        <w:tc>
          <w:tcPr>
            <w:tcW w:w="673" w:type="pct"/>
            <w:noWrap/>
          </w:tcPr>
          <w:p w:rsidR="00B231CB" w:rsidRDefault="00C71431">
            <w:pPr>
              <w:spacing w:after="120"/>
              <w:jc w:val="center"/>
              <w:rPr>
                <w:i/>
                <w:noProof/>
                <w:color w:val="000000" w:themeColor="text1"/>
                <w:szCs w:val="24"/>
              </w:rPr>
            </w:pPr>
            <w:r>
              <w:rPr>
                <w:i/>
                <w:noProof/>
                <w:color w:val="000000" w:themeColor="text1"/>
              </w:rPr>
              <w:t>810</w:t>
            </w:r>
          </w:p>
        </w:tc>
        <w:tc>
          <w:tcPr>
            <w:tcW w:w="673" w:type="pct"/>
            <w:noWrap/>
          </w:tcPr>
          <w:p w:rsidR="00B231CB" w:rsidRDefault="00C71431">
            <w:pPr>
              <w:spacing w:after="120"/>
              <w:jc w:val="center"/>
              <w:rPr>
                <w:i/>
                <w:noProof/>
                <w:color w:val="000000" w:themeColor="text1"/>
              </w:rPr>
            </w:pPr>
            <w:r>
              <w:rPr>
                <w:i/>
                <w:noProof/>
                <w:color w:val="000000" w:themeColor="text1"/>
              </w:rPr>
              <w:t>N/A</w:t>
            </w:r>
          </w:p>
        </w:tc>
        <w:tc>
          <w:tcPr>
            <w:tcW w:w="672" w:type="pct"/>
            <w:noWrap/>
          </w:tcPr>
          <w:p w:rsidR="00B231CB" w:rsidRDefault="00C71431">
            <w:pPr>
              <w:spacing w:after="120"/>
              <w:jc w:val="center"/>
              <w:rPr>
                <w:i/>
                <w:noProof/>
                <w:color w:val="000000" w:themeColor="text1"/>
                <w:szCs w:val="24"/>
              </w:rPr>
            </w:pPr>
            <w:r>
              <w:rPr>
                <w:i/>
                <w:noProof/>
                <w:color w:val="000000" w:themeColor="text1"/>
              </w:rPr>
              <w:t>N/A</w:t>
            </w:r>
          </w:p>
        </w:tc>
      </w:tr>
    </w:tbl>
    <w:p w:rsidR="00B231CB" w:rsidRDefault="00B231CB">
      <w:pPr>
        <w:spacing w:after="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TLV20 - 2030 (EUR/van)</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color w:val="000000" w:themeColor="text1"/>
              </w:rPr>
            </w:pPr>
            <w:r>
              <w:rPr>
                <w:noProof/>
                <w:color w:val="000000" w:themeColor="text1"/>
              </w:rPr>
              <w:t>873</w:t>
            </w:r>
          </w:p>
        </w:tc>
        <w:tc>
          <w:tcPr>
            <w:tcW w:w="675" w:type="pct"/>
            <w:noWrap/>
          </w:tcPr>
          <w:p w:rsidR="00B231CB" w:rsidRDefault="00C71431">
            <w:pPr>
              <w:spacing w:after="120"/>
              <w:jc w:val="center"/>
              <w:rPr>
                <w:noProof/>
                <w:color w:val="000000" w:themeColor="text1"/>
              </w:rPr>
            </w:pPr>
            <w:r>
              <w:rPr>
                <w:noProof/>
                <w:color w:val="000000" w:themeColor="text1"/>
              </w:rPr>
              <w:t>596</w:t>
            </w:r>
          </w:p>
        </w:tc>
        <w:tc>
          <w:tcPr>
            <w:tcW w:w="675" w:type="pct"/>
            <w:noWrap/>
          </w:tcPr>
          <w:p w:rsidR="00B231CB" w:rsidRDefault="00C71431">
            <w:pPr>
              <w:keepNext/>
              <w:spacing w:after="120"/>
              <w:jc w:val="center"/>
              <w:rPr>
                <w:noProof/>
                <w:color w:val="000000" w:themeColor="text1"/>
              </w:rPr>
            </w:pPr>
            <w:r>
              <w:rPr>
                <w:noProof/>
                <w:color w:val="000000" w:themeColor="text1"/>
              </w:rPr>
              <w:t>426</w:t>
            </w:r>
          </w:p>
        </w:tc>
        <w:tc>
          <w:tcPr>
            <w:tcW w:w="675" w:type="pct"/>
            <w:noWrap/>
          </w:tcPr>
          <w:p w:rsidR="00B231CB" w:rsidRDefault="00C71431">
            <w:pPr>
              <w:spacing w:after="120"/>
              <w:jc w:val="center"/>
              <w:rPr>
                <w:noProof/>
                <w:color w:val="000000" w:themeColor="text1"/>
              </w:rPr>
            </w:pPr>
            <w:r>
              <w:rPr>
                <w:noProof/>
                <w:color w:val="000000" w:themeColor="text1"/>
              </w:rPr>
              <w:t>N/A</w:t>
            </w:r>
          </w:p>
        </w:tc>
        <w:tc>
          <w:tcPr>
            <w:tcW w:w="673"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color w:val="000000" w:themeColor="text1"/>
              </w:rPr>
            </w:pPr>
            <w:r>
              <w:rPr>
                <w:noProof/>
                <w:color w:val="000000" w:themeColor="text1"/>
              </w:rPr>
              <w:t>-34</w:t>
            </w:r>
          </w:p>
        </w:tc>
        <w:tc>
          <w:tcPr>
            <w:tcW w:w="675" w:type="pct"/>
            <w:noWrap/>
          </w:tcPr>
          <w:p w:rsidR="00B231CB" w:rsidRDefault="00C71431">
            <w:pPr>
              <w:spacing w:after="120"/>
              <w:jc w:val="center"/>
              <w:rPr>
                <w:noProof/>
                <w:color w:val="000000" w:themeColor="text1"/>
              </w:rPr>
            </w:pPr>
            <w:r>
              <w:rPr>
                <w:noProof/>
                <w:color w:val="000000" w:themeColor="text1"/>
              </w:rPr>
              <w:t>-56</w:t>
            </w:r>
          </w:p>
        </w:tc>
        <w:tc>
          <w:tcPr>
            <w:tcW w:w="675" w:type="pct"/>
            <w:noWrap/>
          </w:tcPr>
          <w:p w:rsidR="00B231CB" w:rsidRDefault="00C71431">
            <w:pPr>
              <w:keepNext/>
              <w:spacing w:after="120"/>
              <w:jc w:val="center"/>
              <w:rPr>
                <w:noProof/>
                <w:color w:val="000000" w:themeColor="text1"/>
              </w:rPr>
            </w:pPr>
            <w:r>
              <w:rPr>
                <w:noProof/>
                <w:color w:val="000000" w:themeColor="text1"/>
              </w:rPr>
              <w:t>-50</w:t>
            </w:r>
          </w:p>
        </w:tc>
        <w:tc>
          <w:tcPr>
            <w:tcW w:w="675" w:type="pct"/>
            <w:noWrap/>
          </w:tcPr>
          <w:p w:rsidR="00B231CB" w:rsidRDefault="00C71431">
            <w:pPr>
              <w:spacing w:after="120"/>
              <w:jc w:val="center"/>
              <w:rPr>
                <w:noProof/>
                <w:color w:val="000000" w:themeColor="text1"/>
              </w:rPr>
            </w:pPr>
            <w:r>
              <w:rPr>
                <w:noProof/>
                <w:color w:val="000000" w:themeColor="text1"/>
              </w:rPr>
              <w:t>N/A</w:t>
            </w:r>
          </w:p>
        </w:tc>
        <w:tc>
          <w:tcPr>
            <w:tcW w:w="673"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2,156</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2,020</w:t>
            </w:r>
          </w:p>
        </w:tc>
        <w:tc>
          <w:tcPr>
            <w:tcW w:w="675" w:type="pct"/>
            <w:tcBorders>
              <w:bottom w:val="single" w:sz="24" w:space="0" w:color="auto"/>
            </w:tcBorders>
            <w:noWrap/>
          </w:tcPr>
          <w:p w:rsidR="00B231CB" w:rsidRDefault="00C71431">
            <w:pPr>
              <w:keepNext/>
              <w:spacing w:after="120"/>
              <w:jc w:val="center"/>
              <w:rPr>
                <w:noProof/>
                <w:color w:val="000000" w:themeColor="text1"/>
              </w:rPr>
            </w:pPr>
            <w:r>
              <w:rPr>
                <w:noProof/>
                <w:color w:val="000000" w:themeColor="text1"/>
              </w:rPr>
              <w:t>2,063</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N/A</w:t>
            </w:r>
          </w:p>
        </w:tc>
        <w:tc>
          <w:tcPr>
            <w:tcW w:w="673"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color w:val="000000" w:themeColor="text1"/>
              </w:rPr>
            </w:pPr>
            <w:r>
              <w:rPr>
                <w:i/>
                <w:noProof/>
                <w:color w:val="000000" w:themeColor="text1"/>
              </w:rPr>
              <w:t>1,316</w:t>
            </w:r>
          </w:p>
        </w:tc>
        <w:tc>
          <w:tcPr>
            <w:tcW w:w="675" w:type="pct"/>
            <w:noWrap/>
          </w:tcPr>
          <w:p w:rsidR="00B231CB" w:rsidRDefault="00C71431">
            <w:pPr>
              <w:spacing w:after="120"/>
              <w:jc w:val="center"/>
              <w:rPr>
                <w:i/>
                <w:noProof/>
                <w:color w:val="000000" w:themeColor="text1"/>
              </w:rPr>
            </w:pPr>
            <w:r>
              <w:rPr>
                <w:i/>
                <w:noProof/>
                <w:color w:val="000000" w:themeColor="text1"/>
              </w:rPr>
              <w:t>1,480</w:t>
            </w:r>
          </w:p>
        </w:tc>
        <w:tc>
          <w:tcPr>
            <w:tcW w:w="675" w:type="pct"/>
            <w:noWrap/>
          </w:tcPr>
          <w:p w:rsidR="00B231CB" w:rsidRDefault="00C71431">
            <w:pPr>
              <w:spacing w:after="120"/>
              <w:jc w:val="center"/>
              <w:rPr>
                <w:i/>
                <w:noProof/>
                <w:color w:val="000000" w:themeColor="text1"/>
              </w:rPr>
            </w:pPr>
            <w:r>
              <w:rPr>
                <w:i/>
                <w:noProof/>
                <w:color w:val="000000" w:themeColor="text1"/>
              </w:rPr>
              <w:t>1,687</w:t>
            </w:r>
          </w:p>
        </w:tc>
        <w:tc>
          <w:tcPr>
            <w:tcW w:w="675" w:type="pct"/>
            <w:noWrap/>
          </w:tcPr>
          <w:p w:rsidR="00B231CB" w:rsidRDefault="00C71431">
            <w:pPr>
              <w:spacing w:after="120"/>
              <w:jc w:val="center"/>
              <w:rPr>
                <w:i/>
                <w:noProof/>
                <w:color w:val="000000" w:themeColor="text1"/>
              </w:rPr>
            </w:pPr>
            <w:r>
              <w:rPr>
                <w:i/>
                <w:noProof/>
                <w:color w:val="000000" w:themeColor="text1"/>
              </w:rPr>
              <w:t>N/A</w:t>
            </w:r>
          </w:p>
        </w:tc>
        <w:tc>
          <w:tcPr>
            <w:tcW w:w="673" w:type="pct"/>
            <w:noWrap/>
          </w:tcPr>
          <w:p w:rsidR="00B231CB" w:rsidRDefault="00C71431">
            <w:pPr>
              <w:spacing w:after="120"/>
              <w:jc w:val="center"/>
              <w:rPr>
                <w:i/>
                <w:noProof/>
                <w:color w:val="000000" w:themeColor="text1"/>
                <w:szCs w:val="24"/>
              </w:rPr>
            </w:pPr>
            <w:r>
              <w:rPr>
                <w:i/>
                <w:noProof/>
                <w:color w:val="000000" w:themeColor="text1"/>
              </w:rPr>
              <w:t>N/A</w:t>
            </w:r>
          </w:p>
        </w:tc>
      </w:tr>
    </w:tbl>
    <w:p w:rsidR="00B231CB" w:rsidRDefault="00B231CB">
      <w:pPr>
        <w:spacing w:after="0"/>
        <w:rPr>
          <w:noProof/>
          <w:color w:val="000000" w:themeColor="text1"/>
        </w:rPr>
      </w:pP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color w:val="000000" w:themeColor="text1"/>
                <w:szCs w:val="24"/>
              </w:rPr>
            </w:pPr>
            <w:r>
              <w:rPr>
                <w:b/>
                <w:noProof/>
                <w:color w:val="000000" w:themeColor="text1"/>
                <w:szCs w:val="24"/>
              </w:rPr>
              <w:t xml:space="preserve">TLV25 - </w:t>
            </w:r>
            <w:r>
              <w:rPr>
                <w:b/>
                <w:noProof/>
                <w:color w:val="000000" w:themeColor="text1"/>
                <w:szCs w:val="24"/>
              </w:rPr>
              <w:t>2025 (EUR/van)</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color w:val="000000" w:themeColor="text1"/>
              </w:rPr>
            </w:pPr>
            <w:r>
              <w:rPr>
                <w:noProof/>
                <w:color w:val="000000" w:themeColor="text1"/>
              </w:rPr>
              <w:t>765</w:t>
            </w:r>
          </w:p>
        </w:tc>
        <w:tc>
          <w:tcPr>
            <w:tcW w:w="673" w:type="pct"/>
            <w:noWrap/>
          </w:tcPr>
          <w:p w:rsidR="00B231CB" w:rsidRDefault="00C71431">
            <w:pPr>
              <w:spacing w:after="120"/>
              <w:jc w:val="center"/>
              <w:rPr>
                <w:noProof/>
                <w:color w:val="000000" w:themeColor="text1"/>
              </w:rPr>
            </w:pPr>
            <w:r>
              <w:rPr>
                <w:noProof/>
                <w:color w:val="000000" w:themeColor="text1"/>
              </w:rPr>
              <w:t>545</w:t>
            </w:r>
          </w:p>
        </w:tc>
        <w:tc>
          <w:tcPr>
            <w:tcW w:w="673" w:type="pct"/>
            <w:noWrap/>
          </w:tcPr>
          <w:p w:rsidR="00B231CB" w:rsidRDefault="00C71431">
            <w:pPr>
              <w:spacing w:after="120"/>
              <w:jc w:val="center"/>
              <w:rPr>
                <w:noProof/>
                <w:color w:val="000000" w:themeColor="text1"/>
                <w:szCs w:val="24"/>
              </w:rPr>
            </w:pPr>
            <w:r>
              <w:rPr>
                <w:noProof/>
                <w:color w:val="000000" w:themeColor="text1"/>
              </w:rPr>
              <w:t>355</w:t>
            </w:r>
          </w:p>
        </w:tc>
        <w:tc>
          <w:tcPr>
            <w:tcW w:w="673" w:type="pct"/>
            <w:noWrap/>
          </w:tcPr>
          <w:p w:rsidR="00B231CB" w:rsidRDefault="00C71431">
            <w:pPr>
              <w:spacing w:after="120"/>
              <w:jc w:val="center"/>
              <w:rPr>
                <w:noProof/>
                <w:color w:val="000000" w:themeColor="text1"/>
              </w:rPr>
            </w:pPr>
            <w:r>
              <w:rPr>
                <w:noProof/>
                <w:color w:val="000000" w:themeColor="text1"/>
              </w:rPr>
              <w:t>240</w:t>
            </w:r>
          </w:p>
        </w:tc>
        <w:tc>
          <w:tcPr>
            <w:tcW w:w="672" w:type="pct"/>
            <w:noWrap/>
          </w:tcPr>
          <w:p w:rsidR="00B231CB" w:rsidRDefault="00C71431">
            <w:pPr>
              <w:spacing w:after="120"/>
              <w:jc w:val="center"/>
              <w:rPr>
                <w:noProof/>
                <w:color w:val="000000" w:themeColor="text1"/>
              </w:rPr>
            </w:pPr>
            <w:r>
              <w:rPr>
                <w:noProof/>
                <w:color w:val="000000" w:themeColor="text1"/>
              </w:rPr>
              <w:t>121</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color w:val="000000" w:themeColor="text1"/>
              </w:rPr>
            </w:pPr>
            <w:r>
              <w:rPr>
                <w:noProof/>
                <w:color w:val="000000" w:themeColor="text1"/>
              </w:rPr>
              <w:t>-55</w:t>
            </w:r>
          </w:p>
        </w:tc>
        <w:tc>
          <w:tcPr>
            <w:tcW w:w="673" w:type="pct"/>
            <w:noWrap/>
          </w:tcPr>
          <w:p w:rsidR="00B231CB" w:rsidRDefault="00C71431">
            <w:pPr>
              <w:spacing w:after="120"/>
              <w:jc w:val="center"/>
              <w:rPr>
                <w:noProof/>
                <w:color w:val="000000" w:themeColor="text1"/>
              </w:rPr>
            </w:pPr>
            <w:r>
              <w:rPr>
                <w:noProof/>
                <w:color w:val="000000" w:themeColor="text1"/>
              </w:rPr>
              <w:t>-60</w:t>
            </w:r>
          </w:p>
        </w:tc>
        <w:tc>
          <w:tcPr>
            <w:tcW w:w="673" w:type="pct"/>
            <w:noWrap/>
          </w:tcPr>
          <w:p w:rsidR="00B231CB" w:rsidRDefault="00C71431">
            <w:pPr>
              <w:spacing w:after="120"/>
              <w:jc w:val="center"/>
              <w:rPr>
                <w:noProof/>
                <w:color w:val="000000" w:themeColor="text1"/>
                <w:szCs w:val="24"/>
              </w:rPr>
            </w:pPr>
            <w:r>
              <w:rPr>
                <w:noProof/>
                <w:color w:val="000000" w:themeColor="text1"/>
              </w:rPr>
              <w:t>-52</w:t>
            </w:r>
          </w:p>
        </w:tc>
        <w:tc>
          <w:tcPr>
            <w:tcW w:w="673" w:type="pct"/>
            <w:noWrap/>
          </w:tcPr>
          <w:p w:rsidR="00B231CB" w:rsidRDefault="00C71431">
            <w:pPr>
              <w:spacing w:after="120"/>
              <w:jc w:val="center"/>
              <w:rPr>
                <w:noProof/>
                <w:color w:val="000000" w:themeColor="text1"/>
              </w:rPr>
            </w:pPr>
            <w:r>
              <w:rPr>
                <w:noProof/>
                <w:color w:val="000000" w:themeColor="text1"/>
              </w:rPr>
              <w:t>-63</w:t>
            </w:r>
          </w:p>
        </w:tc>
        <w:tc>
          <w:tcPr>
            <w:tcW w:w="672" w:type="pct"/>
            <w:noWrap/>
          </w:tcPr>
          <w:p w:rsidR="00B231CB" w:rsidRDefault="00C71431">
            <w:pPr>
              <w:spacing w:after="120"/>
              <w:jc w:val="center"/>
              <w:rPr>
                <w:noProof/>
                <w:color w:val="000000" w:themeColor="text1"/>
              </w:rPr>
            </w:pPr>
            <w:r>
              <w:rPr>
                <w:noProof/>
                <w:color w:val="000000" w:themeColor="text1"/>
              </w:rPr>
              <w:t>-58</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1,313</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1,212</w:t>
            </w:r>
          </w:p>
        </w:tc>
        <w:tc>
          <w:tcPr>
            <w:tcW w:w="673"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rPr>
              <w:t>1,265</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1,155</w:t>
            </w:r>
          </w:p>
        </w:tc>
        <w:tc>
          <w:tcPr>
            <w:tcW w:w="672"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1,191</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3" w:type="pct"/>
            <w:noWrap/>
          </w:tcPr>
          <w:p w:rsidR="00B231CB" w:rsidRDefault="00C71431">
            <w:pPr>
              <w:spacing w:after="120"/>
              <w:jc w:val="center"/>
              <w:rPr>
                <w:i/>
                <w:noProof/>
                <w:color w:val="000000" w:themeColor="text1"/>
              </w:rPr>
            </w:pPr>
            <w:r>
              <w:rPr>
                <w:i/>
                <w:noProof/>
                <w:color w:val="000000" w:themeColor="text1"/>
              </w:rPr>
              <w:t>602</w:t>
            </w:r>
          </w:p>
        </w:tc>
        <w:tc>
          <w:tcPr>
            <w:tcW w:w="673" w:type="pct"/>
            <w:noWrap/>
          </w:tcPr>
          <w:p w:rsidR="00B231CB" w:rsidRDefault="00C71431">
            <w:pPr>
              <w:spacing w:after="120"/>
              <w:jc w:val="center"/>
              <w:rPr>
                <w:i/>
                <w:noProof/>
                <w:color w:val="000000" w:themeColor="text1"/>
              </w:rPr>
            </w:pPr>
            <w:r>
              <w:rPr>
                <w:i/>
                <w:noProof/>
                <w:color w:val="000000" w:themeColor="text1"/>
              </w:rPr>
              <w:t>727</w:t>
            </w:r>
          </w:p>
        </w:tc>
        <w:tc>
          <w:tcPr>
            <w:tcW w:w="673" w:type="pct"/>
            <w:noWrap/>
          </w:tcPr>
          <w:p w:rsidR="00B231CB" w:rsidRDefault="00C71431">
            <w:pPr>
              <w:spacing w:after="120"/>
              <w:jc w:val="center"/>
              <w:rPr>
                <w:i/>
                <w:noProof/>
                <w:color w:val="000000" w:themeColor="text1"/>
                <w:szCs w:val="24"/>
              </w:rPr>
            </w:pPr>
            <w:r>
              <w:rPr>
                <w:i/>
                <w:noProof/>
                <w:color w:val="000000" w:themeColor="text1"/>
              </w:rPr>
              <w:t>962</w:t>
            </w:r>
          </w:p>
        </w:tc>
        <w:tc>
          <w:tcPr>
            <w:tcW w:w="673" w:type="pct"/>
            <w:noWrap/>
          </w:tcPr>
          <w:p w:rsidR="00B231CB" w:rsidRDefault="00C71431">
            <w:pPr>
              <w:spacing w:after="120"/>
              <w:jc w:val="center"/>
              <w:rPr>
                <w:i/>
                <w:noProof/>
                <w:color w:val="000000" w:themeColor="text1"/>
              </w:rPr>
            </w:pPr>
            <w:r>
              <w:rPr>
                <w:i/>
                <w:noProof/>
                <w:color w:val="000000" w:themeColor="text1"/>
              </w:rPr>
              <w:t>979</w:t>
            </w:r>
          </w:p>
        </w:tc>
        <w:tc>
          <w:tcPr>
            <w:tcW w:w="672" w:type="pct"/>
            <w:noWrap/>
          </w:tcPr>
          <w:p w:rsidR="00B231CB" w:rsidRDefault="00C71431">
            <w:pPr>
              <w:spacing w:after="120"/>
              <w:jc w:val="center"/>
              <w:rPr>
                <w:i/>
                <w:noProof/>
                <w:color w:val="000000" w:themeColor="text1"/>
              </w:rPr>
            </w:pPr>
            <w:r>
              <w:rPr>
                <w:i/>
                <w:noProof/>
                <w:color w:val="000000" w:themeColor="text1"/>
              </w:rPr>
              <w:t>1,127</w:t>
            </w:r>
          </w:p>
        </w:tc>
      </w:tr>
    </w:tbl>
    <w:p w:rsidR="00B231CB" w:rsidRDefault="00B231CB">
      <w:pPr>
        <w:spacing w:after="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TLV25 - 2030 (EUR/van)</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color w:val="000000" w:themeColor="text1"/>
              </w:rPr>
            </w:pPr>
            <w:r>
              <w:rPr>
                <w:noProof/>
                <w:color w:val="000000" w:themeColor="text1"/>
              </w:rPr>
              <w:t>1,194</w:t>
            </w:r>
          </w:p>
        </w:tc>
        <w:tc>
          <w:tcPr>
            <w:tcW w:w="675" w:type="pct"/>
            <w:noWrap/>
          </w:tcPr>
          <w:p w:rsidR="00B231CB" w:rsidRDefault="00C71431">
            <w:pPr>
              <w:spacing w:after="120"/>
              <w:jc w:val="center"/>
              <w:rPr>
                <w:noProof/>
                <w:color w:val="000000" w:themeColor="text1"/>
              </w:rPr>
            </w:pPr>
            <w:r>
              <w:rPr>
                <w:noProof/>
                <w:color w:val="000000" w:themeColor="text1"/>
              </w:rPr>
              <w:t>843</w:t>
            </w:r>
          </w:p>
        </w:tc>
        <w:tc>
          <w:tcPr>
            <w:tcW w:w="675" w:type="pct"/>
            <w:noWrap/>
          </w:tcPr>
          <w:p w:rsidR="00B231CB" w:rsidRDefault="00C71431">
            <w:pPr>
              <w:keepNext/>
              <w:spacing w:after="120"/>
              <w:jc w:val="center"/>
              <w:rPr>
                <w:noProof/>
                <w:color w:val="000000" w:themeColor="text1"/>
              </w:rPr>
            </w:pPr>
            <w:r>
              <w:rPr>
                <w:noProof/>
                <w:color w:val="000000" w:themeColor="text1"/>
              </w:rPr>
              <w:t>620</w:t>
            </w:r>
          </w:p>
        </w:tc>
        <w:tc>
          <w:tcPr>
            <w:tcW w:w="675" w:type="pct"/>
            <w:noWrap/>
          </w:tcPr>
          <w:p w:rsidR="00B231CB" w:rsidRDefault="00C71431">
            <w:pPr>
              <w:spacing w:after="120"/>
              <w:jc w:val="center"/>
              <w:rPr>
                <w:noProof/>
                <w:color w:val="000000" w:themeColor="text1"/>
              </w:rPr>
            </w:pPr>
            <w:r>
              <w:rPr>
                <w:noProof/>
                <w:color w:val="000000" w:themeColor="text1"/>
              </w:rPr>
              <w:t>358</w:t>
            </w:r>
          </w:p>
        </w:tc>
        <w:tc>
          <w:tcPr>
            <w:tcW w:w="673" w:type="pct"/>
            <w:noWrap/>
          </w:tcPr>
          <w:p w:rsidR="00B231CB" w:rsidRDefault="00C71431">
            <w:pPr>
              <w:spacing w:after="120"/>
              <w:jc w:val="center"/>
              <w:rPr>
                <w:noProof/>
                <w:color w:val="000000" w:themeColor="text1"/>
              </w:rPr>
            </w:pPr>
            <w:r>
              <w:rPr>
                <w:noProof/>
                <w:color w:val="000000" w:themeColor="text1"/>
              </w:rPr>
              <w:t>235</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color w:val="000000" w:themeColor="text1"/>
              </w:rPr>
            </w:pPr>
            <w:r>
              <w:rPr>
                <w:noProof/>
                <w:color w:val="000000" w:themeColor="text1"/>
              </w:rPr>
              <w:t>-47</w:t>
            </w:r>
          </w:p>
        </w:tc>
        <w:tc>
          <w:tcPr>
            <w:tcW w:w="675" w:type="pct"/>
            <w:noWrap/>
          </w:tcPr>
          <w:p w:rsidR="00B231CB" w:rsidRDefault="00C71431">
            <w:pPr>
              <w:spacing w:after="120"/>
              <w:jc w:val="center"/>
              <w:rPr>
                <w:noProof/>
                <w:color w:val="000000" w:themeColor="text1"/>
              </w:rPr>
            </w:pPr>
            <w:r>
              <w:rPr>
                <w:noProof/>
                <w:color w:val="000000" w:themeColor="text1"/>
              </w:rPr>
              <w:t>-67</w:t>
            </w:r>
          </w:p>
        </w:tc>
        <w:tc>
          <w:tcPr>
            <w:tcW w:w="675" w:type="pct"/>
            <w:noWrap/>
          </w:tcPr>
          <w:p w:rsidR="00B231CB" w:rsidRDefault="00C71431">
            <w:pPr>
              <w:keepNext/>
              <w:spacing w:after="120"/>
              <w:jc w:val="center"/>
              <w:rPr>
                <w:noProof/>
                <w:color w:val="000000" w:themeColor="text1"/>
              </w:rPr>
            </w:pPr>
            <w:r>
              <w:rPr>
                <w:noProof/>
                <w:color w:val="000000" w:themeColor="text1"/>
              </w:rPr>
              <w:t>-55</w:t>
            </w:r>
          </w:p>
        </w:tc>
        <w:tc>
          <w:tcPr>
            <w:tcW w:w="675" w:type="pct"/>
            <w:noWrap/>
          </w:tcPr>
          <w:p w:rsidR="00B231CB" w:rsidRDefault="00C71431">
            <w:pPr>
              <w:spacing w:after="120"/>
              <w:jc w:val="center"/>
              <w:rPr>
                <w:noProof/>
                <w:color w:val="000000" w:themeColor="text1"/>
              </w:rPr>
            </w:pPr>
            <w:r>
              <w:rPr>
                <w:noProof/>
                <w:color w:val="000000" w:themeColor="text1"/>
              </w:rPr>
              <w:t>-83</w:t>
            </w:r>
          </w:p>
        </w:tc>
        <w:tc>
          <w:tcPr>
            <w:tcW w:w="673" w:type="pct"/>
            <w:noWrap/>
          </w:tcPr>
          <w:p w:rsidR="00B231CB" w:rsidRDefault="00C71431">
            <w:pPr>
              <w:spacing w:after="120"/>
              <w:jc w:val="center"/>
              <w:rPr>
                <w:noProof/>
                <w:color w:val="000000" w:themeColor="text1"/>
              </w:rPr>
            </w:pPr>
            <w:r>
              <w:rPr>
                <w:noProof/>
                <w:color w:val="000000" w:themeColor="text1"/>
              </w:rPr>
              <w:t>-77</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2,642</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2,537</w:t>
            </w:r>
          </w:p>
        </w:tc>
        <w:tc>
          <w:tcPr>
            <w:tcW w:w="675" w:type="pct"/>
            <w:tcBorders>
              <w:bottom w:val="single" w:sz="24" w:space="0" w:color="auto"/>
            </w:tcBorders>
            <w:noWrap/>
          </w:tcPr>
          <w:p w:rsidR="00B231CB" w:rsidRDefault="00C71431">
            <w:pPr>
              <w:keepNext/>
              <w:spacing w:after="120"/>
              <w:jc w:val="center"/>
              <w:rPr>
                <w:noProof/>
                <w:color w:val="000000" w:themeColor="text1"/>
              </w:rPr>
            </w:pPr>
            <w:r>
              <w:rPr>
                <w:noProof/>
                <w:color w:val="000000" w:themeColor="text1"/>
              </w:rPr>
              <w:t>2,600</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2,438</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2,470</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color w:val="000000" w:themeColor="text1"/>
              </w:rPr>
            </w:pPr>
            <w:r>
              <w:rPr>
                <w:i/>
                <w:noProof/>
                <w:color w:val="000000" w:themeColor="text1"/>
              </w:rPr>
              <w:t>1,495</w:t>
            </w:r>
          </w:p>
        </w:tc>
        <w:tc>
          <w:tcPr>
            <w:tcW w:w="675" w:type="pct"/>
            <w:noWrap/>
          </w:tcPr>
          <w:p w:rsidR="00B231CB" w:rsidRDefault="00C71431">
            <w:pPr>
              <w:spacing w:after="120"/>
              <w:jc w:val="center"/>
              <w:rPr>
                <w:i/>
                <w:noProof/>
                <w:color w:val="000000" w:themeColor="text1"/>
              </w:rPr>
            </w:pPr>
            <w:r>
              <w:rPr>
                <w:i/>
                <w:noProof/>
                <w:color w:val="000000" w:themeColor="text1"/>
              </w:rPr>
              <w:t>1,760</w:t>
            </w:r>
          </w:p>
        </w:tc>
        <w:tc>
          <w:tcPr>
            <w:tcW w:w="675" w:type="pct"/>
            <w:noWrap/>
          </w:tcPr>
          <w:p w:rsidR="00B231CB" w:rsidRDefault="00C71431">
            <w:pPr>
              <w:spacing w:after="120"/>
              <w:jc w:val="center"/>
              <w:rPr>
                <w:i/>
                <w:noProof/>
                <w:color w:val="000000" w:themeColor="text1"/>
              </w:rPr>
            </w:pPr>
            <w:r>
              <w:rPr>
                <w:i/>
                <w:noProof/>
                <w:color w:val="000000" w:themeColor="text1"/>
              </w:rPr>
              <w:t>2,036</w:t>
            </w:r>
          </w:p>
        </w:tc>
        <w:tc>
          <w:tcPr>
            <w:tcW w:w="675" w:type="pct"/>
            <w:noWrap/>
          </w:tcPr>
          <w:p w:rsidR="00B231CB" w:rsidRDefault="00C71431">
            <w:pPr>
              <w:spacing w:after="120"/>
              <w:jc w:val="center"/>
              <w:rPr>
                <w:i/>
                <w:noProof/>
                <w:color w:val="000000" w:themeColor="text1"/>
              </w:rPr>
            </w:pPr>
            <w:r>
              <w:rPr>
                <w:i/>
                <w:noProof/>
                <w:color w:val="000000" w:themeColor="text1"/>
              </w:rPr>
              <w:t>2,163</w:t>
            </w:r>
          </w:p>
        </w:tc>
        <w:tc>
          <w:tcPr>
            <w:tcW w:w="673" w:type="pct"/>
            <w:noWrap/>
          </w:tcPr>
          <w:p w:rsidR="00B231CB" w:rsidRDefault="00C71431">
            <w:pPr>
              <w:spacing w:after="120"/>
              <w:jc w:val="center"/>
              <w:rPr>
                <w:i/>
                <w:noProof/>
                <w:color w:val="000000" w:themeColor="text1"/>
              </w:rPr>
            </w:pPr>
            <w:r>
              <w:rPr>
                <w:i/>
                <w:noProof/>
                <w:color w:val="000000" w:themeColor="text1"/>
              </w:rPr>
              <w:t>2,312</w:t>
            </w:r>
          </w:p>
        </w:tc>
      </w:tr>
    </w:tbl>
    <w:p w:rsidR="00B231CB" w:rsidRDefault="00B231CB">
      <w:pPr>
        <w:spacing w:after="0"/>
        <w:rPr>
          <w:noProof/>
          <w:color w:val="000000" w:themeColor="text1"/>
        </w:rPr>
      </w:pP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color w:val="000000" w:themeColor="text1"/>
                <w:szCs w:val="24"/>
              </w:rPr>
            </w:pPr>
            <w:r>
              <w:rPr>
                <w:b/>
                <w:noProof/>
                <w:color w:val="000000" w:themeColor="text1"/>
                <w:szCs w:val="24"/>
              </w:rPr>
              <w:t>TLV40 - 2025 (EUR/van)</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color w:val="000000" w:themeColor="text1"/>
              </w:rPr>
            </w:pPr>
            <w:r>
              <w:rPr>
                <w:noProof/>
                <w:color w:val="000000" w:themeColor="text1"/>
              </w:rPr>
              <w:t>1,561</w:t>
            </w:r>
          </w:p>
        </w:tc>
        <w:tc>
          <w:tcPr>
            <w:tcW w:w="673" w:type="pct"/>
            <w:noWrap/>
          </w:tcPr>
          <w:p w:rsidR="00B231CB" w:rsidRDefault="00C71431">
            <w:pPr>
              <w:spacing w:after="120"/>
              <w:jc w:val="center"/>
              <w:rPr>
                <w:noProof/>
                <w:color w:val="000000" w:themeColor="text1"/>
              </w:rPr>
            </w:pPr>
            <w:r>
              <w:rPr>
                <w:noProof/>
                <w:color w:val="000000" w:themeColor="text1"/>
              </w:rPr>
              <w:t>1,132</w:t>
            </w:r>
          </w:p>
        </w:tc>
        <w:tc>
          <w:tcPr>
            <w:tcW w:w="673" w:type="pct"/>
            <w:noWrap/>
          </w:tcPr>
          <w:p w:rsidR="00B231CB" w:rsidRDefault="00C71431">
            <w:pPr>
              <w:spacing w:after="120"/>
              <w:jc w:val="center"/>
              <w:rPr>
                <w:noProof/>
                <w:color w:val="000000" w:themeColor="text1"/>
                <w:szCs w:val="24"/>
              </w:rPr>
            </w:pPr>
            <w:r>
              <w:rPr>
                <w:noProof/>
                <w:color w:val="000000" w:themeColor="text1"/>
              </w:rPr>
              <w:t>877</w:t>
            </w:r>
          </w:p>
        </w:tc>
        <w:tc>
          <w:tcPr>
            <w:tcW w:w="673" w:type="pct"/>
            <w:noWrap/>
          </w:tcPr>
          <w:p w:rsidR="00B231CB" w:rsidRDefault="00C71431">
            <w:pPr>
              <w:spacing w:after="120"/>
              <w:jc w:val="center"/>
              <w:rPr>
                <w:noProof/>
                <w:color w:val="000000" w:themeColor="text1"/>
              </w:rPr>
            </w:pPr>
            <w:r>
              <w:rPr>
                <w:noProof/>
                <w:color w:val="000000" w:themeColor="text1"/>
              </w:rPr>
              <w:t>669</w:t>
            </w:r>
          </w:p>
        </w:tc>
        <w:tc>
          <w:tcPr>
            <w:tcW w:w="672" w:type="pct"/>
            <w:noWrap/>
          </w:tcPr>
          <w:p w:rsidR="00B231CB" w:rsidRDefault="00C71431">
            <w:pPr>
              <w:spacing w:after="120"/>
              <w:jc w:val="center"/>
              <w:rPr>
                <w:noProof/>
                <w:color w:val="000000" w:themeColor="text1"/>
              </w:rPr>
            </w:pPr>
            <w:r>
              <w:rPr>
                <w:noProof/>
                <w:color w:val="000000" w:themeColor="text1"/>
              </w:rPr>
              <w:t>370</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color w:val="000000" w:themeColor="text1"/>
              </w:rPr>
            </w:pPr>
            <w:r>
              <w:rPr>
                <w:noProof/>
                <w:color w:val="000000" w:themeColor="text1"/>
              </w:rPr>
              <w:t>-110</w:t>
            </w:r>
          </w:p>
        </w:tc>
        <w:tc>
          <w:tcPr>
            <w:tcW w:w="673" w:type="pct"/>
            <w:noWrap/>
          </w:tcPr>
          <w:p w:rsidR="00B231CB" w:rsidRDefault="00C71431">
            <w:pPr>
              <w:spacing w:after="120"/>
              <w:jc w:val="center"/>
              <w:rPr>
                <w:noProof/>
                <w:color w:val="000000" w:themeColor="text1"/>
              </w:rPr>
            </w:pPr>
            <w:r>
              <w:rPr>
                <w:noProof/>
                <w:color w:val="000000" w:themeColor="text1"/>
              </w:rPr>
              <w:t>-110</w:t>
            </w:r>
          </w:p>
        </w:tc>
        <w:tc>
          <w:tcPr>
            <w:tcW w:w="673" w:type="pct"/>
            <w:noWrap/>
          </w:tcPr>
          <w:p w:rsidR="00B231CB" w:rsidRDefault="00C71431">
            <w:pPr>
              <w:spacing w:after="120"/>
              <w:jc w:val="center"/>
              <w:rPr>
                <w:noProof/>
                <w:color w:val="000000" w:themeColor="text1"/>
                <w:szCs w:val="24"/>
              </w:rPr>
            </w:pPr>
            <w:r>
              <w:rPr>
                <w:noProof/>
                <w:color w:val="000000" w:themeColor="text1"/>
              </w:rPr>
              <w:t>-106</w:t>
            </w:r>
          </w:p>
        </w:tc>
        <w:tc>
          <w:tcPr>
            <w:tcW w:w="673" w:type="pct"/>
            <w:noWrap/>
          </w:tcPr>
          <w:p w:rsidR="00B231CB" w:rsidRDefault="00C71431">
            <w:pPr>
              <w:spacing w:after="120"/>
              <w:jc w:val="center"/>
              <w:rPr>
                <w:noProof/>
                <w:color w:val="000000" w:themeColor="text1"/>
              </w:rPr>
            </w:pPr>
            <w:r>
              <w:rPr>
                <w:noProof/>
                <w:color w:val="000000" w:themeColor="text1"/>
              </w:rPr>
              <w:t>-112</w:t>
            </w:r>
          </w:p>
        </w:tc>
        <w:tc>
          <w:tcPr>
            <w:tcW w:w="672" w:type="pct"/>
            <w:noWrap/>
          </w:tcPr>
          <w:p w:rsidR="00B231CB" w:rsidRDefault="00C71431">
            <w:pPr>
              <w:spacing w:after="120"/>
              <w:jc w:val="center"/>
              <w:rPr>
                <w:noProof/>
                <w:color w:val="000000" w:themeColor="text1"/>
              </w:rPr>
            </w:pPr>
            <w:r>
              <w:rPr>
                <w:noProof/>
                <w:color w:val="000000" w:themeColor="text1"/>
              </w:rPr>
              <w:t>-59</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1,954</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1,964</w:t>
            </w:r>
          </w:p>
        </w:tc>
        <w:tc>
          <w:tcPr>
            <w:tcW w:w="673"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rPr>
              <w:t>2,061</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1,973</w:t>
            </w:r>
          </w:p>
        </w:tc>
        <w:tc>
          <w:tcPr>
            <w:tcW w:w="672"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2,250</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3" w:type="pct"/>
            <w:noWrap/>
          </w:tcPr>
          <w:p w:rsidR="00B231CB" w:rsidRDefault="00C71431">
            <w:pPr>
              <w:spacing w:after="120"/>
              <w:jc w:val="center"/>
              <w:rPr>
                <w:i/>
                <w:noProof/>
                <w:color w:val="000000" w:themeColor="text1"/>
              </w:rPr>
            </w:pPr>
            <w:r>
              <w:rPr>
                <w:i/>
                <w:noProof/>
                <w:color w:val="000000" w:themeColor="text1"/>
              </w:rPr>
              <w:t>503</w:t>
            </w:r>
          </w:p>
        </w:tc>
        <w:tc>
          <w:tcPr>
            <w:tcW w:w="673" w:type="pct"/>
            <w:noWrap/>
          </w:tcPr>
          <w:p w:rsidR="00B231CB" w:rsidRDefault="00C71431">
            <w:pPr>
              <w:spacing w:after="120"/>
              <w:jc w:val="center"/>
              <w:rPr>
                <w:i/>
                <w:noProof/>
                <w:color w:val="000000" w:themeColor="text1"/>
              </w:rPr>
            </w:pPr>
            <w:r>
              <w:rPr>
                <w:i/>
                <w:noProof/>
                <w:color w:val="000000" w:themeColor="text1"/>
              </w:rPr>
              <w:t>942</w:t>
            </w:r>
          </w:p>
        </w:tc>
        <w:tc>
          <w:tcPr>
            <w:tcW w:w="673" w:type="pct"/>
            <w:noWrap/>
          </w:tcPr>
          <w:p w:rsidR="00B231CB" w:rsidRDefault="00C71431">
            <w:pPr>
              <w:spacing w:after="120"/>
              <w:jc w:val="center"/>
              <w:rPr>
                <w:i/>
                <w:noProof/>
                <w:color w:val="000000" w:themeColor="text1"/>
                <w:szCs w:val="24"/>
              </w:rPr>
            </w:pPr>
            <w:r>
              <w:rPr>
                <w:i/>
                <w:noProof/>
                <w:color w:val="000000" w:themeColor="text1"/>
              </w:rPr>
              <w:t>1,290</w:t>
            </w:r>
          </w:p>
        </w:tc>
        <w:tc>
          <w:tcPr>
            <w:tcW w:w="673" w:type="pct"/>
            <w:noWrap/>
          </w:tcPr>
          <w:p w:rsidR="00B231CB" w:rsidRDefault="00C71431">
            <w:pPr>
              <w:spacing w:after="120"/>
              <w:jc w:val="center"/>
              <w:rPr>
                <w:i/>
                <w:noProof/>
                <w:color w:val="000000" w:themeColor="text1"/>
              </w:rPr>
            </w:pPr>
            <w:r>
              <w:rPr>
                <w:i/>
                <w:noProof/>
                <w:color w:val="000000" w:themeColor="text1"/>
              </w:rPr>
              <w:t>1,416</w:t>
            </w:r>
          </w:p>
        </w:tc>
        <w:tc>
          <w:tcPr>
            <w:tcW w:w="672" w:type="pct"/>
            <w:noWrap/>
          </w:tcPr>
          <w:p w:rsidR="00B231CB" w:rsidRDefault="00C71431">
            <w:pPr>
              <w:spacing w:after="120"/>
              <w:jc w:val="center"/>
              <w:rPr>
                <w:i/>
                <w:noProof/>
                <w:color w:val="000000" w:themeColor="text1"/>
              </w:rPr>
            </w:pPr>
            <w:r>
              <w:rPr>
                <w:i/>
                <w:noProof/>
                <w:color w:val="000000" w:themeColor="text1"/>
              </w:rPr>
              <w:t>1,938</w:t>
            </w:r>
          </w:p>
        </w:tc>
      </w:tr>
    </w:tbl>
    <w:p w:rsidR="00B231CB" w:rsidRDefault="00B231CB">
      <w:pPr>
        <w:spacing w:after="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TLV40 - 2030 (EUR/van)</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color w:val="000000" w:themeColor="text1"/>
              </w:rPr>
            </w:pPr>
            <w:r>
              <w:rPr>
                <w:noProof/>
                <w:color w:val="000000" w:themeColor="text1"/>
              </w:rPr>
              <w:t>2,553</w:t>
            </w:r>
          </w:p>
        </w:tc>
        <w:tc>
          <w:tcPr>
            <w:tcW w:w="675" w:type="pct"/>
            <w:noWrap/>
          </w:tcPr>
          <w:p w:rsidR="00B231CB" w:rsidRDefault="00C71431">
            <w:pPr>
              <w:spacing w:after="120"/>
              <w:jc w:val="center"/>
              <w:rPr>
                <w:noProof/>
                <w:color w:val="000000" w:themeColor="text1"/>
              </w:rPr>
            </w:pPr>
            <w:r>
              <w:rPr>
                <w:noProof/>
                <w:color w:val="000000" w:themeColor="text1"/>
              </w:rPr>
              <w:t>1,863</w:t>
            </w:r>
          </w:p>
        </w:tc>
        <w:tc>
          <w:tcPr>
            <w:tcW w:w="675" w:type="pct"/>
            <w:noWrap/>
          </w:tcPr>
          <w:p w:rsidR="00B231CB" w:rsidRDefault="00C71431">
            <w:pPr>
              <w:keepNext/>
              <w:spacing w:after="120"/>
              <w:jc w:val="center"/>
              <w:rPr>
                <w:noProof/>
                <w:color w:val="000000" w:themeColor="text1"/>
              </w:rPr>
            </w:pPr>
            <w:r>
              <w:rPr>
                <w:noProof/>
                <w:color w:val="000000" w:themeColor="text1"/>
              </w:rPr>
              <w:t>1,582</w:t>
            </w:r>
          </w:p>
        </w:tc>
        <w:tc>
          <w:tcPr>
            <w:tcW w:w="675" w:type="pct"/>
            <w:noWrap/>
          </w:tcPr>
          <w:p w:rsidR="00B231CB" w:rsidRDefault="00C71431">
            <w:pPr>
              <w:spacing w:after="120"/>
              <w:jc w:val="center"/>
              <w:rPr>
                <w:noProof/>
                <w:color w:val="000000" w:themeColor="text1"/>
              </w:rPr>
            </w:pPr>
            <w:r>
              <w:rPr>
                <w:noProof/>
                <w:color w:val="000000" w:themeColor="text1"/>
              </w:rPr>
              <w:t>1,091</w:t>
            </w:r>
          </w:p>
        </w:tc>
        <w:tc>
          <w:tcPr>
            <w:tcW w:w="673" w:type="pct"/>
            <w:noWrap/>
          </w:tcPr>
          <w:p w:rsidR="00B231CB" w:rsidRDefault="00C71431">
            <w:pPr>
              <w:spacing w:after="120"/>
              <w:jc w:val="center"/>
              <w:rPr>
                <w:noProof/>
                <w:color w:val="000000" w:themeColor="text1"/>
              </w:rPr>
            </w:pPr>
            <w:r>
              <w:rPr>
                <w:noProof/>
                <w:color w:val="000000" w:themeColor="text1"/>
              </w:rPr>
              <w:t>814</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color w:val="000000" w:themeColor="text1"/>
              </w:rPr>
            </w:pPr>
            <w:r>
              <w:rPr>
                <w:noProof/>
                <w:color w:val="000000" w:themeColor="text1"/>
              </w:rPr>
              <w:t>-154</w:t>
            </w:r>
          </w:p>
        </w:tc>
        <w:tc>
          <w:tcPr>
            <w:tcW w:w="675" w:type="pct"/>
            <w:noWrap/>
          </w:tcPr>
          <w:p w:rsidR="00B231CB" w:rsidRDefault="00C71431">
            <w:pPr>
              <w:spacing w:after="120"/>
              <w:jc w:val="center"/>
              <w:rPr>
                <w:noProof/>
                <w:color w:val="000000" w:themeColor="text1"/>
              </w:rPr>
            </w:pPr>
            <w:r>
              <w:rPr>
                <w:noProof/>
                <w:color w:val="000000" w:themeColor="text1"/>
              </w:rPr>
              <w:t>-154</w:t>
            </w:r>
          </w:p>
        </w:tc>
        <w:tc>
          <w:tcPr>
            <w:tcW w:w="675" w:type="pct"/>
            <w:noWrap/>
          </w:tcPr>
          <w:p w:rsidR="00B231CB" w:rsidRDefault="00C71431">
            <w:pPr>
              <w:keepNext/>
              <w:spacing w:after="120"/>
              <w:jc w:val="center"/>
              <w:rPr>
                <w:noProof/>
                <w:color w:val="000000" w:themeColor="text1"/>
              </w:rPr>
            </w:pPr>
            <w:r>
              <w:rPr>
                <w:noProof/>
                <w:color w:val="000000" w:themeColor="text1"/>
              </w:rPr>
              <w:t>-142</w:t>
            </w:r>
          </w:p>
        </w:tc>
        <w:tc>
          <w:tcPr>
            <w:tcW w:w="675" w:type="pct"/>
            <w:noWrap/>
          </w:tcPr>
          <w:p w:rsidR="00B231CB" w:rsidRDefault="00C71431">
            <w:pPr>
              <w:spacing w:after="120"/>
              <w:jc w:val="center"/>
              <w:rPr>
                <w:noProof/>
                <w:color w:val="000000" w:themeColor="text1"/>
              </w:rPr>
            </w:pPr>
            <w:r>
              <w:rPr>
                <w:noProof/>
                <w:color w:val="000000" w:themeColor="text1"/>
              </w:rPr>
              <w:t>-161</w:t>
            </w:r>
          </w:p>
        </w:tc>
        <w:tc>
          <w:tcPr>
            <w:tcW w:w="673" w:type="pct"/>
            <w:noWrap/>
          </w:tcPr>
          <w:p w:rsidR="00B231CB" w:rsidRDefault="00C71431">
            <w:pPr>
              <w:spacing w:after="120"/>
              <w:jc w:val="center"/>
              <w:rPr>
                <w:noProof/>
                <w:color w:val="000000" w:themeColor="text1"/>
              </w:rPr>
            </w:pPr>
            <w:r>
              <w:rPr>
                <w:noProof/>
                <w:color w:val="000000" w:themeColor="text1"/>
              </w:rPr>
              <w:t>-79</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3,715</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3,742</w:t>
            </w:r>
          </w:p>
        </w:tc>
        <w:tc>
          <w:tcPr>
            <w:tcW w:w="675" w:type="pct"/>
            <w:tcBorders>
              <w:bottom w:val="single" w:sz="24" w:space="0" w:color="auto"/>
            </w:tcBorders>
            <w:noWrap/>
          </w:tcPr>
          <w:p w:rsidR="00B231CB" w:rsidRDefault="00C71431">
            <w:pPr>
              <w:keepNext/>
              <w:spacing w:after="120"/>
              <w:jc w:val="center"/>
              <w:rPr>
                <w:noProof/>
                <w:color w:val="000000" w:themeColor="text1"/>
              </w:rPr>
            </w:pPr>
            <w:r>
              <w:rPr>
                <w:noProof/>
                <w:color w:val="000000" w:themeColor="text1"/>
              </w:rPr>
              <w:t>3,827</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3,738</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4,301</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color w:val="000000" w:themeColor="text1"/>
              </w:rPr>
            </w:pPr>
            <w:r>
              <w:rPr>
                <w:i/>
                <w:noProof/>
                <w:color w:val="000000" w:themeColor="text1"/>
              </w:rPr>
              <w:t>1,317</w:t>
            </w:r>
          </w:p>
        </w:tc>
        <w:tc>
          <w:tcPr>
            <w:tcW w:w="675" w:type="pct"/>
            <w:noWrap/>
          </w:tcPr>
          <w:p w:rsidR="00B231CB" w:rsidRDefault="00C71431">
            <w:pPr>
              <w:spacing w:after="120"/>
              <w:jc w:val="center"/>
              <w:rPr>
                <w:i/>
                <w:noProof/>
                <w:color w:val="000000" w:themeColor="text1"/>
              </w:rPr>
            </w:pPr>
            <w:r>
              <w:rPr>
                <w:i/>
                <w:noProof/>
                <w:color w:val="000000" w:themeColor="text1"/>
              </w:rPr>
              <w:t>2,033</w:t>
            </w:r>
          </w:p>
        </w:tc>
        <w:tc>
          <w:tcPr>
            <w:tcW w:w="675" w:type="pct"/>
            <w:noWrap/>
          </w:tcPr>
          <w:p w:rsidR="00B231CB" w:rsidRDefault="00C71431">
            <w:pPr>
              <w:spacing w:after="120"/>
              <w:jc w:val="center"/>
              <w:rPr>
                <w:i/>
                <w:noProof/>
                <w:color w:val="000000" w:themeColor="text1"/>
              </w:rPr>
            </w:pPr>
            <w:r>
              <w:rPr>
                <w:i/>
                <w:noProof/>
                <w:color w:val="000000" w:themeColor="text1"/>
              </w:rPr>
              <w:t>2,386</w:t>
            </w:r>
          </w:p>
        </w:tc>
        <w:tc>
          <w:tcPr>
            <w:tcW w:w="675" w:type="pct"/>
            <w:noWrap/>
          </w:tcPr>
          <w:p w:rsidR="00B231CB" w:rsidRDefault="00C71431">
            <w:pPr>
              <w:spacing w:after="120"/>
              <w:jc w:val="center"/>
              <w:rPr>
                <w:i/>
                <w:noProof/>
                <w:color w:val="000000" w:themeColor="text1"/>
              </w:rPr>
            </w:pPr>
            <w:r>
              <w:rPr>
                <w:i/>
                <w:noProof/>
                <w:color w:val="000000" w:themeColor="text1"/>
              </w:rPr>
              <w:t>2,808</w:t>
            </w:r>
          </w:p>
        </w:tc>
        <w:tc>
          <w:tcPr>
            <w:tcW w:w="673" w:type="pct"/>
            <w:noWrap/>
          </w:tcPr>
          <w:p w:rsidR="00B231CB" w:rsidRDefault="00C71431">
            <w:pPr>
              <w:spacing w:after="120"/>
              <w:jc w:val="center"/>
              <w:rPr>
                <w:i/>
                <w:noProof/>
                <w:color w:val="000000" w:themeColor="text1"/>
              </w:rPr>
            </w:pPr>
            <w:r>
              <w:rPr>
                <w:i/>
                <w:noProof/>
                <w:color w:val="000000" w:themeColor="text1"/>
              </w:rPr>
              <w:t>3,566</w:t>
            </w:r>
          </w:p>
        </w:tc>
      </w:tr>
    </w:tbl>
    <w:p w:rsidR="00B231CB" w:rsidRDefault="00C71431">
      <w:pPr>
        <w:pStyle w:val="Caption"/>
        <w:keepNext/>
        <w:spacing w:before="240" w:after="240"/>
        <w:rPr>
          <w:noProof/>
          <w:color w:val="000000" w:themeColor="text1"/>
        </w:rPr>
      </w:pPr>
      <w:r>
        <w:rPr>
          <w:noProof/>
          <w:color w:val="000000" w:themeColor="text1"/>
        </w:rPr>
        <w:t xml:space="preserve">Table </w:t>
      </w:r>
      <w:r>
        <w:rPr>
          <w:noProof/>
          <w:color w:val="000000" w:themeColor="text1"/>
        </w:rPr>
        <w:fldChar w:fldCharType="begin"/>
      </w:r>
      <w:r>
        <w:rPr>
          <w:noProof/>
          <w:color w:val="000000" w:themeColor="text1"/>
        </w:rPr>
        <w:instrText xml:space="preserve"> SEQ Table \* ARABIC </w:instrText>
      </w:r>
      <w:r>
        <w:rPr>
          <w:noProof/>
          <w:color w:val="000000" w:themeColor="text1"/>
        </w:rPr>
        <w:fldChar w:fldCharType="separate"/>
      </w:r>
      <w:r>
        <w:rPr>
          <w:noProof/>
          <w:color w:val="000000" w:themeColor="text1"/>
        </w:rPr>
        <w:t>22</w:t>
      </w:r>
      <w:r>
        <w:rPr>
          <w:noProof/>
          <w:color w:val="000000" w:themeColor="text1"/>
        </w:rPr>
        <w:fldChar w:fldCharType="end"/>
      </w:r>
      <w:r>
        <w:rPr>
          <w:noProof/>
          <w:color w:val="000000" w:themeColor="text1"/>
        </w:rPr>
        <w:t>: Sensitivity - TCO-lifetime (15 years) in 2025</w:t>
      </w:r>
      <w:r>
        <w:rPr>
          <w:noProof/>
          <w:color w:val="000000" w:themeColor="text1"/>
        </w:rPr>
        <w:t xml:space="preserve"> and 2030 under different cost assumptions (net savings in EUR/van) for a range of TLV options]</w:t>
      </w:r>
    </w:p>
    <w:tbl>
      <w:tblPr>
        <w:tblStyle w:val="TableGrid"/>
        <w:tblW w:w="4309" w:type="pct"/>
        <w:tblLayout w:type="fixed"/>
        <w:tblLook w:val="04A0" w:firstRow="1" w:lastRow="0" w:firstColumn="1" w:lastColumn="0" w:noHBand="0" w:noVBand="1"/>
      </w:tblPr>
      <w:tblGrid>
        <w:gridCol w:w="1584"/>
        <w:gridCol w:w="1284"/>
        <w:gridCol w:w="1284"/>
        <w:gridCol w:w="1284"/>
        <w:gridCol w:w="1284"/>
        <w:gridCol w:w="1284"/>
      </w:tblGrid>
      <w:tr w:rsidR="00B231CB">
        <w:trPr>
          <w:trHeight w:val="255"/>
        </w:trPr>
        <w:tc>
          <w:tcPr>
            <w:tcW w:w="989" w:type="pct"/>
            <w:tcBorders>
              <w:bottom w:val="single" w:sz="4" w:space="0" w:color="auto"/>
            </w:tcBorders>
            <w:vAlign w:val="center"/>
          </w:tcPr>
          <w:p w:rsidR="00B231CB" w:rsidRDefault="00C71431">
            <w:pPr>
              <w:spacing w:after="60" w:line="276" w:lineRule="auto"/>
              <w:jc w:val="center"/>
              <w:rPr>
                <w:b/>
                <w:noProof/>
                <w:color w:val="000000" w:themeColor="text1"/>
              </w:rPr>
            </w:pPr>
            <w:r>
              <w:rPr>
                <w:b/>
                <w:noProof/>
                <w:color w:val="000000" w:themeColor="text1"/>
              </w:rPr>
              <w:t>TLV20</w:t>
            </w:r>
          </w:p>
        </w:tc>
        <w:tc>
          <w:tcPr>
            <w:tcW w:w="802" w:type="pct"/>
            <w:tcBorders>
              <w:bottom w:val="single" w:sz="4" w:space="0" w:color="auto"/>
            </w:tcBorders>
          </w:tcPr>
          <w:p w:rsidR="00B231CB" w:rsidRDefault="00C71431">
            <w:pPr>
              <w:spacing w:after="60" w:line="276" w:lineRule="auto"/>
              <w:jc w:val="center"/>
              <w:rPr>
                <w:b/>
                <w:i/>
                <w:noProof/>
                <w:color w:val="000000" w:themeColor="text1"/>
              </w:rPr>
            </w:pPr>
            <w:r>
              <w:rPr>
                <w:b/>
                <w:i/>
                <w:noProof/>
                <w:color w:val="000000" w:themeColor="text1"/>
              </w:rPr>
              <w:t>High</w:t>
            </w:r>
          </w:p>
        </w:tc>
        <w:tc>
          <w:tcPr>
            <w:tcW w:w="802" w:type="pct"/>
            <w:tcBorders>
              <w:bottom w:val="single" w:sz="4" w:space="0" w:color="auto"/>
            </w:tcBorders>
          </w:tcPr>
          <w:p w:rsidR="00B231CB" w:rsidRDefault="00C71431">
            <w:pPr>
              <w:spacing w:after="60" w:line="276" w:lineRule="auto"/>
              <w:jc w:val="center"/>
              <w:rPr>
                <w:b/>
                <w:i/>
                <w:noProof/>
                <w:color w:val="000000" w:themeColor="text1"/>
              </w:rPr>
            </w:pPr>
            <w:r>
              <w:rPr>
                <w:b/>
                <w:i/>
                <w:noProof/>
                <w:color w:val="000000" w:themeColor="text1"/>
              </w:rPr>
              <w:t>High ICE</w:t>
            </w:r>
          </w:p>
        </w:tc>
        <w:tc>
          <w:tcPr>
            <w:tcW w:w="802" w:type="pct"/>
            <w:tcBorders>
              <w:bottom w:val="single" w:sz="4" w:space="0" w:color="auto"/>
            </w:tcBorders>
            <w:noWrap/>
            <w:hideMark/>
          </w:tcPr>
          <w:p w:rsidR="00B231CB" w:rsidRDefault="00C71431">
            <w:pPr>
              <w:spacing w:after="60" w:line="276" w:lineRule="auto"/>
              <w:jc w:val="center"/>
              <w:rPr>
                <w:b/>
                <w:i/>
                <w:noProof/>
                <w:color w:val="000000" w:themeColor="text1"/>
              </w:rPr>
            </w:pPr>
            <w:r>
              <w:rPr>
                <w:b/>
                <w:i/>
                <w:noProof/>
                <w:color w:val="000000" w:themeColor="text1"/>
              </w:rPr>
              <w:t>Medium</w:t>
            </w:r>
          </w:p>
        </w:tc>
        <w:tc>
          <w:tcPr>
            <w:tcW w:w="802" w:type="pct"/>
            <w:tcBorders>
              <w:bottom w:val="single" w:sz="4" w:space="0" w:color="auto"/>
            </w:tcBorders>
            <w:noWrap/>
            <w:hideMark/>
          </w:tcPr>
          <w:p w:rsidR="00B231CB" w:rsidRDefault="00C71431">
            <w:pPr>
              <w:spacing w:after="60" w:line="276" w:lineRule="auto"/>
              <w:jc w:val="center"/>
              <w:rPr>
                <w:b/>
                <w:i/>
                <w:noProof/>
                <w:color w:val="000000" w:themeColor="text1"/>
              </w:rPr>
            </w:pPr>
            <w:r>
              <w:rPr>
                <w:b/>
                <w:i/>
                <w:noProof/>
                <w:color w:val="000000" w:themeColor="text1"/>
              </w:rPr>
              <w:t>LxEV</w:t>
            </w:r>
          </w:p>
        </w:tc>
        <w:tc>
          <w:tcPr>
            <w:tcW w:w="802" w:type="pct"/>
            <w:tcBorders>
              <w:bottom w:val="single" w:sz="4" w:space="0" w:color="auto"/>
            </w:tcBorders>
            <w:noWrap/>
            <w:hideMark/>
          </w:tcPr>
          <w:p w:rsidR="00B231CB" w:rsidRDefault="00C71431">
            <w:pPr>
              <w:spacing w:after="60" w:line="276" w:lineRule="auto"/>
              <w:jc w:val="center"/>
              <w:rPr>
                <w:b/>
                <w:i/>
                <w:noProof/>
                <w:color w:val="000000" w:themeColor="text1"/>
              </w:rPr>
            </w:pPr>
            <w:r>
              <w:rPr>
                <w:b/>
                <w:i/>
                <w:noProof/>
                <w:color w:val="000000" w:themeColor="text1"/>
              </w:rPr>
              <w:t>Low</w:t>
            </w:r>
          </w:p>
        </w:tc>
      </w:tr>
      <w:tr w:rsidR="00B231CB">
        <w:trPr>
          <w:trHeight w:val="255"/>
        </w:trPr>
        <w:tc>
          <w:tcPr>
            <w:tcW w:w="989" w:type="pct"/>
            <w:tcBorders>
              <w:top w:val="single" w:sz="4" w:space="0" w:color="auto"/>
            </w:tcBorders>
            <w:vAlign w:val="center"/>
          </w:tcPr>
          <w:p w:rsidR="00B231CB" w:rsidRDefault="00C71431">
            <w:pPr>
              <w:spacing w:after="60" w:line="276" w:lineRule="auto"/>
              <w:jc w:val="center"/>
              <w:rPr>
                <w:noProof/>
                <w:color w:val="000000" w:themeColor="text1"/>
              </w:rPr>
            </w:pPr>
            <w:r>
              <w:rPr>
                <w:noProof/>
                <w:color w:val="000000" w:themeColor="text1"/>
              </w:rPr>
              <w:t>2025</w:t>
            </w:r>
          </w:p>
        </w:tc>
        <w:tc>
          <w:tcPr>
            <w:tcW w:w="802" w:type="pct"/>
            <w:tcBorders>
              <w:top w:val="single" w:sz="4" w:space="0" w:color="auto"/>
            </w:tcBorders>
          </w:tcPr>
          <w:p w:rsidR="00B231CB" w:rsidRDefault="00C71431">
            <w:pPr>
              <w:spacing w:after="60" w:line="276" w:lineRule="auto"/>
              <w:jc w:val="center"/>
              <w:rPr>
                <w:noProof/>
                <w:color w:val="000000" w:themeColor="text1"/>
              </w:rPr>
            </w:pPr>
            <w:r>
              <w:rPr>
                <w:noProof/>
                <w:color w:val="000000" w:themeColor="text1"/>
              </w:rPr>
              <w:t>1,079</w:t>
            </w:r>
          </w:p>
        </w:tc>
        <w:tc>
          <w:tcPr>
            <w:tcW w:w="802" w:type="pct"/>
            <w:tcBorders>
              <w:top w:val="single" w:sz="4" w:space="0" w:color="auto"/>
            </w:tcBorders>
          </w:tcPr>
          <w:p w:rsidR="00B231CB" w:rsidRDefault="00C71431">
            <w:pPr>
              <w:spacing w:after="60" w:line="276" w:lineRule="auto"/>
              <w:jc w:val="center"/>
              <w:rPr>
                <w:noProof/>
                <w:color w:val="000000" w:themeColor="text1"/>
              </w:rPr>
            </w:pPr>
            <w:r>
              <w:rPr>
                <w:noProof/>
                <w:color w:val="000000" w:themeColor="text1"/>
              </w:rPr>
              <w:t>1,165</w:t>
            </w:r>
          </w:p>
        </w:tc>
        <w:tc>
          <w:tcPr>
            <w:tcW w:w="802"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1,382</w:t>
            </w:r>
          </w:p>
        </w:tc>
        <w:tc>
          <w:tcPr>
            <w:tcW w:w="802"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N/A</w:t>
            </w:r>
          </w:p>
        </w:tc>
        <w:tc>
          <w:tcPr>
            <w:tcW w:w="802" w:type="pct"/>
            <w:tcBorders>
              <w:top w:val="single" w:sz="4" w:space="0" w:color="auto"/>
            </w:tcBorders>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989" w:type="pct"/>
            <w:tcBorders>
              <w:top w:val="single" w:sz="4" w:space="0" w:color="auto"/>
            </w:tcBorders>
            <w:vAlign w:val="center"/>
          </w:tcPr>
          <w:p w:rsidR="00B231CB" w:rsidRDefault="00C71431">
            <w:pPr>
              <w:spacing w:after="60" w:line="276" w:lineRule="auto"/>
              <w:jc w:val="center"/>
              <w:rPr>
                <w:noProof/>
                <w:color w:val="000000" w:themeColor="text1"/>
              </w:rPr>
            </w:pPr>
            <w:r>
              <w:rPr>
                <w:noProof/>
                <w:color w:val="000000" w:themeColor="text1"/>
              </w:rPr>
              <w:t>2030</w:t>
            </w:r>
          </w:p>
        </w:tc>
        <w:tc>
          <w:tcPr>
            <w:tcW w:w="802" w:type="pct"/>
            <w:tcBorders>
              <w:top w:val="single" w:sz="4" w:space="0" w:color="auto"/>
            </w:tcBorders>
          </w:tcPr>
          <w:p w:rsidR="00B231CB" w:rsidRDefault="00C71431">
            <w:pPr>
              <w:spacing w:after="60" w:line="276" w:lineRule="auto"/>
              <w:jc w:val="center"/>
              <w:rPr>
                <w:noProof/>
                <w:color w:val="000000" w:themeColor="text1"/>
              </w:rPr>
            </w:pPr>
            <w:r>
              <w:rPr>
                <w:noProof/>
                <w:color w:val="000000" w:themeColor="text1"/>
              </w:rPr>
              <w:t>2,361</w:t>
            </w:r>
          </w:p>
        </w:tc>
        <w:tc>
          <w:tcPr>
            <w:tcW w:w="802" w:type="pct"/>
            <w:tcBorders>
              <w:top w:val="single" w:sz="4" w:space="0" w:color="auto"/>
            </w:tcBorders>
          </w:tcPr>
          <w:p w:rsidR="00B231CB" w:rsidRDefault="00C71431">
            <w:pPr>
              <w:spacing w:after="60" w:line="276" w:lineRule="auto"/>
              <w:jc w:val="center"/>
              <w:rPr>
                <w:noProof/>
                <w:color w:val="000000" w:themeColor="text1"/>
              </w:rPr>
            </w:pPr>
            <w:r>
              <w:rPr>
                <w:noProof/>
                <w:color w:val="000000" w:themeColor="text1"/>
              </w:rPr>
              <w:t>2,529</w:t>
            </w:r>
          </w:p>
        </w:tc>
        <w:tc>
          <w:tcPr>
            <w:tcW w:w="802"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2,764</w:t>
            </w:r>
          </w:p>
        </w:tc>
        <w:tc>
          <w:tcPr>
            <w:tcW w:w="802"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N/A</w:t>
            </w:r>
          </w:p>
        </w:tc>
        <w:tc>
          <w:tcPr>
            <w:tcW w:w="802" w:type="pct"/>
            <w:tcBorders>
              <w:top w:val="single" w:sz="4" w:space="0" w:color="auto"/>
            </w:tcBorders>
            <w:noWrap/>
          </w:tcPr>
          <w:p w:rsidR="00B231CB" w:rsidRDefault="00C71431">
            <w:pPr>
              <w:spacing w:after="120"/>
              <w:jc w:val="center"/>
              <w:rPr>
                <w:noProof/>
                <w:color w:val="000000" w:themeColor="text1"/>
                <w:szCs w:val="24"/>
              </w:rPr>
            </w:pPr>
            <w:r>
              <w:rPr>
                <w:noProof/>
                <w:color w:val="000000" w:themeColor="text1"/>
              </w:rPr>
              <w:t>N/A</w:t>
            </w:r>
          </w:p>
        </w:tc>
      </w:tr>
    </w:tbl>
    <w:p w:rsidR="00B231CB" w:rsidRDefault="00B231CB">
      <w:pPr>
        <w:spacing w:after="0"/>
        <w:rPr>
          <w:noProof/>
          <w:color w:val="000000" w:themeColor="text1"/>
        </w:rPr>
      </w:pPr>
    </w:p>
    <w:tbl>
      <w:tblPr>
        <w:tblStyle w:val="TableGrid"/>
        <w:tblW w:w="4309" w:type="pct"/>
        <w:tblLayout w:type="fixed"/>
        <w:tblLook w:val="04A0" w:firstRow="1" w:lastRow="0" w:firstColumn="1" w:lastColumn="0" w:noHBand="0" w:noVBand="1"/>
      </w:tblPr>
      <w:tblGrid>
        <w:gridCol w:w="1584"/>
        <w:gridCol w:w="1284"/>
        <w:gridCol w:w="1284"/>
        <w:gridCol w:w="1284"/>
        <w:gridCol w:w="1284"/>
        <w:gridCol w:w="1284"/>
      </w:tblGrid>
      <w:tr w:rsidR="00B231CB">
        <w:trPr>
          <w:trHeight w:val="255"/>
        </w:trPr>
        <w:tc>
          <w:tcPr>
            <w:tcW w:w="989" w:type="pct"/>
            <w:tcBorders>
              <w:bottom w:val="single" w:sz="4" w:space="0" w:color="auto"/>
            </w:tcBorders>
            <w:vAlign w:val="center"/>
          </w:tcPr>
          <w:p w:rsidR="00B231CB" w:rsidRDefault="00C71431">
            <w:pPr>
              <w:spacing w:after="60" w:line="276" w:lineRule="auto"/>
              <w:jc w:val="center"/>
              <w:rPr>
                <w:b/>
                <w:noProof/>
                <w:color w:val="000000" w:themeColor="text1"/>
              </w:rPr>
            </w:pPr>
            <w:r>
              <w:rPr>
                <w:b/>
                <w:noProof/>
                <w:color w:val="000000" w:themeColor="text1"/>
              </w:rPr>
              <w:t>TLV25</w:t>
            </w:r>
          </w:p>
        </w:tc>
        <w:tc>
          <w:tcPr>
            <w:tcW w:w="802" w:type="pct"/>
            <w:tcBorders>
              <w:bottom w:val="single" w:sz="4" w:space="0" w:color="auto"/>
            </w:tcBorders>
          </w:tcPr>
          <w:p w:rsidR="00B231CB" w:rsidRDefault="00C71431">
            <w:pPr>
              <w:spacing w:after="60" w:line="276" w:lineRule="auto"/>
              <w:jc w:val="center"/>
              <w:rPr>
                <w:b/>
                <w:i/>
                <w:noProof/>
                <w:color w:val="000000" w:themeColor="text1"/>
              </w:rPr>
            </w:pPr>
            <w:r>
              <w:rPr>
                <w:b/>
                <w:i/>
                <w:noProof/>
                <w:color w:val="000000" w:themeColor="text1"/>
              </w:rPr>
              <w:t>High</w:t>
            </w:r>
          </w:p>
        </w:tc>
        <w:tc>
          <w:tcPr>
            <w:tcW w:w="802" w:type="pct"/>
            <w:tcBorders>
              <w:bottom w:val="single" w:sz="4" w:space="0" w:color="auto"/>
            </w:tcBorders>
          </w:tcPr>
          <w:p w:rsidR="00B231CB" w:rsidRDefault="00C71431">
            <w:pPr>
              <w:spacing w:after="60" w:line="276" w:lineRule="auto"/>
              <w:jc w:val="center"/>
              <w:rPr>
                <w:b/>
                <w:i/>
                <w:noProof/>
                <w:color w:val="000000" w:themeColor="text1"/>
              </w:rPr>
            </w:pPr>
            <w:r>
              <w:rPr>
                <w:b/>
                <w:i/>
                <w:noProof/>
                <w:color w:val="000000" w:themeColor="text1"/>
              </w:rPr>
              <w:t>High ICE</w:t>
            </w:r>
          </w:p>
        </w:tc>
        <w:tc>
          <w:tcPr>
            <w:tcW w:w="802" w:type="pct"/>
            <w:tcBorders>
              <w:bottom w:val="single" w:sz="4" w:space="0" w:color="auto"/>
            </w:tcBorders>
            <w:noWrap/>
            <w:hideMark/>
          </w:tcPr>
          <w:p w:rsidR="00B231CB" w:rsidRDefault="00C71431">
            <w:pPr>
              <w:spacing w:after="60" w:line="276" w:lineRule="auto"/>
              <w:jc w:val="center"/>
              <w:rPr>
                <w:b/>
                <w:i/>
                <w:noProof/>
                <w:color w:val="000000" w:themeColor="text1"/>
              </w:rPr>
            </w:pPr>
            <w:r>
              <w:rPr>
                <w:b/>
                <w:i/>
                <w:noProof/>
                <w:color w:val="000000" w:themeColor="text1"/>
              </w:rPr>
              <w:t>Medium</w:t>
            </w:r>
          </w:p>
        </w:tc>
        <w:tc>
          <w:tcPr>
            <w:tcW w:w="802" w:type="pct"/>
            <w:tcBorders>
              <w:bottom w:val="single" w:sz="4" w:space="0" w:color="auto"/>
            </w:tcBorders>
            <w:noWrap/>
            <w:hideMark/>
          </w:tcPr>
          <w:p w:rsidR="00B231CB" w:rsidRDefault="00C71431">
            <w:pPr>
              <w:spacing w:after="60" w:line="276" w:lineRule="auto"/>
              <w:jc w:val="center"/>
              <w:rPr>
                <w:b/>
                <w:i/>
                <w:noProof/>
                <w:color w:val="000000" w:themeColor="text1"/>
              </w:rPr>
            </w:pPr>
            <w:r>
              <w:rPr>
                <w:b/>
                <w:i/>
                <w:noProof/>
                <w:color w:val="000000" w:themeColor="text1"/>
              </w:rPr>
              <w:t>LxEV</w:t>
            </w:r>
          </w:p>
        </w:tc>
        <w:tc>
          <w:tcPr>
            <w:tcW w:w="802" w:type="pct"/>
            <w:tcBorders>
              <w:bottom w:val="single" w:sz="4" w:space="0" w:color="auto"/>
            </w:tcBorders>
            <w:noWrap/>
            <w:hideMark/>
          </w:tcPr>
          <w:p w:rsidR="00B231CB" w:rsidRDefault="00C71431">
            <w:pPr>
              <w:spacing w:after="60" w:line="276" w:lineRule="auto"/>
              <w:jc w:val="center"/>
              <w:rPr>
                <w:b/>
                <w:i/>
                <w:noProof/>
                <w:color w:val="000000" w:themeColor="text1"/>
              </w:rPr>
            </w:pPr>
            <w:r>
              <w:rPr>
                <w:b/>
                <w:i/>
                <w:noProof/>
                <w:color w:val="000000" w:themeColor="text1"/>
              </w:rPr>
              <w:t>Low</w:t>
            </w:r>
          </w:p>
        </w:tc>
      </w:tr>
      <w:tr w:rsidR="00B231CB">
        <w:trPr>
          <w:trHeight w:val="255"/>
        </w:trPr>
        <w:tc>
          <w:tcPr>
            <w:tcW w:w="989" w:type="pct"/>
            <w:tcBorders>
              <w:top w:val="single" w:sz="4" w:space="0" w:color="auto"/>
            </w:tcBorders>
            <w:vAlign w:val="center"/>
          </w:tcPr>
          <w:p w:rsidR="00B231CB" w:rsidRDefault="00C71431">
            <w:pPr>
              <w:spacing w:after="60" w:line="276" w:lineRule="auto"/>
              <w:jc w:val="center"/>
              <w:rPr>
                <w:noProof/>
                <w:color w:val="000000" w:themeColor="text1"/>
              </w:rPr>
            </w:pPr>
            <w:r>
              <w:rPr>
                <w:noProof/>
                <w:color w:val="000000" w:themeColor="text1"/>
              </w:rPr>
              <w:t>2025</w:t>
            </w:r>
          </w:p>
        </w:tc>
        <w:tc>
          <w:tcPr>
            <w:tcW w:w="802" w:type="pct"/>
            <w:tcBorders>
              <w:top w:val="single" w:sz="4" w:space="0" w:color="auto"/>
            </w:tcBorders>
          </w:tcPr>
          <w:p w:rsidR="00B231CB" w:rsidRDefault="00C71431">
            <w:pPr>
              <w:spacing w:after="120"/>
              <w:jc w:val="center"/>
              <w:rPr>
                <w:noProof/>
                <w:color w:val="000000" w:themeColor="text1"/>
              </w:rPr>
            </w:pPr>
            <w:r>
              <w:rPr>
                <w:noProof/>
                <w:color w:val="000000" w:themeColor="text1"/>
              </w:rPr>
              <w:t>1,280</w:t>
            </w:r>
          </w:p>
        </w:tc>
        <w:tc>
          <w:tcPr>
            <w:tcW w:w="802" w:type="pct"/>
            <w:tcBorders>
              <w:top w:val="single" w:sz="4" w:space="0" w:color="auto"/>
            </w:tcBorders>
          </w:tcPr>
          <w:p w:rsidR="00B231CB" w:rsidRDefault="00C71431">
            <w:pPr>
              <w:spacing w:after="120"/>
              <w:jc w:val="center"/>
              <w:rPr>
                <w:noProof/>
                <w:color w:val="000000" w:themeColor="text1"/>
              </w:rPr>
            </w:pPr>
            <w:r>
              <w:rPr>
                <w:noProof/>
                <w:color w:val="000000" w:themeColor="text1"/>
              </w:rPr>
              <w:t>1,418</w:t>
            </w:r>
          </w:p>
        </w:tc>
        <w:tc>
          <w:tcPr>
            <w:tcW w:w="802"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1,680</w:t>
            </w:r>
          </w:p>
        </w:tc>
        <w:tc>
          <w:tcPr>
            <w:tcW w:w="802"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1,706</w:t>
            </w:r>
          </w:p>
        </w:tc>
        <w:tc>
          <w:tcPr>
            <w:tcW w:w="802"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1,867</w:t>
            </w:r>
          </w:p>
        </w:tc>
      </w:tr>
      <w:tr w:rsidR="00B231CB">
        <w:trPr>
          <w:trHeight w:val="255"/>
        </w:trPr>
        <w:tc>
          <w:tcPr>
            <w:tcW w:w="989" w:type="pct"/>
            <w:tcBorders>
              <w:top w:val="single" w:sz="4" w:space="0" w:color="auto"/>
            </w:tcBorders>
            <w:vAlign w:val="center"/>
          </w:tcPr>
          <w:p w:rsidR="00B231CB" w:rsidRDefault="00C71431">
            <w:pPr>
              <w:spacing w:after="60" w:line="276" w:lineRule="auto"/>
              <w:jc w:val="center"/>
              <w:rPr>
                <w:noProof/>
                <w:color w:val="000000" w:themeColor="text1"/>
              </w:rPr>
            </w:pPr>
            <w:r>
              <w:rPr>
                <w:noProof/>
                <w:color w:val="000000" w:themeColor="text1"/>
              </w:rPr>
              <w:t>2030</w:t>
            </w:r>
          </w:p>
        </w:tc>
        <w:tc>
          <w:tcPr>
            <w:tcW w:w="802" w:type="pct"/>
            <w:tcBorders>
              <w:top w:val="single" w:sz="4" w:space="0" w:color="auto"/>
            </w:tcBorders>
          </w:tcPr>
          <w:p w:rsidR="00B231CB" w:rsidRDefault="00C71431">
            <w:pPr>
              <w:spacing w:after="120"/>
              <w:jc w:val="center"/>
              <w:rPr>
                <w:noProof/>
                <w:color w:val="000000" w:themeColor="text1"/>
              </w:rPr>
            </w:pPr>
            <w:r>
              <w:rPr>
                <w:noProof/>
                <w:color w:val="000000" w:themeColor="text1"/>
              </w:rPr>
              <w:t>2,777</w:t>
            </w:r>
          </w:p>
        </w:tc>
        <w:tc>
          <w:tcPr>
            <w:tcW w:w="802" w:type="pct"/>
            <w:tcBorders>
              <w:top w:val="single" w:sz="4" w:space="0" w:color="auto"/>
            </w:tcBorders>
          </w:tcPr>
          <w:p w:rsidR="00B231CB" w:rsidRDefault="00C71431">
            <w:pPr>
              <w:spacing w:after="120"/>
              <w:jc w:val="center"/>
              <w:rPr>
                <w:noProof/>
                <w:color w:val="000000" w:themeColor="text1"/>
              </w:rPr>
            </w:pPr>
            <w:r>
              <w:rPr>
                <w:noProof/>
                <w:color w:val="000000" w:themeColor="text1"/>
              </w:rPr>
              <w:t>3,064</w:t>
            </w:r>
          </w:p>
        </w:tc>
        <w:tc>
          <w:tcPr>
            <w:tcW w:w="802"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3,377</w:t>
            </w:r>
          </w:p>
        </w:tc>
        <w:tc>
          <w:tcPr>
            <w:tcW w:w="802"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3,528</w:t>
            </w:r>
          </w:p>
        </w:tc>
        <w:tc>
          <w:tcPr>
            <w:tcW w:w="802"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3,676</w:t>
            </w:r>
          </w:p>
        </w:tc>
      </w:tr>
    </w:tbl>
    <w:p w:rsidR="00B231CB" w:rsidRDefault="00B231CB">
      <w:pPr>
        <w:spacing w:after="0"/>
        <w:rPr>
          <w:noProof/>
          <w:color w:val="000000" w:themeColor="text1"/>
        </w:rPr>
      </w:pPr>
    </w:p>
    <w:tbl>
      <w:tblPr>
        <w:tblStyle w:val="TableGrid"/>
        <w:tblW w:w="4309" w:type="pct"/>
        <w:tblLayout w:type="fixed"/>
        <w:tblLook w:val="04A0" w:firstRow="1" w:lastRow="0" w:firstColumn="1" w:lastColumn="0" w:noHBand="0" w:noVBand="1"/>
      </w:tblPr>
      <w:tblGrid>
        <w:gridCol w:w="1584"/>
        <w:gridCol w:w="1284"/>
        <w:gridCol w:w="1284"/>
        <w:gridCol w:w="1284"/>
        <w:gridCol w:w="1284"/>
        <w:gridCol w:w="1284"/>
      </w:tblGrid>
      <w:tr w:rsidR="00B231CB">
        <w:trPr>
          <w:trHeight w:val="255"/>
        </w:trPr>
        <w:tc>
          <w:tcPr>
            <w:tcW w:w="989" w:type="pct"/>
            <w:tcBorders>
              <w:bottom w:val="single" w:sz="4" w:space="0" w:color="auto"/>
            </w:tcBorders>
            <w:vAlign w:val="center"/>
          </w:tcPr>
          <w:p w:rsidR="00B231CB" w:rsidRDefault="00C71431">
            <w:pPr>
              <w:spacing w:after="60" w:line="276" w:lineRule="auto"/>
              <w:jc w:val="center"/>
              <w:rPr>
                <w:b/>
                <w:noProof/>
                <w:color w:val="000000" w:themeColor="text1"/>
              </w:rPr>
            </w:pPr>
            <w:r>
              <w:rPr>
                <w:b/>
                <w:noProof/>
                <w:color w:val="000000" w:themeColor="text1"/>
              </w:rPr>
              <w:t>TLV40</w:t>
            </w:r>
          </w:p>
        </w:tc>
        <w:tc>
          <w:tcPr>
            <w:tcW w:w="802" w:type="pct"/>
            <w:tcBorders>
              <w:bottom w:val="single" w:sz="4" w:space="0" w:color="auto"/>
            </w:tcBorders>
          </w:tcPr>
          <w:p w:rsidR="00B231CB" w:rsidRDefault="00C71431">
            <w:pPr>
              <w:spacing w:after="60" w:line="276" w:lineRule="auto"/>
              <w:jc w:val="center"/>
              <w:rPr>
                <w:b/>
                <w:i/>
                <w:noProof/>
                <w:color w:val="000000" w:themeColor="text1"/>
              </w:rPr>
            </w:pPr>
            <w:r>
              <w:rPr>
                <w:b/>
                <w:i/>
                <w:noProof/>
                <w:color w:val="000000" w:themeColor="text1"/>
              </w:rPr>
              <w:t>High</w:t>
            </w:r>
          </w:p>
        </w:tc>
        <w:tc>
          <w:tcPr>
            <w:tcW w:w="802" w:type="pct"/>
            <w:tcBorders>
              <w:bottom w:val="single" w:sz="4" w:space="0" w:color="auto"/>
            </w:tcBorders>
          </w:tcPr>
          <w:p w:rsidR="00B231CB" w:rsidRDefault="00C71431">
            <w:pPr>
              <w:spacing w:after="60" w:line="276" w:lineRule="auto"/>
              <w:jc w:val="center"/>
              <w:rPr>
                <w:b/>
                <w:i/>
                <w:noProof/>
                <w:color w:val="000000" w:themeColor="text1"/>
              </w:rPr>
            </w:pPr>
            <w:r>
              <w:rPr>
                <w:b/>
                <w:i/>
                <w:noProof/>
                <w:color w:val="000000" w:themeColor="text1"/>
              </w:rPr>
              <w:t>High ICE</w:t>
            </w:r>
          </w:p>
        </w:tc>
        <w:tc>
          <w:tcPr>
            <w:tcW w:w="802" w:type="pct"/>
            <w:tcBorders>
              <w:bottom w:val="single" w:sz="4" w:space="0" w:color="auto"/>
            </w:tcBorders>
            <w:noWrap/>
            <w:hideMark/>
          </w:tcPr>
          <w:p w:rsidR="00B231CB" w:rsidRDefault="00C71431">
            <w:pPr>
              <w:spacing w:after="60" w:line="276" w:lineRule="auto"/>
              <w:jc w:val="center"/>
              <w:rPr>
                <w:b/>
                <w:i/>
                <w:noProof/>
                <w:color w:val="000000" w:themeColor="text1"/>
              </w:rPr>
            </w:pPr>
            <w:r>
              <w:rPr>
                <w:b/>
                <w:i/>
                <w:noProof/>
                <w:color w:val="000000" w:themeColor="text1"/>
              </w:rPr>
              <w:t>Medium</w:t>
            </w:r>
          </w:p>
        </w:tc>
        <w:tc>
          <w:tcPr>
            <w:tcW w:w="802" w:type="pct"/>
            <w:tcBorders>
              <w:bottom w:val="single" w:sz="4" w:space="0" w:color="auto"/>
            </w:tcBorders>
            <w:noWrap/>
            <w:hideMark/>
          </w:tcPr>
          <w:p w:rsidR="00B231CB" w:rsidRDefault="00C71431">
            <w:pPr>
              <w:spacing w:after="60" w:line="276" w:lineRule="auto"/>
              <w:jc w:val="center"/>
              <w:rPr>
                <w:b/>
                <w:i/>
                <w:noProof/>
                <w:color w:val="000000" w:themeColor="text1"/>
              </w:rPr>
            </w:pPr>
            <w:r>
              <w:rPr>
                <w:b/>
                <w:i/>
                <w:noProof/>
                <w:color w:val="000000" w:themeColor="text1"/>
              </w:rPr>
              <w:t>LxEV</w:t>
            </w:r>
          </w:p>
        </w:tc>
        <w:tc>
          <w:tcPr>
            <w:tcW w:w="802" w:type="pct"/>
            <w:tcBorders>
              <w:bottom w:val="single" w:sz="4" w:space="0" w:color="auto"/>
            </w:tcBorders>
            <w:noWrap/>
            <w:hideMark/>
          </w:tcPr>
          <w:p w:rsidR="00B231CB" w:rsidRDefault="00C71431">
            <w:pPr>
              <w:spacing w:after="60" w:line="276" w:lineRule="auto"/>
              <w:jc w:val="center"/>
              <w:rPr>
                <w:b/>
                <w:i/>
                <w:noProof/>
                <w:color w:val="000000" w:themeColor="text1"/>
              </w:rPr>
            </w:pPr>
            <w:r>
              <w:rPr>
                <w:b/>
                <w:i/>
                <w:noProof/>
                <w:color w:val="000000" w:themeColor="text1"/>
              </w:rPr>
              <w:t>Low</w:t>
            </w:r>
          </w:p>
        </w:tc>
      </w:tr>
      <w:tr w:rsidR="00B231CB">
        <w:trPr>
          <w:trHeight w:val="255"/>
        </w:trPr>
        <w:tc>
          <w:tcPr>
            <w:tcW w:w="989" w:type="pct"/>
            <w:tcBorders>
              <w:top w:val="single" w:sz="4" w:space="0" w:color="auto"/>
            </w:tcBorders>
            <w:vAlign w:val="center"/>
          </w:tcPr>
          <w:p w:rsidR="00B231CB" w:rsidRDefault="00C71431">
            <w:pPr>
              <w:spacing w:after="60" w:line="276" w:lineRule="auto"/>
              <w:jc w:val="center"/>
              <w:rPr>
                <w:noProof/>
                <w:color w:val="000000" w:themeColor="text1"/>
              </w:rPr>
            </w:pPr>
            <w:r>
              <w:rPr>
                <w:noProof/>
                <w:color w:val="000000" w:themeColor="text1"/>
              </w:rPr>
              <w:t>2025</w:t>
            </w:r>
          </w:p>
        </w:tc>
        <w:tc>
          <w:tcPr>
            <w:tcW w:w="802" w:type="pct"/>
            <w:tcBorders>
              <w:top w:val="single" w:sz="4" w:space="0" w:color="auto"/>
            </w:tcBorders>
          </w:tcPr>
          <w:p w:rsidR="00B231CB" w:rsidRDefault="00C71431">
            <w:pPr>
              <w:spacing w:after="120"/>
              <w:jc w:val="center"/>
              <w:rPr>
                <w:noProof/>
                <w:color w:val="000000" w:themeColor="text1"/>
              </w:rPr>
            </w:pPr>
            <w:r>
              <w:rPr>
                <w:noProof/>
                <w:color w:val="000000" w:themeColor="text1"/>
              </w:rPr>
              <w:t>1,586</w:t>
            </w:r>
          </w:p>
        </w:tc>
        <w:tc>
          <w:tcPr>
            <w:tcW w:w="802" w:type="pct"/>
            <w:tcBorders>
              <w:top w:val="single" w:sz="4" w:space="0" w:color="auto"/>
            </w:tcBorders>
          </w:tcPr>
          <w:p w:rsidR="00B231CB" w:rsidRDefault="00C71431">
            <w:pPr>
              <w:spacing w:after="60" w:line="276" w:lineRule="auto"/>
              <w:jc w:val="center"/>
              <w:rPr>
                <w:noProof/>
                <w:color w:val="000000" w:themeColor="text1"/>
              </w:rPr>
            </w:pPr>
            <w:r>
              <w:rPr>
                <w:noProof/>
                <w:color w:val="000000" w:themeColor="text1"/>
              </w:rPr>
              <w:t>2,074</w:t>
            </w:r>
          </w:p>
        </w:tc>
        <w:tc>
          <w:tcPr>
            <w:tcW w:w="802"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2,466</w:t>
            </w:r>
          </w:p>
        </w:tc>
        <w:tc>
          <w:tcPr>
            <w:tcW w:w="802"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2,627</w:t>
            </w:r>
          </w:p>
        </w:tc>
        <w:tc>
          <w:tcPr>
            <w:tcW w:w="802"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3,209</w:t>
            </w:r>
          </w:p>
        </w:tc>
      </w:tr>
      <w:tr w:rsidR="00B231CB">
        <w:trPr>
          <w:trHeight w:val="255"/>
        </w:trPr>
        <w:tc>
          <w:tcPr>
            <w:tcW w:w="989" w:type="pct"/>
            <w:tcBorders>
              <w:top w:val="single" w:sz="4" w:space="0" w:color="auto"/>
            </w:tcBorders>
            <w:vAlign w:val="center"/>
          </w:tcPr>
          <w:p w:rsidR="00B231CB" w:rsidRDefault="00C71431">
            <w:pPr>
              <w:spacing w:after="60" w:line="276" w:lineRule="auto"/>
              <w:jc w:val="center"/>
              <w:rPr>
                <w:noProof/>
                <w:color w:val="000000" w:themeColor="text1"/>
              </w:rPr>
            </w:pPr>
            <w:r>
              <w:rPr>
                <w:noProof/>
                <w:color w:val="000000" w:themeColor="text1"/>
              </w:rPr>
              <w:t>2030</w:t>
            </w:r>
          </w:p>
        </w:tc>
        <w:tc>
          <w:tcPr>
            <w:tcW w:w="802" w:type="pct"/>
            <w:tcBorders>
              <w:top w:val="single" w:sz="4" w:space="0" w:color="auto"/>
            </w:tcBorders>
          </w:tcPr>
          <w:p w:rsidR="00B231CB" w:rsidRDefault="00C71431">
            <w:pPr>
              <w:spacing w:after="120"/>
              <w:jc w:val="center"/>
              <w:rPr>
                <w:noProof/>
                <w:color w:val="000000" w:themeColor="text1"/>
              </w:rPr>
            </w:pPr>
            <w:r>
              <w:rPr>
                <w:noProof/>
                <w:color w:val="000000" w:themeColor="text1"/>
              </w:rPr>
              <w:t>3,198</w:t>
            </w:r>
          </w:p>
        </w:tc>
        <w:tc>
          <w:tcPr>
            <w:tcW w:w="802" w:type="pct"/>
            <w:tcBorders>
              <w:top w:val="single" w:sz="4" w:space="0" w:color="auto"/>
            </w:tcBorders>
          </w:tcPr>
          <w:p w:rsidR="00B231CB" w:rsidRDefault="00C71431">
            <w:pPr>
              <w:spacing w:after="60" w:line="276" w:lineRule="auto"/>
              <w:jc w:val="center"/>
              <w:rPr>
                <w:noProof/>
                <w:color w:val="000000" w:themeColor="text1"/>
              </w:rPr>
            </w:pPr>
            <w:r>
              <w:rPr>
                <w:noProof/>
                <w:color w:val="000000" w:themeColor="text1"/>
              </w:rPr>
              <w:t>3,995</w:t>
            </w:r>
          </w:p>
        </w:tc>
        <w:tc>
          <w:tcPr>
            <w:tcW w:w="802"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4,390</w:t>
            </w:r>
          </w:p>
        </w:tc>
        <w:tc>
          <w:tcPr>
            <w:tcW w:w="802"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4,902</w:t>
            </w:r>
          </w:p>
        </w:tc>
        <w:tc>
          <w:tcPr>
            <w:tcW w:w="802" w:type="pct"/>
            <w:tcBorders>
              <w:top w:val="single" w:sz="4" w:space="0" w:color="auto"/>
            </w:tcBorders>
            <w:noWrap/>
          </w:tcPr>
          <w:p w:rsidR="00B231CB" w:rsidRDefault="00C71431">
            <w:pPr>
              <w:spacing w:after="120"/>
              <w:jc w:val="center"/>
              <w:rPr>
                <w:noProof/>
                <w:color w:val="000000" w:themeColor="text1"/>
              </w:rPr>
            </w:pPr>
            <w:r>
              <w:rPr>
                <w:noProof/>
                <w:color w:val="000000" w:themeColor="text1"/>
              </w:rPr>
              <w:t>5,785</w:t>
            </w:r>
          </w:p>
        </w:tc>
      </w:tr>
    </w:tbl>
    <w:p w:rsidR="00B231CB" w:rsidRDefault="00C71431">
      <w:pPr>
        <w:pStyle w:val="Caption"/>
        <w:keepNext/>
        <w:spacing w:before="240" w:after="240"/>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23</w:t>
      </w:r>
      <w:r>
        <w:rPr>
          <w:noProof/>
        </w:rPr>
        <w:fldChar w:fldCharType="end"/>
      </w:r>
      <w:r>
        <w:rPr>
          <w:noProof/>
        </w:rPr>
        <w:t xml:space="preserve"> Sensitivity - TCO-first end user (5 years) in 2025 and 2030 under different cost assumptions (net savings in EUR/van)</w:t>
      </w: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color w:val="000000" w:themeColor="text1"/>
                <w:szCs w:val="24"/>
              </w:rPr>
            </w:pPr>
            <w:r>
              <w:rPr>
                <w:b/>
                <w:noProof/>
                <w:color w:val="000000" w:themeColor="text1"/>
                <w:szCs w:val="24"/>
              </w:rPr>
              <w:t>TLV20 - 2025 (EUR/van)</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color w:val="000000" w:themeColor="text1"/>
              </w:rPr>
            </w:pPr>
            <w:r>
              <w:rPr>
                <w:noProof/>
                <w:color w:val="000000" w:themeColor="text1"/>
              </w:rPr>
              <w:t>351</w:t>
            </w:r>
          </w:p>
        </w:tc>
        <w:tc>
          <w:tcPr>
            <w:tcW w:w="673" w:type="pct"/>
            <w:noWrap/>
          </w:tcPr>
          <w:p w:rsidR="00B231CB" w:rsidRDefault="00C71431">
            <w:pPr>
              <w:spacing w:after="120"/>
              <w:jc w:val="center"/>
              <w:rPr>
                <w:noProof/>
                <w:color w:val="000000" w:themeColor="text1"/>
              </w:rPr>
            </w:pPr>
            <w:r>
              <w:rPr>
                <w:noProof/>
                <w:color w:val="000000" w:themeColor="text1"/>
              </w:rPr>
              <w:t>244</w:t>
            </w:r>
          </w:p>
        </w:tc>
        <w:tc>
          <w:tcPr>
            <w:tcW w:w="673" w:type="pct"/>
            <w:noWrap/>
          </w:tcPr>
          <w:p w:rsidR="00B231CB" w:rsidRDefault="00C71431">
            <w:pPr>
              <w:spacing w:after="120"/>
              <w:jc w:val="center"/>
              <w:rPr>
                <w:noProof/>
                <w:color w:val="000000" w:themeColor="text1"/>
              </w:rPr>
            </w:pPr>
            <w:r>
              <w:rPr>
                <w:noProof/>
                <w:color w:val="000000" w:themeColor="text1"/>
              </w:rPr>
              <w:t>144</w:t>
            </w:r>
          </w:p>
        </w:tc>
        <w:tc>
          <w:tcPr>
            <w:tcW w:w="673" w:type="pct"/>
            <w:noWrap/>
          </w:tcPr>
          <w:p w:rsidR="00B231CB" w:rsidRDefault="00C71431">
            <w:pPr>
              <w:spacing w:after="120"/>
              <w:jc w:val="center"/>
              <w:rPr>
                <w:noProof/>
                <w:color w:val="000000" w:themeColor="text1"/>
              </w:rPr>
            </w:pPr>
            <w:r>
              <w:rPr>
                <w:noProof/>
                <w:color w:val="000000" w:themeColor="text1"/>
              </w:rPr>
              <w:t>N/A</w:t>
            </w:r>
          </w:p>
        </w:tc>
        <w:tc>
          <w:tcPr>
            <w:tcW w:w="672"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color w:val="000000" w:themeColor="text1"/>
              </w:rPr>
            </w:pPr>
            <w:r>
              <w:rPr>
                <w:noProof/>
                <w:color w:val="000000" w:themeColor="text1"/>
              </w:rPr>
              <w:t>-14</w:t>
            </w:r>
          </w:p>
        </w:tc>
        <w:tc>
          <w:tcPr>
            <w:tcW w:w="673" w:type="pct"/>
            <w:noWrap/>
          </w:tcPr>
          <w:p w:rsidR="00B231CB" w:rsidRDefault="00C71431">
            <w:pPr>
              <w:spacing w:after="120"/>
              <w:jc w:val="center"/>
              <w:rPr>
                <w:noProof/>
                <w:color w:val="000000" w:themeColor="text1"/>
              </w:rPr>
            </w:pPr>
            <w:r>
              <w:rPr>
                <w:noProof/>
                <w:color w:val="000000" w:themeColor="text1"/>
              </w:rPr>
              <w:t>-20</w:t>
            </w:r>
          </w:p>
        </w:tc>
        <w:tc>
          <w:tcPr>
            <w:tcW w:w="673" w:type="pct"/>
            <w:noWrap/>
          </w:tcPr>
          <w:p w:rsidR="00B231CB" w:rsidRDefault="00C71431">
            <w:pPr>
              <w:spacing w:after="120"/>
              <w:jc w:val="center"/>
              <w:rPr>
                <w:noProof/>
                <w:color w:val="000000" w:themeColor="text1"/>
              </w:rPr>
            </w:pPr>
            <w:r>
              <w:rPr>
                <w:noProof/>
                <w:color w:val="000000" w:themeColor="text1"/>
              </w:rPr>
              <w:t>-17</w:t>
            </w:r>
          </w:p>
        </w:tc>
        <w:tc>
          <w:tcPr>
            <w:tcW w:w="673" w:type="pct"/>
            <w:noWrap/>
          </w:tcPr>
          <w:p w:rsidR="00B231CB" w:rsidRDefault="00C71431">
            <w:pPr>
              <w:spacing w:after="120"/>
              <w:jc w:val="center"/>
              <w:rPr>
                <w:noProof/>
                <w:color w:val="000000" w:themeColor="text1"/>
              </w:rPr>
            </w:pPr>
            <w:r>
              <w:rPr>
                <w:noProof/>
                <w:color w:val="000000" w:themeColor="text1"/>
              </w:rPr>
              <w:t>N/A</w:t>
            </w:r>
          </w:p>
        </w:tc>
        <w:tc>
          <w:tcPr>
            <w:tcW w:w="672"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 xml:space="preserve">Fuel cost </w:t>
            </w:r>
            <w:r>
              <w:rPr>
                <w:noProof/>
                <w:color w:val="000000" w:themeColor="text1"/>
                <w:szCs w:val="24"/>
              </w:rPr>
              <w:t>savings [3]</w:t>
            </w:r>
          </w:p>
        </w:tc>
        <w:tc>
          <w:tcPr>
            <w:tcW w:w="673" w:type="pct"/>
            <w:tcBorders>
              <w:bottom w:val="single" w:sz="24" w:space="0" w:color="auto"/>
            </w:tcBorders>
            <w:noWrap/>
          </w:tcPr>
          <w:p w:rsidR="00B231CB" w:rsidRDefault="00C71431">
            <w:pPr>
              <w:tabs>
                <w:tab w:val="center" w:pos="1191"/>
              </w:tabs>
              <w:spacing w:after="120"/>
              <w:jc w:val="center"/>
              <w:rPr>
                <w:noProof/>
                <w:color w:val="000000" w:themeColor="text1"/>
              </w:rPr>
            </w:pPr>
            <w:r>
              <w:rPr>
                <w:noProof/>
                <w:color w:val="000000" w:themeColor="text1"/>
              </w:rPr>
              <w:t>1,056</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988</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1,016</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N/A</w:t>
            </w:r>
          </w:p>
        </w:tc>
        <w:tc>
          <w:tcPr>
            <w:tcW w:w="672"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3" w:type="pct"/>
            <w:noWrap/>
          </w:tcPr>
          <w:p w:rsidR="00B231CB" w:rsidRDefault="00C71431">
            <w:pPr>
              <w:spacing w:after="120"/>
              <w:jc w:val="center"/>
              <w:rPr>
                <w:i/>
                <w:noProof/>
                <w:color w:val="000000" w:themeColor="text1"/>
              </w:rPr>
            </w:pPr>
            <w:r>
              <w:rPr>
                <w:i/>
                <w:noProof/>
                <w:color w:val="000000" w:themeColor="text1"/>
              </w:rPr>
              <w:t>719</w:t>
            </w:r>
          </w:p>
        </w:tc>
        <w:tc>
          <w:tcPr>
            <w:tcW w:w="673" w:type="pct"/>
            <w:noWrap/>
          </w:tcPr>
          <w:p w:rsidR="00B231CB" w:rsidRDefault="00C71431">
            <w:pPr>
              <w:spacing w:after="120"/>
              <w:jc w:val="center"/>
              <w:rPr>
                <w:i/>
                <w:noProof/>
                <w:color w:val="000000" w:themeColor="text1"/>
              </w:rPr>
            </w:pPr>
            <w:r>
              <w:rPr>
                <w:i/>
                <w:noProof/>
                <w:color w:val="000000" w:themeColor="text1"/>
              </w:rPr>
              <w:t>763</w:t>
            </w:r>
          </w:p>
        </w:tc>
        <w:tc>
          <w:tcPr>
            <w:tcW w:w="673" w:type="pct"/>
            <w:noWrap/>
          </w:tcPr>
          <w:p w:rsidR="00B231CB" w:rsidRDefault="00C71431">
            <w:pPr>
              <w:spacing w:after="120"/>
              <w:jc w:val="center"/>
              <w:rPr>
                <w:i/>
                <w:noProof/>
                <w:color w:val="000000" w:themeColor="text1"/>
              </w:rPr>
            </w:pPr>
            <w:r>
              <w:rPr>
                <w:i/>
                <w:noProof/>
                <w:color w:val="000000" w:themeColor="text1"/>
              </w:rPr>
              <w:t>889</w:t>
            </w:r>
          </w:p>
        </w:tc>
        <w:tc>
          <w:tcPr>
            <w:tcW w:w="673" w:type="pct"/>
            <w:noWrap/>
          </w:tcPr>
          <w:p w:rsidR="00B231CB" w:rsidRDefault="00C71431">
            <w:pPr>
              <w:spacing w:after="120"/>
              <w:jc w:val="center"/>
              <w:rPr>
                <w:i/>
                <w:noProof/>
                <w:color w:val="000000" w:themeColor="text1"/>
              </w:rPr>
            </w:pPr>
            <w:r>
              <w:rPr>
                <w:i/>
                <w:noProof/>
                <w:color w:val="000000" w:themeColor="text1"/>
              </w:rPr>
              <w:t>N/A</w:t>
            </w:r>
          </w:p>
        </w:tc>
        <w:tc>
          <w:tcPr>
            <w:tcW w:w="672" w:type="pct"/>
            <w:noWrap/>
          </w:tcPr>
          <w:p w:rsidR="00B231CB" w:rsidRDefault="00C71431">
            <w:pPr>
              <w:spacing w:after="120"/>
              <w:jc w:val="center"/>
              <w:rPr>
                <w:i/>
                <w:noProof/>
                <w:color w:val="000000" w:themeColor="text1"/>
                <w:szCs w:val="24"/>
              </w:rPr>
            </w:pPr>
            <w:r>
              <w:rPr>
                <w:i/>
                <w:noProof/>
                <w:color w:val="000000" w:themeColor="text1"/>
              </w:rPr>
              <w:t>N/A</w:t>
            </w:r>
          </w:p>
        </w:tc>
      </w:tr>
    </w:tbl>
    <w:p w:rsidR="00B231CB" w:rsidRDefault="00B231CB">
      <w:pPr>
        <w:spacing w:after="12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TLV20 - 2030 (EUR/van)</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color w:val="000000" w:themeColor="text1"/>
              </w:rPr>
            </w:pPr>
            <w:r>
              <w:rPr>
                <w:noProof/>
                <w:color w:val="000000" w:themeColor="text1"/>
              </w:rPr>
              <w:t>543</w:t>
            </w:r>
          </w:p>
        </w:tc>
        <w:tc>
          <w:tcPr>
            <w:tcW w:w="675" w:type="pct"/>
            <w:noWrap/>
          </w:tcPr>
          <w:p w:rsidR="00B231CB" w:rsidRDefault="00C71431">
            <w:pPr>
              <w:spacing w:after="120"/>
              <w:jc w:val="center"/>
              <w:rPr>
                <w:noProof/>
                <w:color w:val="000000" w:themeColor="text1"/>
              </w:rPr>
            </w:pPr>
            <w:r>
              <w:rPr>
                <w:noProof/>
                <w:color w:val="000000" w:themeColor="text1"/>
              </w:rPr>
              <w:t>370</w:t>
            </w:r>
          </w:p>
        </w:tc>
        <w:tc>
          <w:tcPr>
            <w:tcW w:w="675" w:type="pct"/>
            <w:noWrap/>
          </w:tcPr>
          <w:p w:rsidR="00B231CB" w:rsidRDefault="00C71431">
            <w:pPr>
              <w:spacing w:after="120"/>
              <w:jc w:val="center"/>
              <w:rPr>
                <w:noProof/>
                <w:color w:val="000000" w:themeColor="text1"/>
              </w:rPr>
            </w:pPr>
            <w:r>
              <w:rPr>
                <w:noProof/>
                <w:color w:val="000000" w:themeColor="text1"/>
              </w:rPr>
              <w:t>265</w:t>
            </w:r>
          </w:p>
        </w:tc>
        <w:tc>
          <w:tcPr>
            <w:tcW w:w="675" w:type="pct"/>
            <w:noWrap/>
          </w:tcPr>
          <w:p w:rsidR="00B231CB" w:rsidRDefault="00C71431">
            <w:pPr>
              <w:spacing w:after="120"/>
              <w:jc w:val="center"/>
              <w:rPr>
                <w:noProof/>
                <w:color w:val="000000" w:themeColor="text1"/>
              </w:rPr>
            </w:pPr>
            <w:r>
              <w:rPr>
                <w:noProof/>
                <w:color w:val="000000" w:themeColor="text1"/>
              </w:rPr>
              <w:t>N/A</w:t>
            </w:r>
          </w:p>
        </w:tc>
        <w:tc>
          <w:tcPr>
            <w:tcW w:w="673"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color w:val="000000" w:themeColor="text1"/>
              </w:rPr>
            </w:pPr>
            <w:r>
              <w:rPr>
                <w:noProof/>
                <w:color w:val="000000" w:themeColor="text1"/>
              </w:rPr>
              <w:t>-15</w:t>
            </w:r>
          </w:p>
        </w:tc>
        <w:tc>
          <w:tcPr>
            <w:tcW w:w="675" w:type="pct"/>
            <w:noWrap/>
          </w:tcPr>
          <w:p w:rsidR="00B231CB" w:rsidRDefault="00C71431">
            <w:pPr>
              <w:spacing w:after="120"/>
              <w:jc w:val="center"/>
              <w:rPr>
                <w:noProof/>
                <w:color w:val="000000" w:themeColor="text1"/>
              </w:rPr>
            </w:pPr>
            <w:r>
              <w:rPr>
                <w:noProof/>
                <w:color w:val="000000" w:themeColor="text1"/>
              </w:rPr>
              <w:t>-24</w:t>
            </w:r>
          </w:p>
        </w:tc>
        <w:tc>
          <w:tcPr>
            <w:tcW w:w="675" w:type="pct"/>
            <w:noWrap/>
          </w:tcPr>
          <w:p w:rsidR="00B231CB" w:rsidRDefault="00C71431">
            <w:pPr>
              <w:spacing w:after="120"/>
              <w:jc w:val="center"/>
              <w:rPr>
                <w:noProof/>
                <w:color w:val="000000" w:themeColor="text1"/>
              </w:rPr>
            </w:pPr>
            <w:r>
              <w:rPr>
                <w:noProof/>
                <w:color w:val="000000" w:themeColor="text1"/>
              </w:rPr>
              <w:t>-22</w:t>
            </w:r>
          </w:p>
        </w:tc>
        <w:tc>
          <w:tcPr>
            <w:tcW w:w="675" w:type="pct"/>
            <w:noWrap/>
          </w:tcPr>
          <w:p w:rsidR="00B231CB" w:rsidRDefault="00C71431">
            <w:pPr>
              <w:spacing w:after="120"/>
              <w:jc w:val="center"/>
              <w:rPr>
                <w:noProof/>
                <w:color w:val="000000" w:themeColor="text1"/>
              </w:rPr>
            </w:pPr>
            <w:r>
              <w:rPr>
                <w:noProof/>
                <w:color w:val="000000" w:themeColor="text1"/>
              </w:rPr>
              <w:t>N/A</w:t>
            </w:r>
          </w:p>
        </w:tc>
        <w:tc>
          <w:tcPr>
            <w:tcW w:w="673"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2,087</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1,994</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2,026</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N/A</w:t>
            </w:r>
          </w:p>
        </w:tc>
        <w:tc>
          <w:tcPr>
            <w:tcW w:w="673"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color w:val="000000" w:themeColor="text1"/>
              </w:rPr>
            </w:pPr>
            <w:r>
              <w:rPr>
                <w:i/>
                <w:noProof/>
                <w:color w:val="000000" w:themeColor="text1"/>
              </w:rPr>
              <w:t>1,559</w:t>
            </w:r>
          </w:p>
        </w:tc>
        <w:tc>
          <w:tcPr>
            <w:tcW w:w="675" w:type="pct"/>
            <w:noWrap/>
          </w:tcPr>
          <w:p w:rsidR="00B231CB" w:rsidRDefault="00C71431">
            <w:pPr>
              <w:spacing w:after="120"/>
              <w:jc w:val="center"/>
              <w:rPr>
                <w:i/>
                <w:noProof/>
                <w:color w:val="000000" w:themeColor="text1"/>
              </w:rPr>
            </w:pPr>
            <w:r>
              <w:rPr>
                <w:i/>
                <w:noProof/>
                <w:color w:val="000000" w:themeColor="text1"/>
              </w:rPr>
              <w:t>1,648</w:t>
            </w:r>
          </w:p>
        </w:tc>
        <w:tc>
          <w:tcPr>
            <w:tcW w:w="675" w:type="pct"/>
            <w:noWrap/>
          </w:tcPr>
          <w:p w:rsidR="00B231CB" w:rsidRDefault="00C71431">
            <w:pPr>
              <w:spacing w:after="120"/>
              <w:jc w:val="center"/>
              <w:rPr>
                <w:i/>
                <w:noProof/>
                <w:color w:val="000000" w:themeColor="text1"/>
              </w:rPr>
            </w:pPr>
            <w:r>
              <w:rPr>
                <w:i/>
                <w:noProof/>
                <w:color w:val="000000" w:themeColor="text1"/>
              </w:rPr>
              <w:t>1,783</w:t>
            </w:r>
          </w:p>
        </w:tc>
        <w:tc>
          <w:tcPr>
            <w:tcW w:w="675" w:type="pct"/>
            <w:noWrap/>
          </w:tcPr>
          <w:p w:rsidR="00B231CB" w:rsidRDefault="00C71431">
            <w:pPr>
              <w:spacing w:after="120"/>
              <w:jc w:val="center"/>
              <w:rPr>
                <w:i/>
                <w:noProof/>
                <w:color w:val="000000" w:themeColor="text1"/>
              </w:rPr>
            </w:pPr>
            <w:r>
              <w:rPr>
                <w:i/>
                <w:noProof/>
                <w:color w:val="000000" w:themeColor="text1"/>
              </w:rPr>
              <w:t>N/A</w:t>
            </w:r>
          </w:p>
        </w:tc>
        <w:tc>
          <w:tcPr>
            <w:tcW w:w="673" w:type="pct"/>
            <w:noWrap/>
          </w:tcPr>
          <w:p w:rsidR="00B231CB" w:rsidRDefault="00C71431">
            <w:pPr>
              <w:spacing w:after="120"/>
              <w:jc w:val="center"/>
              <w:rPr>
                <w:i/>
                <w:noProof/>
                <w:color w:val="000000" w:themeColor="text1"/>
                <w:szCs w:val="24"/>
              </w:rPr>
            </w:pPr>
            <w:r>
              <w:rPr>
                <w:i/>
                <w:noProof/>
                <w:color w:val="000000" w:themeColor="text1"/>
              </w:rPr>
              <w:t>N/A</w:t>
            </w:r>
          </w:p>
        </w:tc>
      </w:tr>
    </w:tbl>
    <w:p w:rsidR="00B231CB" w:rsidRDefault="00B231CB">
      <w:pPr>
        <w:spacing w:after="120"/>
        <w:rPr>
          <w:noProof/>
          <w:color w:val="000000" w:themeColor="text1"/>
        </w:rPr>
      </w:pP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color w:val="000000" w:themeColor="text1"/>
                <w:szCs w:val="24"/>
              </w:rPr>
            </w:pPr>
            <w:r>
              <w:rPr>
                <w:b/>
                <w:noProof/>
                <w:color w:val="000000" w:themeColor="text1"/>
                <w:szCs w:val="24"/>
              </w:rPr>
              <w:t>TLV25 - 2025 (EUR/van)</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color w:val="000000" w:themeColor="text1"/>
              </w:rPr>
            </w:pPr>
            <w:r>
              <w:rPr>
                <w:noProof/>
                <w:color w:val="000000" w:themeColor="text1"/>
              </w:rPr>
              <w:t>476</w:t>
            </w:r>
          </w:p>
        </w:tc>
        <w:tc>
          <w:tcPr>
            <w:tcW w:w="673" w:type="pct"/>
            <w:noWrap/>
          </w:tcPr>
          <w:p w:rsidR="00B231CB" w:rsidRDefault="00C71431">
            <w:pPr>
              <w:spacing w:after="120"/>
              <w:jc w:val="center"/>
              <w:rPr>
                <w:noProof/>
                <w:color w:val="000000" w:themeColor="text1"/>
              </w:rPr>
            </w:pPr>
            <w:r>
              <w:rPr>
                <w:noProof/>
                <w:color w:val="000000" w:themeColor="text1"/>
              </w:rPr>
              <w:t>339</w:t>
            </w:r>
          </w:p>
        </w:tc>
        <w:tc>
          <w:tcPr>
            <w:tcW w:w="673" w:type="pct"/>
            <w:noWrap/>
          </w:tcPr>
          <w:p w:rsidR="00B231CB" w:rsidRDefault="00C71431">
            <w:pPr>
              <w:spacing w:after="120"/>
              <w:jc w:val="center"/>
              <w:rPr>
                <w:noProof/>
                <w:color w:val="000000" w:themeColor="text1"/>
              </w:rPr>
            </w:pPr>
            <w:r>
              <w:rPr>
                <w:noProof/>
                <w:color w:val="000000" w:themeColor="text1"/>
              </w:rPr>
              <w:t>221</w:t>
            </w:r>
          </w:p>
        </w:tc>
        <w:tc>
          <w:tcPr>
            <w:tcW w:w="673" w:type="pct"/>
            <w:noWrap/>
          </w:tcPr>
          <w:p w:rsidR="00B231CB" w:rsidRDefault="00C71431">
            <w:pPr>
              <w:spacing w:after="120"/>
              <w:jc w:val="center"/>
              <w:rPr>
                <w:noProof/>
                <w:color w:val="000000" w:themeColor="text1"/>
              </w:rPr>
            </w:pPr>
            <w:r>
              <w:rPr>
                <w:noProof/>
                <w:color w:val="000000" w:themeColor="text1"/>
              </w:rPr>
              <w:t>149</w:t>
            </w:r>
          </w:p>
        </w:tc>
        <w:tc>
          <w:tcPr>
            <w:tcW w:w="672" w:type="pct"/>
            <w:noWrap/>
          </w:tcPr>
          <w:p w:rsidR="00B231CB" w:rsidRDefault="00C71431">
            <w:pPr>
              <w:spacing w:after="120"/>
              <w:jc w:val="center"/>
              <w:rPr>
                <w:noProof/>
                <w:color w:val="000000" w:themeColor="text1"/>
              </w:rPr>
            </w:pPr>
            <w:r>
              <w:rPr>
                <w:noProof/>
                <w:color w:val="000000" w:themeColor="text1"/>
              </w:rPr>
              <w:t>75</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color w:val="000000" w:themeColor="text1"/>
              </w:rPr>
            </w:pPr>
            <w:r>
              <w:rPr>
                <w:noProof/>
                <w:color w:val="000000" w:themeColor="text1"/>
              </w:rPr>
              <w:t>-24</w:t>
            </w:r>
          </w:p>
        </w:tc>
        <w:tc>
          <w:tcPr>
            <w:tcW w:w="673" w:type="pct"/>
            <w:noWrap/>
          </w:tcPr>
          <w:p w:rsidR="00B231CB" w:rsidRDefault="00C71431">
            <w:pPr>
              <w:spacing w:after="120"/>
              <w:jc w:val="center"/>
              <w:rPr>
                <w:noProof/>
                <w:color w:val="000000" w:themeColor="text1"/>
              </w:rPr>
            </w:pPr>
            <w:r>
              <w:rPr>
                <w:noProof/>
                <w:color w:val="000000" w:themeColor="text1"/>
              </w:rPr>
              <w:t>-26</w:t>
            </w:r>
          </w:p>
        </w:tc>
        <w:tc>
          <w:tcPr>
            <w:tcW w:w="673" w:type="pct"/>
            <w:noWrap/>
          </w:tcPr>
          <w:p w:rsidR="00B231CB" w:rsidRDefault="00C71431">
            <w:pPr>
              <w:spacing w:after="120"/>
              <w:jc w:val="center"/>
              <w:rPr>
                <w:noProof/>
                <w:color w:val="000000" w:themeColor="text1"/>
              </w:rPr>
            </w:pPr>
            <w:r>
              <w:rPr>
                <w:noProof/>
                <w:color w:val="000000" w:themeColor="text1"/>
              </w:rPr>
              <w:t>-23</w:t>
            </w:r>
          </w:p>
        </w:tc>
        <w:tc>
          <w:tcPr>
            <w:tcW w:w="673" w:type="pct"/>
            <w:noWrap/>
          </w:tcPr>
          <w:p w:rsidR="00B231CB" w:rsidRDefault="00C71431">
            <w:pPr>
              <w:spacing w:after="120"/>
              <w:jc w:val="center"/>
              <w:rPr>
                <w:noProof/>
                <w:color w:val="000000" w:themeColor="text1"/>
              </w:rPr>
            </w:pPr>
            <w:r>
              <w:rPr>
                <w:noProof/>
                <w:color w:val="000000" w:themeColor="text1"/>
              </w:rPr>
              <w:t>-28</w:t>
            </w:r>
          </w:p>
        </w:tc>
        <w:tc>
          <w:tcPr>
            <w:tcW w:w="672" w:type="pct"/>
            <w:noWrap/>
          </w:tcPr>
          <w:p w:rsidR="00B231CB" w:rsidRDefault="00C71431">
            <w:pPr>
              <w:spacing w:after="120"/>
              <w:jc w:val="center"/>
              <w:rPr>
                <w:noProof/>
                <w:color w:val="000000" w:themeColor="text1"/>
              </w:rPr>
            </w:pPr>
            <w:r>
              <w:rPr>
                <w:noProof/>
                <w:color w:val="000000" w:themeColor="text1"/>
              </w:rPr>
              <w:t>-25</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1,310</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1,247</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1,281</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1,214</w:t>
            </w:r>
          </w:p>
        </w:tc>
        <w:tc>
          <w:tcPr>
            <w:tcW w:w="672"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1,237</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 xml:space="preserve">Net savings </w:t>
            </w:r>
            <w:r>
              <w:rPr>
                <w:i/>
                <w:noProof/>
                <w:color w:val="000000" w:themeColor="text1"/>
                <w:szCs w:val="24"/>
              </w:rPr>
              <w:t>[3]-[1]-[2]</w:t>
            </w:r>
          </w:p>
        </w:tc>
        <w:tc>
          <w:tcPr>
            <w:tcW w:w="673" w:type="pct"/>
            <w:noWrap/>
          </w:tcPr>
          <w:p w:rsidR="00B231CB" w:rsidRDefault="00C71431">
            <w:pPr>
              <w:spacing w:after="120"/>
              <w:jc w:val="center"/>
              <w:rPr>
                <w:i/>
                <w:noProof/>
                <w:color w:val="000000" w:themeColor="text1"/>
              </w:rPr>
            </w:pPr>
            <w:r>
              <w:rPr>
                <w:i/>
                <w:noProof/>
                <w:color w:val="000000" w:themeColor="text1"/>
              </w:rPr>
              <w:t>859</w:t>
            </w:r>
          </w:p>
        </w:tc>
        <w:tc>
          <w:tcPr>
            <w:tcW w:w="673" w:type="pct"/>
            <w:noWrap/>
          </w:tcPr>
          <w:p w:rsidR="00B231CB" w:rsidRDefault="00C71431">
            <w:pPr>
              <w:spacing w:after="120"/>
              <w:jc w:val="center"/>
              <w:rPr>
                <w:i/>
                <w:noProof/>
                <w:color w:val="000000" w:themeColor="text1"/>
              </w:rPr>
            </w:pPr>
            <w:r>
              <w:rPr>
                <w:i/>
                <w:noProof/>
                <w:color w:val="000000" w:themeColor="text1"/>
              </w:rPr>
              <w:t>934</w:t>
            </w:r>
          </w:p>
        </w:tc>
        <w:tc>
          <w:tcPr>
            <w:tcW w:w="673" w:type="pct"/>
            <w:noWrap/>
          </w:tcPr>
          <w:p w:rsidR="00B231CB" w:rsidRDefault="00C71431">
            <w:pPr>
              <w:spacing w:after="120"/>
              <w:jc w:val="center"/>
              <w:rPr>
                <w:i/>
                <w:noProof/>
                <w:color w:val="000000" w:themeColor="text1"/>
              </w:rPr>
            </w:pPr>
            <w:r>
              <w:rPr>
                <w:i/>
                <w:noProof/>
                <w:color w:val="000000" w:themeColor="text1"/>
              </w:rPr>
              <w:t>1,083</w:t>
            </w:r>
          </w:p>
        </w:tc>
        <w:tc>
          <w:tcPr>
            <w:tcW w:w="673" w:type="pct"/>
            <w:noWrap/>
          </w:tcPr>
          <w:p w:rsidR="00B231CB" w:rsidRDefault="00C71431">
            <w:pPr>
              <w:spacing w:after="120"/>
              <w:jc w:val="center"/>
              <w:rPr>
                <w:i/>
                <w:noProof/>
                <w:color w:val="000000" w:themeColor="text1"/>
              </w:rPr>
            </w:pPr>
            <w:r>
              <w:rPr>
                <w:i/>
                <w:noProof/>
                <w:color w:val="000000" w:themeColor="text1"/>
              </w:rPr>
              <w:t>1,093</w:t>
            </w:r>
          </w:p>
        </w:tc>
        <w:tc>
          <w:tcPr>
            <w:tcW w:w="672" w:type="pct"/>
            <w:noWrap/>
          </w:tcPr>
          <w:p w:rsidR="00B231CB" w:rsidRDefault="00C71431">
            <w:pPr>
              <w:spacing w:after="120"/>
              <w:jc w:val="center"/>
              <w:rPr>
                <w:i/>
                <w:noProof/>
                <w:color w:val="000000" w:themeColor="text1"/>
              </w:rPr>
            </w:pPr>
            <w:r>
              <w:rPr>
                <w:i/>
                <w:noProof/>
                <w:color w:val="000000" w:themeColor="text1"/>
              </w:rPr>
              <w:t>1,186</w:t>
            </w:r>
          </w:p>
        </w:tc>
      </w:tr>
    </w:tbl>
    <w:p w:rsidR="00B231CB" w:rsidRDefault="00B231CB">
      <w:pPr>
        <w:spacing w:after="12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TLV25 - 2030 (EUR/van)</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color w:val="000000" w:themeColor="text1"/>
              </w:rPr>
            </w:pPr>
            <w:r>
              <w:rPr>
                <w:noProof/>
                <w:color w:val="000000" w:themeColor="text1"/>
              </w:rPr>
              <w:t>742</w:t>
            </w:r>
          </w:p>
        </w:tc>
        <w:tc>
          <w:tcPr>
            <w:tcW w:w="675" w:type="pct"/>
            <w:noWrap/>
          </w:tcPr>
          <w:p w:rsidR="00B231CB" w:rsidRDefault="00C71431">
            <w:pPr>
              <w:spacing w:after="120"/>
              <w:jc w:val="center"/>
              <w:rPr>
                <w:noProof/>
                <w:color w:val="000000" w:themeColor="text1"/>
              </w:rPr>
            </w:pPr>
            <w:r>
              <w:rPr>
                <w:noProof/>
                <w:color w:val="000000" w:themeColor="text1"/>
              </w:rPr>
              <w:t>524</w:t>
            </w:r>
          </w:p>
        </w:tc>
        <w:tc>
          <w:tcPr>
            <w:tcW w:w="675" w:type="pct"/>
            <w:noWrap/>
          </w:tcPr>
          <w:p w:rsidR="00B231CB" w:rsidRDefault="00C71431">
            <w:pPr>
              <w:spacing w:after="120"/>
              <w:jc w:val="center"/>
              <w:rPr>
                <w:noProof/>
                <w:color w:val="000000" w:themeColor="text1"/>
              </w:rPr>
            </w:pPr>
            <w:r>
              <w:rPr>
                <w:noProof/>
                <w:color w:val="000000" w:themeColor="text1"/>
              </w:rPr>
              <w:t>386</w:t>
            </w:r>
          </w:p>
        </w:tc>
        <w:tc>
          <w:tcPr>
            <w:tcW w:w="675" w:type="pct"/>
            <w:noWrap/>
          </w:tcPr>
          <w:p w:rsidR="00B231CB" w:rsidRDefault="00C71431">
            <w:pPr>
              <w:spacing w:after="120"/>
              <w:jc w:val="center"/>
              <w:rPr>
                <w:noProof/>
                <w:color w:val="000000" w:themeColor="text1"/>
              </w:rPr>
            </w:pPr>
            <w:r>
              <w:rPr>
                <w:noProof/>
                <w:color w:val="000000" w:themeColor="text1"/>
              </w:rPr>
              <w:t>223</w:t>
            </w:r>
          </w:p>
        </w:tc>
        <w:tc>
          <w:tcPr>
            <w:tcW w:w="673" w:type="pct"/>
            <w:noWrap/>
          </w:tcPr>
          <w:p w:rsidR="00B231CB" w:rsidRDefault="00C71431">
            <w:pPr>
              <w:spacing w:after="120"/>
              <w:jc w:val="center"/>
              <w:rPr>
                <w:noProof/>
                <w:color w:val="000000" w:themeColor="text1"/>
              </w:rPr>
            </w:pPr>
            <w:r>
              <w:rPr>
                <w:noProof/>
                <w:color w:val="000000" w:themeColor="text1"/>
              </w:rPr>
              <w:t>146</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color w:val="000000" w:themeColor="text1"/>
              </w:rPr>
            </w:pPr>
            <w:r>
              <w:rPr>
                <w:noProof/>
                <w:color w:val="000000" w:themeColor="text1"/>
              </w:rPr>
              <w:t>-20</w:t>
            </w:r>
          </w:p>
        </w:tc>
        <w:tc>
          <w:tcPr>
            <w:tcW w:w="675" w:type="pct"/>
            <w:noWrap/>
          </w:tcPr>
          <w:p w:rsidR="00B231CB" w:rsidRDefault="00C71431">
            <w:pPr>
              <w:spacing w:after="120"/>
              <w:jc w:val="center"/>
              <w:rPr>
                <w:noProof/>
                <w:color w:val="000000" w:themeColor="text1"/>
              </w:rPr>
            </w:pPr>
            <w:r>
              <w:rPr>
                <w:noProof/>
                <w:color w:val="000000" w:themeColor="text1"/>
              </w:rPr>
              <w:t>-29</w:t>
            </w:r>
          </w:p>
        </w:tc>
        <w:tc>
          <w:tcPr>
            <w:tcW w:w="675" w:type="pct"/>
            <w:noWrap/>
          </w:tcPr>
          <w:p w:rsidR="00B231CB" w:rsidRDefault="00C71431">
            <w:pPr>
              <w:spacing w:after="120"/>
              <w:jc w:val="center"/>
              <w:rPr>
                <w:noProof/>
                <w:color w:val="000000" w:themeColor="text1"/>
              </w:rPr>
            </w:pPr>
            <w:r>
              <w:rPr>
                <w:noProof/>
                <w:color w:val="000000" w:themeColor="text1"/>
              </w:rPr>
              <w:t>-24</w:t>
            </w:r>
          </w:p>
        </w:tc>
        <w:tc>
          <w:tcPr>
            <w:tcW w:w="675" w:type="pct"/>
            <w:noWrap/>
          </w:tcPr>
          <w:p w:rsidR="00B231CB" w:rsidRDefault="00C71431">
            <w:pPr>
              <w:spacing w:after="120"/>
              <w:jc w:val="center"/>
              <w:rPr>
                <w:noProof/>
                <w:color w:val="000000" w:themeColor="text1"/>
              </w:rPr>
            </w:pPr>
            <w:r>
              <w:rPr>
                <w:noProof/>
                <w:color w:val="000000" w:themeColor="text1"/>
              </w:rPr>
              <w:t>-36</w:t>
            </w:r>
          </w:p>
        </w:tc>
        <w:tc>
          <w:tcPr>
            <w:tcW w:w="673" w:type="pct"/>
            <w:noWrap/>
          </w:tcPr>
          <w:p w:rsidR="00B231CB" w:rsidRDefault="00C71431">
            <w:pPr>
              <w:spacing w:after="120"/>
              <w:jc w:val="center"/>
              <w:rPr>
                <w:noProof/>
                <w:color w:val="000000" w:themeColor="text1"/>
              </w:rPr>
            </w:pPr>
            <w:r>
              <w:rPr>
                <w:noProof/>
                <w:color w:val="000000" w:themeColor="text1"/>
              </w:rPr>
              <w:t>-33</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2,570</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2,500</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2,546</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2,439</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2,460</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color w:val="000000" w:themeColor="text1"/>
              </w:rPr>
            </w:pPr>
            <w:r>
              <w:rPr>
                <w:i/>
                <w:noProof/>
                <w:color w:val="000000" w:themeColor="text1"/>
              </w:rPr>
              <w:t>1,848</w:t>
            </w:r>
          </w:p>
        </w:tc>
        <w:tc>
          <w:tcPr>
            <w:tcW w:w="675" w:type="pct"/>
            <w:noWrap/>
          </w:tcPr>
          <w:p w:rsidR="00B231CB" w:rsidRDefault="00C71431">
            <w:pPr>
              <w:spacing w:after="120"/>
              <w:jc w:val="center"/>
              <w:rPr>
                <w:i/>
                <w:noProof/>
                <w:color w:val="000000" w:themeColor="text1"/>
              </w:rPr>
            </w:pPr>
            <w:r>
              <w:rPr>
                <w:i/>
                <w:noProof/>
                <w:color w:val="000000" w:themeColor="text1"/>
              </w:rPr>
              <w:t>2,005</w:t>
            </w:r>
          </w:p>
        </w:tc>
        <w:tc>
          <w:tcPr>
            <w:tcW w:w="675" w:type="pct"/>
            <w:noWrap/>
          </w:tcPr>
          <w:p w:rsidR="00B231CB" w:rsidRDefault="00C71431">
            <w:pPr>
              <w:spacing w:after="120"/>
              <w:jc w:val="center"/>
              <w:rPr>
                <w:i/>
                <w:noProof/>
                <w:color w:val="000000" w:themeColor="text1"/>
              </w:rPr>
            </w:pPr>
            <w:r>
              <w:rPr>
                <w:i/>
                <w:noProof/>
                <w:color w:val="000000" w:themeColor="text1"/>
              </w:rPr>
              <w:t>2,184</w:t>
            </w:r>
          </w:p>
        </w:tc>
        <w:tc>
          <w:tcPr>
            <w:tcW w:w="675" w:type="pct"/>
            <w:noWrap/>
          </w:tcPr>
          <w:p w:rsidR="00B231CB" w:rsidRDefault="00C71431">
            <w:pPr>
              <w:spacing w:after="120"/>
              <w:jc w:val="center"/>
              <w:rPr>
                <w:i/>
                <w:noProof/>
                <w:color w:val="000000" w:themeColor="text1"/>
              </w:rPr>
            </w:pPr>
            <w:r>
              <w:rPr>
                <w:i/>
                <w:noProof/>
                <w:color w:val="000000" w:themeColor="text1"/>
              </w:rPr>
              <w:t>2,253</w:t>
            </w:r>
          </w:p>
        </w:tc>
        <w:tc>
          <w:tcPr>
            <w:tcW w:w="673" w:type="pct"/>
            <w:noWrap/>
          </w:tcPr>
          <w:p w:rsidR="00B231CB" w:rsidRDefault="00C71431">
            <w:pPr>
              <w:spacing w:after="120"/>
              <w:jc w:val="center"/>
              <w:rPr>
                <w:i/>
                <w:noProof/>
                <w:color w:val="000000" w:themeColor="text1"/>
              </w:rPr>
            </w:pPr>
            <w:r>
              <w:rPr>
                <w:i/>
                <w:noProof/>
                <w:color w:val="000000" w:themeColor="text1"/>
              </w:rPr>
              <w:t>2,347</w:t>
            </w:r>
          </w:p>
        </w:tc>
      </w:tr>
    </w:tbl>
    <w:p w:rsidR="00B231CB" w:rsidRDefault="00B231CB">
      <w:pPr>
        <w:spacing w:after="120"/>
        <w:rPr>
          <w:noProof/>
          <w:color w:val="000000" w:themeColor="text1"/>
        </w:rPr>
      </w:pP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color w:val="000000" w:themeColor="text1"/>
                <w:szCs w:val="24"/>
              </w:rPr>
            </w:pPr>
            <w:r>
              <w:rPr>
                <w:b/>
                <w:noProof/>
                <w:color w:val="000000" w:themeColor="text1"/>
                <w:szCs w:val="24"/>
              </w:rPr>
              <w:t>TLV40 - 2025 (EUR/van)</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color w:val="000000" w:themeColor="text1"/>
              </w:rPr>
            </w:pPr>
            <w:r>
              <w:rPr>
                <w:noProof/>
                <w:color w:val="000000" w:themeColor="text1"/>
              </w:rPr>
              <w:t>970</w:t>
            </w:r>
          </w:p>
        </w:tc>
        <w:tc>
          <w:tcPr>
            <w:tcW w:w="673" w:type="pct"/>
            <w:noWrap/>
          </w:tcPr>
          <w:p w:rsidR="00B231CB" w:rsidRDefault="00C71431">
            <w:pPr>
              <w:spacing w:after="120"/>
              <w:jc w:val="center"/>
              <w:rPr>
                <w:noProof/>
                <w:color w:val="000000" w:themeColor="text1"/>
              </w:rPr>
            </w:pPr>
            <w:r>
              <w:rPr>
                <w:noProof/>
                <w:color w:val="000000" w:themeColor="text1"/>
              </w:rPr>
              <w:t>704</w:t>
            </w:r>
          </w:p>
        </w:tc>
        <w:tc>
          <w:tcPr>
            <w:tcW w:w="673" w:type="pct"/>
            <w:noWrap/>
          </w:tcPr>
          <w:p w:rsidR="00B231CB" w:rsidRDefault="00C71431">
            <w:pPr>
              <w:spacing w:after="120"/>
              <w:jc w:val="center"/>
              <w:rPr>
                <w:noProof/>
                <w:color w:val="000000" w:themeColor="text1"/>
              </w:rPr>
            </w:pPr>
            <w:r>
              <w:rPr>
                <w:noProof/>
                <w:color w:val="000000" w:themeColor="text1"/>
              </w:rPr>
              <w:t>545</w:t>
            </w:r>
          </w:p>
        </w:tc>
        <w:tc>
          <w:tcPr>
            <w:tcW w:w="673" w:type="pct"/>
            <w:noWrap/>
          </w:tcPr>
          <w:p w:rsidR="00B231CB" w:rsidRDefault="00C71431">
            <w:pPr>
              <w:spacing w:after="120"/>
              <w:jc w:val="center"/>
              <w:rPr>
                <w:noProof/>
                <w:color w:val="000000" w:themeColor="text1"/>
              </w:rPr>
            </w:pPr>
            <w:r>
              <w:rPr>
                <w:noProof/>
                <w:color w:val="000000" w:themeColor="text1"/>
              </w:rPr>
              <w:t>416</w:t>
            </w:r>
          </w:p>
        </w:tc>
        <w:tc>
          <w:tcPr>
            <w:tcW w:w="672" w:type="pct"/>
            <w:noWrap/>
          </w:tcPr>
          <w:p w:rsidR="00B231CB" w:rsidRDefault="00C71431">
            <w:pPr>
              <w:spacing w:after="120"/>
              <w:jc w:val="center"/>
              <w:rPr>
                <w:noProof/>
                <w:color w:val="000000" w:themeColor="text1"/>
              </w:rPr>
            </w:pPr>
            <w:r>
              <w:rPr>
                <w:noProof/>
                <w:color w:val="000000" w:themeColor="text1"/>
              </w:rPr>
              <w:t>230</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color w:val="000000" w:themeColor="text1"/>
              </w:rPr>
            </w:pPr>
            <w:r>
              <w:rPr>
                <w:noProof/>
                <w:color w:val="000000" w:themeColor="text1"/>
              </w:rPr>
              <w:t>-48</w:t>
            </w:r>
          </w:p>
        </w:tc>
        <w:tc>
          <w:tcPr>
            <w:tcW w:w="673" w:type="pct"/>
            <w:noWrap/>
          </w:tcPr>
          <w:p w:rsidR="00B231CB" w:rsidRDefault="00C71431">
            <w:pPr>
              <w:spacing w:after="120"/>
              <w:jc w:val="center"/>
              <w:rPr>
                <w:noProof/>
                <w:color w:val="000000" w:themeColor="text1"/>
              </w:rPr>
            </w:pPr>
            <w:r>
              <w:rPr>
                <w:noProof/>
                <w:color w:val="000000" w:themeColor="text1"/>
              </w:rPr>
              <w:t>-48</w:t>
            </w:r>
          </w:p>
        </w:tc>
        <w:tc>
          <w:tcPr>
            <w:tcW w:w="673" w:type="pct"/>
            <w:noWrap/>
          </w:tcPr>
          <w:p w:rsidR="00B231CB" w:rsidRDefault="00C71431">
            <w:pPr>
              <w:spacing w:after="120"/>
              <w:jc w:val="center"/>
              <w:rPr>
                <w:noProof/>
                <w:color w:val="000000" w:themeColor="text1"/>
              </w:rPr>
            </w:pPr>
            <w:r>
              <w:rPr>
                <w:noProof/>
                <w:color w:val="000000" w:themeColor="text1"/>
              </w:rPr>
              <w:t>-46</w:t>
            </w:r>
          </w:p>
        </w:tc>
        <w:tc>
          <w:tcPr>
            <w:tcW w:w="673" w:type="pct"/>
            <w:noWrap/>
          </w:tcPr>
          <w:p w:rsidR="00B231CB" w:rsidRDefault="00C71431">
            <w:pPr>
              <w:spacing w:after="120"/>
              <w:jc w:val="center"/>
              <w:rPr>
                <w:noProof/>
                <w:color w:val="000000" w:themeColor="text1"/>
              </w:rPr>
            </w:pPr>
            <w:r>
              <w:rPr>
                <w:noProof/>
                <w:color w:val="000000" w:themeColor="text1"/>
              </w:rPr>
              <w:t>-49</w:t>
            </w:r>
          </w:p>
        </w:tc>
        <w:tc>
          <w:tcPr>
            <w:tcW w:w="672" w:type="pct"/>
            <w:noWrap/>
          </w:tcPr>
          <w:p w:rsidR="00B231CB" w:rsidRDefault="00C71431">
            <w:pPr>
              <w:spacing w:after="120"/>
              <w:jc w:val="center"/>
              <w:rPr>
                <w:noProof/>
                <w:color w:val="000000" w:themeColor="text1"/>
              </w:rPr>
            </w:pPr>
            <w:r>
              <w:rPr>
                <w:noProof/>
                <w:color w:val="000000" w:themeColor="text1"/>
              </w:rPr>
              <w:t>-26</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2,042</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2,048</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2,115</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2,065</w:t>
            </w:r>
          </w:p>
        </w:tc>
        <w:tc>
          <w:tcPr>
            <w:tcW w:w="672"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2,249</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3" w:type="pct"/>
            <w:noWrap/>
          </w:tcPr>
          <w:p w:rsidR="00B231CB" w:rsidRDefault="00C71431">
            <w:pPr>
              <w:spacing w:after="120"/>
              <w:jc w:val="center"/>
              <w:rPr>
                <w:i/>
                <w:noProof/>
                <w:color w:val="000000" w:themeColor="text1"/>
              </w:rPr>
            </w:pPr>
            <w:r>
              <w:rPr>
                <w:i/>
                <w:noProof/>
                <w:color w:val="000000" w:themeColor="text1"/>
              </w:rPr>
              <w:t>1,119</w:t>
            </w:r>
          </w:p>
        </w:tc>
        <w:tc>
          <w:tcPr>
            <w:tcW w:w="673" w:type="pct"/>
            <w:noWrap/>
          </w:tcPr>
          <w:p w:rsidR="00B231CB" w:rsidRDefault="00C71431">
            <w:pPr>
              <w:spacing w:after="120"/>
              <w:jc w:val="center"/>
              <w:rPr>
                <w:i/>
                <w:noProof/>
                <w:color w:val="000000" w:themeColor="text1"/>
              </w:rPr>
            </w:pPr>
            <w:r>
              <w:rPr>
                <w:i/>
                <w:noProof/>
                <w:color w:val="000000" w:themeColor="text1"/>
              </w:rPr>
              <w:t>1,393</w:t>
            </w:r>
          </w:p>
        </w:tc>
        <w:tc>
          <w:tcPr>
            <w:tcW w:w="673" w:type="pct"/>
            <w:noWrap/>
          </w:tcPr>
          <w:p w:rsidR="00B231CB" w:rsidRDefault="00C71431">
            <w:pPr>
              <w:spacing w:after="120"/>
              <w:jc w:val="center"/>
              <w:rPr>
                <w:i/>
                <w:noProof/>
                <w:color w:val="000000" w:themeColor="text1"/>
              </w:rPr>
            </w:pPr>
            <w:r>
              <w:rPr>
                <w:i/>
                <w:noProof/>
                <w:color w:val="000000" w:themeColor="text1"/>
              </w:rPr>
              <w:t>1,616</w:t>
            </w:r>
          </w:p>
        </w:tc>
        <w:tc>
          <w:tcPr>
            <w:tcW w:w="673" w:type="pct"/>
            <w:noWrap/>
          </w:tcPr>
          <w:p w:rsidR="00B231CB" w:rsidRDefault="00C71431">
            <w:pPr>
              <w:spacing w:after="120"/>
              <w:jc w:val="center"/>
              <w:rPr>
                <w:i/>
                <w:noProof/>
                <w:color w:val="000000" w:themeColor="text1"/>
              </w:rPr>
            </w:pPr>
            <w:r>
              <w:rPr>
                <w:i/>
                <w:noProof/>
                <w:color w:val="000000" w:themeColor="text1"/>
              </w:rPr>
              <w:t>1,698</w:t>
            </w:r>
          </w:p>
        </w:tc>
        <w:tc>
          <w:tcPr>
            <w:tcW w:w="672" w:type="pct"/>
            <w:noWrap/>
          </w:tcPr>
          <w:p w:rsidR="00B231CB" w:rsidRDefault="00C71431">
            <w:pPr>
              <w:spacing w:after="120"/>
              <w:jc w:val="center"/>
              <w:rPr>
                <w:i/>
                <w:noProof/>
                <w:color w:val="000000" w:themeColor="text1"/>
              </w:rPr>
            </w:pPr>
            <w:r>
              <w:rPr>
                <w:i/>
                <w:noProof/>
                <w:color w:val="000000" w:themeColor="text1"/>
              </w:rPr>
              <w:t>2,044</w:t>
            </w:r>
          </w:p>
        </w:tc>
      </w:tr>
    </w:tbl>
    <w:p w:rsidR="00B231CB" w:rsidRDefault="00B231CB">
      <w:pPr>
        <w:spacing w:after="12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TLV40 - 2030 (EUR/van)</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color w:val="000000" w:themeColor="text1"/>
              </w:rPr>
            </w:pPr>
            <w:r>
              <w:rPr>
                <w:noProof/>
                <w:color w:val="000000" w:themeColor="text1"/>
              </w:rPr>
              <w:t>1,587</w:t>
            </w:r>
          </w:p>
        </w:tc>
        <w:tc>
          <w:tcPr>
            <w:tcW w:w="675" w:type="pct"/>
            <w:noWrap/>
          </w:tcPr>
          <w:p w:rsidR="00B231CB" w:rsidRDefault="00C71431">
            <w:pPr>
              <w:spacing w:after="120"/>
              <w:jc w:val="center"/>
              <w:rPr>
                <w:noProof/>
                <w:color w:val="000000" w:themeColor="text1"/>
              </w:rPr>
            </w:pPr>
            <w:r>
              <w:rPr>
                <w:noProof/>
                <w:color w:val="000000" w:themeColor="text1"/>
              </w:rPr>
              <w:t>1,158</w:t>
            </w:r>
          </w:p>
        </w:tc>
        <w:tc>
          <w:tcPr>
            <w:tcW w:w="675" w:type="pct"/>
            <w:noWrap/>
          </w:tcPr>
          <w:p w:rsidR="00B231CB" w:rsidRDefault="00C71431">
            <w:pPr>
              <w:spacing w:after="120"/>
              <w:jc w:val="center"/>
              <w:rPr>
                <w:noProof/>
                <w:color w:val="000000" w:themeColor="text1"/>
              </w:rPr>
            </w:pPr>
            <w:r>
              <w:rPr>
                <w:noProof/>
                <w:color w:val="000000" w:themeColor="text1"/>
              </w:rPr>
              <w:t>984</w:t>
            </w:r>
          </w:p>
        </w:tc>
        <w:tc>
          <w:tcPr>
            <w:tcW w:w="675" w:type="pct"/>
            <w:noWrap/>
          </w:tcPr>
          <w:p w:rsidR="00B231CB" w:rsidRDefault="00C71431">
            <w:pPr>
              <w:spacing w:after="120"/>
              <w:jc w:val="center"/>
              <w:rPr>
                <w:noProof/>
                <w:color w:val="000000" w:themeColor="text1"/>
              </w:rPr>
            </w:pPr>
            <w:r>
              <w:rPr>
                <w:noProof/>
                <w:color w:val="000000" w:themeColor="text1"/>
              </w:rPr>
              <w:t>678</w:t>
            </w:r>
          </w:p>
        </w:tc>
        <w:tc>
          <w:tcPr>
            <w:tcW w:w="673" w:type="pct"/>
            <w:noWrap/>
          </w:tcPr>
          <w:p w:rsidR="00B231CB" w:rsidRDefault="00C71431">
            <w:pPr>
              <w:spacing w:after="120"/>
              <w:jc w:val="center"/>
              <w:rPr>
                <w:noProof/>
                <w:color w:val="000000" w:themeColor="text1"/>
              </w:rPr>
            </w:pPr>
            <w:r>
              <w:rPr>
                <w:noProof/>
                <w:color w:val="000000" w:themeColor="text1"/>
              </w:rPr>
              <w:t>506</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color w:val="000000" w:themeColor="text1"/>
              </w:rPr>
            </w:pPr>
            <w:r>
              <w:rPr>
                <w:noProof/>
                <w:color w:val="000000" w:themeColor="text1"/>
              </w:rPr>
              <w:t>-67</w:t>
            </w:r>
          </w:p>
        </w:tc>
        <w:tc>
          <w:tcPr>
            <w:tcW w:w="675" w:type="pct"/>
            <w:noWrap/>
          </w:tcPr>
          <w:p w:rsidR="00B231CB" w:rsidRDefault="00C71431">
            <w:pPr>
              <w:spacing w:after="120"/>
              <w:jc w:val="center"/>
              <w:rPr>
                <w:noProof/>
                <w:color w:val="000000" w:themeColor="text1"/>
              </w:rPr>
            </w:pPr>
            <w:r>
              <w:rPr>
                <w:noProof/>
                <w:color w:val="000000" w:themeColor="text1"/>
              </w:rPr>
              <w:t>-67</w:t>
            </w:r>
          </w:p>
        </w:tc>
        <w:tc>
          <w:tcPr>
            <w:tcW w:w="675" w:type="pct"/>
            <w:noWrap/>
          </w:tcPr>
          <w:p w:rsidR="00B231CB" w:rsidRDefault="00C71431">
            <w:pPr>
              <w:spacing w:after="120"/>
              <w:jc w:val="center"/>
              <w:rPr>
                <w:noProof/>
                <w:color w:val="000000" w:themeColor="text1"/>
              </w:rPr>
            </w:pPr>
            <w:r>
              <w:rPr>
                <w:noProof/>
                <w:color w:val="000000" w:themeColor="text1"/>
              </w:rPr>
              <w:t>-62</w:t>
            </w:r>
          </w:p>
        </w:tc>
        <w:tc>
          <w:tcPr>
            <w:tcW w:w="675" w:type="pct"/>
            <w:noWrap/>
          </w:tcPr>
          <w:p w:rsidR="00B231CB" w:rsidRDefault="00C71431">
            <w:pPr>
              <w:spacing w:after="120"/>
              <w:jc w:val="center"/>
              <w:rPr>
                <w:noProof/>
                <w:color w:val="000000" w:themeColor="text1"/>
              </w:rPr>
            </w:pPr>
            <w:r>
              <w:rPr>
                <w:noProof/>
                <w:color w:val="000000" w:themeColor="text1"/>
              </w:rPr>
              <w:t>-70</w:t>
            </w:r>
          </w:p>
        </w:tc>
        <w:tc>
          <w:tcPr>
            <w:tcW w:w="673" w:type="pct"/>
            <w:noWrap/>
          </w:tcPr>
          <w:p w:rsidR="00B231CB" w:rsidRDefault="00C71431">
            <w:pPr>
              <w:spacing w:after="120"/>
              <w:jc w:val="center"/>
              <w:rPr>
                <w:noProof/>
                <w:color w:val="000000" w:themeColor="text1"/>
              </w:rPr>
            </w:pPr>
            <w:r>
              <w:rPr>
                <w:noProof/>
                <w:color w:val="000000" w:themeColor="text1"/>
              </w:rPr>
              <w:t>-34</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3,753</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3,774</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3,833</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3,783</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4,184</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color w:val="000000" w:themeColor="text1"/>
              </w:rPr>
            </w:pPr>
            <w:r>
              <w:rPr>
                <w:i/>
                <w:noProof/>
                <w:color w:val="000000" w:themeColor="text1"/>
              </w:rPr>
              <w:t>2,234</w:t>
            </w:r>
          </w:p>
        </w:tc>
        <w:tc>
          <w:tcPr>
            <w:tcW w:w="675" w:type="pct"/>
            <w:noWrap/>
          </w:tcPr>
          <w:p w:rsidR="00B231CB" w:rsidRDefault="00C71431">
            <w:pPr>
              <w:spacing w:after="120"/>
              <w:jc w:val="center"/>
              <w:rPr>
                <w:i/>
                <w:noProof/>
                <w:color w:val="000000" w:themeColor="text1"/>
              </w:rPr>
            </w:pPr>
            <w:r>
              <w:rPr>
                <w:i/>
                <w:noProof/>
                <w:color w:val="000000" w:themeColor="text1"/>
              </w:rPr>
              <w:t>2,684</w:t>
            </w:r>
          </w:p>
        </w:tc>
        <w:tc>
          <w:tcPr>
            <w:tcW w:w="675" w:type="pct"/>
            <w:noWrap/>
          </w:tcPr>
          <w:p w:rsidR="00B231CB" w:rsidRDefault="00C71431">
            <w:pPr>
              <w:spacing w:after="120"/>
              <w:jc w:val="center"/>
              <w:rPr>
                <w:i/>
                <w:noProof/>
                <w:color w:val="000000" w:themeColor="text1"/>
              </w:rPr>
            </w:pPr>
            <w:r>
              <w:rPr>
                <w:i/>
                <w:noProof/>
                <w:color w:val="000000" w:themeColor="text1"/>
              </w:rPr>
              <w:t>2,912</w:t>
            </w:r>
          </w:p>
        </w:tc>
        <w:tc>
          <w:tcPr>
            <w:tcW w:w="675" w:type="pct"/>
            <w:noWrap/>
          </w:tcPr>
          <w:p w:rsidR="00B231CB" w:rsidRDefault="00C71431">
            <w:pPr>
              <w:spacing w:after="120"/>
              <w:jc w:val="center"/>
              <w:rPr>
                <w:i/>
                <w:noProof/>
                <w:color w:val="000000" w:themeColor="text1"/>
              </w:rPr>
            </w:pPr>
            <w:r>
              <w:rPr>
                <w:i/>
                <w:noProof/>
                <w:color w:val="000000" w:themeColor="text1"/>
              </w:rPr>
              <w:t>3,175</w:t>
            </w:r>
          </w:p>
        </w:tc>
        <w:tc>
          <w:tcPr>
            <w:tcW w:w="673" w:type="pct"/>
            <w:noWrap/>
          </w:tcPr>
          <w:p w:rsidR="00B231CB" w:rsidRDefault="00C71431">
            <w:pPr>
              <w:spacing w:after="120"/>
              <w:jc w:val="center"/>
              <w:rPr>
                <w:i/>
                <w:noProof/>
                <w:color w:val="000000" w:themeColor="text1"/>
              </w:rPr>
            </w:pPr>
            <w:r>
              <w:rPr>
                <w:i/>
                <w:noProof/>
                <w:color w:val="000000" w:themeColor="text1"/>
              </w:rPr>
              <w:t>3,713</w:t>
            </w:r>
          </w:p>
        </w:tc>
      </w:tr>
    </w:tbl>
    <w:p w:rsidR="00B231CB" w:rsidRDefault="00C71431">
      <w:pPr>
        <w:pStyle w:val="Heading5"/>
        <w:rPr>
          <w:noProof/>
          <w:color w:val="000000" w:themeColor="text1"/>
        </w:rPr>
      </w:pPr>
      <w:bookmarkStart w:id="150" w:name="_Ref494118350"/>
      <w:r>
        <w:rPr>
          <w:noProof/>
          <w:color w:val="000000" w:themeColor="text1"/>
        </w:rPr>
        <w:t xml:space="preserve">Sensitivity – economic impacts </w:t>
      </w:r>
      <w:r>
        <w:rPr>
          <w:i/>
          <w:noProof/>
          <w:color w:val="000000" w:themeColor="text1"/>
        </w:rPr>
        <w:t>with varying international oil price</w:t>
      </w:r>
      <w:bookmarkEnd w:id="150"/>
    </w:p>
    <w:p w:rsidR="00B231CB" w:rsidRDefault="00C71431">
      <w:pPr>
        <w:spacing w:after="120"/>
        <w:rPr>
          <w:noProof/>
          <w:color w:val="000000" w:themeColor="text1"/>
        </w:rPr>
      </w:pPr>
      <w:r>
        <w:rPr>
          <w:noProof/>
          <w:color w:val="000000" w:themeColor="text1"/>
        </w:rPr>
        <w:t>Similarly as for cars, as a sensitivity analysis, the changes to the net economic savings in case of different international fuel price projections were assessed, using a scenario assuming</w:t>
      </w:r>
      <w:r>
        <w:rPr>
          <w:noProof/>
          <w:color w:val="000000" w:themeColor="text1"/>
        </w:rPr>
        <w:t xml:space="preserve"> an reduction of the oil prices of around 25% in 2030 with respect to the price in 2030 of the Reference Scenario 2016. " (see Section 8.2.1.1.5).</w:t>
      </w:r>
    </w:p>
    <w:p w:rsidR="00B231CB" w:rsidRDefault="00C71431">
      <w:pPr>
        <w:spacing w:after="120"/>
        <w:rPr>
          <w:noProof/>
          <w:color w:val="000000" w:themeColor="text1"/>
        </w:rPr>
      </w:pPr>
      <w:r>
        <w:rPr>
          <w:noProof/>
          <w:color w:val="000000" w:themeColor="text1"/>
        </w:rPr>
        <w:t>The economic analysis is repeated with the lower international fuel prices, both in the baseline and for sele</w:t>
      </w:r>
      <w:r>
        <w:rPr>
          <w:noProof/>
          <w:color w:val="000000" w:themeColor="text1"/>
        </w:rPr>
        <w:t>cted options for the target levels TLV20, TLV25, TLV40.</w:t>
      </w:r>
    </w:p>
    <w:p w:rsidR="00B231CB" w:rsidRDefault="00C71431">
      <w:pPr>
        <w:spacing w:after="120"/>
        <w:rPr>
          <w:noProof/>
          <w:color w:val="000000" w:themeColor="text1"/>
        </w:rPr>
      </w:pPr>
      <w:r>
        <w:rPr>
          <w:noProof/>
          <w:color w:val="000000" w:themeColor="text1"/>
        </w:rPr>
        <w:fldChar w:fldCharType="begin"/>
      </w:r>
      <w:r>
        <w:rPr>
          <w:noProof/>
          <w:color w:val="000000" w:themeColor="text1"/>
        </w:rPr>
        <w:instrText xml:space="preserve"> REF _Ref494106956 \h  \* MERGEFORMAT </w:instrText>
      </w:r>
      <w:r>
        <w:rPr>
          <w:noProof/>
          <w:color w:val="000000" w:themeColor="text1"/>
        </w:rPr>
      </w:r>
      <w:r>
        <w:rPr>
          <w:noProof/>
          <w:color w:val="000000" w:themeColor="text1"/>
        </w:rPr>
        <w:fldChar w:fldCharType="separate"/>
      </w:r>
      <w:r>
        <w:rPr>
          <w:noProof/>
          <w:color w:val="000000" w:themeColor="text1"/>
        </w:rPr>
        <w:t>Table 16</w:t>
      </w:r>
      <w:r>
        <w:rPr>
          <w:noProof/>
          <w:color w:val="000000" w:themeColor="text1"/>
        </w:rPr>
        <w:fldChar w:fldCharType="end"/>
      </w:r>
      <w:r>
        <w:rPr>
          <w:noProof/>
          <w:color w:val="000000" w:themeColor="text1"/>
        </w:rPr>
        <w:t xml:space="preserve"> and </w:t>
      </w:r>
      <w:r>
        <w:rPr>
          <w:noProof/>
          <w:color w:val="000000" w:themeColor="text1"/>
        </w:rPr>
        <w:fldChar w:fldCharType="begin"/>
      </w:r>
      <w:r>
        <w:rPr>
          <w:noProof/>
          <w:color w:val="000000" w:themeColor="text1"/>
        </w:rPr>
        <w:instrText xml:space="preserve"> REF _Ref494106962 \h  \* MERGEFORMAT </w:instrText>
      </w:r>
      <w:r>
        <w:rPr>
          <w:noProof/>
          <w:color w:val="000000" w:themeColor="text1"/>
        </w:rPr>
      </w:r>
      <w:r>
        <w:rPr>
          <w:noProof/>
          <w:color w:val="000000" w:themeColor="text1"/>
        </w:rPr>
        <w:fldChar w:fldCharType="separate"/>
      </w:r>
      <w:r>
        <w:rPr>
          <w:noProof/>
          <w:color w:val="000000" w:themeColor="text1"/>
        </w:rPr>
        <w:t>Table 17</w:t>
      </w:r>
      <w:r>
        <w:rPr>
          <w:noProof/>
          <w:color w:val="000000" w:themeColor="text1"/>
        </w:rPr>
        <w:fldChar w:fldCharType="end"/>
      </w:r>
      <w:r>
        <w:rPr>
          <w:noProof/>
          <w:color w:val="000000" w:themeColor="text1"/>
        </w:rPr>
        <w:t xml:space="preserve"> show the results for the net economic savings for passengers cars from a societal perspective and for the TCO-15 years, respectively. Even with the lower oil prices, CO</w:t>
      </w:r>
      <w:r>
        <w:rPr>
          <w:noProof/>
          <w:color w:val="000000" w:themeColor="text1"/>
          <w:vertAlign w:val="subscript"/>
        </w:rPr>
        <w:t>2</w:t>
      </w:r>
      <w:r>
        <w:rPr>
          <w:noProof/>
          <w:color w:val="000000" w:themeColor="text1"/>
        </w:rPr>
        <w:t xml:space="preserve"> targets continue to have a positive economic effect, </w:t>
      </w:r>
      <w:r>
        <w:rPr>
          <w:noProof/>
          <w:color w:val="000000" w:themeColor="text1"/>
        </w:rPr>
        <w:t>with fuel savings continuing to overweight increased capital expenditures for more efficient vehicles.</w:t>
      </w:r>
    </w:p>
    <w:p w:rsidR="00B231CB" w:rsidRDefault="00C71431">
      <w:pPr>
        <w:spacing w:after="120"/>
        <w:rPr>
          <w:b/>
          <w:noProof/>
          <w:color w:val="000000" w:themeColor="text1"/>
        </w:rPr>
      </w:pPr>
      <w:r>
        <w:rPr>
          <w:b/>
          <w:noProof/>
          <w:color w:val="000000" w:themeColor="text1"/>
        </w:rPr>
        <w:t xml:space="preserve">Table </w:t>
      </w:r>
      <w:r>
        <w:rPr>
          <w:b/>
          <w:noProof/>
          <w:color w:val="000000" w:themeColor="text1"/>
        </w:rPr>
        <w:fldChar w:fldCharType="begin"/>
      </w:r>
      <w:r>
        <w:rPr>
          <w:b/>
          <w:noProof/>
          <w:color w:val="000000" w:themeColor="text1"/>
        </w:rPr>
        <w:instrText xml:space="preserve"> SEQ Table \* ARABIC </w:instrText>
      </w:r>
      <w:r>
        <w:rPr>
          <w:b/>
          <w:noProof/>
          <w:color w:val="000000" w:themeColor="text1"/>
        </w:rPr>
        <w:fldChar w:fldCharType="separate"/>
      </w:r>
      <w:r>
        <w:rPr>
          <w:b/>
          <w:noProof/>
          <w:color w:val="000000" w:themeColor="text1"/>
        </w:rPr>
        <w:t>24</w:t>
      </w:r>
      <w:r>
        <w:rPr>
          <w:b/>
          <w:noProof/>
          <w:color w:val="000000" w:themeColor="text1"/>
        </w:rPr>
        <w:fldChar w:fldCharType="end"/>
      </w:r>
      <w:r>
        <w:rPr>
          <w:b/>
          <w:noProof/>
          <w:color w:val="000000" w:themeColor="text1"/>
        </w:rPr>
        <w:t>: Net economic savings over the vehicle lifetime from a societal perspective in 2025 and 2030 (EUR/van) under different T</w:t>
      </w:r>
      <w:r>
        <w:rPr>
          <w:b/>
          <w:noProof/>
          <w:color w:val="000000" w:themeColor="text1"/>
        </w:rPr>
        <w:t>LV options in case of a lower international fuel price</w:t>
      </w:r>
    </w:p>
    <w:tbl>
      <w:tblPr>
        <w:tblStyle w:val="TableGrid"/>
        <w:tblW w:w="6807" w:type="dxa"/>
        <w:tblLayout w:type="fixed"/>
        <w:tblLook w:val="04A0" w:firstRow="1" w:lastRow="0" w:firstColumn="1" w:lastColumn="0" w:noHBand="0" w:noVBand="1"/>
      </w:tblPr>
      <w:tblGrid>
        <w:gridCol w:w="1983"/>
        <w:gridCol w:w="1608"/>
        <w:gridCol w:w="1608"/>
        <w:gridCol w:w="1608"/>
      </w:tblGrid>
      <w:tr w:rsidR="00B231CB">
        <w:trPr>
          <w:trHeight w:val="255"/>
        </w:trPr>
        <w:tc>
          <w:tcPr>
            <w:tcW w:w="1983" w:type="dxa"/>
            <w:tcBorders>
              <w:bottom w:val="single" w:sz="4" w:space="0" w:color="auto"/>
            </w:tcBorders>
            <w:vAlign w:val="center"/>
          </w:tcPr>
          <w:p w:rsidR="00B231CB" w:rsidRDefault="00B231CB">
            <w:pPr>
              <w:spacing w:after="120"/>
              <w:rPr>
                <w:b/>
                <w:noProof/>
                <w:color w:val="000000" w:themeColor="text1"/>
              </w:rPr>
            </w:pPr>
          </w:p>
        </w:tc>
        <w:tc>
          <w:tcPr>
            <w:tcW w:w="1608" w:type="dxa"/>
            <w:tcBorders>
              <w:bottom w:val="single" w:sz="4" w:space="0" w:color="auto"/>
            </w:tcBorders>
            <w:noWrap/>
            <w:hideMark/>
          </w:tcPr>
          <w:p w:rsidR="00B231CB" w:rsidRDefault="00C71431">
            <w:pPr>
              <w:spacing w:after="120"/>
              <w:jc w:val="center"/>
              <w:rPr>
                <w:b/>
                <w:noProof/>
                <w:color w:val="000000" w:themeColor="text1"/>
              </w:rPr>
            </w:pPr>
            <w:r>
              <w:rPr>
                <w:b/>
                <w:noProof/>
                <w:color w:val="000000" w:themeColor="text1"/>
              </w:rPr>
              <w:t>TLV20</w:t>
            </w:r>
          </w:p>
        </w:tc>
        <w:tc>
          <w:tcPr>
            <w:tcW w:w="1608" w:type="dxa"/>
            <w:tcBorders>
              <w:bottom w:val="single" w:sz="4" w:space="0" w:color="auto"/>
            </w:tcBorders>
            <w:noWrap/>
          </w:tcPr>
          <w:p w:rsidR="00B231CB" w:rsidRDefault="00C71431">
            <w:pPr>
              <w:spacing w:after="120"/>
              <w:jc w:val="center"/>
              <w:rPr>
                <w:b/>
                <w:noProof/>
                <w:color w:val="000000" w:themeColor="text1"/>
              </w:rPr>
            </w:pPr>
            <w:r>
              <w:rPr>
                <w:b/>
                <w:noProof/>
                <w:color w:val="000000" w:themeColor="text1"/>
              </w:rPr>
              <w:t>TLV25</w:t>
            </w:r>
          </w:p>
        </w:tc>
        <w:tc>
          <w:tcPr>
            <w:tcW w:w="1608" w:type="dxa"/>
            <w:tcBorders>
              <w:bottom w:val="single" w:sz="4" w:space="0" w:color="auto"/>
            </w:tcBorders>
            <w:noWrap/>
          </w:tcPr>
          <w:p w:rsidR="00B231CB" w:rsidRDefault="00C71431">
            <w:pPr>
              <w:spacing w:after="120"/>
              <w:jc w:val="center"/>
              <w:rPr>
                <w:b/>
                <w:noProof/>
                <w:color w:val="000000" w:themeColor="text1"/>
              </w:rPr>
            </w:pPr>
            <w:r>
              <w:rPr>
                <w:b/>
                <w:noProof/>
                <w:color w:val="000000" w:themeColor="text1"/>
              </w:rPr>
              <w:t>TLV40</w:t>
            </w:r>
          </w:p>
        </w:tc>
      </w:tr>
      <w:tr w:rsidR="00B231CB">
        <w:trPr>
          <w:trHeight w:val="255"/>
        </w:trPr>
        <w:tc>
          <w:tcPr>
            <w:tcW w:w="1983" w:type="dxa"/>
            <w:tcBorders>
              <w:top w:val="single" w:sz="4" w:space="0" w:color="auto"/>
            </w:tcBorders>
            <w:vAlign w:val="center"/>
          </w:tcPr>
          <w:p w:rsidR="00B231CB" w:rsidRDefault="00C71431">
            <w:pPr>
              <w:spacing w:after="120"/>
              <w:jc w:val="center"/>
              <w:rPr>
                <w:noProof/>
                <w:color w:val="000000" w:themeColor="text1"/>
              </w:rPr>
            </w:pPr>
            <w:r>
              <w:rPr>
                <w:noProof/>
                <w:color w:val="000000" w:themeColor="text1"/>
              </w:rPr>
              <w:t>2025</w:t>
            </w:r>
          </w:p>
        </w:tc>
        <w:tc>
          <w:tcPr>
            <w:tcW w:w="1608" w:type="dxa"/>
            <w:tcBorders>
              <w:top w:val="single" w:sz="4" w:space="0" w:color="auto"/>
            </w:tcBorders>
            <w:noWrap/>
          </w:tcPr>
          <w:p w:rsidR="00B231CB" w:rsidRDefault="00C71431">
            <w:pPr>
              <w:spacing w:after="120"/>
              <w:jc w:val="center"/>
              <w:rPr>
                <w:noProof/>
                <w:color w:val="000000" w:themeColor="text1"/>
              </w:rPr>
            </w:pPr>
            <w:r>
              <w:rPr>
                <w:noProof/>
                <w:color w:val="000000" w:themeColor="text1"/>
              </w:rPr>
              <w:t>588</w:t>
            </w:r>
          </w:p>
        </w:tc>
        <w:tc>
          <w:tcPr>
            <w:tcW w:w="1608" w:type="dxa"/>
            <w:tcBorders>
              <w:top w:val="single" w:sz="4" w:space="0" w:color="auto"/>
            </w:tcBorders>
            <w:noWrap/>
          </w:tcPr>
          <w:p w:rsidR="00B231CB" w:rsidRDefault="00C71431">
            <w:pPr>
              <w:spacing w:after="120"/>
              <w:jc w:val="center"/>
              <w:rPr>
                <w:noProof/>
                <w:color w:val="000000" w:themeColor="text1"/>
              </w:rPr>
            </w:pPr>
            <w:r>
              <w:rPr>
                <w:noProof/>
                <w:color w:val="000000" w:themeColor="text1"/>
              </w:rPr>
              <w:t>682</w:t>
            </w:r>
          </w:p>
        </w:tc>
        <w:tc>
          <w:tcPr>
            <w:tcW w:w="1608" w:type="dxa"/>
            <w:tcBorders>
              <w:top w:val="single" w:sz="4" w:space="0" w:color="auto"/>
            </w:tcBorders>
            <w:noWrap/>
          </w:tcPr>
          <w:p w:rsidR="00B231CB" w:rsidRDefault="00C71431">
            <w:pPr>
              <w:spacing w:after="120"/>
              <w:jc w:val="center"/>
              <w:rPr>
                <w:noProof/>
                <w:color w:val="000000" w:themeColor="text1"/>
              </w:rPr>
            </w:pPr>
            <w:r>
              <w:rPr>
                <w:noProof/>
                <w:color w:val="000000" w:themeColor="text1"/>
              </w:rPr>
              <w:t>814</w:t>
            </w:r>
          </w:p>
        </w:tc>
      </w:tr>
      <w:tr w:rsidR="00B231CB">
        <w:trPr>
          <w:trHeight w:val="255"/>
        </w:trPr>
        <w:tc>
          <w:tcPr>
            <w:tcW w:w="1983" w:type="dxa"/>
            <w:tcBorders>
              <w:top w:val="single" w:sz="4" w:space="0" w:color="auto"/>
            </w:tcBorders>
            <w:vAlign w:val="center"/>
          </w:tcPr>
          <w:p w:rsidR="00B231CB" w:rsidRDefault="00C71431">
            <w:pPr>
              <w:spacing w:after="120"/>
              <w:jc w:val="center"/>
              <w:rPr>
                <w:noProof/>
                <w:color w:val="000000" w:themeColor="text1"/>
              </w:rPr>
            </w:pPr>
            <w:r>
              <w:rPr>
                <w:noProof/>
                <w:color w:val="000000" w:themeColor="text1"/>
              </w:rPr>
              <w:t>2030</w:t>
            </w:r>
          </w:p>
        </w:tc>
        <w:tc>
          <w:tcPr>
            <w:tcW w:w="1608" w:type="dxa"/>
            <w:tcBorders>
              <w:top w:val="single" w:sz="4" w:space="0" w:color="auto"/>
            </w:tcBorders>
            <w:noWrap/>
          </w:tcPr>
          <w:p w:rsidR="00B231CB" w:rsidRDefault="00C71431">
            <w:pPr>
              <w:spacing w:after="120"/>
              <w:jc w:val="center"/>
              <w:rPr>
                <w:noProof/>
                <w:color w:val="000000" w:themeColor="text1"/>
              </w:rPr>
            </w:pPr>
            <w:r>
              <w:rPr>
                <w:noProof/>
                <w:color w:val="000000" w:themeColor="text1"/>
              </w:rPr>
              <w:t>1,281</w:t>
            </w:r>
          </w:p>
        </w:tc>
        <w:tc>
          <w:tcPr>
            <w:tcW w:w="1608" w:type="dxa"/>
            <w:tcBorders>
              <w:top w:val="single" w:sz="4" w:space="0" w:color="auto"/>
            </w:tcBorders>
            <w:noWrap/>
          </w:tcPr>
          <w:p w:rsidR="00B231CB" w:rsidRDefault="00C71431">
            <w:pPr>
              <w:spacing w:after="120"/>
              <w:jc w:val="center"/>
              <w:rPr>
                <w:noProof/>
                <w:color w:val="000000" w:themeColor="text1"/>
              </w:rPr>
            </w:pPr>
            <w:r>
              <w:rPr>
                <w:noProof/>
                <w:color w:val="000000" w:themeColor="text1"/>
              </w:rPr>
              <w:t>1,527</w:t>
            </w:r>
          </w:p>
        </w:tc>
        <w:tc>
          <w:tcPr>
            <w:tcW w:w="1608" w:type="dxa"/>
            <w:tcBorders>
              <w:top w:val="single" w:sz="4" w:space="0" w:color="auto"/>
            </w:tcBorders>
            <w:noWrap/>
          </w:tcPr>
          <w:p w:rsidR="00B231CB" w:rsidRDefault="00C71431">
            <w:pPr>
              <w:spacing w:after="120"/>
              <w:jc w:val="center"/>
              <w:rPr>
                <w:noProof/>
                <w:color w:val="000000" w:themeColor="text1"/>
              </w:rPr>
            </w:pPr>
            <w:r>
              <w:rPr>
                <w:noProof/>
                <w:color w:val="000000" w:themeColor="text1"/>
              </w:rPr>
              <w:t>1,546</w:t>
            </w:r>
          </w:p>
        </w:tc>
      </w:tr>
    </w:tbl>
    <w:p w:rsidR="00B231CB" w:rsidRDefault="00C71431">
      <w:pPr>
        <w:pStyle w:val="Caption"/>
        <w:spacing w:before="240" w:after="120"/>
        <w:jc w:val="both"/>
        <w:rPr>
          <w:noProof/>
          <w:color w:val="000000" w:themeColor="text1"/>
        </w:rPr>
      </w:pPr>
      <w:r>
        <w:rPr>
          <w:noProof/>
          <w:color w:val="000000" w:themeColor="text1"/>
        </w:rPr>
        <w:t xml:space="preserve">Table </w:t>
      </w:r>
      <w:r>
        <w:rPr>
          <w:noProof/>
          <w:color w:val="000000" w:themeColor="text1"/>
        </w:rPr>
        <w:fldChar w:fldCharType="begin"/>
      </w:r>
      <w:r>
        <w:rPr>
          <w:noProof/>
          <w:color w:val="000000" w:themeColor="text1"/>
        </w:rPr>
        <w:instrText xml:space="preserve"> SEQ Table \* ARABIC </w:instrText>
      </w:r>
      <w:r>
        <w:rPr>
          <w:noProof/>
          <w:color w:val="000000" w:themeColor="text1"/>
        </w:rPr>
        <w:fldChar w:fldCharType="separate"/>
      </w:r>
      <w:r>
        <w:rPr>
          <w:noProof/>
          <w:color w:val="000000" w:themeColor="text1"/>
        </w:rPr>
        <w:t>25</w:t>
      </w:r>
      <w:r>
        <w:rPr>
          <w:noProof/>
          <w:color w:val="000000" w:themeColor="text1"/>
        </w:rPr>
        <w:fldChar w:fldCharType="end"/>
      </w:r>
      <w:r>
        <w:rPr>
          <w:noProof/>
          <w:color w:val="000000" w:themeColor="text1"/>
        </w:rPr>
        <w:t xml:space="preserve">: TCO-15 years (vehicle lifetime) in 2025 and 2030 under different cost assumptions (net savings in </w:t>
      </w:r>
      <w:r>
        <w:rPr>
          <w:noProof/>
          <w:color w:val="000000" w:themeColor="text1"/>
        </w:rPr>
        <w:t>EUR/car) for a range of TLV options in case of a lower international fuel price</w:t>
      </w:r>
    </w:p>
    <w:tbl>
      <w:tblPr>
        <w:tblStyle w:val="TableGrid"/>
        <w:tblW w:w="6807" w:type="dxa"/>
        <w:tblLayout w:type="fixed"/>
        <w:tblLook w:val="04A0" w:firstRow="1" w:lastRow="0" w:firstColumn="1" w:lastColumn="0" w:noHBand="0" w:noVBand="1"/>
      </w:tblPr>
      <w:tblGrid>
        <w:gridCol w:w="1983"/>
        <w:gridCol w:w="1608"/>
        <w:gridCol w:w="1608"/>
        <w:gridCol w:w="1608"/>
      </w:tblGrid>
      <w:tr w:rsidR="00B231CB">
        <w:trPr>
          <w:trHeight w:val="255"/>
        </w:trPr>
        <w:tc>
          <w:tcPr>
            <w:tcW w:w="1983" w:type="dxa"/>
            <w:tcBorders>
              <w:bottom w:val="single" w:sz="4" w:space="0" w:color="auto"/>
            </w:tcBorders>
            <w:vAlign w:val="center"/>
          </w:tcPr>
          <w:p w:rsidR="00B231CB" w:rsidRDefault="00B231CB">
            <w:pPr>
              <w:spacing w:after="120"/>
              <w:rPr>
                <w:b/>
                <w:noProof/>
                <w:color w:val="000000" w:themeColor="text1"/>
              </w:rPr>
            </w:pPr>
          </w:p>
        </w:tc>
        <w:tc>
          <w:tcPr>
            <w:tcW w:w="1608" w:type="dxa"/>
            <w:tcBorders>
              <w:bottom w:val="single" w:sz="4" w:space="0" w:color="auto"/>
            </w:tcBorders>
            <w:noWrap/>
            <w:hideMark/>
          </w:tcPr>
          <w:p w:rsidR="00B231CB" w:rsidRDefault="00C71431">
            <w:pPr>
              <w:spacing w:after="120"/>
              <w:jc w:val="center"/>
              <w:rPr>
                <w:b/>
                <w:noProof/>
                <w:color w:val="000000" w:themeColor="text1"/>
              </w:rPr>
            </w:pPr>
            <w:r>
              <w:rPr>
                <w:b/>
                <w:noProof/>
                <w:color w:val="000000" w:themeColor="text1"/>
              </w:rPr>
              <w:t>TLV20</w:t>
            </w:r>
          </w:p>
        </w:tc>
        <w:tc>
          <w:tcPr>
            <w:tcW w:w="1608" w:type="dxa"/>
            <w:tcBorders>
              <w:bottom w:val="single" w:sz="4" w:space="0" w:color="auto"/>
            </w:tcBorders>
            <w:noWrap/>
          </w:tcPr>
          <w:p w:rsidR="00B231CB" w:rsidRDefault="00C71431">
            <w:pPr>
              <w:spacing w:after="120"/>
              <w:jc w:val="center"/>
              <w:rPr>
                <w:b/>
                <w:noProof/>
                <w:color w:val="000000" w:themeColor="text1"/>
              </w:rPr>
            </w:pPr>
            <w:r>
              <w:rPr>
                <w:b/>
                <w:noProof/>
                <w:color w:val="000000" w:themeColor="text1"/>
              </w:rPr>
              <w:t>TLV25</w:t>
            </w:r>
          </w:p>
        </w:tc>
        <w:tc>
          <w:tcPr>
            <w:tcW w:w="1608" w:type="dxa"/>
            <w:tcBorders>
              <w:bottom w:val="single" w:sz="4" w:space="0" w:color="auto"/>
            </w:tcBorders>
            <w:noWrap/>
          </w:tcPr>
          <w:p w:rsidR="00B231CB" w:rsidRDefault="00C71431">
            <w:pPr>
              <w:spacing w:after="120"/>
              <w:jc w:val="center"/>
              <w:rPr>
                <w:b/>
                <w:noProof/>
                <w:color w:val="000000" w:themeColor="text1"/>
              </w:rPr>
            </w:pPr>
            <w:r>
              <w:rPr>
                <w:b/>
                <w:noProof/>
                <w:color w:val="000000" w:themeColor="text1"/>
              </w:rPr>
              <w:t>TLV40</w:t>
            </w:r>
          </w:p>
        </w:tc>
      </w:tr>
      <w:tr w:rsidR="00B231CB">
        <w:trPr>
          <w:trHeight w:val="255"/>
        </w:trPr>
        <w:tc>
          <w:tcPr>
            <w:tcW w:w="1983" w:type="dxa"/>
            <w:tcBorders>
              <w:top w:val="single" w:sz="4" w:space="0" w:color="auto"/>
            </w:tcBorders>
            <w:vAlign w:val="center"/>
          </w:tcPr>
          <w:p w:rsidR="00B231CB" w:rsidRDefault="00C71431">
            <w:pPr>
              <w:spacing w:after="120"/>
              <w:jc w:val="center"/>
              <w:rPr>
                <w:noProof/>
                <w:color w:val="000000" w:themeColor="text1"/>
              </w:rPr>
            </w:pPr>
            <w:r>
              <w:rPr>
                <w:noProof/>
                <w:color w:val="000000" w:themeColor="text1"/>
              </w:rPr>
              <w:t>2025</w:t>
            </w:r>
          </w:p>
        </w:tc>
        <w:tc>
          <w:tcPr>
            <w:tcW w:w="1608" w:type="dxa"/>
            <w:tcBorders>
              <w:top w:val="single" w:sz="4" w:space="0" w:color="auto"/>
            </w:tcBorders>
            <w:noWrap/>
          </w:tcPr>
          <w:p w:rsidR="00B231CB" w:rsidRDefault="00C71431">
            <w:pPr>
              <w:spacing w:after="120"/>
              <w:jc w:val="center"/>
              <w:rPr>
                <w:noProof/>
                <w:color w:val="000000" w:themeColor="text1"/>
              </w:rPr>
            </w:pPr>
            <w:r>
              <w:rPr>
                <w:noProof/>
                <w:color w:val="000000" w:themeColor="text1"/>
              </w:rPr>
              <w:t>1,180</w:t>
            </w:r>
          </w:p>
        </w:tc>
        <w:tc>
          <w:tcPr>
            <w:tcW w:w="1608" w:type="dxa"/>
            <w:tcBorders>
              <w:top w:val="single" w:sz="4" w:space="0" w:color="auto"/>
            </w:tcBorders>
            <w:noWrap/>
          </w:tcPr>
          <w:p w:rsidR="00B231CB" w:rsidRDefault="00C71431">
            <w:pPr>
              <w:spacing w:after="120"/>
              <w:jc w:val="center"/>
              <w:rPr>
                <w:noProof/>
                <w:color w:val="000000" w:themeColor="text1"/>
              </w:rPr>
            </w:pPr>
            <w:r>
              <w:rPr>
                <w:noProof/>
                <w:color w:val="000000" w:themeColor="text1"/>
              </w:rPr>
              <w:t>1,422</w:t>
            </w:r>
          </w:p>
        </w:tc>
        <w:tc>
          <w:tcPr>
            <w:tcW w:w="1608" w:type="dxa"/>
            <w:tcBorders>
              <w:top w:val="single" w:sz="4" w:space="0" w:color="auto"/>
            </w:tcBorders>
            <w:noWrap/>
          </w:tcPr>
          <w:p w:rsidR="00B231CB" w:rsidRDefault="00C71431">
            <w:pPr>
              <w:spacing w:after="120"/>
              <w:jc w:val="center"/>
              <w:rPr>
                <w:noProof/>
                <w:color w:val="000000" w:themeColor="text1"/>
              </w:rPr>
            </w:pPr>
            <w:r>
              <w:rPr>
                <w:noProof/>
                <w:color w:val="000000" w:themeColor="text1"/>
              </w:rPr>
              <w:t>2,027</w:t>
            </w:r>
          </w:p>
        </w:tc>
      </w:tr>
      <w:tr w:rsidR="00B231CB">
        <w:trPr>
          <w:trHeight w:val="255"/>
        </w:trPr>
        <w:tc>
          <w:tcPr>
            <w:tcW w:w="1983" w:type="dxa"/>
            <w:tcBorders>
              <w:top w:val="single" w:sz="4" w:space="0" w:color="auto"/>
            </w:tcBorders>
            <w:vAlign w:val="center"/>
          </w:tcPr>
          <w:p w:rsidR="00B231CB" w:rsidRDefault="00C71431">
            <w:pPr>
              <w:spacing w:after="120"/>
              <w:jc w:val="center"/>
              <w:rPr>
                <w:noProof/>
                <w:color w:val="000000" w:themeColor="text1"/>
              </w:rPr>
            </w:pPr>
            <w:r>
              <w:rPr>
                <w:noProof/>
                <w:color w:val="000000" w:themeColor="text1"/>
              </w:rPr>
              <w:t>2030</w:t>
            </w:r>
          </w:p>
        </w:tc>
        <w:tc>
          <w:tcPr>
            <w:tcW w:w="1608" w:type="dxa"/>
            <w:tcBorders>
              <w:top w:val="single" w:sz="4" w:space="0" w:color="auto"/>
            </w:tcBorders>
            <w:noWrap/>
          </w:tcPr>
          <w:p w:rsidR="00B231CB" w:rsidRDefault="00C71431">
            <w:pPr>
              <w:spacing w:after="120"/>
              <w:jc w:val="center"/>
              <w:rPr>
                <w:noProof/>
                <w:color w:val="000000" w:themeColor="text1"/>
              </w:rPr>
            </w:pPr>
            <w:r>
              <w:rPr>
                <w:noProof/>
                <w:color w:val="000000" w:themeColor="text1"/>
              </w:rPr>
              <w:t>2,368</w:t>
            </w:r>
          </w:p>
        </w:tc>
        <w:tc>
          <w:tcPr>
            <w:tcW w:w="1608" w:type="dxa"/>
            <w:tcBorders>
              <w:top w:val="single" w:sz="4" w:space="0" w:color="auto"/>
            </w:tcBorders>
            <w:noWrap/>
          </w:tcPr>
          <w:p w:rsidR="00B231CB" w:rsidRDefault="00C71431">
            <w:pPr>
              <w:spacing w:after="120"/>
              <w:jc w:val="center"/>
              <w:rPr>
                <w:noProof/>
                <w:color w:val="000000" w:themeColor="text1"/>
              </w:rPr>
            </w:pPr>
            <w:r>
              <w:rPr>
                <w:noProof/>
                <w:color w:val="000000" w:themeColor="text1"/>
              </w:rPr>
              <w:t>2,881</w:t>
            </w:r>
          </w:p>
        </w:tc>
        <w:tc>
          <w:tcPr>
            <w:tcW w:w="1608" w:type="dxa"/>
            <w:tcBorders>
              <w:top w:val="single" w:sz="4" w:space="0" w:color="auto"/>
            </w:tcBorders>
            <w:noWrap/>
          </w:tcPr>
          <w:p w:rsidR="00B231CB" w:rsidRDefault="00C71431">
            <w:pPr>
              <w:spacing w:after="120"/>
              <w:jc w:val="center"/>
              <w:rPr>
                <w:noProof/>
                <w:color w:val="000000" w:themeColor="text1"/>
              </w:rPr>
            </w:pPr>
            <w:r>
              <w:rPr>
                <w:noProof/>
                <w:color w:val="000000" w:themeColor="text1"/>
              </w:rPr>
              <w:t>3,601</w:t>
            </w:r>
          </w:p>
        </w:tc>
      </w:tr>
    </w:tbl>
    <w:p w:rsidR="00B231CB" w:rsidRDefault="00B231CB">
      <w:pPr>
        <w:rPr>
          <w:noProof/>
          <w:color w:val="000000" w:themeColor="text1"/>
        </w:rPr>
      </w:pPr>
    </w:p>
    <w:p w:rsidR="00B231CB" w:rsidRDefault="00C71431">
      <w:pPr>
        <w:spacing w:after="200" w:line="276" w:lineRule="auto"/>
        <w:jc w:val="left"/>
        <w:rPr>
          <w:noProof/>
        </w:rPr>
      </w:pPr>
      <w:bookmarkStart w:id="151" w:name="_Ref491441857"/>
      <w:r>
        <w:rPr>
          <w:noProof/>
          <w:color w:val="FF0000"/>
        </w:rPr>
        <w:br w:type="page"/>
      </w:r>
    </w:p>
    <w:p w:rsidR="00B231CB" w:rsidRDefault="00C71431">
      <w:pPr>
        <w:pStyle w:val="Heading3"/>
        <w:rPr>
          <w:noProof/>
          <w:color w:val="000000" w:themeColor="text1"/>
        </w:rPr>
      </w:pPr>
      <w:bookmarkStart w:id="152" w:name="_Toc492405202"/>
      <w:bookmarkStart w:id="153" w:name="_Toc492405203"/>
      <w:bookmarkStart w:id="154" w:name="_Toc492405204"/>
      <w:bookmarkStart w:id="155" w:name="_Toc491160323"/>
      <w:bookmarkStart w:id="156" w:name="_Toc491879074"/>
      <w:bookmarkStart w:id="157" w:name="_Toc491973035"/>
      <w:bookmarkStart w:id="158" w:name="_Toc491973999"/>
      <w:bookmarkStart w:id="159" w:name="_Toc492056493"/>
      <w:bookmarkStart w:id="160" w:name="_Toc492300923"/>
      <w:bookmarkStart w:id="161" w:name="_Toc492405228"/>
      <w:bookmarkStart w:id="162" w:name="_Toc492406604"/>
      <w:bookmarkStart w:id="163" w:name="_Toc492541591"/>
      <w:bookmarkStart w:id="164" w:name="_Toc492405229"/>
      <w:bookmarkStart w:id="165" w:name="_Toc492405230"/>
      <w:bookmarkStart w:id="166" w:name="_Toc492405231"/>
      <w:bookmarkStart w:id="167" w:name="_Toc491879078"/>
      <w:bookmarkStart w:id="168" w:name="_Toc491973039"/>
      <w:bookmarkStart w:id="169" w:name="_Toc491974003"/>
      <w:bookmarkStart w:id="170" w:name="_Toc492056497"/>
      <w:bookmarkStart w:id="171" w:name="_Toc492300927"/>
      <w:bookmarkStart w:id="172" w:name="_Toc492405232"/>
      <w:bookmarkStart w:id="173" w:name="_Toc492406608"/>
      <w:bookmarkStart w:id="174" w:name="_Toc492541595"/>
      <w:bookmarkStart w:id="175" w:name="_Toc491183404"/>
      <w:bookmarkStart w:id="176" w:name="_Toc491284011"/>
      <w:bookmarkStart w:id="177" w:name="_Toc491285095"/>
      <w:bookmarkStart w:id="178" w:name="_Toc491286181"/>
      <w:bookmarkStart w:id="179" w:name="_Toc491160324"/>
      <w:bookmarkStart w:id="180" w:name="_Toc491183405"/>
      <w:bookmarkStart w:id="181" w:name="_Toc491284012"/>
      <w:bookmarkStart w:id="182" w:name="_Toc491285096"/>
      <w:bookmarkStart w:id="183" w:name="_Toc491286182"/>
      <w:bookmarkStart w:id="184" w:name="_Toc493873333"/>
      <w:bookmarkStart w:id="185" w:name="_Toc496688641"/>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Pr>
          <w:noProof/>
          <w:color w:val="000000" w:themeColor="text1"/>
        </w:rPr>
        <w:t>Social Impacts</w:t>
      </w:r>
      <w:bookmarkEnd w:id="184"/>
      <w:bookmarkEnd w:id="185"/>
    </w:p>
    <w:p w:rsidR="00B231CB" w:rsidRDefault="00C71431">
      <w:pPr>
        <w:pStyle w:val="Heading4"/>
        <w:rPr>
          <w:noProof/>
          <w:color w:val="000000" w:themeColor="text1"/>
        </w:rPr>
      </w:pPr>
      <w:bookmarkStart w:id="186" w:name="_Ref491957416"/>
      <w:r>
        <w:rPr>
          <w:noProof/>
          <w:color w:val="000000" w:themeColor="text1"/>
        </w:rPr>
        <w:t>TCO for second user - passenger cars (TLC)</w:t>
      </w:r>
      <w:bookmarkEnd w:id="186"/>
      <w:r>
        <w:rPr>
          <w:noProof/>
          <w:color w:val="000000" w:themeColor="text1"/>
        </w:rPr>
        <w:t xml:space="preserve"> </w:t>
      </w:r>
    </w:p>
    <w:p w:rsidR="00B231CB" w:rsidRDefault="00C71431">
      <w:pPr>
        <w:spacing w:after="120"/>
        <w:rPr>
          <w:noProof/>
          <w:color w:val="000000" w:themeColor="text1"/>
          <w:szCs w:val="24"/>
        </w:rPr>
      </w:pPr>
      <w:r>
        <w:rPr>
          <w:noProof/>
          <w:color w:val="000000" w:themeColor="text1"/>
          <w:szCs w:val="24"/>
        </w:rPr>
        <w:t xml:space="preserve">The detailed results of the analysis </w:t>
      </w:r>
      <w:r>
        <w:rPr>
          <w:noProof/>
          <w:color w:val="000000" w:themeColor="text1"/>
        </w:rPr>
        <w:t xml:space="preserve">of the </w:t>
      </w:r>
      <w:r>
        <w:rPr>
          <w:noProof/>
          <w:color w:val="000000" w:themeColor="text1"/>
        </w:rPr>
        <w:t>TCO for the second car user</w:t>
      </w:r>
      <w:r>
        <w:rPr>
          <w:noProof/>
          <w:color w:val="000000" w:themeColor="text1"/>
          <w:szCs w:val="24"/>
        </w:rPr>
        <w:t xml:space="preserve"> are summarised in </w:t>
      </w:r>
      <w:bookmarkStart w:id="187" w:name="_Ref493270052"/>
      <w:r>
        <w:rPr>
          <w:noProof/>
          <w:color w:val="000000" w:themeColor="text1"/>
          <w:szCs w:val="24"/>
        </w:rPr>
        <w:fldChar w:fldCharType="begin"/>
      </w:r>
      <w:r>
        <w:rPr>
          <w:noProof/>
          <w:color w:val="000000" w:themeColor="text1"/>
          <w:szCs w:val="24"/>
        </w:rPr>
        <w:instrText xml:space="preserve"> REF _Ref494107326 \h  \* MERGEFORMAT </w:instrText>
      </w:r>
      <w:r>
        <w:rPr>
          <w:noProof/>
          <w:color w:val="000000" w:themeColor="text1"/>
          <w:szCs w:val="24"/>
        </w:rPr>
      </w:r>
      <w:r>
        <w:rPr>
          <w:noProof/>
          <w:color w:val="000000" w:themeColor="text1"/>
          <w:szCs w:val="24"/>
        </w:rPr>
        <w:fldChar w:fldCharType="separate"/>
      </w:r>
      <w:r>
        <w:rPr>
          <w:noProof/>
          <w:color w:val="000000" w:themeColor="text1"/>
        </w:rPr>
        <w:t>Table 26</w:t>
      </w:r>
      <w:r>
        <w:rPr>
          <w:noProof/>
          <w:color w:val="000000" w:themeColor="text1"/>
          <w:szCs w:val="24"/>
        </w:rPr>
        <w:fldChar w:fldCharType="end"/>
      </w:r>
      <w:r>
        <w:rPr>
          <w:noProof/>
          <w:color w:val="000000" w:themeColor="text1"/>
          <w:szCs w:val="24"/>
        </w:rPr>
        <w:t>.</w:t>
      </w:r>
    </w:p>
    <w:p w:rsidR="00B231CB" w:rsidRDefault="00C71431">
      <w:pPr>
        <w:pStyle w:val="Caption"/>
        <w:keepNext/>
        <w:rPr>
          <w:noProof/>
          <w:color w:val="000000" w:themeColor="text1"/>
          <w:szCs w:val="24"/>
        </w:rPr>
      </w:pPr>
      <w:bookmarkStart w:id="188" w:name="_Ref494107326"/>
      <w:bookmarkEnd w:id="187"/>
      <w:r>
        <w:rPr>
          <w:noProof/>
          <w:color w:val="000000" w:themeColor="text1"/>
        </w:rPr>
        <w:t xml:space="preserve">Table </w:t>
      </w:r>
      <w:r>
        <w:rPr>
          <w:noProof/>
          <w:color w:val="000000" w:themeColor="text1"/>
        </w:rPr>
        <w:fldChar w:fldCharType="begin"/>
      </w:r>
      <w:r>
        <w:rPr>
          <w:noProof/>
          <w:color w:val="000000" w:themeColor="text1"/>
        </w:rPr>
        <w:instrText xml:space="preserve"> SEQ Table \* ARABIC </w:instrText>
      </w:r>
      <w:r>
        <w:rPr>
          <w:noProof/>
          <w:color w:val="000000" w:themeColor="text1"/>
        </w:rPr>
        <w:fldChar w:fldCharType="separate"/>
      </w:r>
      <w:r>
        <w:rPr>
          <w:noProof/>
          <w:color w:val="000000" w:themeColor="text1"/>
        </w:rPr>
        <w:t>26</w:t>
      </w:r>
      <w:r>
        <w:rPr>
          <w:noProof/>
          <w:color w:val="000000" w:themeColor="text1"/>
        </w:rPr>
        <w:fldChar w:fldCharType="end"/>
      </w:r>
      <w:bookmarkEnd w:id="188"/>
      <w:r>
        <w:rPr>
          <w:noProof/>
          <w:color w:val="000000" w:themeColor="text1"/>
        </w:rPr>
        <w:t xml:space="preserve">: </w:t>
      </w:r>
      <w:r>
        <w:rPr>
          <w:noProof/>
          <w:color w:val="000000" w:themeColor="text1"/>
          <w:szCs w:val="24"/>
        </w:rPr>
        <w:t>TCO-second user in 2025 and 2030 (EUR/car)</w:t>
      </w:r>
    </w:p>
    <w:tbl>
      <w:tblPr>
        <w:tblStyle w:val="TableGrid"/>
        <w:tblW w:w="5000" w:type="pct"/>
        <w:tblLook w:val="04A0" w:firstRow="1" w:lastRow="0" w:firstColumn="1" w:lastColumn="0" w:noHBand="0" w:noVBand="1"/>
      </w:tblPr>
      <w:tblGrid>
        <w:gridCol w:w="2470"/>
        <w:gridCol w:w="932"/>
        <w:gridCol w:w="974"/>
        <w:gridCol w:w="1271"/>
        <w:gridCol w:w="933"/>
        <w:gridCol w:w="1354"/>
        <w:gridCol w:w="1354"/>
      </w:tblGrid>
      <w:tr w:rsidR="00B231CB">
        <w:trPr>
          <w:trHeight w:val="255"/>
        </w:trPr>
        <w:tc>
          <w:tcPr>
            <w:tcW w:w="1252" w:type="pct"/>
            <w:noWrap/>
            <w:hideMark/>
          </w:tcPr>
          <w:p w:rsidR="00B231CB" w:rsidRDefault="00C71431">
            <w:pPr>
              <w:spacing w:after="120"/>
              <w:rPr>
                <w:noProof/>
                <w:szCs w:val="24"/>
              </w:rPr>
            </w:pPr>
            <w:r>
              <w:rPr>
                <w:b/>
                <w:noProof/>
                <w:szCs w:val="24"/>
              </w:rPr>
              <w:t>2025 (EUR/car</w:t>
            </w:r>
            <w:r>
              <w:rPr>
                <w:noProof/>
                <w:szCs w:val="24"/>
              </w:rPr>
              <w:t>)</w:t>
            </w:r>
          </w:p>
        </w:tc>
        <w:tc>
          <w:tcPr>
            <w:tcW w:w="515" w:type="pct"/>
            <w:noWrap/>
          </w:tcPr>
          <w:p w:rsidR="00B231CB" w:rsidRDefault="00C71431">
            <w:pPr>
              <w:spacing w:after="120"/>
              <w:jc w:val="center"/>
              <w:rPr>
                <w:noProof/>
                <w:szCs w:val="24"/>
              </w:rPr>
            </w:pPr>
            <w:r>
              <w:rPr>
                <w:noProof/>
                <w:szCs w:val="24"/>
              </w:rPr>
              <w:t>TLC20</w:t>
            </w:r>
          </w:p>
        </w:tc>
        <w:tc>
          <w:tcPr>
            <w:tcW w:w="537" w:type="pct"/>
            <w:noWrap/>
          </w:tcPr>
          <w:p w:rsidR="00B231CB" w:rsidRDefault="00C71431">
            <w:pPr>
              <w:spacing w:after="120"/>
              <w:jc w:val="center"/>
              <w:rPr>
                <w:noProof/>
                <w:szCs w:val="24"/>
              </w:rPr>
            </w:pPr>
            <w:r>
              <w:rPr>
                <w:noProof/>
                <w:szCs w:val="24"/>
              </w:rPr>
              <w:t>TLC25</w:t>
            </w:r>
          </w:p>
        </w:tc>
        <w:tc>
          <w:tcPr>
            <w:tcW w:w="697" w:type="pct"/>
            <w:noWrap/>
          </w:tcPr>
          <w:p w:rsidR="00B231CB" w:rsidRDefault="00C71431">
            <w:pPr>
              <w:spacing w:after="120"/>
              <w:jc w:val="center"/>
              <w:rPr>
                <w:noProof/>
                <w:szCs w:val="24"/>
              </w:rPr>
            </w:pPr>
            <w:r>
              <w:rPr>
                <w:noProof/>
                <w:szCs w:val="24"/>
              </w:rPr>
              <w:t>TLC30</w:t>
            </w:r>
          </w:p>
        </w:tc>
        <w:tc>
          <w:tcPr>
            <w:tcW w:w="515" w:type="pct"/>
            <w:noWrap/>
          </w:tcPr>
          <w:p w:rsidR="00B231CB" w:rsidRDefault="00C71431">
            <w:pPr>
              <w:spacing w:after="120"/>
              <w:jc w:val="center"/>
              <w:rPr>
                <w:noProof/>
                <w:szCs w:val="24"/>
              </w:rPr>
            </w:pPr>
            <w:r>
              <w:rPr>
                <w:noProof/>
                <w:szCs w:val="24"/>
              </w:rPr>
              <w:t>TLC40</w:t>
            </w:r>
          </w:p>
        </w:tc>
        <w:tc>
          <w:tcPr>
            <w:tcW w:w="742" w:type="pct"/>
            <w:noWrap/>
          </w:tcPr>
          <w:p w:rsidR="00B231CB" w:rsidRDefault="00C71431">
            <w:pPr>
              <w:spacing w:after="120"/>
              <w:jc w:val="center"/>
              <w:rPr>
                <w:noProof/>
                <w:szCs w:val="24"/>
              </w:rPr>
            </w:pPr>
            <w:r>
              <w:rPr>
                <w:noProof/>
                <w:szCs w:val="24"/>
              </w:rPr>
              <w:t>TLC_EP40</w:t>
            </w:r>
          </w:p>
        </w:tc>
        <w:tc>
          <w:tcPr>
            <w:tcW w:w="742" w:type="pct"/>
            <w:noWrap/>
          </w:tcPr>
          <w:p w:rsidR="00B231CB" w:rsidRDefault="00C71431">
            <w:pPr>
              <w:spacing w:after="120"/>
              <w:jc w:val="center"/>
              <w:rPr>
                <w:noProof/>
                <w:szCs w:val="24"/>
              </w:rPr>
            </w:pPr>
            <w:r>
              <w:rPr>
                <w:noProof/>
                <w:szCs w:val="24"/>
              </w:rPr>
              <w:t>TLC_EP50</w:t>
            </w:r>
          </w:p>
        </w:tc>
      </w:tr>
      <w:tr w:rsidR="00B231CB">
        <w:trPr>
          <w:trHeight w:val="255"/>
        </w:trPr>
        <w:tc>
          <w:tcPr>
            <w:tcW w:w="1252" w:type="pct"/>
            <w:noWrap/>
          </w:tcPr>
          <w:p w:rsidR="00B231CB" w:rsidRDefault="00C71431">
            <w:pPr>
              <w:spacing w:after="120"/>
              <w:rPr>
                <w:noProof/>
                <w:szCs w:val="24"/>
              </w:rPr>
            </w:pPr>
            <w:r>
              <w:rPr>
                <w:noProof/>
                <w:szCs w:val="24"/>
              </w:rPr>
              <w:t>Capital cost [1]</w:t>
            </w:r>
          </w:p>
        </w:tc>
        <w:tc>
          <w:tcPr>
            <w:tcW w:w="515" w:type="pct"/>
            <w:noWrap/>
          </w:tcPr>
          <w:p w:rsidR="00B231CB" w:rsidRDefault="00C71431">
            <w:pPr>
              <w:spacing w:after="120"/>
              <w:jc w:val="center"/>
              <w:rPr>
                <w:noProof/>
              </w:rPr>
            </w:pPr>
            <w:r>
              <w:rPr>
                <w:noProof/>
              </w:rPr>
              <w:t>43</w:t>
            </w:r>
          </w:p>
        </w:tc>
        <w:tc>
          <w:tcPr>
            <w:tcW w:w="537" w:type="pct"/>
            <w:noWrap/>
          </w:tcPr>
          <w:p w:rsidR="00B231CB" w:rsidRDefault="00C71431">
            <w:pPr>
              <w:spacing w:after="120"/>
              <w:jc w:val="center"/>
              <w:rPr>
                <w:noProof/>
              </w:rPr>
            </w:pPr>
            <w:r>
              <w:rPr>
                <w:noProof/>
              </w:rPr>
              <w:t>86</w:t>
            </w:r>
          </w:p>
        </w:tc>
        <w:tc>
          <w:tcPr>
            <w:tcW w:w="697" w:type="pct"/>
            <w:noWrap/>
          </w:tcPr>
          <w:p w:rsidR="00B231CB" w:rsidRDefault="00C71431">
            <w:pPr>
              <w:spacing w:after="120"/>
              <w:jc w:val="center"/>
              <w:rPr>
                <w:noProof/>
              </w:rPr>
            </w:pPr>
            <w:r>
              <w:rPr>
                <w:noProof/>
              </w:rPr>
              <w:t>143</w:t>
            </w:r>
          </w:p>
        </w:tc>
        <w:tc>
          <w:tcPr>
            <w:tcW w:w="515" w:type="pct"/>
            <w:noWrap/>
          </w:tcPr>
          <w:p w:rsidR="00B231CB" w:rsidRDefault="00C71431">
            <w:pPr>
              <w:spacing w:after="120"/>
              <w:jc w:val="center"/>
              <w:rPr>
                <w:noProof/>
              </w:rPr>
            </w:pPr>
            <w:r>
              <w:rPr>
                <w:noProof/>
              </w:rPr>
              <w:t>282</w:t>
            </w:r>
          </w:p>
        </w:tc>
        <w:tc>
          <w:tcPr>
            <w:tcW w:w="742" w:type="pct"/>
            <w:noWrap/>
            <w:vAlign w:val="center"/>
          </w:tcPr>
          <w:p w:rsidR="00B231CB" w:rsidRDefault="00C71431">
            <w:pPr>
              <w:spacing w:after="120"/>
              <w:jc w:val="center"/>
              <w:rPr>
                <w:noProof/>
              </w:rPr>
            </w:pPr>
            <w:r>
              <w:rPr>
                <w:noProof/>
              </w:rPr>
              <w:t>532</w:t>
            </w:r>
          </w:p>
        </w:tc>
        <w:tc>
          <w:tcPr>
            <w:tcW w:w="742" w:type="pct"/>
            <w:noWrap/>
            <w:vAlign w:val="center"/>
          </w:tcPr>
          <w:p w:rsidR="00B231CB" w:rsidRDefault="00C71431">
            <w:pPr>
              <w:spacing w:after="120"/>
              <w:jc w:val="center"/>
              <w:rPr>
                <w:noProof/>
              </w:rPr>
            </w:pPr>
            <w:r>
              <w:rPr>
                <w:noProof/>
              </w:rPr>
              <w:t>450</w:t>
            </w:r>
          </w:p>
        </w:tc>
      </w:tr>
      <w:tr w:rsidR="00B231CB">
        <w:trPr>
          <w:trHeight w:val="255"/>
        </w:trPr>
        <w:tc>
          <w:tcPr>
            <w:tcW w:w="1252" w:type="pct"/>
            <w:tcBorders>
              <w:bottom w:val="single" w:sz="4" w:space="0" w:color="auto"/>
            </w:tcBorders>
            <w:noWrap/>
          </w:tcPr>
          <w:p w:rsidR="00B231CB" w:rsidRDefault="00C71431">
            <w:pPr>
              <w:spacing w:after="120"/>
              <w:rPr>
                <w:noProof/>
                <w:szCs w:val="24"/>
              </w:rPr>
            </w:pPr>
            <w:r>
              <w:rPr>
                <w:noProof/>
                <w:szCs w:val="24"/>
              </w:rPr>
              <w:t xml:space="preserve">O&amp;M cost [2] </w:t>
            </w:r>
          </w:p>
        </w:tc>
        <w:tc>
          <w:tcPr>
            <w:tcW w:w="515" w:type="pct"/>
            <w:tcBorders>
              <w:bottom w:val="single" w:sz="4" w:space="0" w:color="auto"/>
            </w:tcBorders>
            <w:noWrap/>
          </w:tcPr>
          <w:p w:rsidR="00B231CB" w:rsidRDefault="00C71431">
            <w:pPr>
              <w:spacing w:after="120"/>
              <w:jc w:val="center"/>
              <w:rPr>
                <w:noProof/>
              </w:rPr>
            </w:pPr>
            <w:r>
              <w:rPr>
                <w:noProof/>
              </w:rPr>
              <w:t>58</w:t>
            </w:r>
          </w:p>
        </w:tc>
        <w:tc>
          <w:tcPr>
            <w:tcW w:w="537" w:type="pct"/>
            <w:tcBorders>
              <w:bottom w:val="single" w:sz="4" w:space="0" w:color="auto"/>
            </w:tcBorders>
            <w:noWrap/>
          </w:tcPr>
          <w:p w:rsidR="00B231CB" w:rsidRDefault="00C71431">
            <w:pPr>
              <w:spacing w:after="120"/>
              <w:jc w:val="center"/>
              <w:rPr>
                <w:noProof/>
              </w:rPr>
            </w:pPr>
            <w:r>
              <w:rPr>
                <w:noProof/>
              </w:rPr>
              <w:t>58</w:t>
            </w:r>
          </w:p>
        </w:tc>
        <w:tc>
          <w:tcPr>
            <w:tcW w:w="697" w:type="pct"/>
            <w:tcBorders>
              <w:bottom w:val="single" w:sz="4" w:space="0" w:color="auto"/>
            </w:tcBorders>
            <w:noWrap/>
          </w:tcPr>
          <w:p w:rsidR="00B231CB" w:rsidRDefault="00C71431">
            <w:pPr>
              <w:spacing w:after="120"/>
              <w:jc w:val="center"/>
              <w:rPr>
                <w:noProof/>
              </w:rPr>
            </w:pPr>
            <w:r>
              <w:rPr>
                <w:noProof/>
              </w:rPr>
              <w:t>54</w:t>
            </w:r>
          </w:p>
        </w:tc>
        <w:tc>
          <w:tcPr>
            <w:tcW w:w="515" w:type="pct"/>
            <w:tcBorders>
              <w:bottom w:val="single" w:sz="4" w:space="0" w:color="auto"/>
            </w:tcBorders>
            <w:noWrap/>
          </w:tcPr>
          <w:p w:rsidR="00B231CB" w:rsidRDefault="00C71431">
            <w:pPr>
              <w:spacing w:after="120"/>
              <w:jc w:val="center"/>
              <w:rPr>
                <w:noProof/>
              </w:rPr>
            </w:pPr>
            <w:r>
              <w:rPr>
                <w:noProof/>
              </w:rPr>
              <w:t>40</w:t>
            </w:r>
          </w:p>
        </w:tc>
        <w:tc>
          <w:tcPr>
            <w:tcW w:w="742" w:type="pct"/>
            <w:tcBorders>
              <w:bottom w:val="single" w:sz="4" w:space="0" w:color="auto"/>
            </w:tcBorders>
            <w:noWrap/>
            <w:vAlign w:val="center"/>
          </w:tcPr>
          <w:p w:rsidR="00B231CB" w:rsidRDefault="00C71431">
            <w:pPr>
              <w:spacing w:after="120"/>
              <w:jc w:val="center"/>
              <w:rPr>
                <w:noProof/>
              </w:rPr>
            </w:pPr>
            <w:r>
              <w:rPr>
                <w:noProof/>
              </w:rPr>
              <w:t>10</w:t>
            </w:r>
          </w:p>
        </w:tc>
        <w:tc>
          <w:tcPr>
            <w:tcW w:w="742" w:type="pct"/>
            <w:tcBorders>
              <w:bottom w:val="single" w:sz="4" w:space="0" w:color="auto"/>
            </w:tcBorders>
            <w:noWrap/>
            <w:vAlign w:val="center"/>
          </w:tcPr>
          <w:p w:rsidR="00B231CB" w:rsidRDefault="00C71431">
            <w:pPr>
              <w:spacing w:after="120"/>
              <w:jc w:val="center"/>
              <w:rPr>
                <w:noProof/>
              </w:rPr>
            </w:pPr>
            <w:r>
              <w:rPr>
                <w:noProof/>
              </w:rPr>
              <w:t>9</w:t>
            </w:r>
          </w:p>
        </w:tc>
      </w:tr>
      <w:tr w:rsidR="00B231CB">
        <w:trPr>
          <w:trHeight w:val="255"/>
        </w:trPr>
        <w:tc>
          <w:tcPr>
            <w:tcW w:w="1252" w:type="pct"/>
            <w:tcBorders>
              <w:bottom w:val="single" w:sz="24" w:space="0" w:color="auto"/>
            </w:tcBorders>
            <w:noWrap/>
          </w:tcPr>
          <w:p w:rsidR="00B231CB" w:rsidRDefault="00C71431">
            <w:pPr>
              <w:spacing w:after="120"/>
              <w:rPr>
                <w:noProof/>
                <w:szCs w:val="24"/>
              </w:rPr>
            </w:pPr>
            <w:r>
              <w:rPr>
                <w:noProof/>
                <w:szCs w:val="24"/>
              </w:rPr>
              <w:t>Fuel cost savings [3]</w:t>
            </w:r>
          </w:p>
        </w:tc>
        <w:tc>
          <w:tcPr>
            <w:tcW w:w="515" w:type="pct"/>
            <w:tcBorders>
              <w:bottom w:val="single" w:sz="24" w:space="0" w:color="auto"/>
            </w:tcBorders>
            <w:noWrap/>
          </w:tcPr>
          <w:p w:rsidR="00B231CB" w:rsidRDefault="00C71431">
            <w:pPr>
              <w:spacing w:after="120"/>
              <w:jc w:val="center"/>
              <w:rPr>
                <w:noProof/>
              </w:rPr>
            </w:pPr>
            <w:r>
              <w:rPr>
                <w:noProof/>
              </w:rPr>
              <w:t>302</w:t>
            </w:r>
          </w:p>
        </w:tc>
        <w:tc>
          <w:tcPr>
            <w:tcW w:w="537" w:type="pct"/>
            <w:tcBorders>
              <w:bottom w:val="single" w:sz="24" w:space="0" w:color="auto"/>
            </w:tcBorders>
            <w:noWrap/>
          </w:tcPr>
          <w:p w:rsidR="00B231CB" w:rsidRDefault="00C71431">
            <w:pPr>
              <w:spacing w:after="120"/>
              <w:jc w:val="center"/>
              <w:rPr>
                <w:noProof/>
              </w:rPr>
            </w:pPr>
            <w:r>
              <w:rPr>
                <w:noProof/>
              </w:rPr>
              <w:t>416</w:t>
            </w:r>
          </w:p>
        </w:tc>
        <w:tc>
          <w:tcPr>
            <w:tcW w:w="697" w:type="pct"/>
            <w:tcBorders>
              <w:bottom w:val="single" w:sz="24" w:space="0" w:color="auto"/>
            </w:tcBorders>
            <w:noWrap/>
          </w:tcPr>
          <w:p w:rsidR="00B231CB" w:rsidRDefault="00C71431">
            <w:pPr>
              <w:spacing w:after="120"/>
              <w:jc w:val="center"/>
              <w:rPr>
                <w:noProof/>
              </w:rPr>
            </w:pPr>
            <w:r>
              <w:rPr>
                <w:noProof/>
              </w:rPr>
              <w:t>527</w:t>
            </w:r>
          </w:p>
        </w:tc>
        <w:tc>
          <w:tcPr>
            <w:tcW w:w="515" w:type="pct"/>
            <w:tcBorders>
              <w:bottom w:val="single" w:sz="24" w:space="0" w:color="auto"/>
            </w:tcBorders>
            <w:noWrap/>
          </w:tcPr>
          <w:p w:rsidR="00B231CB" w:rsidRDefault="00C71431">
            <w:pPr>
              <w:spacing w:after="120"/>
              <w:jc w:val="center"/>
              <w:rPr>
                <w:noProof/>
              </w:rPr>
            </w:pPr>
            <w:r>
              <w:rPr>
                <w:noProof/>
              </w:rPr>
              <w:t>742</w:t>
            </w:r>
          </w:p>
        </w:tc>
        <w:tc>
          <w:tcPr>
            <w:tcW w:w="742" w:type="pct"/>
            <w:tcBorders>
              <w:bottom w:val="single" w:sz="24" w:space="0" w:color="auto"/>
            </w:tcBorders>
            <w:noWrap/>
            <w:vAlign w:val="center"/>
          </w:tcPr>
          <w:p w:rsidR="00B231CB" w:rsidRDefault="00C71431">
            <w:pPr>
              <w:spacing w:after="120"/>
              <w:jc w:val="center"/>
              <w:rPr>
                <w:noProof/>
              </w:rPr>
            </w:pPr>
            <w:r>
              <w:rPr>
                <w:noProof/>
              </w:rPr>
              <w:t>1,096</w:t>
            </w:r>
          </w:p>
        </w:tc>
        <w:tc>
          <w:tcPr>
            <w:tcW w:w="742" w:type="pct"/>
            <w:tcBorders>
              <w:bottom w:val="single" w:sz="24" w:space="0" w:color="auto"/>
            </w:tcBorders>
            <w:noWrap/>
            <w:vAlign w:val="center"/>
          </w:tcPr>
          <w:p w:rsidR="00B231CB" w:rsidRDefault="00C71431">
            <w:pPr>
              <w:spacing w:after="120"/>
              <w:jc w:val="center"/>
              <w:rPr>
                <w:noProof/>
              </w:rPr>
            </w:pPr>
            <w:r>
              <w:rPr>
                <w:noProof/>
              </w:rPr>
              <w:t>976</w:t>
            </w:r>
          </w:p>
        </w:tc>
      </w:tr>
      <w:tr w:rsidR="00B231CB">
        <w:trPr>
          <w:trHeight w:val="255"/>
        </w:trPr>
        <w:tc>
          <w:tcPr>
            <w:tcW w:w="1252" w:type="pct"/>
            <w:noWrap/>
            <w:vAlign w:val="center"/>
          </w:tcPr>
          <w:p w:rsidR="00B231CB" w:rsidRDefault="00C71431">
            <w:pPr>
              <w:spacing w:after="120"/>
              <w:jc w:val="left"/>
              <w:rPr>
                <w:i/>
                <w:noProof/>
                <w:szCs w:val="24"/>
              </w:rPr>
            </w:pPr>
            <w:r>
              <w:rPr>
                <w:i/>
                <w:noProof/>
                <w:szCs w:val="24"/>
              </w:rPr>
              <w:t>Net savings [3]-[1]-[2]</w:t>
            </w:r>
          </w:p>
        </w:tc>
        <w:tc>
          <w:tcPr>
            <w:tcW w:w="515" w:type="pct"/>
            <w:noWrap/>
            <w:vAlign w:val="center"/>
          </w:tcPr>
          <w:p w:rsidR="00B231CB" w:rsidRDefault="00C71431">
            <w:pPr>
              <w:spacing w:after="120"/>
              <w:jc w:val="center"/>
              <w:rPr>
                <w:i/>
                <w:noProof/>
              </w:rPr>
            </w:pPr>
            <w:r>
              <w:rPr>
                <w:i/>
                <w:noProof/>
              </w:rPr>
              <w:t>201</w:t>
            </w:r>
          </w:p>
        </w:tc>
        <w:tc>
          <w:tcPr>
            <w:tcW w:w="537" w:type="pct"/>
            <w:noWrap/>
            <w:vAlign w:val="center"/>
          </w:tcPr>
          <w:p w:rsidR="00B231CB" w:rsidRDefault="00C71431">
            <w:pPr>
              <w:spacing w:after="120"/>
              <w:jc w:val="center"/>
              <w:rPr>
                <w:i/>
                <w:noProof/>
              </w:rPr>
            </w:pPr>
            <w:r>
              <w:rPr>
                <w:i/>
                <w:noProof/>
              </w:rPr>
              <w:t>272</w:t>
            </w:r>
          </w:p>
        </w:tc>
        <w:tc>
          <w:tcPr>
            <w:tcW w:w="697" w:type="pct"/>
            <w:noWrap/>
            <w:vAlign w:val="center"/>
          </w:tcPr>
          <w:p w:rsidR="00B231CB" w:rsidRDefault="00C71431">
            <w:pPr>
              <w:spacing w:after="120"/>
              <w:jc w:val="center"/>
              <w:rPr>
                <w:i/>
                <w:noProof/>
              </w:rPr>
            </w:pPr>
            <w:r>
              <w:rPr>
                <w:i/>
                <w:noProof/>
              </w:rPr>
              <w:t>329</w:t>
            </w:r>
          </w:p>
        </w:tc>
        <w:tc>
          <w:tcPr>
            <w:tcW w:w="515" w:type="pct"/>
            <w:noWrap/>
            <w:vAlign w:val="center"/>
          </w:tcPr>
          <w:p w:rsidR="00B231CB" w:rsidRDefault="00C71431">
            <w:pPr>
              <w:spacing w:after="120"/>
              <w:jc w:val="center"/>
              <w:rPr>
                <w:i/>
                <w:noProof/>
              </w:rPr>
            </w:pPr>
            <w:r>
              <w:rPr>
                <w:i/>
                <w:noProof/>
              </w:rPr>
              <w:t>420</w:t>
            </w:r>
          </w:p>
        </w:tc>
        <w:tc>
          <w:tcPr>
            <w:tcW w:w="742" w:type="pct"/>
            <w:noWrap/>
            <w:vAlign w:val="center"/>
          </w:tcPr>
          <w:p w:rsidR="00B231CB" w:rsidRDefault="00C71431">
            <w:pPr>
              <w:spacing w:after="120"/>
              <w:jc w:val="center"/>
              <w:rPr>
                <w:i/>
                <w:noProof/>
              </w:rPr>
            </w:pPr>
            <w:r>
              <w:rPr>
                <w:i/>
                <w:noProof/>
              </w:rPr>
              <w:t>553</w:t>
            </w:r>
          </w:p>
        </w:tc>
        <w:tc>
          <w:tcPr>
            <w:tcW w:w="742" w:type="pct"/>
            <w:noWrap/>
            <w:vAlign w:val="center"/>
          </w:tcPr>
          <w:p w:rsidR="00B231CB" w:rsidRDefault="00C71431">
            <w:pPr>
              <w:spacing w:after="120"/>
              <w:jc w:val="center"/>
              <w:rPr>
                <w:i/>
                <w:noProof/>
              </w:rPr>
            </w:pPr>
            <w:r>
              <w:rPr>
                <w:i/>
                <w:noProof/>
              </w:rPr>
              <w:t>516</w:t>
            </w:r>
          </w:p>
        </w:tc>
      </w:tr>
    </w:tbl>
    <w:p w:rsidR="00B231CB" w:rsidRDefault="00B231CB">
      <w:pPr>
        <w:spacing w:after="120"/>
        <w:rPr>
          <w:noProof/>
        </w:rPr>
      </w:pPr>
    </w:p>
    <w:tbl>
      <w:tblPr>
        <w:tblStyle w:val="TableGrid"/>
        <w:tblW w:w="5000" w:type="pct"/>
        <w:tblLook w:val="04A0" w:firstRow="1" w:lastRow="0" w:firstColumn="1" w:lastColumn="0" w:noHBand="0" w:noVBand="1"/>
      </w:tblPr>
      <w:tblGrid>
        <w:gridCol w:w="2470"/>
        <w:gridCol w:w="932"/>
        <w:gridCol w:w="974"/>
        <w:gridCol w:w="1271"/>
        <w:gridCol w:w="933"/>
        <w:gridCol w:w="1354"/>
        <w:gridCol w:w="1354"/>
      </w:tblGrid>
      <w:tr w:rsidR="00B231CB">
        <w:trPr>
          <w:trHeight w:val="255"/>
        </w:trPr>
        <w:tc>
          <w:tcPr>
            <w:tcW w:w="1251" w:type="pct"/>
            <w:noWrap/>
            <w:hideMark/>
          </w:tcPr>
          <w:p w:rsidR="00B231CB" w:rsidRDefault="00C71431">
            <w:pPr>
              <w:spacing w:after="120"/>
              <w:rPr>
                <w:noProof/>
                <w:szCs w:val="24"/>
              </w:rPr>
            </w:pPr>
            <w:r>
              <w:rPr>
                <w:b/>
                <w:noProof/>
                <w:szCs w:val="24"/>
              </w:rPr>
              <w:t>2030 (EUR/car</w:t>
            </w:r>
            <w:r>
              <w:rPr>
                <w:noProof/>
                <w:szCs w:val="24"/>
              </w:rPr>
              <w:t>)</w:t>
            </w:r>
          </w:p>
        </w:tc>
        <w:tc>
          <w:tcPr>
            <w:tcW w:w="515" w:type="pct"/>
            <w:noWrap/>
          </w:tcPr>
          <w:p w:rsidR="00B231CB" w:rsidRDefault="00C71431">
            <w:pPr>
              <w:spacing w:after="120"/>
              <w:jc w:val="center"/>
              <w:rPr>
                <w:noProof/>
                <w:szCs w:val="24"/>
              </w:rPr>
            </w:pPr>
            <w:r>
              <w:rPr>
                <w:noProof/>
                <w:szCs w:val="24"/>
              </w:rPr>
              <w:t>TLC20</w:t>
            </w:r>
          </w:p>
        </w:tc>
        <w:tc>
          <w:tcPr>
            <w:tcW w:w="537" w:type="pct"/>
            <w:noWrap/>
          </w:tcPr>
          <w:p w:rsidR="00B231CB" w:rsidRDefault="00C71431">
            <w:pPr>
              <w:spacing w:after="120"/>
              <w:jc w:val="center"/>
              <w:rPr>
                <w:noProof/>
                <w:szCs w:val="24"/>
              </w:rPr>
            </w:pPr>
            <w:r>
              <w:rPr>
                <w:noProof/>
                <w:szCs w:val="24"/>
              </w:rPr>
              <w:t>TLC25</w:t>
            </w:r>
          </w:p>
        </w:tc>
        <w:tc>
          <w:tcPr>
            <w:tcW w:w="697" w:type="pct"/>
            <w:noWrap/>
          </w:tcPr>
          <w:p w:rsidR="00B231CB" w:rsidRDefault="00C71431">
            <w:pPr>
              <w:spacing w:after="120"/>
              <w:jc w:val="center"/>
              <w:rPr>
                <w:noProof/>
                <w:szCs w:val="24"/>
              </w:rPr>
            </w:pPr>
            <w:r>
              <w:rPr>
                <w:noProof/>
                <w:szCs w:val="24"/>
              </w:rPr>
              <w:t>TLC30</w:t>
            </w:r>
          </w:p>
        </w:tc>
        <w:tc>
          <w:tcPr>
            <w:tcW w:w="515" w:type="pct"/>
            <w:noWrap/>
          </w:tcPr>
          <w:p w:rsidR="00B231CB" w:rsidRDefault="00C71431">
            <w:pPr>
              <w:spacing w:after="120"/>
              <w:jc w:val="center"/>
              <w:rPr>
                <w:noProof/>
                <w:szCs w:val="24"/>
              </w:rPr>
            </w:pPr>
            <w:r>
              <w:rPr>
                <w:noProof/>
                <w:szCs w:val="24"/>
              </w:rPr>
              <w:t>TLC40</w:t>
            </w:r>
          </w:p>
        </w:tc>
        <w:tc>
          <w:tcPr>
            <w:tcW w:w="742" w:type="pct"/>
            <w:noWrap/>
          </w:tcPr>
          <w:p w:rsidR="00B231CB" w:rsidRDefault="00C71431">
            <w:pPr>
              <w:spacing w:after="120"/>
              <w:jc w:val="center"/>
              <w:rPr>
                <w:noProof/>
                <w:szCs w:val="24"/>
              </w:rPr>
            </w:pPr>
            <w:r>
              <w:rPr>
                <w:noProof/>
                <w:szCs w:val="24"/>
              </w:rPr>
              <w:t>TLC_EP40</w:t>
            </w:r>
          </w:p>
        </w:tc>
        <w:tc>
          <w:tcPr>
            <w:tcW w:w="742" w:type="pct"/>
            <w:noWrap/>
          </w:tcPr>
          <w:p w:rsidR="00B231CB" w:rsidRDefault="00C71431">
            <w:pPr>
              <w:spacing w:after="120"/>
              <w:jc w:val="center"/>
              <w:rPr>
                <w:noProof/>
                <w:szCs w:val="24"/>
              </w:rPr>
            </w:pPr>
            <w:r>
              <w:rPr>
                <w:noProof/>
                <w:szCs w:val="24"/>
              </w:rPr>
              <w:t>TLC_EP50</w:t>
            </w:r>
          </w:p>
        </w:tc>
      </w:tr>
      <w:tr w:rsidR="00B231CB">
        <w:trPr>
          <w:trHeight w:val="255"/>
        </w:trPr>
        <w:tc>
          <w:tcPr>
            <w:tcW w:w="1251" w:type="pct"/>
            <w:noWrap/>
          </w:tcPr>
          <w:p w:rsidR="00B231CB" w:rsidRDefault="00C71431">
            <w:pPr>
              <w:spacing w:after="120"/>
              <w:rPr>
                <w:noProof/>
                <w:szCs w:val="24"/>
              </w:rPr>
            </w:pPr>
            <w:r>
              <w:rPr>
                <w:noProof/>
                <w:szCs w:val="24"/>
              </w:rPr>
              <w:t>Capital cost [1]</w:t>
            </w:r>
          </w:p>
        </w:tc>
        <w:tc>
          <w:tcPr>
            <w:tcW w:w="515" w:type="pct"/>
            <w:noWrap/>
          </w:tcPr>
          <w:p w:rsidR="00B231CB" w:rsidRDefault="00C71431">
            <w:pPr>
              <w:spacing w:after="120"/>
              <w:jc w:val="center"/>
              <w:rPr>
                <w:noProof/>
              </w:rPr>
            </w:pPr>
            <w:r>
              <w:rPr>
                <w:noProof/>
              </w:rPr>
              <w:t>158</w:t>
            </w:r>
          </w:p>
        </w:tc>
        <w:tc>
          <w:tcPr>
            <w:tcW w:w="537" w:type="pct"/>
            <w:noWrap/>
          </w:tcPr>
          <w:p w:rsidR="00B231CB" w:rsidRDefault="00C71431">
            <w:pPr>
              <w:spacing w:after="120"/>
              <w:jc w:val="center"/>
              <w:rPr>
                <w:noProof/>
              </w:rPr>
            </w:pPr>
            <w:r>
              <w:rPr>
                <w:noProof/>
              </w:rPr>
              <w:t>256</w:t>
            </w:r>
          </w:p>
        </w:tc>
        <w:tc>
          <w:tcPr>
            <w:tcW w:w="697" w:type="pct"/>
            <w:noWrap/>
          </w:tcPr>
          <w:p w:rsidR="00B231CB" w:rsidRDefault="00C71431">
            <w:pPr>
              <w:spacing w:after="120"/>
              <w:jc w:val="center"/>
              <w:rPr>
                <w:noProof/>
              </w:rPr>
            </w:pPr>
            <w:r>
              <w:rPr>
                <w:noProof/>
              </w:rPr>
              <w:t>385</w:t>
            </w:r>
          </w:p>
        </w:tc>
        <w:tc>
          <w:tcPr>
            <w:tcW w:w="515" w:type="pct"/>
            <w:noWrap/>
          </w:tcPr>
          <w:p w:rsidR="00B231CB" w:rsidRDefault="00C71431">
            <w:pPr>
              <w:spacing w:after="120"/>
              <w:jc w:val="center"/>
              <w:rPr>
                <w:noProof/>
              </w:rPr>
            </w:pPr>
            <w:r>
              <w:rPr>
                <w:noProof/>
              </w:rPr>
              <w:t>684</w:t>
            </w:r>
          </w:p>
        </w:tc>
        <w:tc>
          <w:tcPr>
            <w:tcW w:w="742" w:type="pct"/>
            <w:noWrap/>
          </w:tcPr>
          <w:p w:rsidR="00B231CB" w:rsidRDefault="00C71431">
            <w:pPr>
              <w:spacing w:after="120"/>
              <w:jc w:val="center"/>
              <w:rPr>
                <w:noProof/>
                <w:szCs w:val="24"/>
              </w:rPr>
            </w:pPr>
            <w:r>
              <w:rPr>
                <w:noProof/>
                <w:szCs w:val="24"/>
              </w:rPr>
              <w:t>702</w:t>
            </w:r>
          </w:p>
        </w:tc>
        <w:tc>
          <w:tcPr>
            <w:tcW w:w="742" w:type="pct"/>
            <w:noWrap/>
          </w:tcPr>
          <w:p w:rsidR="00B231CB" w:rsidRDefault="00C71431">
            <w:pPr>
              <w:spacing w:after="120"/>
              <w:jc w:val="center"/>
              <w:rPr>
                <w:noProof/>
                <w:szCs w:val="24"/>
              </w:rPr>
            </w:pPr>
            <w:r>
              <w:rPr>
                <w:noProof/>
                <w:szCs w:val="24"/>
              </w:rPr>
              <w:t>1,039</w:t>
            </w:r>
          </w:p>
        </w:tc>
      </w:tr>
      <w:tr w:rsidR="00B231CB">
        <w:trPr>
          <w:trHeight w:val="255"/>
        </w:trPr>
        <w:tc>
          <w:tcPr>
            <w:tcW w:w="1251" w:type="pct"/>
            <w:tcBorders>
              <w:bottom w:val="single" w:sz="4" w:space="0" w:color="auto"/>
            </w:tcBorders>
            <w:noWrap/>
          </w:tcPr>
          <w:p w:rsidR="00B231CB" w:rsidRDefault="00C71431">
            <w:pPr>
              <w:spacing w:after="120"/>
              <w:rPr>
                <w:noProof/>
                <w:szCs w:val="24"/>
              </w:rPr>
            </w:pPr>
            <w:r>
              <w:rPr>
                <w:noProof/>
                <w:szCs w:val="24"/>
              </w:rPr>
              <w:t xml:space="preserve">O&amp;M cost [2] </w:t>
            </w:r>
          </w:p>
        </w:tc>
        <w:tc>
          <w:tcPr>
            <w:tcW w:w="515" w:type="pct"/>
            <w:tcBorders>
              <w:bottom w:val="single" w:sz="4" w:space="0" w:color="auto"/>
            </w:tcBorders>
            <w:noWrap/>
          </w:tcPr>
          <w:p w:rsidR="00B231CB" w:rsidRDefault="00C71431">
            <w:pPr>
              <w:spacing w:after="120"/>
              <w:jc w:val="center"/>
              <w:rPr>
                <w:noProof/>
              </w:rPr>
            </w:pPr>
            <w:r>
              <w:rPr>
                <w:noProof/>
              </w:rPr>
              <w:t>-26</w:t>
            </w:r>
          </w:p>
        </w:tc>
        <w:tc>
          <w:tcPr>
            <w:tcW w:w="537" w:type="pct"/>
            <w:tcBorders>
              <w:bottom w:val="single" w:sz="4" w:space="0" w:color="auto"/>
            </w:tcBorders>
            <w:noWrap/>
          </w:tcPr>
          <w:p w:rsidR="00B231CB" w:rsidRDefault="00C71431">
            <w:pPr>
              <w:spacing w:after="120"/>
              <w:jc w:val="center"/>
              <w:rPr>
                <w:noProof/>
              </w:rPr>
            </w:pPr>
            <w:r>
              <w:rPr>
                <w:noProof/>
              </w:rPr>
              <w:t>-26</w:t>
            </w:r>
          </w:p>
        </w:tc>
        <w:tc>
          <w:tcPr>
            <w:tcW w:w="697" w:type="pct"/>
            <w:tcBorders>
              <w:bottom w:val="single" w:sz="4" w:space="0" w:color="auto"/>
            </w:tcBorders>
            <w:noWrap/>
          </w:tcPr>
          <w:p w:rsidR="00B231CB" w:rsidRDefault="00C71431">
            <w:pPr>
              <w:spacing w:after="120"/>
              <w:jc w:val="center"/>
              <w:rPr>
                <w:noProof/>
              </w:rPr>
            </w:pPr>
            <w:r>
              <w:rPr>
                <w:noProof/>
              </w:rPr>
              <w:t>-40</w:t>
            </w:r>
          </w:p>
        </w:tc>
        <w:tc>
          <w:tcPr>
            <w:tcW w:w="515" w:type="pct"/>
            <w:tcBorders>
              <w:bottom w:val="single" w:sz="4" w:space="0" w:color="auto"/>
            </w:tcBorders>
            <w:noWrap/>
          </w:tcPr>
          <w:p w:rsidR="00B231CB" w:rsidRDefault="00C71431">
            <w:pPr>
              <w:spacing w:after="120"/>
              <w:jc w:val="center"/>
              <w:rPr>
                <w:noProof/>
              </w:rPr>
            </w:pPr>
            <w:r>
              <w:rPr>
                <w:noProof/>
              </w:rPr>
              <w:t>-66</w:t>
            </w:r>
          </w:p>
        </w:tc>
        <w:tc>
          <w:tcPr>
            <w:tcW w:w="742" w:type="pct"/>
            <w:tcBorders>
              <w:bottom w:val="single" w:sz="4" w:space="0" w:color="auto"/>
            </w:tcBorders>
            <w:noWrap/>
          </w:tcPr>
          <w:p w:rsidR="00B231CB" w:rsidRDefault="00C71431">
            <w:pPr>
              <w:spacing w:after="120"/>
              <w:jc w:val="center"/>
              <w:rPr>
                <w:noProof/>
                <w:szCs w:val="24"/>
              </w:rPr>
            </w:pPr>
            <w:r>
              <w:rPr>
                <w:noProof/>
                <w:szCs w:val="24"/>
              </w:rPr>
              <w:t>-71</w:t>
            </w:r>
          </w:p>
        </w:tc>
        <w:tc>
          <w:tcPr>
            <w:tcW w:w="742" w:type="pct"/>
            <w:tcBorders>
              <w:bottom w:val="single" w:sz="4" w:space="0" w:color="auto"/>
            </w:tcBorders>
            <w:noWrap/>
          </w:tcPr>
          <w:p w:rsidR="00B231CB" w:rsidRDefault="00C71431">
            <w:pPr>
              <w:spacing w:after="120"/>
              <w:jc w:val="center"/>
              <w:rPr>
                <w:noProof/>
                <w:szCs w:val="24"/>
              </w:rPr>
            </w:pPr>
            <w:r>
              <w:rPr>
                <w:noProof/>
                <w:szCs w:val="24"/>
              </w:rPr>
              <w:t>-82</w:t>
            </w:r>
          </w:p>
        </w:tc>
      </w:tr>
      <w:tr w:rsidR="00B231CB">
        <w:trPr>
          <w:trHeight w:val="255"/>
        </w:trPr>
        <w:tc>
          <w:tcPr>
            <w:tcW w:w="1251" w:type="pct"/>
            <w:tcBorders>
              <w:bottom w:val="single" w:sz="24" w:space="0" w:color="auto"/>
            </w:tcBorders>
            <w:noWrap/>
          </w:tcPr>
          <w:p w:rsidR="00B231CB" w:rsidRDefault="00C71431">
            <w:pPr>
              <w:spacing w:after="120"/>
              <w:rPr>
                <w:noProof/>
                <w:szCs w:val="24"/>
              </w:rPr>
            </w:pPr>
            <w:r>
              <w:rPr>
                <w:noProof/>
                <w:szCs w:val="24"/>
              </w:rPr>
              <w:t>Fuel cost savings [3]</w:t>
            </w:r>
          </w:p>
        </w:tc>
        <w:tc>
          <w:tcPr>
            <w:tcW w:w="515" w:type="pct"/>
            <w:tcBorders>
              <w:bottom w:val="single" w:sz="24" w:space="0" w:color="auto"/>
            </w:tcBorders>
            <w:noWrap/>
          </w:tcPr>
          <w:p w:rsidR="00B231CB" w:rsidRDefault="00C71431">
            <w:pPr>
              <w:spacing w:after="120"/>
              <w:jc w:val="center"/>
              <w:rPr>
                <w:noProof/>
              </w:rPr>
            </w:pPr>
            <w:r>
              <w:rPr>
                <w:noProof/>
              </w:rPr>
              <w:t>841</w:t>
            </w:r>
          </w:p>
        </w:tc>
        <w:tc>
          <w:tcPr>
            <w:tcW w:w="537" w:type="pct"/>
            <w:tcBorders>
              <w:bottom w:val="single" w:sz="24" w:space="0" w:color="auto"/>
            </w:tcBorders>
            <w:noWrap/>
          </w:tcPr>
          <w:p w:rsidR="00B231CB" w:rsidRDefault="00C71431">
            <w:pPr>
              <w:spacing w:after="120"/>
              <w:jc w:val="center"/>
              <w:rPr>
                <w:noProof/>
              </w:rPr>
            </w:pPr>
            <w:r>
              <w:rPr>
                <w:noProof/>
              </w:rPr>
              <w:t>1,083</w:t>
            </w:r>
          </w:p>
        </w:tc>
        <w:tc>
          <w:tcPr>
            <w:tcW w:w="697" w:type="pct"/>
            <w:tcBorders>
              <w:bottom w:val="single" w:sz="24" w:space="0" w:color="auto"/>
            </w:tcBorders>
            <w:noWrap/>
          </w:tcPr>
          <w:p w:rsidR="00B231CB" w:rsidRDefault="00C71431">
            <w:pPr>
              <w:spacing w:after="120"/>
              <w:jc w:val="center"/>
              <w:rPr>
                <w:noProof/>
              </w:rPr>
            </w:pPr>
            <w:r>
              <w:rPr>
                <w:noProof/>
              </w:rPr>
              <w:t>1,292</w:t>
            </w:r>
          </w:p>
        </w:tc>
        <w:tc>
          <w:tcPr>
            <w:tcW w:w="515" w:type="pct"/>
            <w:tcBorders>
              <w:bottom w:val="single" w:sz="24" w:space="0" w:color="auto"/>
            </w:tcBorders>
            <w:noWrap/>
          </w:tcPr>
          <w:p w:rsidR="00B231CB" w:rsidRDefault="00C71431">
            <w:pPr>
              <w:spacing w:after="120"/>
              <w:jc w:val="center"/>
              <w:rPr>
                <w:noProof/>
              </w:rPr>
            </w:pPr>
            <w:r>
              <w:rPr>
                <w:noProof/>
              </w:rPr>
              <w:t>1,640</w:t>
            </w:r>
          </w:p>
        </w:tc>
        <w:tc>
          <w:tcPr>
            <w:tcW w:w="742" w:type="pct"/>
            <w:tcBorders>
              <w:bottom w:val="single" w:sz="24" w:space="0" w:color="auto"/>
            </w:tcBorders>
            <w:noWrap/>
          </w:tcPr>
          <w:p w:rsidR="00B231CB" w:rsidRDefault="00C71431">
            <w:pPr>
              <w:spacing w:after="120"/>
              <w:jc w:val="center"/>
              <w:rPr>
                <w:noProof/>
                <w:szCs w:val="24"/>
              </w:rPr>
            </w:pPr>
            <w:r>
              <w:rPr>
                <w:noProof/>
                <w:szCs w:val="24"/>
              </w:rPr>
              <w:t>1,659</w:t>
            </w:r>
          </w:p>
        </w:tc>
        <w:tc>
          <w:tcPr>
            <w:tcW w:w="742" w:type="pct"/>
            <w:tcBorders>
              <w:bottom w:val="single" w:sz="24" w:space="0" w:color="auto"/>
            </w:tcBorders>
            <w:noWrap/>
          </w:tcPr>
          <w:p w:rsidR="00B231CB" w:rsidRDefault="00C71431">
            <w:pPr>
              <w:spacing w:after="120"/>
              <w:jc w:val="center"/>
              <w:rPr>
                <w:noProof/>
                <w:szCs w:val="24"/>
              </w:rPr>
            </w:pPr>
            <w:r>
              <w:rPr>
                <w:noProof/>
                <w:szCs w:val="24"/>
              </w:rPr>
              <w:t>1,953</w:t>
            </w:r>
          </w:p>
        </w:tc>
      </w:tr>
      <w:tr w:rsidR="00B231CB">
        <w:trPr>
          <w:trHeight w:val="255"/>
        </w:trPr>
        <w:tc>
          <w:tcPr>
            <w:tcW w:w="1251" w:type="pct"/>
            <w:noWrap/>
          </w:tcPr>
          <w:p w:rsidR="00B231CB" w:rsidRDefault="00C71431">
            <w:pPr>
              <w:spacing w:after="120"/>
              <w:rPr>
                <w:i/>
                <w:noProof/>
                <w:szCs w:val="24"/>
              </w:rPr>
            </w:pPr>
            <w:r>
              <w:rPr>
                <w:i/>
                <w:noProof/>
                <w:szCs w:val="24"/>
              </w:rPr>
              <w:t>Net savings [3]-[1]-[2]</w:t>
            </w:r>
          </w:p>
        </w:tc>
        <w:tc>
          <w:tcPr>
            <w:tcW w:w="515" w:type="pct"/>
            <w:noWrap/>
            <w:vAlign w:val="center"/>
          </w:tcPr>
          <w:p w:rsidR="00B231CB" w:rsidRDefault="00C71431">
            <w:pPr>
              <w:spacing w:after="120"/>
              <w:jc w:val="center"/>
              <w:rPr>
                <w:i/>
                <w:noProof/>
              </w:rPr>
            </w:pPr>
            <w:r>
              <w:rPr>
                <w:i/>
                <w:noProof/>
              </w:rPr>
              <w:t>708</w:t>
            </w:r>
          </w:p>
        </w:tc>
        <w:tc>
          <w:tcPr>
            <w:tcW w:w="537" w:type="pct"/>
            <w:noWrap/>
            <w:vAlign w:val="center"/>
          </w:tcPr>
          <w:p w:rsidR="00B231CB" w:rsidRDefault="00C71431">
            <w:pPr>
              <w:spacing w:after="120"/>
              <w:jc w:val="center"/>
              <w:rPr>
                <w:i/>
                <w:noProof/>
              </w:rPr>
            </w:pPr>
            <w:r>
              <w:rPr>
                <w:i/>
                <w:noProof/>
              </w:rPr>
              <w:t>853</w:t>
            </w:r>
          </w:p>
        </w:tc>
        <w:tc>
          <w:tcPr>
            <w:tcW w:w="697" w:type="pct"/>
            <w:noWrap/>
            <w:vAlign w:val="center"/>
          </w:tcPr>
          <w:p w:rsidR="00B231CB" w:rsidRDefault="00C71431">
            <w:pPr>
              <w:spacing w:after="120"/>
              <w:jc w:val="center"/>
              <w:rPr>
                <w:i/>
                <w:noProof/>
              </w:rPr>
            </w:pPr>
            <w:r>
              <w:rPr>
                <w:i/>
                <w:noProof/>
              </w:rPr>
              <w:t>947</w:t>
            </w:r>
          </w:p>
        </w:tc>
        <w:tc>
          <w:tcPr>
            <w:tcW w:w="515" w:type="pct"/>
            <w:noWrap/>
            <w:vAlign w:val="center"/>
          </w:tcPr>
          <w:p w:rsidR="00B231CB" w:rsidRDefault="00C71431">
            <w:pPr>
              <w:spacing w:after="120"/>
              <w:jc w:val="center"/>
              <w:rPr>
                <w:i/>
                <w:noProof/>
              </w:rPr>
            </w:pPr>
            <w:r>
              <w:rPr>
                <w:i/>
                <w:noProof/>
              </w:rPr>
              <w:t>1,022</w:t>
            </w:r>
          </w:p>
        </w:tc>
        <w:tc>
          <w:tcPr>
            <w:tcW w:w="742" w:type="pct"/>
            <w:noWrap/>
            <w:vAlign w:val="center"/>
          </w:tcPr>
          <w:p w:rsidR="00B231CB" w:rsidRDefault="00C71431">
            <w:pPr>
              <w:spacing w:after="120"/>
              <w:jc w:val="center"/>
              <w:rPr>
                <w:i/>
                <w:noProof/>
                <w:szCs w:val="24"/>
              </w:rPr>
            </w:pPr>
            <w:r>
              <w:rPr>
                <w:i/>
                <w:noProof/>
                <w:szCs w:val="24"/>
              </w:rPr>
              <w:t>1,028</w:t>
            </w:r>
          </w:p>
        </w:tc>
        <w:tc>
          <w:tcPr>
            <w:tcW w:w="742" w:type="pct"/>
            <w:noWrap/>
            <w:vAlign w:val="center"/>
          </w:tcPr>
          <w:p w:rsidR="00B231CB" w:rsidRDefault="00C71431">
            <w:pPr>
              <w:spacing w:after="120"/>
              <w:jc w:val="center"/>
              <w:rPr>
                <w:i/>
                <w:noProof/>
                <w:szCs w:val="24"/>
              </w:rPr>
            </w:pPr>
            <w:r>
              <w:rPr>
                <w:i/>
                <w:noProof/>
                <w:szCs w:val="24"/>
              </w:rPr>
              <w:t>996</w:t>
            </w:r>
          </w:p>
        </w:tc>
      </w:tr>
    </w:tbl>
    <w:p w:rsidR="00B231CB" w:rsidRDefault="00C71431">
      <w:pPr>
        <w:pStyle w:val="Heading4"/>
        <w:rPr>
          <w:noProof/>
          <w:color w:val="000000" w:themeColor="text1"/>
        </w:rPr>
      </w:pPr>
      <w:r>
        <w:rPr>
          <w:noProof/>
          <w:color w:val="000000" w:themeColor="text1"/>
        </w:rPr>
        <w:t xml:space="preserve">Sensitivity - TCO for second user - </w:t>
      </w:r>
      <w:r>
        <w:rPr>
          <w:noProof/>
          <w:color w:val="000000" w:themeColor="text1"/>
        </w:rPr>
        <w:t>passenger cars (TLC) with varying technology cost assumptions</w:t>
      </w:r>
    </w:p>
    <w:p w:rsidR="00B231CB" w:rsidRDefault="00C71431">
      <w:pPr>
        <w:spacing w:after="120"/>
        <w:rPr>
          <w:noProof/>
        </w:rPr>
      </w:pPr>
      <w:r>
        <w:rPr>
          <w:noProof/>
          <w:color w:val="000000" w:themeColor="text1"/>
          <w:szCs w:val="24"/>
        </w:rPr>
        <w:fldChar w:fldCharType="begin"/>
      </w:r>
      <w:r>
        <w:rPr>
          <w:noProof/>
          <w:color w:val="000000" w:themeColor="text1"/>
          <w:szCs w:val="24"/>
        </w:rPr>
        <w:instrText xml:space="preserve"> REF _Ref494107401 \h  \* MERGEFORMAT </w:instrText>
      </w:r>
      <w:r>
        <w:rPr>
          <w:noProof/>
          <w:color w:val="000000" w:themeColor="text1"/>
          <w:szCs w:val="24"/>
        </w:rPr>
      </w:r>
      <w:r>
        <w:rPr>
          <w:noProof/>
          <w:color w:val="000000" w:themeColor="text1"/>
          <w:szCs w:val="24"/>
        </w:rPr>
        <w:fldChar w:fldCharType="separate"/>
      </w:r>
      <w:r>
        <w:rPr>
          <w:noProof/>
        </w:rPr>
        <w:t>Table 27</w:t>
      </w:r>
      <w:r>
        <w:rPr>
          <w:noProof/>
          <w:color w:val="000000" w:themeColor="text1"/>
          <w:szCs w:val="24"/>
        </w:rPr>
        <w:fldChar w:fldCharType="end"/>
      </w:r>
      <w:r>
        <w:rPr>
          <w:noProof/>
          <w:color w:val="000000" w:themeColor="text1"/>
          <w:szCs w:val="24"/>
        </w:rPr>
        <w:t xml:space="preserve"> summarises the detailed results of the sensitivity analysis </w:t>
      </w:r>
      <w:r>
        <w:rPr>
          <w:noProof/>
          <w:color w:val="000000" w:themeColor="text1"/>
        </w:rPr>
        <w:t xml:space="preserve">of the TCO for the </w:t>
      </w:r>
      <w:r>
        <w:rPr>
          <w:noProof/>
          <w:color w:val="000000" w:themeColor="text1"/>
        </w:rPr>
        <w:t>second car user for various TLC options and with different technology cost assumptions.</w:t>
      </w:r>
      <w:r>
        <w:rPr>
          <w:noProof/>
          <w:color w:val="000000" w:themeColor="text1"/>
          <w:szCs w:val="24"/>
        </w:rPr>
        <w:t xml:space="preserve"> </w:t>
      </w:r>
    </w:p>
    <w:p w:rsidR="00B231CB" w:rsidRDefault="00C71431">
      <w:pPr>
        <w:pStyle w:val="Caption"/>
        <w:keepNext/>
        <w:spacing w:before="240" w:after="240"/>
        <w:jc w:val="both"/>
        <w:rPr>
          <w:noProof/>
        </w:rPr>
      </w:pPr>
      <w:bookmarkStart w:id="189" w:name="_Ref494107401"/>
      <w:r>
        <w:rPr>
          <w:noProof/>
        </w:rPr>
        <w:t xml:space="preserve">Table </w:t>
      </w:r>
      <w:r>
        <w:rPr>
          <w:noProof/>
        </w:rPr>
        <w:fldChar w:fldCharType="begin"/>
      </w:r>
      <w:r>
        <w:rPr>
          <w:noProof/>
        </w:rPr>
        <w:instrText xml:space="preserve"> SEQ Table \* ARABIC </w:instrText>
      </w:r>
      <w:r>
        <w:rPr>
          <w:noProof/>
        </w:rPr>
        <w:fldChar w:fldCharType="separate"/>
      </w:r>
      <w:r>
        <w:rPr>
          <w:noProof/>
        </w:rPr>
        <w:t>27</w:t>
      </w:r>
      <w:r>
        <w:rPr>
          <w:noProof/>
        </w:rPr>
        <w:fldChar w:fldCharType="end"/>
      </w:r>
      <w:bookmarkEnd w:id="189"/>
      <w:r>
        <w:rPr>
          <w:noProof/>
        </w:rPr>
        <w:t xml:space="preserve">: Sensitivity - TCO-second end user (years 6-10) for passenger cars in 2025 and 2030 under different cost assumptions (net savings in </w:t>
      </w:r>
      <w:r>
        <w:rPr>
          <w:noProof/>
        </w:rPr>
        <w:t>EUR/car)</w:t>
      </w: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szCs w:val="24"/>
              </w:rPr>
            </w:pPr>
            <w:r>
              <w:rPr>
                <w:b/>
                <w:noProof/>
                <w:szCs w:val="24"/>
              </w:rPr>
              <w:t>TLC20 - 2025 (EUR/car)</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rPr>
            </w:pPr>
            <w:r>
              <w:rPr>
                <w:noProof/>
              </w:rPr>
              <w:t>224</w:t>
            </w:r>
          </w:p>
        </w:tc>
        <w:tc>
          <w:tcPr>
            <w:tcW w:w="673" w:type="pct"/>
            <w:noWrap/>
          </w:tcPr>
          <w:p w:rsidR="00B231CB" w:rsidRDefault="00C71431">
            <w:pPr>
              <w:spacing w:after="120"/>
              <w:jc w:val="center"/>
              <w:rPr>
                <w:noProof/>
              </w:rPr>
            </w:pPr>
            <w:r>
              <w:rPr>
                <w:noProof/>
              </w:rPr>
              <w:t>143</w:t>
            </w:r>
          </w:p>
        </w:tc>
        <w:tc>
          <w:tcPr>
            <w:tcW w:w="673" w:type="pct"/>
            <w:noWrap/>
          </w:tcPr>
          <w:p w:rsidR="00B231CB" w:rsidRDefault="00C71431">
            <w:pPr>
              <w:spacing w:after="120"/>
              <w:jc w:val="center"/>
              <w:rPr>
                <w:noProof/>
              </w:rPr>
            </w:pPr>
            <w:r>
              <w:rPr>
                <w:noProof/>
              </w:rPr>
              <w:t>43</w:t>
            </w:r>
          </w:p>
        </w:tc>
        <w:tc>
          <w:tcPr>
            <w:tcW w:w="673" w:type="pct"/>
            <w:noWrap/>
          </w:tcPr>
          <w:p w:rsidR="00B231CB" w:rsidRDefault="00C71431">
            <w:pPr>
              <w:spacing w:after="120"/>
              <w:jc w:val="center"/>
              <w:rPr>
                <w:noProof/>
                <w:color w:val="000000" w:themeColor="text1"/>
              </w:rPr>
            </w:pPr>
            <w:r>
              <w:rPr>
                <w:noProof/>
                <w:color w:val="000000" w:themeColor="text1"/>
              </w:rPr>
              <w:t>N/A</w:t>
            </w:r>
          </w:p>
        </w:tc>
        <w:tc>
          <w:tcPr>
            <w:tcW w:w="672"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rPr>
            </w:pPr>
            <w:r>
              <w:rPr>
                <w:noProof/>
              </w:rPr>
              <w:t>67</w:t>
            </w:r>
          </w:p>
        </w:tc>
        <w:tc>
          <w:tcPr>
            <w:tcW w:w="673" w:type="pct"/>
            <w:noWrap/>
          </w:tcPr>
          <w:p w:rsidR="00B231CB" w:rsidRDefault="00C71431">
            <w:pPr>
              <w:spacing w:after="120"/>
              <w:jc w:val="center"/>
              <w:rPr>
                <w:noProof/>
              </w:rPr>
            </w:pPr>
            <w:r>
              <w:rPr>
                <w:noProof/>
              </w:rPr>
              <w:t>63</w:t>
            </w:r>
          </w:p>
        </w:tc>
        <w:tc>
          <w:tcPr>
            <w:tcW w:w="673" w:type="pct"/>
            <w:noWrap/>
          </w:tcPr>
          <w:p w:rsidR="00B231CB" w:rsidRDefault="00C71431">
            <w:pPr>
              <w:spacing w:after="120"/>
              <w:jc w:val="center"/>
              <w:rPr>
                <w:noProof/>
              </w:rPr>
            </w:pPr>
            <w:r>
              <w:rPr>
                <w:noProof/>
              </w:rPr>
              <w:t>58</w:t>
            </w:r>
          </w:p>
        </w:tc>
        <w:tc>
          <w:tcPr>
            <w:tcW w:w="673" w:type="pct"/>
            <w:noWrap/>
          </w:tcPr>
          <w:p w:rsidR="00B231CB" w:rsidRDefault="00C71431">
            <w:pPr>
              <w:spacing w:after="120"/>
              <w:jc w:val="center"/>
              <w:rPr>
                <w:noProof/>
                <w:color w:val="000000" w:themeColor="text1"/>
              </w:rPr>
            </w:pPr>
            <w:r>
              <w:rPr>
                <w:noProof/>
                <w:color w:val="000000" w:themeColor="text1"/>
              </w:rPr>
              <w:t>N/A</w:t>
            </w:r>
          </w:p>
        </w:tc>
        <w:tc>
          <w:tcPr>
            <w:tcW w:w="672"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3" w:type="pct"/>
            <w:tcBorders>
              <w:bottom w:val="single" w:sz="24" w:space="0" w:color="auto"/>
            </w:tcBorders>
            <w:noWrap/>
          </w:tcPr>
          <w:p w:rsidR="00B231CB" w:rsidRDefault="00C71431">
            <w:pPr>
              <w:spacing w:after="120"/>
              <w:jc w:val="center"/>
              <w:rPr>
                <w:noProof/>
              </w:rPr>
            </w:pPr>
            <w:r>
              <w:rPr>
                <w:noProof/>
              </w:rPr>
              <w:t>324</w:t>
            </w:r>
          </w:p>
        </w:tc>
        <w:tc>
          <w:tcPr>
            <w:tcW w:w="673" w:type="pct"/>
            <w:tcBorders>
              <w:bottom w:val="single" w:sz="24" w:space="0" w:color="auto"/>
            </w:tcBorders>
            <w:noWrap/>
          </w:tcPr>
          <w:p w:rsidR="00B231CB" w:rsidRDefault="00C71431">
            <w:pPr>
              <w:spacing w:after="120"/>
              <w:jc w:val="center"/>
              <w:rPr>
                <w:noProof/>
              </w:rPr>
            </w:pPr>
            <w:r>
              <w:rPr>
                <w:noProof/>
              </w:rPr>
              <w:t>283</w:t>
            </w:r>
          </w:p>
        </w:tc>
        <w:tc>
          <w:tcPr>
            <w:tcW w:w="673" w:type="pct"/>
            <w:tcBorders>
              <w:bottom w:val="single" w:sz="24" w:space="0" w:color="auto"/>
            </w:tcBorders>
            <w:noWrap/>
          </w:tcPr>
          <w:p w:rsidR="00B231CB" w:rsidRDefault="00C71431">
            <w:pPr>
              <w:spacing w:after="120"/>
              <w:jc w:val="center"/>
              <w:rPr>
                <w:noProof/>
              </w:rPr>
            </w:pPr>
            <w:r>
              <w:rPr>
                <w:noProof/>
              </w:rPr>
              <w:t>302</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N/A</w:t>
            </w:r>
          </w:p>
        </w:tc>
        <w:tc>
          <w:tcPr>
            <w:tcW w:w="672"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3" w:type="pct"/>
            <w:noWrap/>
          </w:tcPr>
          <w:p w:rsidR="00B231CB" w:rsidRDefault="00C71431">
            <w:pPr>
              <w:spacing w:after="120"/>
              <w:jc w:val="center"/>
              <w:rPr>
                <w:i/>
                <w:noProof/>
              </w:rPr>
            </w:pPr>
            <w:r>
              <w:rPr>
                <w:i/>
                <w:noProof/>
              </w:rPr>
              <w:t>33</w:t>
            </w:r>
          </w:p>
        </w:tc>
        <w:tc>
          <w:tcPr>
            <w:tcW w:w="673" w:type="pct"/>
            <w:noWrap/>
          </w:tcPr>
          <w:p w:rsidR="00B231CB" w:rsidRDefault="00C71431">
            <w:pPr>
              <w:spacing w:after="120"/>
              <w:jc w:val="center"/>
              <w:rPr>
                <w:i/>
                <w:noProof/>
              </w:rPr>
            </w:pPr>
            <w:r>
              <w:rPr>
                <w:i/>
                <w:noProof/>
              </w:rPr>
              <w:t>77</w:t>
            </w:r>
          </w:p>
        </w:tc>
        <w:tc>
          <w:tcPr>
            <w:tcW w:w="673" w:type="pct"/>
            <w:noWrap/>
          </w:tcPr>
          <w:p w:rsidR="00B231CB" w:rsidRDefault="00C71431">
            <w:pPr>
              <w:spacing w:after="120"/>
              <w:jc w:val="center"/>
              <w:rPr>
                <w:i/>
                <w:noProof/>
              </w:rPr>
            </w:pPr>
            <w:r>
              <w:rPr>
                <w:i/>
                <w:noProof/>
              </w:rPr>
              <w:t>201</w:t>
            </w:r>
          </w:p>
        </w:tc>
        <w:tc>
          <w:tcPr>
            <w:tcW w:w="673" w:type="pct"/>
            <w:noWrap/>
          </w:tcPr>
          <w:p w:rsidR="00B231CB" w:rsidRDefault="00C71431">
            <w:pPr>
              <w:spacing w:after="120"/>
              <w:jc w:val="center"/>
              <w:rPr>
                <w:i/>
                <w:noProof/>
                <w:color w:val="000000" w:themeColor="text1"/>
              </w:rPr>
            </w:pPr>
            <w:r>
              <w:rPr>
                <w:i/>
                <w:noProof/>
                <w:color w:val="000000" w:themeColor="text1"/>
              </w:rPr>
              <w:t>N/A</w:t>
            </w:r>
          </w:p>
        </w:tc>
        <w:tc>
          <w:tcPr>
            <w:tcW w:w="672" w:type="pct"/>
            <w:noWrap/>
          </w:tcPr>
          <w:p w:rsidR="00B231CB" w:rsidRDefault="00C71431">
            <w:pPr>
              <w:spacing w:after="120"/>
              <w:jc w:val="center"/>
              <w:rPr>
                <w:i/>
                <w:noProof/>
                <w:color w:val="000000" w:themeColor="text1"/>
                <w:szCs w:val="24"/>
              </w:rPr>
            </w:pPr>
            <w:r>
              <w:rPr>
                <w:i/>
                <w:noProof/>
                <w:color w:val="000000" w:themeColor="text1"/>
              </w:rPr>
              <w:t>N/A</w:t>
            </w:r>
          </w:p>
        </w:tc>
      </w:tr>
    </w:tbl>
    <w:p w:rsidR="00B231CB" w:rsidRDefault="00B231CB">
      <w:pPr>
        <w:spacing w:after="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TLC20 - 2030 (EUR/car)</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rPr>
            </w:pPr>
            <w:r>
              <w:rPr>
                <w:noProof/>
              </w:rPr>
              <w:t>377</w:t>
            </w:r>
          </w:p>
        </w:tc>
        <w:tc>
          <w:tcPr>
            <w:tcW w:w="675" w:type="pct"/>
            <w:noWrap/>
          </w:tcPr>
          <w:p w:rsidR="00B231CB" w:rsidRDefault="00C71431">
            <w:pPr>
              <w:spacing w:after="120"/>
              <w:jc w:val="center"/>
              <w:rPr>
                <w:noProof/>
              </w:rPr>
            </w:pPr>
            <w:r>
              <w:rPr>
                <w:noProof/>
              </w:rPr>
              <w:t>260</w:t>
            </w:r>
          </w:p>
        </w:tc>
        <w:tc>
          <w:tcPr>
            <w:tcW w:w="675" w:type="pct"/>
            <w:noWrap/>
          </w:tcPr>
          <w:p w:rsidR="00B231CB" w:rsidRDefault="00C71431">
            <w:pPr>
              <w:spacing w:after="120"/>
              <w:jc w:val="center"/>
              <w:rPr>
                <w:noProof/>
              </w:rPr>
            </w:pPr>
            <w:r>
              <w:rPr>
                <w:noProof/>
              </w:rPr>
              <w:t>158</w:t>
            </w:r>
          </w:p>
        </w:tc>
        <w:tc>
          <w:tcPr>
            <w:tcW w:w="675" w:type="pct"/>
            <w:noWrap/>
          </w:tcPr>
          <w:p w:rsidR="00B231CB" w:rsidRDefault="00C71431">
            <w:pPr>
              <w:spacing w:after="120"/>
              <w:jc w:val="center"/>
              <w:rPr>
                <w:noProof/>
                <w:color w:val="000000" w:themeColor="text1"/>
              </w:rPr>
            </w:pPr>
            <w:r>
              <w:rPr>
                <w:noProof/>
                <w:color w:val="000000" w:themeColor="text1"/>
              </w:rPr>
              <w:t>N/A</w:t>
            </w:r>
          </w:p>
        </w:tc>
        <w:tc>
          <w:tcPr>
            <w:tcW w:w="673"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rPr>
            </w:pPr>
            <w:r>
              <w:rPr>
                <w:noProof/>
              </w:rPr>
              <w:t>-13</w:t>
            </w:r>
          </w:p>
        </w:tc>
        <w:tc>
          <w:tcPr>
            <w:tcW w:w="675" w:type="pct"/>
            <w:noWrap/>
          </w:tcPr>
          <w:p w:rsidR="00B231CB" w:rsidRDefault="00C71431">
            <w:pPr>
              <w:spacing w:after="120"/>
              <w:jc w:val="center"/>
              <w:rPr>
                <w:noProof/>
              </w:rPr>
            </w:pPr>
            <w:r>
              <w:rPr>
                <w:noProof/>
              </w:rPr>
              <w:t>-19</w:t>
            </w:r>
          </w:p>
        </w:tc>
        <w:tc>
          <w:tcPr>
            <w:tcW w:w="675" w:type="pct"/>
            <w:noWrap/>
          </w:tcPr>
          <w:p w:rsidR="00B231CB" w:rsidRDefault="00C71431">
            <w:pPr>
              <w:spacing w:after="120"/>
              <w:jc w:val="center"/>
              <w:rPr>
                <w:noProof/>
              </w:rPr>
            </w:pPr>
            <w:r>
              <w:rPr>
                <w:noProof/>
              </w:rPr>
              <w:t>-26</w:t>
            </w:r>
          </w:p>
        </w:tc>
        <w:tc>
          <w:tcPr>
            <w:tcW w:w="675" w:type="pct"/>
            <w:noWrap/>
          </w:tcPr>
          <w:p w:rsidR="00B231CB" w:rsidRDefault="00C71431">
            <w:pPr>
              <w:spacing w:after="120"/>
              <w:jc w:val="center"/>
              <w:rPr>
                <w:noProof/>
                <w:color w:val="000000" w:themeColor="text1"/>
              </w:rPr>
            </w:pPr>
            <w:r>
              <w:rPr>
                <w:noProof/>
                <w:color w:val="000000" w:themeColor="text1"/>
              </w:rPr>
              <w:t>N/A</w:t>
            </w:r>
          </w:p>
        </w:tc>
        <w:tc>
          <w:tcPr>
            <w:tcW w:w="673"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rPr>
            </w:pPr>
            <w:r>
              <w:rPr>
                <w:noProof/>
              </w:rPr>
              <w:t>882</w:t>
            </w:r>
          </w:p>
        </w:tc>
        <w:tc>
          <w:tcPr>
            <w:tcW w:w="675" w:type="pct"/>
            <w:tcBorders>
              <w:bottom w:val="single" w:sz="24" w:space="0" w:color="auto"/>
            </w:tcBorders>
            <w:noWrap/>
          </w:tcPr>
          <w:p w:rsidR="00B231CB" w:rsidRDefault="00C71431">
            <w:pPr>
              <w:spacing w:after="120"/>
              <w:jc w:val="center"/>
              <w:rPr>
                <w:noProof/>
              </w:rPr>
            </w:pPr>
            <w:r>
              <w:rPr>
                <w:noProof/>
              </w:rPr>
              <w:t>823</w:t>
            </w:r>
          </w:p>
        </w:tc>
        <w:tc>
          <w:tcPr>
            <w:tcW w:w="675" w:type="pct"/>
            <w:tcBorders>
              <w:bottom w:val="single" w:sz="24" w:space="0" w:color="auto"/>
            </w:tcBorders>
            <w:noWrap/>
          </w:tcPr>
          <w:p w:rsidR="00B231CB" w:rsidRDefault="00C71431">
            <w:pPr>
              <w:spacing w:after="120"/>
              <w:jc w:val="center"/>
              <w:rPr>
                <w:noProof/>
              </w:rPr>
            </w:pPr>
            <w:r>
              <w:rPr>
                <w:noProof/>
              </w:rPr>
              <w:t>841</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N/A</w:t>
            </w:r>
          </w:p>
        </w:tc>
        <w:tc>
          <w:tcPr>
            <w:tcW w:w="673"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rPr>
            </w:pPr>
            <w:r>
              <w:rPr>
                <w:i/>
                <w:noProof/>
              </w:rPr>
              <w:t>518</w:t>
            </w:r>
          </w:p>
        </w:tc>
        <w:tc>
          <w:tcPr>
            <w:tcW w:w="675" w:type="pct"/>
            <w:noWrap/>
          </w:tcPr>
          <w:p w:rsidR="00B231CB" w:rsidRDefault="00C71431">
            <w:pPr>
              <w:spacing w:after="120"/>
              <w:jc w:val="center"/>
              <w:rPr>
                <w:i/>
                <w:noProof/>
              </w:rPr>
            </w:pPr>
            <w:r>
              <w:rPr>
                <w:i/>
                <w:noProof/>
              </w:rPr>
              <w:t>582</w:t>
            </w:r>
          </w:p>
        </w:tc>
        <w:tc>
          <w:tcPr>
            <w:tcW w:w="675" w:type="pct"/>
            <w:noWrap/>
          </w:tcPr>
          <w:p w:rsidR="00B231CB" w:rsidRDefault="00C71431">
            <w:pPr>
              <w:spacing w:after="120"/>
              <w:jc w:val="center"/>
              <w:rPr>
                <w:i/>
                <w:noProof/>
              </w:rPr>
            </w:pPr>
            <w:r>
              <w:rPr>
                <w:i/>
                <w:noProof/>
              </w:rPr>
              <w:t>708</w:t>
            </w:r>
          </w:p>
        </w:tc>
        <w:tc>
          <w:tcPr>
            <w:tcW w:w="675" w:type="pct"/>
            <w:noWrap/>
          </w:tcPr>
          <w:p w:rsidR="00B231CB" w:rsidRDefault="00C71431">
            <w:pPr>
              <w:spacing w:after="120"/>
              <w:jc w:val="center"/>
              <w:rPr>
                <w:i/>
                <w:noProof/>
                <w:color w:val="000000" w:themeColor="text1"/>
              </w:rPr>
            </w:pPr>
            <w:r>
              <w:rPr>
                <w:i/>
                <w:noProof/>
                <w:color w:val="000000" w:themeColor="text1"/>
              </w:rPr>
              <w:t>N/A</w:t>
            </w:r>
          </w:p>
        </w:tc>
        <w:tc>
          <w:tcPr>
            <w:tcW w:w="673" w:type="pct"/>
            <w:noWrap/>
          </w:tcPr>
          <w:p w:rsidR="00B231CB" w:rsidRDefault="00C71431">
            <w:pPr>
              <w:spacing w:after="120"/>
              <w:jc w:val="center"/>
              <w:rPr>
                <w:i/>
                <w:noProof/>
                <w:color w:val="000000" w:themeColor="text1"/>
                <w:szCs w:val="24"/>
              </w:rPr>
            </w:pPr>
            <w:r>
              <w:rPr>
                <w:i/>
                <w:noProof/>
                <w:color w:val="000000" w:themeColor="text1"/>
              </w:rPr>
              <w:t>N/A</w:t>
            </w:r>
          </w:p>
        </w:tc>
      </w:tr>
    </w:tbl>
    <w:p w:rsidR="00B231CB" w:rsidRDefault="00B231CB">
      <w:pPr>
        <w:spacing w:after="0"/>
        <w:rPr>
          <w:noProof/>
          <w:color w:val="000000" w:themeColor="text1"/>
        </w:rPr>
      </w:pP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szCs w:val="24"/>
              </w:rPr>
            </w:pPr>
            <w:r>
              <w:rPr>
                <w:b/>
                <w:noProof/>
                <w:szCs w:val="24"/>
              </w:rPr>
              <w:t>TLC25 - 2025 (EUR/car)</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rPr>
            </w:pPr>
            <w:r>
              <w:rPr>
                <w:noProof/>
              </w:rPr>
              <w:t>290</w:t>
            </w:r>
          </w:p>
        </w:tc>
        <w:tc>
          <w:tcPr>
            <w:tcW w:w="673" w:type="pct"/>
            <w:noWrap/>
          </w:tcPr>
          <w:p w:rsidR="00B231CB" w:rsidRDefault="00C71431">
            <w:pPr>
              <w:spacing w:after="120"/>
              <w:jc w:val="center"/>
              <w:rPr>
                <w:noProof/>
              </w:rPr>
            </w:pPr>
            <w:r>
              <w:rPr>
                <w:noProof/>
              </w:rPr>
              <w:t>203</w:t>
            </w:r>
          </w:p>
        </w:tc>
        <w:tc>
          <w:tcPr>
            <w:tcW w:w="673" w:type="pct"/>
            <w:noWrap/>
          </w:tcPr>
          <w:p w:rsidR="00B231CB" w:rsidRDefault="00C71431">
            <w:pPr>
              <w:spacing w:after="120"/>
              <w:jc w:val="center"/>
              <w:rPr>
                <w:noProof/>
              </w:rPr>
            </w:pPr>
            <w:r>
              <w:rPr>
                <w:noProof/>
              </w:rPr>
              <w:t>86</w:t>
            </w:r>
          </w:p>
        </w:tc>
        <w:tc>
          <w:tcPr>
            <w:tcW w:w="673" w:type="pct"/>
            <w:noWrap/>
          </w:tcPr>
          <w:p w:rsidR="00B231CB" w:rsidRDefault="00C71431">
            <w:pPr>
              <w:spacing w:after="120"/>
              <w:jc w:val="center"/>
              <w:rPr>
                <w:noProof/>
              </w:rPr>
            </w:pPr>
            <w:r>
              <w:rPr>
                <w:noProof/>
              </w:rPr>
              <w:t>34</w:t>
            </w:r>
          </w:p>
        </w:tc>
        <w:tc>
          <w:tcPr>
            <w:tcW w:w="672" w:type="pct"/>
            <w:noWrap/>
          </w:tcPr>
          <w:p w:rsidR="00B231CB" w:rsidRDefault="00C71431">
            <w:pPr>
              <w:spacing w:after="120"/>
              <w:jc w:val="center"/>
              <w:rPr>
                <w:noProof/>
              </w:rPr>
            </w:pPr>
            <w:r>
              <w:rPr>
                <w:noProof/>
              </w:rPr>
              <w:t>-42</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rPr>
            </w:pPr>
            <w:r>
              <w:rPr>
                <w:noProof/>
              </w:rPr>
              <w:t>67</w:t>
            </w:r>
          </w:p>
        </w:tc>
        <w:tc>
          <w:tcPr>
            <w:tcW w:w="673" w:type="pct"/>
            <w:noWrap/>
          </w:tcPr>
          <w:p w:rsidR="00B231CB" w:rsidRDefault="00C71431">
            <w:pPr>
              <w:spacing w:after="120"/>
              <w:jc w:val="center"/>
              <w:rPr>
                <w:noProof/>
              </w:rPr>
            </w:pPr>
            <w:r>
              <w:rPr>
                <w:noProof/>
              </w:rPr>
              <w:t>63</w:t>
            </w:r>
          </w:p>
        </w:tc>
        <w:tc>
          <w:tcPr>
            <w:tcW w:w="673" w:type="pct"/>
            <w:noWrap/>
          </w:tcPr>
          <w:p w:rsidR="00B231CB" w:rsidRDefault="00C71431">
            <w:pPr>
              <w:spacing w:after="120"/>
              <w:jc w:val="center"/>
              <w:rPr>
                <w:noProof/>
              </w:rPr>
            </w:pPr>
            <w:r>
              <w:rPr>
                <w:noProof/>
              </w:rPr>
              <w:t>58</w:t>
            </w:r>
          </w:p>
        </w:tc>
        <w:tc>
          <w:tcPr>
            <w:tcW w:w="673" w:type="pct"/>
            <w:noWrap/>
          </w:tcPr>
          <w:p w:rsidR="00B231CB" w:rsidRDefault="00C71431">
            <w:pPr>
              <w:spacing w:after="120"/>
              <w:jc w:val="center"/>
              <w:rPr>
                <w:noProof/>
              </w:rPr>
            </w:pPr>
            <w:r>
              <w:rPr>
                <w:noProof/>
              </w:rPr>
              <w:t>50</w:t>
            </w:r>
          </w:p>
        </w:tc>
        <w:tc>
          <w:tcPr>
            <w:tcW w:w="672" w:type="pct"/>
            <w:noWrap/>
          </w:tcPr>
          <w:p w:rsidR="00B231CB" w:rsidRDefault="00C71431">
            <w:pPr>
              <w:spacing w:after="120"/>
              <w:jc w:val="center"/>
              <w:rPr>
                <w:noProof/>
              </w:rPr>
            </w:pPr>
            <w:r>
              <w:rPr>
                <w:noProof/>
              </w:rPr>
              <w:t>45</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3" w:type="pct"/>
            <w:tcBorders>
              <w:bottom w:val="single" w:sz="24" w:space="0" w:color="auto"/>
            </w:tcBorders>
            <w:noWrap/>
          </w:tcPr>
          <w:p w:rsidR="00B231CB" w:rsidRDefault="00C71431">
            <w:pPr>
              <w:spacing w:after="120"/>
              <w:jc w:val="center"/>
              <w:rPr>
                <w:noProof/>
              </w:rPr>
            </w:pPr>
            <w:r>
              <w:rPr>
                <w:noProof/>
              </w:rPr>
              <w:t>445</w:t>
            </w:r>
          </w:p>
        </w:tc>
        <w:tc>
          <w:tcPr>
            <w:tcW w:w="673" w:type="pct"/>
            <w:tcBorders>
              <w:bottom w:val="single" w:sz="24" w:space="0" w:color="auto"/>
            </w:tcBorders>
            <w:noWrap/>
          </w:tcPr>
          <w:p w:rsidR="00B231CB" w:rsidRDefault="00C71431">
            <w:pPr>
              <w:spacing w:after="120"/>
              <w:jc w:val="center"/>
              <w:rPr>
                <w:noProof/>
              </w:rPr>
            </w:pPr>
            <w:r>
              <w:rPr>
                <w:noProof/>
              </w:rPr>
              <w:t>404</w:t>
            </w:r>
          </w:p>
        </w:tc>
        <w:tc>
          <w:tcPr>
            <w:tcW w:w="673" w:type="pct"/>
            <w:tcBorders>
              <w:bottom w:val="single" w:sz="24" w:space="0" w:color="auto"/>
            </w:tcBorders>
            <w:noWrap/>
          </w:tcPr>
          <w:p w:rsidR="00B231CB" w:rsidRDefault="00C71431">
            <w:pPr>
              <w:spacing w:after="120"/>
              <w:jc w:val="center"/>
              <w:rPr>
                <w:noProof/>
              </w:rPr>
            </w:pPr>
            <w:r>
              <w:rPr>
                <w:noProof/>
              </w:rPr>
              <w:t>416</w:t>
            </w:r>
          </w:p>
        </w:tc>
        <w:tc>
          <w:tcPr>
            <w:tcW w:w="673" w:type="pct"/>
            <w:tcBorders>
              <w:bottom w:val="single" w:sz="24" w:space="0" w:color="auto"/>
            </w:tcBorders>
            <w:noWrap/>
          </w:tcPr>
          <w:p w:rsidR="00B231CB" w:rsidRDefault="00C71431">
            <w:pPr>
              <w:spacing w:after="120"/>
              <w:jc w:val="center"/>
              <w:rPr>
                <w:noProof/>
              </w:rPr>
            </w:pPr>
            <w:r>
              <w:rPr>
                <w:noProof/>
              </w:rPr>
              <w:t>366</w:t>
            </w:r>
          </w:p>
        </w:tc>
        <w:tc>
          <w:tcPr>
            <w:tcW w:w="672" w:type="pct"/>
            <w:tcBorders>
              <w:bottom w:val="single" w:sz="24" w:space="0" w:color="auto"/>
            </w:tcBorders>
            <w:noWrap/>
          </w:tcPr>
          <w:p w:rsidR="00B231CB" w:rsidRDefault="00C71431">
            <w:pPr>
              <w:spacing w:after="120"/>
              <w:jc w:val="center"/>
              <w:rPr>
                <w:noProof/>
              </w:rPr>
            </w:pPr>
            <w:r>
              <w:rPr>
                <w:noProof/>
              </w:rPr>
              <w:t>373</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3" w:type="pct"/>
            <w:noWrap/>
          </w:tcPr>
          <w:p w:rsidR="00B231CB" w:rsidRDefault="00C71431">
            <w:pPr>
              <w:spacing w:after="120"/>
              <w:jc w:val="center"/>
              <w:rPr>
                <w:i/>
                <w:noProof/>
              </w:rPr>
            </w:pPr>
            <w:r>
              <w:rPr>
                <w:i/>
                <w:noProof/>
              </w:rPr>
              <w:t>88</w:t>
            </w:r>
          </w:p>
        </w:tc>
        <w:tc>
          <w:tcPr>
            <w:tcW w:w="673" w:type="pct"/>
            <w:noWrap/>
          </w:tcPr>
          <w:p w:rsidR="00B231CB" w:rsidRDefault="00C71431">
            <w:pPr>
              <w:spacing w:after="120"/>
              <w:jc w:val="center"/>
              <w:rPr>
                <w:i/>
                <w:noProof/>
              </w:rPr>
            </w:pPr>
            <w:r>
              <w:rPr>
                <w:i/>
                <w:noProof/>
              </w:rPr>
              <w:t>139</w:t>
            </w:r>
          </w:p>
        </w:tc>
        <w:tc>
          <w:tcPr>
            <w:tcW w:w="673" w:type="pct"/>
            <w:noWrap/>
          </w:tcPr>
          <w:p w:rsidR="00B231CB" w:rsidRDefault="00C71431">
            <w:pPr>
              <w:spacing w:after="120"/>
              <w:jc w:val="center"/>
              <w:rPr>
                <w:i/>
                <w:noProof/>
              </w:rPr>
            </w:pPr>
            <w:r>
              <w:rPr>
                <w:i/>
                <w:noProof/>
              </w:rPr>
              <w:t>272</w:t>
            </w:r>
          </w:p>
        </w:tc>
        <w:tc>
          <w:tcPr>
            <w:tcW w:w="673" w:type="pct"/>
            <w:noWrap/>
          </w:tcPr>
          <w:p w:rsidR="00B231CB" w:rsidRDefault="00C71431">
            <w:pPr>
              <w:spacing w:after="120"/>
              <w:jc w:val="center"/>
              <w:rPr>
                <w:i/>
                <w:noProof/>
              </w:rPr>
            </w:pPr>
            <w:r>
              <w:rPr>
                <w:i/>
                <w:noProof/>
              </w:rPr>
              <w:t>282</w:t>
            </w:r>
          </w:p>
        </w:tc>
        <w:tc>
          <w:tcPr>
            <w:tcW w:w="672" w:type="pct"/>
            <w:noWrap/>
          </w:tcPr>
          <w:p w:rsidR="00B231CB" w:rsidRDefault="00C71431">
            <w:pPr>
              <w:spacing w:after="120"/>
              <w:jc w:val="center"/>
              <w:rPr>
                <w:i/>
                <w:noProof/>
              </w:rPr>
            </w:pPr>
            <w:r>
              <w:rPr>
                <w:i/>
                <w:noProof/>
              </w:rPr>
              <w:t>370</w:t>
            </w:r>
          </w:p>
        </w:tc>
      </w:tr>
    </w:tbl>
    <w:p w:rsidR="00B231CB" w:rsidRDefault="00B231CB">
      <w:pPr>
        <w:spacing w:after="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TLC25 - 2030 (EUR/car)</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rPr>
            </w:pPr>
            <w:r>
              <w:rPr>
                <w:noProof/>
              </w:rPr>
              <w:t>534</w:t>
            </w:r>
          </w:p>
        </w:tc>
        <w:tc>
          <w:tcPr>
            <w:tcW w:w="675" w:type="pct"/>
            <w:noWrap/>
          </w:tcPr>
          <w:p w:rsidR="00B231CB" w:rsidRDefault="00C71431">
            <w:pPr>
              <w:spacing w:after="120"/>
              <w:jc w:val="center"/>
              <w:rPr>
                <w:noProof/>
              </w:rPr>
            </w:pPr>
            <w:r>
              <w:rPr>
                <w:noProof/>
              </w:rPr>
              <w:t>390</w:t>
            </w:r>
          </w:p>
        </w:tc>
        <w:tc>
          <w:tcPr>
            <w:tcW w:w="675" w:type="pct"/>
            <w:noWrap/>
          </w:tcPr>
          <w:p w:rsidR="00B231CB" w:rsidRDefault="00C71431">
            <w:pPr>
              <w:spacing w:after="120"/>
              <w:jc w:val="center"/>
              <w:rPr>
                <w:noProof/>
              </w:rPr>
            </w:pPr>
            <w:r>
              <w:rPr>
                <w:noProof/>
              </w:rPr>
              <w:t>256</w:t>
            </w:r>
          </w:p>
        </w:tc>
        <w:tc>
          <w:tcPr>
            <w:tcW w:w="675" w:type="pct"/>
            <w:noWrap/>
          </w:tcPr>
          <w:p w:rsidR="00B231CB" w:rsidRDefault="00C71431">
            <w:pPr>
              <w:spacing w:after="120"/>
              <w:jc w:val="center"/>
              <w:rPr>
                <w:noProof/>
              </w:rPr>
            </w:pPr>
            <w:r>
              <w:rPr>
                <w:noProof/>
              </w:rPr>
              <w:t>138</w:t>
            </w:r>
          </w:p>
        </w:tc>
        <w:tc>
          <w:tcPr>
            <w:tcW w:w="673" w:type="pct"/>
            <w:noWrap/>
          </w:tcPr>
          <w:p w:rsidR="00B231CB" w:rsidRDefault="00C71431">
            <w:pPr>
              <w:spacing w:after="120"/>
              <w:jc w:val="center"/>
              <w:rPr>
                <w:noProof/>
              </w:rPr>
            </w:pPr>
            <w:r>
              <w:rPr>
                <w:noProof/>
              </w:rPr>
              <w:t>63</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rPr>
            </w:pPr>
            <w:r>
              <w:rPr>
                <w:noProof/>
              </w:rPr>
              <w:t>-13</w:t>
            </w:r>
          </w:p>
        </w:tc>
        <w:tc>
          <w:tcPr>
            <w:tcW w:w="675" w:type="pct"/>
            <w:noWrap/>
          </w:tcPr>
          <w:p w:rsidR="00B231CB" w:rsidRDefault="00C71431">
            <w:pPr>
              <w:spacing w:after="120"/>
              <w:jc w:val="center"/>
              <w:rPr>
                <w:noProof/>
              </w:rPr>
            </w:pPr>
            <w:r>
              <w:rPr>
                <w:noProof/>
              </w:rPr>
              <w:t>-19</w:t>
            </w:r>
          </w:p>
        </w:tc>
        <w:tc>
          <w:tcPr>
            <w:tcW w:w="675" w:type="pct"/>
            <w:noWrap/>
          </w:tcPr>
          <w:p w:rsidR="00B231CB" w:rsidRDefault="00C71431">
            <w:pPr>
              <w:spacing w:after="120"/>
              <w:jc w:val="center"/>
              <w:rPr>
                <w:noProof/>
              </w:rPr>
            </w:pPr>
            <w:r>
              <w:rPr>
                <w:noProof/>
              </w:rPr>
              <w:t>-26</w:t>
            </w:r>
          </w:p>
        </w:tc>
        <w:tc>
          <w:tcPr>
            <w:tcW w:w="675" w:type="pct"/>
            <w:noWrap/>
          </w:tcPr>
          <w:p w:rsidR="00B231CB" w:rsidRDefault="00C71431">
            <w:pPr>
              <w:spacing w:after="120"/>
              <w:jc w:val="center"/>
              <w:rPr>
                <w:noProof/>
              </w:rPr>
            </w:pPr>
            <w:r>
              <w:rPr>
                <w:noProof/>
              </w:rPr>
              <w:t>-43</w:t>
            </w:r>
          </w:p>
        </w:tc>
        <w:tc>
          <w:tcPr>
            <w:tcW w:w="673" w:type="pct"/>
            <w:noWrap/>
          </w:tcPr>
          <w:p w:rsidR="00B231CB" w:rsidRDefault="00C71431">
            <w:pPr>
              <w:spacing w:after="120"/>
              <w:jc w:val="center"/>
              <w:rPr>
                <w:noProof/>
              </w:rPr>
            </w:pPr>
            <w:r>
              <w:rPr>
                <w:noProof/>
              </w:rPr>
              <w:t>-50</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rPr>
            </w:pPr>
            <w:r>
              <w:rPr>
                <w:noProof/>
              </w:rPr>
              <w:t>1,125</w:t>
            </w:r>
          </w:p>
        </w:tc>
        <w:tc>
          <w:tcPr>
            <w:tcW w:w="675" w:type="pct"/>
            <w:tcBorders>
              <w:bottom w:val="single" w:sz="24" w:space="0" w:color="auto"/>
            </w:tcBorders>
            <w:noWrap/>
          </w:tcPr>
          <w:p w:rsidR="00B231CB" w:rsidRDefault="00C71431">
            <w:pPr>
              <w:spacing w:after="120"/>
              <w:jc w:val="center"/>
              <w:rPr>
                <w:noProof/>
              </w:rPr>
            </w:pPr>
            <w:r>
              <w:rPr>
                <w:noProof/>
              </w:rPr>
              <w:t>1,065</w:t>
            </w:r>
          </w:p>
        </w:tc>
        <w:tc>
          <w:tcPr>
            <w:tcW w:w="675" w:type="pct"/>
            <w:tcBorders>
              <w:bottom w:val="single" w:sz="24" w:space="0" w:color="auto"/>
            </w:tcBorders>
            <w:noWrap/>
          </w:tcPr>
          <w:p w:rsidR="00B231CB" w:rsidRDefault="00C71431">
            <w:pPr>
              <w:spacing w:after="120"/>
              <w:jc w:val="center"/>
              <w:rPr>
                <w:noProof/>
              </w:rPr>
            </w:pPr>
            <w:r>
              <w:rPr>
                <w:noProof/>
              </w:rPr>
              <w:t>1,083</w:t>
            </w:r>
          </w:p>
        </w:tc>
        <w:tc>
          <w:tcPr>
            <w:tcW w:w="675" w:type="pct"/>
            <w:tcBorders>
              <w:bottom w:val="single" w:sz="24" w:space="0" w:color="auto"/>
            </w:tcBorders>
            <w:noWrap/>
          </w:tcPr>
          <w:p w:rsidR="00B231CB" w:rsidRDefault="00C71431">
            <w:pPr>
              <w:spacing w:after="120"/>
              <w:jc w:val="center"/>
              <w:rPr>
                <w:noProof/>
              </w:rPr>
            </w:pPr>
            <w:r>
              <w:rPr>
                <w:noProof/>
              </w:rPr>
              <w:t>998</w:t>
            </w:r>
          </w:p>
        </w:tc>
        <w:tc>
          <w:tcPr>
            <w:tcW w:w="673" w:type="pct"/>
            <w:tcBorders>
              <w:bottom w:val="single" w:sz="24" w:space="0" w:color="auto"/>
            </w:tcBorders>
            <w:noWrap/>
          </w:tcPr>
          <w:p w:rsidR="00B231CB" w:rsidRDefault="00C71431">
            <w:pPr>
              <w:spacing w:after="120"/>
              <w:jc w:val="center"/>
              <w:rPr>
                <w:noProof/>
              </w:rPr>
            </w:pPr>
            <w:r>
              <w:rPr>
                <w:noProof/>
              </w:rPr>
              <w:t>1,011</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rPr>
            </w:pPr>
            <w:r>
              <w:rPr>
                <w:i/>
                <w:noProof/>
              </w:rPr>
              <w:t>603</w:t>
            </w:r>
          </w:p>
        </w:tc>
        <w:tc>
          <w:tcPr>
            <w:tcW w:w="675" w:type="pct"/>
            <w:noWrap/>
          </w:tcPr>
          <w:p w:rsidR="00B231CB" w:rsidRDefault="00C71431">
            <w:pPr>
              <w:spacing w:after="120"/>
              <w:jc w:val="center"/>
              <w:rPr>
                <w:i/>
                <w:noProof/>
              </w:rPr>
            </w:pPr>
            <w:r>
              <w:rPr>
                <w:i/>
                <w:noProof/>
              </w:rPr>
              <w:t>694</w:t>
            </w:r>
          </w:p>
        </w:tc>
        <w:tc>
          <w:tcPr>
            <w:tcW w:w="675" w:type="pct"/>
            <w:noWrap/>
          </w:tcPr>
          <w:p w:rsidR="00B231CB" w:rsidRDefault="00C71431">
            <w:pPr>
              <w:spacing w:after="120"/>
              <w:jc w:val="center"/>
              <w:rPr>
                <w:i/>
                <w:noProof/>
              </w:rPr>
            </w:pPr>
            <w:r>
              <w:rPr>
                <w:i/>
                <w:noProof/>
              </w:rPr>
              <w:t>853</w:t>
            </w:r>
          </w:p>
        </w:tc>
        <w:tc>
          <w:tcPr>
            <w:tcW w:w="675" w:type="pct"/>
            <w:noWrap/>
          </w:tcPr>
          <w:p w:rsidR="00B231CB" w:rsidRDefault="00C71431">
            <w:pPr>
              <w:spacing w:after="120"/>
              <w:jc w:val="center"/>
              <w:rPr>
                <w:i/>
                <w:noProof/>
              </w:rPr>
            </w:pPr>
            <w:r>
              <w:rPr>
                <w:i/>
                <w:noProof/>
              </w:rPr>
              <w:t>903</w:t>
            </w:r>
          </w:p>
        </w:tc>
        <w:tc>
          <w:tcPr>
            <w:tcW w:w="673" w:type="pct"/>
            <w:noWrap/>
          </w:tcPr>
          <w:p w:rsidR="00B231CB" w:rsidRDefault="00C71431">
            <w:pPr>
              <w:spacing w:after="120"/>
              <w:jc w:val="center"/>
              <w:rPr>
                <w:i/>
                <w:noProof/>
              </w:rPr>
            </w:pPr>
            <w:r>
              <w:rPr>
                <w:i/>
                <w:noProof/>
              </w:rPr>
              <w:t>997</w:t>
            </w:r>
          </w:p>
        </w:tc>
      </w:tr>
    </w:tbl>
    <w:p w:rsidR="00B231CB" w:rsidRDefault="00B231CB">
      <w:pPr>
        <w:spacing w:after="0"/>
        <w:rPr>
          <w:noProof/>
          <w:color w:val="000000" w:themeColor="text1"/>
        </w:rPr>
      </w:pP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szCs w:val="24"/>
              </w:rPr>
            </w:pPr>
            <w:r>
              <w:rPr>
                <w:b/>
                <w:noProof/>
                <w:szCs w:val="24"/>
              </w:rPr>
              <w:t>TLC30 - 2025 (EUR/car)</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rPr>
            </w:pPr>
            <w:r>
              <w:rPr>
                <w:noProof/>
              </w:rPr>
              <w:t>373</w:t>
            </w:r>
          </w:p>
        </w:tc>
        <w:tc>
          <w:tcPr>
            <w:tcW w:w="673" w:type="pct"/>
            <w:noWrap/>
          </w:tcPr>
          <w:p w:rsidR="00B231CB" w:rsidRDefault="00C71431">
            <w:pPr>
              <w:spacing w:after="120"/>
              <w:jc w:val="center"/>
              <w:rPr>
                <w:noProof/>
              </w:rPr>
            </w:pPr>
            <w:r>
              <w:rPr>
                <w:noProof/>
              </w:rPr>
              <w:t>270</w:t>
            </w:r>
          </w:p>
        </w:tc>
        <w:tc>
          <w:tcPr>
            <w:tcW w:w="673" w:type="pct"/>
            <w:noWrap/>
          </w:tcPr>
          <w:p w:rsidR="00B231CB" w:rsidRDefault="00C71431">
            <w:pPr>
              <w:spacing w:after="120"/>
              <w:jc w:val="center"/>
              <w:rPr>
                <w:noProof/>
              </w:rPr>
            </w:pPr>
            <w:r>
              <w:rPr>
                <w:noProof/>
              </w:rPr>
              <w:t>143</w:t>
            </w:r>
          </w:p>
        </w:tc>
        <w:tc>
          <w:tcPr>
            <w:tcW w:w="673" w:type="pct"/>
            <w:noWrap/>
          </w:tcPr>
          <w:p w:rsidR="00B231CB" w:rsidRDefault="00C71431">
            <w:pPr>
              <w:spacing w:after="120"/>
              <w:jc w:val="center"/>
              <w:rPr>
                <w:noProof/>
              </w:rPr>
            </w:pPr>
            <w:r>
              <w:rPr>
                <w:noProof/>
              </w:rPr>
              <w:t>81</w:t>
            </w:r>
          </w:p>
        </w:tc>
        <w:tc>
          <w:tcPr>
            <w:tcW w:w="672" w:type="pct"/>
            <w:noWrap/>
          </w:tcPr>
          <w:p w:rsidR="00B231CB" w:rsidRDefault="00C71431">
            <w:pPr>
              <w:spacing w:after="120"/>
              <w:jc w:val="center"/>
              <w:rPr>
                <w:noProof/>
              </w:rPr>
            </w:pPr>
            <w:r>
              <w:rPr>
                <w:noProof/>
              </w:rPr>
              <w:t>-7</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rPr>
            </w:pPr>
            <w:r>
              <w:rPr>
                <w:noProof/>
              </w:rPr>
              <w:t>56</w:t>
            </w:r>
          </w:p>
        </w:tc>
        <w:tc>
          <w:tcPr>
            <w:tcW w:w="673" w:type="pct"/>
            <w:noWrap/>
          </w:tcPr>
          <w:p w:rsidR="00B231CB" w:rsidRDefault="00C71431">
            <w:pPr>
              <w:spacing w:after="120"/>
              <w:jc w:val="center"/>
              <w:rPr>
                <w:noProof/>
              </w:rPr>
            </w:pPr>
            <w:r>
              <w:rPr>
                <w:noProof/>
              </w:rPr>
              <w:t>57</w:t>
            </w:r>
          </w:p>
        </w:tc>
        <w:tc>
          <w:tcPr>
            <w:tcW w:w="673" w:type="pct"/>
            <w:noWrap/>
          </w:tcPr>
          <w:p w:rsidR="00B231CB" w:rsidRDefault="00C71431">
            <w:pPr>
              <w:spacing w:after="120"/>
              <w:jc w:val="center"/>
              <w:rPr>
                <w:noProof/>
              </w:rPr>
            </w:pPr>
            <w:r>
              <w:rPr>
                <w:noProof/>
              </w:rPr>
              <w:t>54</w:t>
            </w:r>
          </w:p>
        </w:tc>
        <w:tc>
          <w:tcPr>
            <w:tcW w:w="673" w:type="pct"/>
            <w:noWrap/>
          </w:tcPr>
          <w:p w:rsidR="00B231CB" w:rsidRDefault="00C71431">
            <w:pPr>
              <w:spacing w:after="120"/>
              <w:jc w:val="center"/>
              <w:rPr>
                <w:noProof/>
              </w:rPr>
            </w:pPr>
            <w:r>
              <w:rPr>
                <w:noProof/>
              </w:rPr>
              <w:t>50</w:t>
            </w:r>
          </w:p>
        </w:tc>
        <w:tc>
          <w:tcPr>
            <w:tcW w:w="672" w:type="pct"/>
            <w:noWrap/>
          </w:tcPr>
          <w:p w:rsidR="00B231CB" w:rsidRDefault="00C71431">
            <w:pPr>
              <w:spacing w:after="120"/>
              <w:jc w:val="center"/>
              <w:rPr>
                <w:noProof/>
              </w:rPr>
            </w:pPr>
            <w:r>
              <w:rPr>
                <w:noProof/>
              </w:rPr>
              <w:t>45</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3" w:type="pct"/>
            <w:tcBorders>
              <w:bottom w:val="single" w:sz="24" w:space="0" w:color="auto"/>
            </w:tcBorders>
            <w:noWrap/>
          </w:tcPr>
          <w:p w:rsidR="00B231CB" w:rsidRDefault="00C71431">
            <w:pPr>
              <w:spacing w:after="120"/>
              <w:jc w:val="center"/>
              <w:rPr>
                <w:noProof/>
              </w:rPr>
            </w:pPr>
            <w:r>
              <w:rPr>
                <w:noProof/>
              </w:rPr>
              <w:t>538</w:t>
            </w:r>
          </w:p>
        </w:tc>
        <w:tc>
          <w:tcPr>
            <w:tcW w:w="673" w:type="pct"/>
            <w:tcBorders>
              <w:bottom w:val="single" w:sz="24" w:space="0" w:color="auto"/>
            </w:tcBorders>
            <w:noWrap/>
          </w:tcPr>
          <w:p w:rsidR="00B231CB" w:rsidRDefault="00C71431">
            <w:pPr>
              <w:spacing w:after="120"/>
              <w:jc w:val="center"/>
              <w:rPr>
                <w:noProof/>
              </w:rPr>
            </w:pPr>
            <w:r>
              <w:rPr>
                <w:noProof/>
              </w:rPr>
              <w:t>509</w:t>
            </w:r>
          </w:p>
        </w:tc>
        <w:tc>
          <w:tcPr>
            <w:tcW w:w="673" w:type="pct"/>
            <w:tcBorders>
              <w:bottom w:val="single" w:sz="24" w:space="0" w:color="auto"/>
            </w:tcBorders>
            <w:noWrap/>
          </w:tcPr>
          <w:p w:rsidR="00B231CB" w:rsidRDefault="00C71431">
            <w:pPr>
              <w:spacing w:after="120"/>
              <w:jc w:val="center"/>
              <w:rPr>
                <w:noProof/>
              </w:rPr>
            </w:pPr>
            <w:r>
              <w:rPr>
                <w:noProof/>
              </w:rPr>
              <w:t>527</w:t>
            </w:r>
          </w:p>
        </w:tc>
        <w:tc>
          <w:tcPr>
            <w:tcW w:w="673" w:type="pct"/>
            <w:tcBorders>
              <w:bottom w:val="single" w:sz="24" w:space="0" w:color="auto"/>
            </w:tcBorders>
            <w:noWrap/>
          </w:tcPr>
          <w:p w:rsidR="00B231CB" w:rsidRDefault="00C71431">
            <w:pPr>
              <w:spacing w:after="120"/>
              <w:jc w:val="center"/>
              <w:rPr>
                <w:noProof/>
              </w:rPr>
            </w:pPr>
            <w:r>
              <w:rPr>
                <w:noProof/>
              </w:rPr>
              <w:t>492</w:t>
            </w:r>
          </w:p>
        </w:tc>
        <w:tc>
          <w:tcPr>
            <w:tcW w:w="672" w:type="pct"/>
            <w:tcBorders>
              <w:bottom w:val="single" w:sz="24" w:space="0" w:color="auto"/>
            </w:tcBorders>
            <w:noWrap/>
          </w:tcPr>
          <w:p w:rsidR="00B231CB" w:rsidRDefault="00C71431">
            <w:pPr>
              <w:spacing w:after="120"/>
              <w:jc w:val="center"/>
              <w:rPr>
                <w:noProof/>
              </w:rPr>
            </w:pPr>
            <w:r>
              <w:rPr>
                <w:noProof/>
              </w:rPr>
              <w:t>500</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3" w:type="pct"/>
            <w:noWrap/>
          </w:tcPr>
          <w:p w:rsidR="00B231CB" w:rsidRDefault="00C71431">
            <w:pPr>
              <w:spacing w:after="120"/>
              <w:jc w:val="center"/>
              <w:rPr>
                <w:i/>
                <w:noProof/>
              </w:rPr>
            </w:pPr>
            <w:r>
              <w:rPr>
                <w:i/>
                <w:noProof/>
              </w:rPr>
              <w:t>109</w:t>
            </w:r>
          </w:p>
        </w:tc>
        <w:tc>
          <w:tcPr>
            <w:tcW w:w="673" w:type="pct"/>
            <w:noWrap/>
          </w:tcPr>
          <w:p w:rsidR="00B231CB" w:rsidRDefault="00C71431">
            <w:pPr>
              <w:spacing w:after="120"/>
              <w:jc w:val="center"/>
              <w:rPr>
                <w:i/>
                <w:noProof/>
              </w:rPr>
            </w:pPr>
            <w:r>
              <w:rPr>
                <w:i/>
                <w:noProof/>
              </w:rPr>
              <w:t>182</w:t>
            </w:r>
          </w:p>
        </w:tc>
        <w:tc>
          <w:tcPr>
            <w:tcW w:w="673" w:type="pct"/>
            <w:noWrap/>
          </w:tcPr>
          <w:p w:rsidR="00B231CB" w:rsidRDefault="00C71431">
            <w:pPr>
              <w:spacing w:after="120"/>
              <w:jc w:val="center"/>
              <w:rPr>
                <w:i/>
                <w:noProof/>
              </w:rPr>
            </w:pPr>
            <w:r>
              <w:rPr>
                <w:i/>
                <w:noProof/>
              </w:rPr>
              <w:t>329</w:t>
            </w:r>
          </w:p>
        </w:tc>
        <w:tc>
          <w:tcPr>
            <w:tcW w:w="673" w:type="pct"/>
            <w:noWrap/>
          </w:tcPr>
          <w:p w:rsidR="00B231CB" w:rsidRDefault="00C71431">
            <w:pPr>
              <w:spacing w:after="120"/>
              <w:jc w:val="center"/>
              <w:rPr>
                <w:i/>
                <w:noProof/>
              </w:rPr>
            </w:pPr>
            <w:r>
              <w:rPr>
                <w:i/>
                <w:noProof/>
              </w:rPr>
              <w:t>362</w:t>
            </w:r>
          </w:p>
        </w:tc>
        <w:tc>
          <w:tcPr>
            <w:tcW w:w="672" w:type="pct"/>
            <w:noWrap/>
          </w:tcPr>
          <w:p w:rsidR="00B231CB" w:rsidRDefault="00C71431">
            <w:pPr>
              <w:spacing w:after="120"/>
              <w:jc w:val="center"/>
              <w:rPr>
                <w:i/>
                <w:noProof/>
              </w:rPr>
            </w:pPr>
            <w:r>
              <w:rPr>
                <w:i/>
                <w:noProof/>
              </w:rPr>
              <w:t>463</w:t>
            </w:r>
          </w:p>
        </w:tc>
      </w:tr>
    </w:tbl>
    <w:p w:rsidR="00B231CB" w:rsidRDefault="00B231CB">
      <w:pPr>
        <w:spacing w:after="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TLC30 - 2030 (EUR/car)</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rPr>
            </w:pPr>
            <w:r>
              <w:rPr>
                <w:noProof/>
              </w:rPr>
              <w:t>703</w:t>
            </w:r>
          </w:p>
        </w:tc>
        <w:tc>
          <w:tcPr>
            <w:tcW w:w="675" w:type="pct"/>
            <w:noWrap/>
          </w:tcPr>
          <w:p w:rsidR="00B231CB" w:rsidRDefault="00C71431">
            <w:pPr>
              <w:spacing w:after="120"/>
              <w:jc w:val="center"/>
              <w:rPr>
                <w:noProof/>
              </w:rPr>
            </w:pPr>
            <w:r>
              <w:rPr>
                <w:noProof/>
              </w:rPr>
              <w:t>534</w:t>
            </w:r>
          </w:p>
        </w:tc>
        <w:tc>
          <w:tcPr>
            <w:tcW w:w="675" w:type="pct"/>
            <w:noWrap/>
          </w:tcPr>
          <w:p w:rsidR="00B231CB" w:rsidRDefault="00C71431">
            <w:pPr>
              <w:spacing w:after="120"/>
              <w:jc w:val="center"/>
              <w:rPr>
                <w:noProof/>
              </w:rPr>
            </w:pPr>
            <w:r>
              <w:rPr>
                <w:noProof/>
              </w:rPr>
              <w:t>385</w:t>
            </w:r>
          </w:p>
        </w:tc>
        <w:tc>
          <w:tcPr>
            <w:tcW w:w="675" w:type="pct"/>
            <w:noWrap/>
          </w:tcPr>
          <w:p w:rsidR="00B231CB" w:rsidRDefault="00C71431">
            <w:pPr>
              <w:spacing w:after="120"/>
              <w:jc w:val="center"/>
              <w:rPr>
                <w:noProof/>
              </w:rPr>
            </w:pPr>
            <w:r>
              <w:rPr>
                <w:noProof/>
              </w:rPr>
              <w:t>247</w:t>
            </w:r>
          </w:p>
        </w:tc>
        <w:tc>
          <w:tcPr>
            <w:tcW w:w="673" w:type="pct"/>
            <w:noWrap/>
          </w:tcPr>
          <w:p w:rsidR="00B231CB" w:rsidRDefault="00C71431">
            <w:pPr>
              <w:spacing w:after="120"/>
              <w:jc w:val="center"/>
              <w:rPr>
                <w:noProof/>
              </w:rPr>
            </w:pPr>
            <w:r>
              <w:rPr>
                <w:noProof/>
              </w:rPr>
              <w:t>146</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rPr>
            </w:pPr>
            <w:r>
              <w:rPr>
                <w:noProof/>
              </w:rPr>
              <w:t>-36</w:t>
            </w:r>
          </w:p>
        </w:tc>
        <w:tc>
          <w:tcPr>
            <w:tcW w:w="675" w:type="pct"/>
            <w:noWrap/>
          </w:tcPr>
          <w:p w:rsidR="00B231CB" w:rsidRDefault="00C71431">
            <w:pPr>
              <w:spacing w:after="120"/>
              <w:jc w:val="center"/>
              <w:rPr>
                <w:noProof/>
              </w:rPr>
            </w:pPr>
            <w:r>
              <w:rPr>
                <w:noProof/>
              </w:rPr>
              <w:t>-34</w:t>
            </w:r>
          </w:p>
        </w:tc>
        <w:tc>
          <w:tcPr>
            <w:tcW w:w="675" w:type="pct"/>
            <w:noWrap/>
          </w:tcPr>
          <w:p w:rsidR="00B231CB" w:rsidRDefault="00C71431">
            <w:pPr>
              <w:spacing w:after="120"/>
              <w:jc w:val="center"/>
              <w:rPr>
                <w:noProof/>
              </w:rPr>
            </w:pPr>
            <w:r>
              <w:rPr>
                <w:noProof/>
              </w:rPr>
              <w:t>-40</w:t>
            </w:r>
          </w:p>
        </w:tc>
        <w:tc>
          <w:tcPr>
            <w:tcW w:w="675" w:type="pct"/>
            <w:noWrap/>
          </w:tcPr>
          <w:p w:rsidR="00B231CB" w:rsidRDefault="00C71431">
            <w:pPr>
              <w:spacing w:after="120"/>
              <w:jc w:val="center"/>
              <w:rPr>
                <w:noProof/>
              </w:rPr>
            </w:pPr>
            <w:r>
              <w:rPr>
                <w:noProof/>
              </w:rPr>
              <w:t>-43</w:t>
            </w:r>
          </w:p>
        </w:tc>
        <w:tc>
          <w:tcPr>
            <w:tcW w:w="673" w:type="pct"/>
            <w:noWrap/>
          </w:tcPr>
          <w:p w:rsidR="00B231CB" w:rsidRDefault="00C71431">
            <w:pPr>
              <w:spacing w:after="120"/>
              <w:jc w:val="center"/>
              <w:rPr>
                <w:noProof/>
              </w:rPr>
            </w:pPr>
            <w:r>
              <w:rPr>
                <w:noProof/>
              </w:rPr>
              <w:t>-50</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rPr>
            </w:pPr>
            <w:r>
              <w:rPr>
                <w:noProof/>
              </w:rPr>
              <w:t>1,300</w:t>
            </w:r>
          </w:p>
        </w:tc>
        <w:tc>
          <w:tcPr>
            <w:tcW w:w="675" w:type="pct"/>
            <w:tcBorders>
              <w:bottom w:val="single" w:sz="24" w:space="0" w:color="auto"/>
            </w:tcBorders>
            <w:noWrap/>
          </w:tcPr>
          <w:p w:rsidR="00B231CB" w:rsidRDefault="00C71431">
            <w:pPr>
              <w:spacing w:after="120"/>
              <w:jc w:val="center"/>
              <w:rPr>
                <w:noProof/>
              </w:rPr>
            </w:pPr>
            <w:r>
              <w:rPr>
                <w:noProof/>
              </w:rPr>
              <w:t>1,264</w:t>
            </w:r>
          </w:p>
        </w:tc>
        <w:tc>
          <w:tcPr>
            <w:tcW w:w="675" w:type="pct"/>
            <w:tcBorders>
              <w:bottom w:val="single" w:sz="24" w:space="0" w:color="auto"/>
            </w:tcBorders>
            <w:noWrap/>
          </w:tcPr>
          <w:p w:rsidR="00B231CB" w:rsidRDefault="00C71431">
            <w:pPr>
              <w:spacing w:after="120"/>
              <w:jc w:val="center"/>
              <w:rPr>
                <w:noProof/>
              </w:rPr>
            </w:pPr>
            <w:r>
              <w:rPr>
                <w:noProof/>
              </w:rPr>
              <w:t>1,292</w:t>
            </w:r>
          </w:p>
        </w:tc>
        <w:tc>
          <w:tcPr>
            <w:tcW w:w="675" w:type="pct"/>
            <w:tcBorders>
              <w:bottom w:val="single" w:sz="24" w:space="0" w:color="auto"/>
            </w:tcBorders>
            <w:noWrap/>
          </w:tcPr>
          <w:p w:rsidR="00B231CB" w:rsidRDefault="00C71431">
            <w:pPr>
              <w:spacing w:after="120"/>
              <w:jc w:val="center"/>
              <w:rPr>
                <w:noProof/>
              </w:rPr>
            </w:pPr>
            <w:r>
              <w:rPr>
                <w:noProof/>
              </w:rPr>
              <w:t>1,243</w:t>
            </w:r>
          </w:p>
        </w:tc>
        <w:tc>
          <w:tcPr>
            <w:tcW w:w="673" w:type="pct"/>
            <w:tcBorders>
              <w:bottom w:val="single" w:sz="24" w:space="0" w:color="auto"/>
            </w:tcBorders>
            <w:noWrap/>
          </w:tcPr>
          <w:p w:rsidR="00B231CB" w:rsidRDefault="00C71431">
            <w:pPr>
              <w:spacing w:after="120"/>
              <w:jc w:val="center"/>
              <w:rPr>
                <w:noProof/>
              </w:rPr>
            </w:pPr>
            <w:r>
              <w:rPr>
                <w:noProof/>
              </w:rPr>
              <w:t>1,258</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 xml:space="preserve">Net savings </w:t>
            </w:r>
            <w:r>
              <w:rPr>
                <w:i/>
                <w:noProof/>
                <w:color w:val="000000" w:themeColor="text1"/>
                <w:szCs w:val="24"/>
              </w:rPr>
              <w:t>[3]-[1]-[2]</w:t>
            </w:r>
          </w:p>
        </w:tc>
        <w:tc>
          <w:tcPr>
            <w:tcW w:w="674" w:type="pct"/>
            <w:noWrap/>
          </w:tcPr>
          <w:p w:rsidR="00B231CB" w:rsidRDefault="00C71431">
            <w:pPr>
              <w:spacing w:after="120"/>
              <w:jc w:val="center"/>
              <w:rPr>
                <w:i/>
                <w:noProof/>
              </w:rPr>
            </w:pPr>
            <w:r>
              <w:rPr>
                <w:i/>
                <w:noProof/>
              </w:rPr>
              <w:t>634</w:t>
            </w:r>
          </w:p>
        </w:tc>
        <w:tc>
          <w:tcPr>
            <w:tcW w:w="675" w:type="pct"/>
            <w:noWrap/>
          </w:tcPr>
          <w:p w:rsidR="00B231CB" w:rsidRDefault="00C71431">
            <w:pPr>
              <w:spacing w:after="120"/>
              <w:jc w:val="center"/>
              <w:rPr>
                <w:i/>
                <w:noProof/>
              </w:rPr>
            </w:pPr>
            <w:r>
              <w:rPr>
                <w:i/>
                <w:noProof/>
              </w:rPr>
              <w:t>764</w:t>
            </w:r>
          </w:p>
        </w:tc>
        <w:tc>
          <w:tcPr>
            <w:tcW w:w="675" w:type="pct"/>
            <w:noWrap/>
          </w:tcPr>
          <w:p w:rsidR="00B231CB" w:rsidRDefault="00C71431">
            <w:pPr>
              <w:spacing w:after="120"/>
              <w:jc w:val="center"/>
              <w:rPr>
                <w:i/>
                <w:noProof/>
              </w:rPr>
            </w:pPr>
            <w:r>
              <w:rPr>
                <w:i/>
                <w:noProof/>
              </w:rPr>
              <w:t>947</w:t>
            </w:r>
          </w:p>
        </w:tc>
        <w:tc>
          <w:tcPr>
            <w:tcW w:w="675" w:type="pct"/>
            <w:noWrap/>
          </w:tcPr>
          <w:p w:rsidR="00B231CB" w:rsidRDefault="00C71431">
            <w:pPr>
              <w:spacing w:after="120"/>
              <w:jc w:val="center"/>
              <w:rPr>
                <w:i/>
                <w:noProof/>
              </w:rPr>
            </w:pPr>
            <w:r>
              <w:rPr>
                <w:i/>
                <w:noProof/>
              </w:rPr>
              <w:t>1,039</w:t>
            </w:r>
          </w:p>
        </w:tc>
        <w:tc>
          <w:tcPr>
            <w:tcW w:w="673" w:type="pct"/>
            <w:noWrap/>
          </w:tcPr>
          <w:p w:rsidR="00B231CB" w:rsidRDefault="00C71431">
            <w:pPr>
              <w:spacing w:after="120"/>
              <w:jc w:val="center"/>
              <w:rPr>
                <w:i/>
                <w:noProof/>
              </w:rPr>
            </w:pPr>
            <w:r>
              <w:rPr>
                <w:i/>
                <w:noProof/>
              </w:rPr>
              <w:t>1,162</w:t>
            </w:r>
          </w:p>
        </w:tc>
      </w:tr>
    </w:tbl>
    <w:p w:rsidR="00B231CB" w:rsidRDefault="00B231CB">
      <w:pPr>
        <w:spacing w:after="0"/>
        <w:rPr>
          <w:noProof/>
          <w:color w:val="000000" w:themeColor="text1"/>
        </w:rPr>
      </w:pP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szCs w:val="24"/>
              </w:rPr>
            </w:pPr>
            <w:r>
              <w:rPr>
                <w:b/>
                <w:noProof/>
                <w:szCs w:val="24"/>
              </w:rPr>
              <w:t>TLC40 - 2025 (EUR/car)</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rPr>
            </w:pPr>
            <w:r>
              <w:rPr>
                <w:noProof/>
              </w:rPr>
              <w:t>555</w:t>
            </w:r>
          </w:p>
        </w:tc>
        <w:tc>
          <w:tcPr>
            <w:tcW w:w="673" w:type="pct"/>
            <w:noWrap/>
          </w:tcPr>
          <w:p w:rsidR="00B231CB" w:rsidRDefault="00C71431">
            <w:pPr>
              <w:spacing w:after="120"/>
              <w:jc w:val="center"/>
              <w:rPr>
                <w:noProof/>
              </w:rPr>
            </w:pPr>
            <w:r>
              <w:rPr>
                <w:noProof/>
              </w:rPr>
              <w:t>420</w:t>
            </w:r>
          </w:p>
        </w:tc>
        <w:tc>
          <w:tcPr>
            <w:tcW w:w="673" w:type="pct"/>
            <w:noWrap/>
          </w:tcPr>
          <w:p w:rsidR="00B231CB" w:rsidRDefault="00C71431">
            <w:pPr>
              <w:spacing w:after="120"/>
              <w:jc w:val="center"/>
              <w:rPr>
                <w:noProof/>
              </w:rPr>
            </w:pPr>
            <w:r>
              <w:rPr>
                <w:noProof/>
              </w:rPr>
              <w:t>282</w:t>
            </w:r>
          </w:p>
        </w:tc>
        <w:tc>
          <w:tcPr>
            <w:tcW w:w="673" w:type="pct"/>
            <w:noWrap/>
          </w:tcPr>
          <w:p w:rsidR="00B231CB" w:rsidRDefault="00C71431">
            <w:pPr>
              <w:spacing w:after="120"/>
              <w:jc w:val="center"/>
              <w:rPr>
                <w:noProof/>
              </w:rPr>
            </w:pPr>
            <w:r>
              <w:rPr>
                <w:noProof/>
              </w:rPr>
              <w:t>198</w:t>
            </w:r>
          </w:p>
        </w:tc>
        <w:tc>
          <w:tcPr>
            <w:tcW w:w="672" w:type="pct"/>
            <w:noWrap/>
          </w:tcPr>
          <w:p w:rsidR="00B231CB" w:rsidRDefault="00C71431">
            <w:pPr>
              <w:spacing w:after="120"/>
              <w:jc w:val="center"/>
              <w:rPr>
                <w:noProof/>
              </w:rPr>
            </w:pPr>
            <w:r>
              <w:rPr>
                <w:noProof/>
              </w:rPr>
              <w:t>91</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rPr>
            </w:pPr>
            <w:r>
              <w:rPr>
                <w:noProof/>
              </w:rPr>
              <w:t>41</w:t>
            </w:r>
          </w:p>
        </w:tc>
        <w:tc>
          <w:tcPr>
            <w:tcW w:w="673" w:type="pct"/>
            <w:noWrap/>
          </w:tcPr>
          <w:p w:rsidR="00B231CB" w:rsidRDefault="00C71431">
            <w:pPr>
              <w:spacing w:after="120"/>
              <w:jc w:val="center"/>
              <w:rPr>
                <w:noProof/>
              </w:rPr>
            </w:pPr>
            <w:r>
              <w:rPr>
                <w:noProof/>
              </w:rPr>
              <w:t>41</w:t>
            </w:r>
          </w:p>
        </w:tc>
        <w:tc>
          <w:tcPr>
            <w:tcW w:w="673" w:type="pct"/>
            <w:noWrap/>
          </w:tcPr>
          <w:p w:rsidR="00B231CB" w:rsidRDefault="00C71431">
            <w:pPr>
              <w:spacing w:after="120"/>
              <w:jc w:val="center"/>
              <w:rPr>
                <w:noProof/>
              </w:rPr>
            </w:pPr>
            <w:r>
              <w:rPr>
                <w:noProof/>
              </w:rPr>
              <w:t>40</w:t>
            </w:r>
          </w:p>
        </w:tc>
        <w:tc>
          <w:tcPr>
            <w:tcW w:w="673" w:type="pct"/>
            <w:noWrap/>
          </w:tcPr>
          <w:p w:rsidR="00B231CB" w:rsidRDefault="00C71431">
            <w:pPr>
              <w:spacing w:after="120"/>
              <w:jc w:val="center"/>
              <w:rPr>
                <w:noProof/>
              </w:rPr>
            </w:pPr>
            <w:r>
              <w:rPr>
                <w:noProof/>
              </w:rPr>
              <w:t>39</w:t>
            </w:r>
          </w:p>
        </w:tc>
        <w:tc>
          <w:tcPr>
            <w:tcW w:w="672" w:type="pct"/>
            <w:noWrap/>
          </w:tcPr>
          <w:p w:rsidR="00B231CB" w:rsidRDefault="00C71431">
            <w:pPr>
              <w:spacing w:after="120"/>
              <w:jc w:val="center"/>
              <w:rPr>
                <w:noProof/>
              </w:rPr>
            </w:pPr>
            <w:r>
              <w:rPr>
                <w:noProof/>
              </w:rPr>
              <w:t>39</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3" w:type="pct"/>
            <w:tcBorders>
              <w:bottom w:val="single" w:sz="24" w:space="0" w:color="auto"/>
            </w:tcBorders>
            <w:noWrap/>
          </w:tcPr>
          <w:p w:rsidR="00B231CB" w:rsidRDefault="00C71431">
            <w:pPr>
              <w:spacing w:after="120"/>
              <w:jc w:val="center"/>
              <w:rPr>
                <w:noProof/>
              </w:rPr>
            </w:pPr>
            <w:r>
              <w:rPr>
                <w:noProof/>
              </w:rPr>
              <w:t>717</w:t>
            </w:r>
          </w:p>
        </w:tc>
        <w:tc>
          <w:tcPr>
            <w:tcW w:w="673" w:type="pct"/>
            <w:tcBorders>
              <w:bottom w:val="single" w:sz="24" w:space="0" w:color="auto"/>
            </w:tcBorders>
            <w:noWrap/>
          </w:tcPr>
          <w:p w:rsidR="00B231CB" w:rsidRDefault="00C71431">
            <w:pPr>
              <w:spacing w:after="120"/>
              <w:jc w:val="center"/>
              <w:rPr>
                <w:noProof/>
              </w:rPr>
            </w:pPr>
            <w:r>
              <w:rPr>
                <w:noProof/>
              </w:rPr>
              <w:t>718</w:t>
            </w:r>
          </w:p>
        </w:tc>
        <w:tc>
          <w:tcPr>
            <w:tcW w:w="673" w:type="pct"/>
            <w:tcBorders>
              <w:bottom w:val="single" w:sz="24" w:space="0" w:color="auto"/>
            </w:tcBorders>
            <w:noWrap/>
          </w:tcPr>
          <w:p w:rsidR="00B231CB" w:rsidRDefault="00C71431">
            <w:pPr>
              <w:spacing w:after="120"/>
              <w:jc w:val="center"/>
              <w:rPr>
                <w:noProof/>
              </w:rPr>
            </w:pPr>
            <w:r>
              <w:rPr>
                <w:noProof/>
              </w:rPr>
              <w:t>742</w:t>
            </w:r>
          </w:p>
        </w:tc>
        <w:tc>
          <w:tcPr>
            <w:tcW w:w="673" w:type="pct"/>
            <w:tcBorders>
              <w:bottom w:val="single" w:sz="24" w:space="0" w:color="auto"/>
            </w:tcBorders>
            <w:noWrap/>
          </w:tcPr>
          <w:p w:rsidR="00B231CB" w:rsidRDefault="00C71431">
            <w:pPr>
              <w:spacing w:after="120"/>
              <w:jc w:val="center"/>
              <w:rPr>
                <w:noProof/>
              </w:rPr>
            </w:pPr>
            <w:r>
              <w:rPr>
                <w:noProof/>
              </w:rPr>
              <w:t>718</w:t>
            </w:r>
          </w:p>
        </w:tc>
        <w:tc>
          <w:tcPr>
            <w:tcW w:w="672" w:type="pct"/>
            <w:tcBorders>
              <w:bottom w:val="single" w:sz="24" w:space="0" w:color="auto"/>
            </w:tcBorders>
            <w:noWrap/>
          </w:tcPr>
          <w:p w:rsidR="00B231CB" w:rsidRDefault="00C71431">
            <w:pPr>
              <w:spacing w:after="120"/>
              <w:jc w:val="center"/>
              <w:rPr>
                <w:noProof/>
              </w:rPr>
            </w:pPr>
            <w:r>
              <w:rPr>
                <w:noProof/>
              </w:rPr>
              <w:t>734</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3" w:type="pct"/>
            <w:noWrap/>
          </w:tcPr>
          <w:p w:rsidR="00B231CB" w:rsidRDefault="00C71431">
            <w:pPr>
              <w:spacing w:after="120"/>
              <w:jc w:val="center"/>
              <w:rPr>
                <w:i/>
                <w:noProof/>
              </w:rPr>
            </w:pPr>
            <w:r>
              <w:rPr>
                <w:i/>
                <w:noProof/>
              </w:rPr>
              <w:t>122</w:t>
            </w:r>
          </w:p>
        </w:tc>
        <w:tc>
          <w:tcPr>
            <w:tcW w:w="673" w:type="pct"/>
            <w:noWrap/>
          </w:tcPr>
          <w:p w:rsidR="00B231CB" w:rsidRDefault="00C71431">
            <w:pPr>
              <w:spacing w:after="120"/>
              <w:jc w:val="center"/>
              <w:rPr>
                <w:i/>
                <w:noProof/>
              </w:rPr>
            </w:pPr>
            <w:r>
              <w:rPr>
                <w:i/>
                <w:noProof/>
              </w:rPr>
              <w:t>257</w:t>
            </w:r>
          </w:p>
        </w:tc>
        <w:tc>
          <w:tcPr>
            <w:tcW w:w="673" w:type="pct"/>
            <w:noWrap/>
          </w:tcPr>
          <w:p w:rsidR="00B231CB" w:rsidRDefault="00C71431">
            <w:pPr>
              <w:spacing w:after="120"/>
              <w:jc w:val="center"/>
              <w:rPr>
                <w:i/>
                <w:noProof/>
              </w:rPr>
            </w:pPr>
            <w:r>
              <w:rPr>
                <w:i/>
                <w:noProof/>
              </w:rPr>
              <w:t>420</w:t>
            </w:r>
          </w:p>
        </w:tc>
        <w:tc>
          <w:tcPr>
            <w:tcW w:w="673" w:type="pct"/>
            <w:noWrap/>
          </w:tcPr>
          <w:p w:rsidR="00B231CB" w:rsidRDefault="00C71431">
            <w:pPr>
              <w:spacing w:after="120"/>
              <w:jc w:val="center"/>
              <w:rPr>
                <w:i/>
                <w:noProof/>
              </w:rPr>
            </w:pPr>
            <w:r>
              <w:rPr>
                <w:i/>
                <w:noProof/>
              </w:rPr>
              <w:t>481</w:t>
            </w:r>
          </w:p>
        </w:tc>
        <w:tc>
          <w:tcPr>
            <w:tcW w:w="672" w:type="pct"/>
            <w:noWrap/>
          </w:tcPr>
          <w:p w:rsidR="00B231CB" w:rsidRDefault="00C71431">
            <w:pPr>
              <w:spacing w:after="120"/>
              <w:jc w:val="center"/>
              <w:rPr>
                <w:i/>
                <w:noProof/>
              </w:rPr>
            </w:pPr>
            <w:r>
              <w:rPr>
                <w:i/>
                <w:noProof/>
              </w:rPr>
              <w:t>604</w:t>
            </w:r>
          </w:p>
        </w:tc>
      </w:tr>
    </w:tbl>
    <w:p w:rsidR="00B231CB" w:rsidRDefault="00B231CB">
      <w:pPr>
        <w:spacing w:after="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 xml:space="preserve">TLC40 - </w:t>
            </w:r>
            <w:r>
              <w:rPr>
                <w:b/>
                <w:noProof/>
                <w:color w:val="000000" w:themeColor="text1"/>
                <w:szCs w:val="24"/>
              </w:rPr>
              <w:t>2030 (EUR/car)</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rPr>
            </w:pPr>
            <w:r>
              <w:rPr>
                <w:noProof/>
              </w:rPr>
              <w:t>1,059</w:t>
            </w:r>
          </w:p>
        </w:tc>
        <w:tc>
          <w:tcPr>
            <w:tcW w:w="675" w:type="pct"/>
            <w:noWrap/>
          </w:tcPr>
          <w:p w:rsidR="00B231CB" w:rsidRDefault="00C71431">
            <w:pPr>
              <w:spacing w:after="120"/>
              <w:jc w:val="center"/>
              <w:rPr>
                <w:noProof/>
              </w:rPr>
            </w:pPr>
            <w:r>
              <w:rPr>
                <w:noProof/>
              </w:rPr>
              <w:t>846</w:t>
            </w:r>
          </w:p>
        </w:tc>
        <w:tc>
          <w:tcPr>
            <w:tcW w:w="675" w:type="pct"/>
            <w:noWrap/>
          </w:tcPr>
          <w:p w:rsidR="00B231CB" w:rsidRDefault="00C71431">
            <w:pPr>
              <w:spacing w:after="120"/>
              <w:jc w:val="center"/>
              <w:rPr>
                <w:noProof/>
              </w:rPr>
            </w:pPr>
            <w:r>
              <w:rPr>
                <w:noProof/>
              </w:rPr>
              <w:t>684</w:t>
            </w:r>
          </w:p>
        </w:tc>
        <w:tc>
          <w:tcPr>
            <w:tcW w:w="675" w:type="pct"/>
            <w:noWrap/>
          </w:tcPr>
          <w:p w:rsidR="00B231CB" w:rsidRDefault="00C71431">
            <w:pPr>
              <w:spacing w:after="120"/>
              <w:jc w:val="center"/>
              <w:rPr>
                <w:noProof/>
              </w:rPr>
            </w:pPr>
            <w:r>
              <w:rPr>
                <w:noProof/>
              </w:rPr>
              <w:t>494</w:t>
            </w:r>
          </w:p>
        </w:tc>
        <w:tc>
          <w:tcPr>
            <w:tcW w:w="673" w:type="pct"/>
            <w:noWrap/>
          </w:tcPr>
          <w:p w:rsidR="00B231CB" w:rsidRDefault="00C71431">
            <w:pPr>
              <w:spacing w:after="120"/>
              <w:jc w:val="center"/>
              <w:rPr>
                <w:noProof/>
              </w:rPr>
            </w:pPr>
            <w:r>
              <w:rPr>
                <w:noProof/>
              </w:rPr>
              <w:t>373</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rPr>
            </w:pPr>
            <w:r>
              <w:rPr>
                <w:noProof/>
              </w:rPr>
              <w:t>-57</w:t>
            </w:r>
          </w:p>
        </w:tc>
        <w:tc>
          <w:tcPr>
            <w:tcW w:w="675" w:type="pct"/>
            <w:noWrap/>
          </w:tcPr>
          <w:p w:rsidR="00B231CB" w:rsidRDefault="00C71431">
            <w:pPr>
              <w:spacing w:after="120"/>
              <w:jc w:val="center"/>
              <w:rPr>
                <w:noProof/>
              </w:rPr>
            </w:pPr>
            <w:r>
              <w:rPr>
                <w:noProof/>
              </w:rPr>
              <w:t>-57</w:t>
            </w:r>
          </w:p>
        </w:tc>
        <w:tc>
          <w:tcPr>
            <w:tcW w:w="675" w:type="pct"/>
            <w:noWrap/>
          </w:tcPr>
          <w:p w:rsidR="00B231CB" w:rsidRDefault="00C71431">
            <w:pPr>
              <w:spacing w:after="120"/>
              <w:jc w:val="center"/>
              <w:rPr>
                <w:noProof/>
              </w:rPr>
            </w:pPr>
            <w:r>
              <w:rPr>
                <w:noProof/>
              </w:rPr>
              <w:t>-66</w:t>
            </w:r>
          </w:p>
        </w:tc>
        <w:tc>
          <w:tcPr>
            <w:tcW w:w="675" w:type="pct"/>
            <w:noWrap/>
          </w:tcPr>
          <w:p w:rsidR="00B231CB" w:rsidRDefault="00C71431">
            <w:pPr>
              <w:spacing w:after="120"/>
              <w:jc w:val="center"/>
              <w:rPr>
                <w:noProof/>
              </w:rPr>
            </w:pPr>
            <w:r>
              <w:rPr>
                <w:noProof/>
              </w:rPr>
              <w:t>-65</w:t>
            </w:r>
          </w:p>
        </w:tc>
        <w:tc>
          <w:tcPr>
            <w:tcW w:w="673" w:type="pct"/>
            <w:noWrap/>
          </w:tcPr>
          <w:p w:rsidR="00B231CB" w:rsidRDefault="00C71431">
            <w:pPr>
              <w:spacing w:after="120"/>
              <w:jc w:val="center"/>
              <w:rPr>
                <w:noProof/>
              </w:rPr>
            </w:pPr>
            <w:r>
              <w:rPr>
                <w:noProof/>
              </w:rPr>
              <w:t>-79</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rPr>
            </w:pPr>
            <w:r>
              <w:rPr>
                <w:noProof/>
              </w:rPr>
              <w:t>1,611</w:t>
            </w:r>
          </w:p>
        </w:tc>
        <w:tc>
          <w:tcPr>
            <w:tcW w:w="675" w:type="pct"/>
            <w:tcBorders>
              <w:bottom w:val="single" w:sz="24" w:space="0" w:color="auto"/>
            </w:tcBorders>
            <w:noWrap/>
          </w:tcPr>
          <w:p w:rsidR="00B231CB" w:rsidRDefault="00C71431">
            <w:pPr>
              <w:spacing w:after="120"/>
              <w:jc w:val="center"/>
              <w:rPr>
                <w:noProof/>
              </w:rPr>
            </w:pPr>
            <w:r>
              <w:rPr>
                <w:noProof/>
              </w:rPr>
              <w:t>1,607</w:t>
            </w:r>
          </w:p>
        </w:tc>
        <w:tc>
          <w:tcPr>
            <w:tcW w:w="675" w:type="pct"/>
            <w:tcBorders>
              <w:bottom w:val="single" w:sz="24" w:space="0" w:color="auto"/>
            </w:tcBorders>
            <w:noWrap/>
          </w:tcPr>
          <w:p w:rsidR="00B231CB" w:rsidRDefault="00C71431">
            <w:pPr>
              <w:spacing w:after="120"/>
              <w:jc w:val="center"/>
              <w:rPr>
                <w:noProof/>
              </w:rPr>
            </w:pPr>
            <w:r>
              <w:rPr>
                <w:noProof/>
              </w:rPr>
              <w:t>1,640</w:t>
            </w:r>
          </w:p>
        </w:tc>
        <w:tc>
          <w:tcPr>
            <w:tcW w:w="675" w:type="pct"/>
            <w:tcBorders>
              <w:bottom w:val="single" w:sz="24" w:space="0" w:color="auto"/>
            </w:tcBorders>
            <w:noWrap/>
          </w:tcPr>
          <w:p w:rsidR="00B231CB" w:rsidRDefault="00C71431">
            <w:pPr>
              <w:spacing w:after="120"/>
              <w:jc w:val="center"/>
              <w:rPr>
                <w:noProof/>
              </w:rPr>
            </w:pPr>
            <w:r>
              <w:rPr>
                <w:noProof/>
              </w:rPr>
              <w:t>1,613</w:t>
            </w:r>
          </w:p>
        </w:tc>
        <w:tc>
          <w:tcPr>
            <w:tcW w:w="673" w:type="pct"/>
            <w:tcBorders>
              <w:bottom w:val="single" w:sz="24" w:space="0" w:color="auto"/>
            </w:tcBorders>
            <w:noWrap/>
          </w:tcPr>
          <w:p w:rsidR="00B231CB" w:rsidRDefault="00C71431">
            <w:pPr>
              <w:spacing w:after="120"/>
              <w:jc w:val="center"/>
              <w:rPr>
                <w:noProof/>
              </w:rPr>
            </w:pPr>
            <w:r>
              <w:rPr>
                <w:noProof/>
              </w:rPr>
              <w:t>1,644</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rPr>
            </w:pPr>
            <w:r>
              <w:rPr>
                <w:i/>
                <w:noProof/>
              </w:rPr>
              <w:t>609</w:t>
            </w:r>
          </w:p>
        </w:tc>
        <w:tc>
          <w:tcPr>
            <w:tcW w:w="675" w:type="pct"/>
            <w:noWrap/>
          </w:tcPr>
          <w:p w:rsidR="00B231CB" w:rsidRDefault="00C71431">
            <w:pPr>
              <w:spacing w:after="120"/>
              <w:jc w:val="center"/>
              <w:rPr>
                <w:i/>
                <w:noProof/>
              </w:rPr>
            </w:pPr>
            <w:r>
              <w:rPr>
                <w:i/>
                <w:noProof/>
              </w:rPr>
              <w:t>818</w:t>
            </w:r>
          </w:p>
        </w:tc>
        <w:tc>
          <w:tcPr>
            <w:tcW w:w="675" w:type="pct"/>
            <w:noWrap/>
          </w:tcPr>
          <w:p w:rsidR="00B231CB" w:rsidRDefault="00C71431">
            <w:pPr>
              <w:spacing w:after="120"/>
              <w:jc w:val="center"/>
              <w:rPr>
                <w:i/>
                <w:noProof/>
              </w:rPr>
            </w:pPr>
            <w:r>
              <w:rPr>
                <w:i/>
                <w:noProof/>
              </w:rPr>
              <w:t>1,022</w:t>
            </w:r>
          </w:p>
        </w:tc>
        <w:tc>
          <w:tcPr>
            <w:tcW w:w="675" w:type="pct"/>
            <w:noWrap/>
          </w:tcPr>
          <w:p w:rsidR="00B231CB" w:rsidRDefault="00C71431">
            <w:pPr>
              <w:spacing w:after="120"/>
              <w:jc w:val="center"/>
              <w:rPr>
                <w:i/>
                <w:noProof/>
              </w:rPr>
            </w:pPr>
            <w:r>
              <w:rPr>
                <w:i/>
                <w:noProof/>
              </w:rPr>
              <w:t>1,183</w:t>
            </w:r>
          </w:p>
        </w:tc>
        <w:tc>
          <w:tcPr>
            <w:tcW w:w="673" w:type="pct"/>
            <w:noWrap/>
          </w:tcPr>
          <w:p w:rsidR="00B231CB" w:rsidRDefault="00C71431">
            <w:pPr>
              <w:spacing w:after="120"/>
              <w:jc w:val="center"/>
              <w:rPr>
                <w:i/>
                <w:noProof/>
              </w:rPr>
            </w:pPr>
            <w:r>
              <w:rPr>
                <w:i/>
                <w:noProof/>
              </w:rPr>
              <w:t>1,350</w:t>
            </w:r>
          </w:p>
        </w:tc>
      </w:tr>
    </w:tbl>
    <w:p w:rsidR="00B231CB" w:rsidRDefault="00C71431">
      <w:pPr>
        <w:pStyle w:val="Heading4"/>
        <w:rPr>
          <w:noProof/>
          <w:color w:val="000000" w:themeColor="text1"/>
        </w:rPr>
      </w:pPr>
      <w:bookmarkStart w:id="190" w:name="_Ref493689519"/>
      <w:r>
        <w:rPr>
          <w:noProof/>
          <w:color w:val="000000" w:themeColor="text1"/>
        </w:rPr>
        <w:t xml:space="preserve">TCO for second user - vans </w:t>
      </w:r>
      <w:r>
        <w:rPr>
          <w:noProof/>
          <w:color w:val="000000" w:themeColor="text1"/>
        </w:rPr>
        <w:t>(TLV)</w:t>
      </w:r>
      <w:bookmarkEnd w:id="190"/>
    </w:p>
    <w:p w:rsidR="00B231CB" w:rsidRDefault="00C71431">
      <w:pPr>
        <w:spacing w:after="120"/>
        <w:rPr>
          <w:noProof/>
          <w:color w:val="000000" w:themeColor="text1"/>
          <w:szCs w:val="24"/>
        </w:rPr>
      </w:pPr>
      <w:r>
        <w:rPr>
          <w:noProof/>
          <w:color w:val="000000" w:themeColor="text1"/>
          <w:szCs w:val="24"/>
        </w:rPr>
        <w:t xml:space="preserve">The detailed results of the analysis </w:t>
      </w:r>
      <w:r>
        <w:rPr>
          <w:noProof/>
          <w:color w:val="000000" w:themeColor="text1"/>
        </w:rPr>
        <w:t>of the TCO for the second van user</w:t>
      </w:r>
      <w:r>
        <w:rPr>
          <w:noProof/>
          <w:color w:val="000000" w:themeColor="text1"/>
          <w:szCs w:val="24"/>
        </w:rPr>
        <w:t xml:space="preserve"> are summarised in </w:t>
      </w:r>
      <w:r>
        <w:rPr>
          <w:noProof/>
          <w:color w:val="000000" w:themeColor="text1"/>
          <w:szCs w:val="24"/>
        </w:rPr>
        <w:fldChar w:fldCharType="begin"/>
      </w:r>
      <w:r>
        <w:rPr>
          <w:noProof/>
          <w:color w:val="000000" w:themeColor="text1"/>
          <w:szCs w:val="24"/>
        </w:rPr>
        <w:instrText xml:space="preserve"> REF _Ref494107420 \h  \* MERGEFORMAT </w:instrText>
      </w:r>
      <w:r>
        <w:rPr>
          <w:noProof/>
          <w:color w:val="000000" w:themeColor="text1"/>
          <w:szCs w:val="24"/>
        </w:rPr>
      </w:r>
      <w:r>
        <w:rPr>
          <w:noProof/>
          <w:color w:val="000000" w:themeColor="text1"/>
          <w:szCs w:val="24"/>
        </w:rPr>
        <w:fldChar w:fldCharType="separate"/>
      </w:r>
      <w:r>
        <w:rPr>
          <w:noProof/>
          <w:color w:val="000000" w:themeColor="text1"/>
        </w:rPr>
        <w:t>Table 28</w:t>
      </w:r>
      <w:r>
        <w:rPr>
          <w:noProof/>
          <w:color w:val="000000" w:themeColor="text1"/>
          <w:szCs w:val="24"/>
        </w:rPr>
        <w:fldChar w:fldCharType="end"/>
      </w:r>
      <w:r>
        <w:rPr>
          <w:noProof/>
          <w:color w:val="000000" w:themeColor="text1"/>
          <w:szCs w:val="24"/>
        </w:rPr>
        <w:t>.</w:t>
      </w:r>
    </w:p>
    <w:p w:rsidR="00B231CB" w:rsidRDefault="00C71431">
      <w:pPr>
        <w:pStyle w:val="Caption"/>
        <w:keepNext/>
        <w:rPr>
          <w:noProof/>
          <w:color w:val="000000" w:themeColor="text1"/>
          <w:szCs w:val="24"/>
        </w:rPr>
      </w:pPr>
      <w:bookmarkStart w:id="191" w:name="_Ref494107420"/>
      <w:r>
        <w:rPr>
          <w:noProof/>
          <w:color w:val="000000" w:themeColor="text1"/>
        </w:rPr>
        <w:t xml:space="preserve">Table </w:t>
      </w:r>
      <w:r>
        <w:rPr>
          <w:noProof/>
          <w:color w:val="000000" w:themeColor="text1"/>
        </w:rPr>
        <w:fldChar w:fldCharType="begin"/>
      </w:r>
      <w:r>
        <w:rPr>
          <w:noProof/>
          <w:color w:val="000000" w:themeColor="text1"/>
        </w:rPr>
        <w:instrText xml:space="preserve"> SEQ Table \* ARABIC </w:instrText>
      </w:r>
      <w:r>
        <w:rPr>
          <w:noProof/>
          <w:color w:val="000000" w:themeColor="text1"/>
        </w:rPr>
        <w:fldChar w:fldCharType="separate"/>
      </w:r>
      <w:r>
        <w:rPr>
          <w:noProof/>
          <w:color w:val="000000" w:themeColor="text1"/>
        </w:rPr>
        <w:t>28</w:t>
      </w:r>
      <w:r>
        <w:rPr>
          <w:noProof/>
          <w:color w:val="000000" w:themeColor="text1"/>
        </w:rPr>
        <w:fldChar w:fldCharType="end"/>
      </w:r>
      <w:bookmarkEnd w:id="191"/>
      <w:r>
        <w:rPr>
          <w:noProof/>
          <w:color w:val="000000" w:themeColor="text1"/>
        </w:rPr>
        <w:t xml:space="preserve">: </w:t>
      </w:r>
      <w:r>
        <w:rPr>
          <w:noProof/>
          <w:color w:val="000000" w:themeColor="text1"/>
          <w:szCs w:val="24"/>
        </w:rPr>
        <w:t xml:space="preserve">Table: </w:t>
      </w:r>
      <w:r>
        <w:rPr>
          <w:noProof/>
          <w:color w:val="000000" w:themeColor="text1"/>
          <w:szCs w:val="24"/>
        </w:rPr>
        <w:t>TCO-second user in 2025 and 2030 (EUR/van)</w:t>
      </w:r>
    </w:p>
    <w:tbl>
      <w:tblPr>
        <w:tblStyle w:val="TableGrid"/>
        <w:tblW w:w="5000" w:type="pct"/>
        <w:tblLook w:val="04A0" w:firstRow="1" w:lastRow="0" w:firstColumn="1" w:lastColumn="0" w:noHBand="0" w:noVBand="1"/>
      </w:tblPr>
      <w:tblGrid>
        <w:gridCol w:w="2470"/>
        <w:gridCol w:w="932"/>
        <w:gridCol w:w="974"/>
        <w:gridCol w:w="1271"/>
        <w:gridCol w:w="933"/>
        <w:gridCol w:w="1354"/>
        <w:gridCol w:w="1354"/>
      </w:tblGrid>
      <w:tr w:rsidR="00B231CB">
        <w:trPr>
          <w:trHeight w:val="255"/>
        </w:trPr>
        <w:tc>
          <w:tcPr>
            <w:tcW w:w="1251" w:type="pct"/>
            <w:noWrap/>
            <w:hideMark/>
          </w:tcPr>
          <w:p w:rsidR="00B231CB" w:rsidRDefault="00C71431">
            <w:pPr>
              <w:spacing w:after="120"/>
              <w:rPr>
                <w:noProof/>
                <w:szCs w:val="24"/>
              </w:rPr>
            </w:pPr>
            <w:r>
              <w:rPr>
                <w:b/>
                <w:noProof/>
                <w:szCs w:val="24"/>
              </w:rPr>
              <w:t>2025 (EUR/van</w:t>
            </w:r>
            <w:r>
              <w:rPr>
                <w:noProof/>
                <w:szCs w:val="24"/>
              </w:rPr>
              <w:t>)</w:t>
            </w:r>
          </w:p>
        </w:tc>
        <w:tc>
          <w:tcPr>
            <w:tcW w:w="515" w:type="pct"/>
            <w:noWrap/>
          </w:tcPr>
          <w:p w:rsidR="00B231CB" w:rsidRDefault="00C71431">
            <w:pPr>
              <w:spacing w:after="120"/>
              <w:jc w:val="center"/>
              <w:rPr>
                <w:noProof/>
                <w:szCs w:val="24"/>
              </w:rPr>
            </w:pPr>
            <w:r>
              <w:rPr>
                <w:noProof/>
                <w:szCs w:val="24"/>
              </w:rPr>
              <w:t>TLV20</w:t>
            </w:r>
          </w:p>
        </w:tc>
        <w:tc>
          <w:tcPr>
            <w:tcW w:w="537" w:type="pct"/>
            <w:noWrap/>
          </w:tcPr>
          <w:p w:rsidR="00B231CB" w:rsidRDefault="00C71431">
            <w:pPr>
              <w:spacing w:after="120"/>
              <w:jc w:val="center"/>
              <w:rPr>
                <w:noProof/>
                <w:szCs w:val="24"/>
              </w:rPr>
            </w:pPr>
            <w:r>
              <w:rPr>
                <w:noProof/>
                <w:szCs w:val="24"/>
              </w:rPr>
              <w:t>TLV25</w:t>
            </w:r>
          </w:p>
        </w:tc>
        <w:tc>
          <w:tcPr>
            <w:tcW w:w="697" w:type="pct"/>
            <w:noWrap/>
          </w:tcPr>
          <w:p w:rsidR="00B231CB" w:rsidRDefault="00C71431">
            <w:pPr>
              <w:spacing w:after="120"/>
              <w:jc w:val="center"/>
              <w:rPr>
                <w:noProof/>
                <w:szCs w:val="24"/>
              </w:rPr>
            </w:pPr>
            <w:r>
              <w:rPr>
                <w:noProof/>
                <w:szCs w:val="24"/>
              </w:rPr>
              <w:t>TLV30</w:t>
            </w:r>
          </w:p>
        </w:tc>
        <w:tc>
          <w:tcPr>
            <w:tcW w:w="515" w:type="pct"/>
            <w:noWrap/>
          </w:tcPr>
          <w:p w:rsidR="00B231CB" w:rsidRDefault="00C71431">
            <w:pPr>
              <w:spacing w:after="120"/>
              <w:jc w:val="center"/>
              <w:rPr>
                <w:noProof/>
                <w:szCs w:val="24"/>
              </w:rPr>
            </w:pPr>
            <w:r>
              <w:rPr>
                <w:noProof/>
                <w:szCs w:val="24"/>
              </w:rPr>
              <w:t>TLV40</w:t>
            </w:r>
          </w:p>
        </w:tc>
        <w:tc>
          <w:tcPr>
            <w:tcW w:w="742" w:type="pct"/>
            <w:noWrap/>
          </w:tcPr>
          <w:p w:rsidR="00B231CB" w:rsidRDefault="00C71431">
            <w:pPr>
              <w:spacing w:after="120"/>
              <w:jc w:val="center"/>
              <w:rPr>
                <w:noProof/>
                <w:szCs w:val="24"/>
              </w:rPr>
            </w:pPr>
            <w:r>
              <w:rPr>
                <w:noProof/>
                <w:szCs w:val="24"/>
              </w:rPr>
              <w:t>TLV_EP40</w:t>
            </w:r>
          </w:p>
        </w:tc>
        <w:tc>
          <w:tcPr>
            <w:tcW w:w="742" w:type="pct"/>
            <w:noWrap/>
          </w:tcPr>
          <w:p w:rsidR="00B231CB" w:rsidRDefault="00C71431">
            <w:pPr>
              <w:spacing w:after="120"/>
              <w:jc w:val="center"/>
              <w:rPr>
                <w:noProof/>
                <w:szCs w:val="24"/>
              </w:rPr>
            </w:pPr>
            <w:r>
              <w:rPr>
                <w:noProof/>
                <w:szCs w:val="24"/>
              </w:rPr>
              <w:t>TLV_EP50</w:t>
            </w:r>
          </w:p>
        </w:tc>
      </w:tr>
      <w:tr w:rsidR="00B231CB">
        <w:trPr>
          <w:trHeight w:val="255"/>
        </w:trPr>
        <w:tc>
          <w:tcPr>
            <w:tcW w:w="1251" w:type="pct"/>
            <w:noWrap/>
          </w:tcPr>
          <w:p w:rsidR="00B231CB" w:rsidRDefault="00C71431">
            <w:pPr>
              <w:spacing w:after="120"/>
              <w:rPr>
                <w:noProof/>
                <w:szCs w:val="24"/>
              </w:rPr>
            </w:pPr>
            <w:r>
              <w:rPr>
                <w:noProof/>
                <w:szCs w:val="24"/>
              </w:rPr>
              <w:t>Capital cost [1]</w:t>
            </w:r>
          </w:p>
        </w:tc>
        <w:tc>
          <w:tcPr>
            <w:tcW w:w="515" w:type="pct"/>
            <w:noWrap/>
          </w:tcPr>
          <w:p w:rsidR="00B231CB" w:rsidRDefault="00C71431">
            <w:pPr>
              <w:spacing w:after="120"/>
              <w:jc w:val="center"/>
              <w:rPr>
                <w:noProof/>
              </w:rPr>
            </w:pPr>
            <w:r>
              <w:rPr>
                <w:noProof/>
              </w:rPr>
              <w:t>69</w:t>
            </w:r>
          </w:p>
        </w:tc>
        <w:tc>
          <w:tcPr>
            <w:tcW w:w="537" w:type="pct"/>
            <w:noWrap/>
          </w:tcPr>
          <w:p w:rsidR="00B231CB" w:rsidRDefault="00C71431">
            <w:pPr>
              <w:spacing w:after="120"/>
              <w:jc w:val="center"/>
              <w:rPr>
                <w:noProof/>
              </w:rPr>
            </w:pPr>
            <w:r>
              <w:rPr>
                <w:noProof/>
              </w:rPr>
              <w:t>106</w:t>
            </w:r>
          </w:p>
        </w:tc>
        <w:tc>
          <w:tcPr>
            <w:tcW w:w="697" w:type="pct"/>
            <w:noWrap/>
          </w:tcPr>
          <w:p w:rsidR="00B231CB" w:rsidRDefault="00C71431">
            <w:pPr>
              <w:spacing w:after="120"/>
              <w:jc w:val="center"/>
              <w:rPr>
                <w:noProof/>
              </w:rPr>
            </w:pPr>
            <w:r>
              <w:rPr>
                <w:noProof/>
              </w:rPr>
              <w:t>118</w:t>
            </w:r>
          </w:p>
        </w:tc>
        <w:tc>
          <w:tcPr>
            <w:tcW w:w="515" w:type="pct"/>
            <w:noWrap/>
          </w:tcPr>
          <w:p w:rsidR="00B231CB" w:rsidRDefault="00C71431">
            <w:pPr>
              <w:spacing w:after="120"/>
              <w:jc w:val="center"/>
              <w:rPr>
                <w:noProof/>
              </w:rPr>
            </w:pPr>
            <w:r>
              <w:rPr>
                <w:noProof/>
              </w:rPr>
              <w:t>263</w:t>
            </w:r>
          </w:p>
        </w:tc>
        <w:tc>
          <w:tcPr>
            <w:tcW w:w="742" w:type="pct"/>
            <w:noWrap/>
          </w:tcPr>
          <w:p w:rsidR="00B231CB" w:rsidRDefault="00C71431">
            <w:pPr>
              <w:spacing w:after="120"/>
              <w:jc w:val="center"/>
              <w:rPr>
                <w:noProof/>
              </w:rPr>
            </w:pPr>
            <w:r>
              <w:rPr>
                <w:noProof/>
              </w:rPr>
              <w:t>375</w:t>
            </w:r>
          </w:p>
        </w:tc>
        <w:tc>
          <w:tcPr>
            <w:tcW w:w="742" w:type="pct"/>
            <w:noWrap/>
          </w:tcPr>
          <w:p w:rsidR="00B231CB" w:rsidRDefault="00C71431">
            <w:pPr>
              <w:spacing w:after="120"/>
              <w:jc w:val="center"/>
              <w:rPr>
                <w:noProof/>
              </w:rPr>
            </w:pPr>
            <w:r>
              <w:rPr>
                <w:noProof/>
              </w:rPr>
              <w:t>440</w:t>
            </w:r>
          </w:p>
        </w:tc>
      </w:tr>
      <w:tr w:rsidR="00B231CB">
        <w:trPr>
          <w:trHeight w:val="255"/>
        </w:trPr>
        <w:tc>
          <w:tcPr>
            <w:tcW w:w="1251" w:type="pct"/>
            <w:tcBorders>
              <w:bottom w:val="single" w:sz="4" w:space="0" w:color="auto"/>
            </w:tcBorders>
            <w:noWrap/>
          </w:tcPr>
          <w:p w:rsidR="00B231CB" w:rsidRDefault="00C71431">
            <w:pPr>
              <w:spacing w:after="120"/>
              <w:rPr>
                <w:noProof/>
                <w:szCs w:val="24"/>
              </w:rPr>
            </w:pPr>
            <w:r>
              <w:rPr>
                <w:noProof/>
                <w:szCs w:val="24"/>
              </w:rPr>
              <w:t xml:space="preserve">O&amp;M cost [2] </w:t>
            </w:r>
          </w:p>
        </w:tc>
        <w:tc>
          <w:tcPr>
            <w:tcW w:w="515" w:type="pct"/>
            <w:tcBorders>
              <w:bottom w:val="single" w:sz="4" w:space="0" w:color="auto"/>
            </w:tcBorders>
            <w:noWrap/>
          </w:tcPr>
          <w:p w:rsidR="00B231CB" w:rsidRDefault="00C71431">
            <w:pPr>
              <w:spacing w:after="120"/>
              <w:jc w:val="center"/>
              <w:rPr>
                <w:noProof/>
              </w:rPr>
            </w:pPr>
            <w:r>
              <w:rPr>
                <w:noProof/>
              </w:rPr>
              <w:t>-17</w:t>
            </w:r>
          </w:p>
        </w:tc>
        <w:tc>
          <w:tcPr>
            <w:tcW w:w="537" w:type="pct"/>
            <w:tcBorders>
              <w:bottom w:val="single" w:sz="4" w:space="0" w:color="auto"/>
            </w:tcBorders>
            <w:noWrap/>
          </w:tcPr>
          <w:p w:rsidR="00B231CB" w:rsidRDefault="00C71431">
            <w:pPr>
              <w:spacing w:after="120"/>
              <w:jc w:val="center"/>
              <w:rPr>
                <w:noProof/>
              </w:rPr>
            </w:pPr>
            <w:r>
              <w:rPr>
                <w:noProof/>
              </w:rPr>
              <w:t>-23</w:t>
            </w:r>
          </w:p>
        </w:tc>
        <w:tc>
          <w:tcPr>
            <w:tcW w:w="697" w:type="pct"/>
            <w:tcBorders>
              <w:bottom w:val="single" w:sz="4" w:space="0" w:color="auto"/>
            </w:tcBorders>
            <w:noWrap/>
          </w:tcPr>
          <w:p w:rsidR="00B231CB" w:rsidRDefault="00C71431">
            <w:pPr>
              <w:spacing w:after="120"/>
              <w:jc w:val="center"/>
              <w:rPr>
                <w:noProof/>
              </w:rPr>
            </w:pPr>
            <w:r>
              <w:rPr>
                <w:noProof/>
              </w:rPr>
              <w:t>-25</w:t>
            </w:r>
          </w:p>
        </w:tc>
        <w:tc>
          <w:tcPr>
            <w:tcW w:w="515" w:type="pct"/>
            <w:tcBorders>
              <w:bottom w:val="single" w:sz="4" w:space="0" w:color="auto"/>
            </w:tcBorders>
            <w:noWrap/>
          </w:tcPr>
          <w:p w:rsidR="00B231CB" w:rsidRDefault="00C71431">
            <w:pPr>
              <w:spacing w:after="120"/>
              <w:jc w:val="center"/>
              <w:rPr>
                <w:noProof/>
              </w:rPr>
            </w:pPr>
            <w:r>
              <w:rPr>
                <w:noProof/>
              </w:rPr>
              <w:t>-46</w:t>
            </w:r>
          </w:p>
        </w:tc>
        <w:tc>
          <w:tcPr>
            <w:tcW w:w="742" w:type="pct"/>
            <w:tcBorders>
              <w:bottom w:val="single" w:sz="4" w:space="0" w:color="auto"/>
            </w:tcBorders>
            <w:noWrap/>
          </w:tcPr>
          <w:p w:rsidR="00B231CB" w:rsidRDefault="00C71431">
            <w:pPr>
              <w:spacing w:after="120"/>
              <w:jc w:val="center"/>
              <w:rPr>
                <w:noProof/>
              </w:rPr>
            </w:pPr>
            <w:r>
              <w:rPr>
                <w:noProof/>
              </w:rPr>
              <w:t>-40</w:t>
            </w:r>
          </w:p>
        </w:tc>
        <w:tc>
          <w:tcPr>
            <w:tcW w:w="742" w:type="pct"/>
            <w:tcBorders>
              <w:bottom w:val="single" w:sz="4" w:space="0" w:color="auto"/>
            </w:tcBorders>
            <w:noWrap/>
          </w:tcPr>
          <w:p w:rsidR="00B231CB" w:rsidRDefault="00C71431">
            <w:pPr>
              <w:spacing w:after="120"/>
              <w:jc w:val="center"/>
              <w:rPr>
                <w:noProof/>
              </w:rPr>
            </w:pPr>
            <w:r>
              <w:rPr>
                <w:noProof/>
              </w:rPr>
              <w:t>-52</w:t>
            </w:r>
          </w:p>
        </w:tc>
      </w:tr>
      <w:tr w:rsidR="00B231CB">
        <w:trPr>
          <w:trHeight w:val="255"/>
        </w:trPr>
        <w:tc>
          <w:tcPr>
            <w:tcW w:w="1251" w:type="pct"/>
            <w:tcBorders>
              <w:bottom w:val="single" w:sz="24" w:space="0" w:color="auto"/>
            </w:tcBorders>
            <w:noWrap/>
          </w:tcPr>
          <w:p w:rsidR="00B231CB" w:rsidRDefault="00C71431">
            <w:pPr>
              <w:spacing w:after="120"/>
              <w:rPr>
                <w:noProof/>
                <w:szCs w:val="24"/>
              </w:rPr>
            </w:pPr>
            <w:r>
              <w:rPr>
                <w:noProof/>
                <w:szCs w:val="24"/>
              </w:rPr>
              <w:t>Fuel cost savings [3]</w:t>
            </w:r>
          </w:p>
        </w:tc>
        <w:tc>
          <w:tcPr>
            <w:tcW w:w="515" w:type="pct"/>
            <w:tcBorders>
              <w:bottom w:val="single" w:sz="24" w:space="0" w:color="auto"/>
            </w:tcBorders>
            <w:noWrap/>
          </w:tcPr>
          <w:p w:rsidR="00B231CB" w:rsidRDefault="00C71431">
            <w:pPr>
              <w:spacing w:after="120"/>
              <w:jc w:val="center"/>
              <w:rPr>
                <w:noProof/>
              </w:rPr>
            </w:pPr>
            <w:r>
              <w:rPr>
                <w:noProof/>
              </w:rPr>
              <w:t>707</w:t>
            </w:r>
          </w:p>
        </w:tc>
        <w:tc>
          <w:tcPr>
            <w:tcW w:w="537" w:type="pct"/>
            <w:tcBorders>
              <w:bottom w:val="single" w:sz="24" w:space="0" w:color="auto"/>
            </w:tcBorders>
            <w:noWrap/>
          </w:tcPr>
          <w:p w:rsidR="00B231CB" w:rsidRDefault="00C71431">
            <w:pPr>
              <w:spacing w:after="120"/>
              <w:jc w:val="center"/>
              <w:rPr>
                <w:noProof/>
              </w:rPr>
            </w:pPr>
            <w:r>
              <w:rPr>
                <w:noProof/>
              </w:rPr>
              <w:t>893</w:t>
            </w:r>
          </w:p>
        </w:tc>
        <w:tc>
          <w:tcPr>
            <w:tcW w:w="697" w:type="pct"/>
            <w:tcBorders>
              <w:bottom w:val="single" w:sz="24" w:space="0" w:color="auto"/>
            </w:tcBorders>
            <w:noWrap/>
          </w:tcPr>
          <w:p w:rsidR="00B231CB" w:rsidRDefault="00C71431">
            <w:pPr>
              <w:spacing w:after="120"/>
              <w:jc w:val="center"/>
              <w:rPr>
                <w:noProof/>
              </w:rPr>
            </w:pPr>
            <w:r>
              <w:rPr>
                <w:noProof/>
              </w:rPr>
              <w:t>1,155</w:t>
            </w:r>
          </w:p>
        </w:tc>
        <w:tc>
          <w:tcPr>
            <w:tcW w:w="515" w:type="pct"/>
            <w:tcBorders>
              <w:bottom w:val="single" w:sz="24" w:space="0" w:color="auto"/>
            </w:tcBorders>
            <w:noWrap/>
          </w:tcPr>
          <w:p w:rsidR="00B231CB" w:rsidRDefault="00C71431">
            <w:pPr>
              <w:spacing w:after="120"/>
              <w:jc w:val="center"/>
              <w:rPr>
                <w:noProof/>
              </w:rPr>
            </w:pPr>
            <w:r>
              <w:rPr>
                <w:noProof/>
              </w:rPr>
              <w:t>1,475</w:t>
            </w:r>
          </w:p>
        </w:tc>
        <w:tc>
          <w:tcPr>
            <w:tcW w:w="742" w:type="pct"/>
            <w:tcBorders>
              <w:bottom w:val="single" w:sz="24" w:space="0" w:color="auto"/>
            </w:tcBorders>
            <w:noWrap/>
          </w:tcPr>
          <w:p w:rsidR="00B231CB" w:rsidRDefault="00C71431">
            <w:pPr>
              <w:spacing w:after="120"/>
              <w:jc w:val="center"/>
              <w:rPr>
                <w:noProof/>
              </w:rPr>
            </w:pPr>
            <w:r>
              <w:rPr>
                <w:noProof/>
              </w:rPr>
              <w:t>1,824</w:t>
            </w:r>
          </w:p>
        </w:tc>
        <w:tc>
          <w:tcPr>
            <w:tcW w:w="742" w:type="pct"/>
            <w:tcBorders>
              <w:bottom w:val="single" w:sz="24" w:space="0" w:color="auto"/>
            </w:tcBorders>
            <w:noWrap/>
          </w:tcPr>
          <w:p w:rsidR="00B231CB" w:rsidRDefault="00C71431">
            <w:pPr>
              <w:spacing w:after="120"/>
              <w:jc w:val="center"/>
              <w:rPr>
                <w:noProof/>
              </w:rPr>
            </w:pPr>
            <w:r>
              <w:rPr>
                <w:noProof/>
              </w:rPr>
              <w:t>1,739</w:t>
            </w:r>
          </w:p>
        </w:tc>
      </w:tr>
      <w:tr w:rsidR="00B231CB">
        <w:trPr>
          <w:trHeight w:val="255"/>
        </w:trPr>
        <w:tc>
          <w:tcPr>
            <w:tcW w:w="1251" w:type="pct"/>
            <w:noWrap/>
          </w:tcPr>
          <w:p w:rsidR="00B231CB" w:rsidRDefault="00C71431">
            <w:pPr>
              <w:spacing w:after="120"/>
              <w:rPr>
                <w:i/>
                <w:noProof/>
                <w:szCs w:val="24"/>
              </w:rPr>
            </w:pPr>
            <w:r>
              <w:rPr>
                <w:i/>
                <w:noProof/>
                <w:szCs w:val="24"/>
              </w:rPr>
              <w:t xml:space="preserve">Net savings </w:t>
            </w:r>
            <w:r>
              <w:rPr>
                <w:i/>
                <w:noProof/>
                <w:szCs w:val="24"/>
              </w:rPr>
              <w:t>[3]-[1]-[2]</w:t>
            </w:r>
          </w:p>
        </w:tc>
        <w:tc>
          <w:tcPr>
            <w:tcW w:w="515" w:type="pct"/>
            <w:noWrap/>
          </w:tcPr>
          <w:p w:rsidR="00B231CB" w:rsidRDefault="00C71431">
            <w:pPr>
              <w:spacing w:after="120"/>
              <w:jc w:val="center"/>
              <w:rPr>
                <w:i/>
                <w:noProof/>
              </w:rPr>
            </w:pPr>
            <w:r>
              <w:rPr>
                <w:i/>
                <w:noProof/>
              </w:rPr>
              <w:t>655</w:t>
            </w:r>
          </w:p>
        </w:tc>
        <w:tc>
          <w:tcPr>
            <w:tcW w:w="537" w:type="pct"/>
            <w:noWrap/>
          </w:tcPr>
          <w:p w:rsidR="00B231CB" w:rsidRDefault="00C71431">
            <w:pPr>
              <w:spacing w:after="120"/>
              <w:jc w:val="center"/>
              <w:rPr>
                <w:i/>
                <w:noProof/>
              </w:rPr>
            </w:pPr>
            <w:r>
              <w:rPr>
                <w:i/>
                <w:noProof/>
              </w:rPr>
              <w:t>809</w:t>
            </w:r>
          </w:p>
        </w:tc>
        <w:tc>
          <w:tcPr>
            <w:tcW w:w="697" w:type="pct"/>
            <w:noWrap/>
          </w:tcPr>
          <w:p w:rsidR="00B231CB" w:rsidRDefault="00C71431">
            <w:pPr>
              <w:spacing w:after="120"/>
              <w:jc w:val="center"/>
              <w:rPr>
                <w:i/>
                <w:noProof/>
              </w:rPr>
            </w:pPr>
            <w:r>
              <w:rPr>
                <w:i/>
                <w:noProof/>
              </w:rPr>
              <w:t>1,063</w:t>
            </w:r>
          </w:p>
        </w:tc>
        <w:tc>
          <w:tcPr>
            <w:tcW w:w="515" w:type="pct"/>
            <w:noWrap/>
          </w:tcPr>
          <w:p w:rsidR="00B231CB" w:rsidRDefault="00C71431">
            <w:pPr>
              <w:spacing w:after="120"/>
              <w:jc w:val="center"/>
              <w:rPr>
                <w:i/>
                <w:noProof/>
              </w:rPr>
            </w:pPr>
            <w:r>
              <w:rPr>
                <w:i/>
                <w:noProof/>
              </w:rPr>
              <w:t>1,258</w:t>
            </w:r>
          </w:p>
        </w:tc>
        <w:tc>
          <w:tcPr>
            <w:tcW w:w="742" w:type="pct"/>
            <w:noWrap/>
          </w:tcPr>
          <w:p w:rsidR="00B231CB" w:rsidRDefault="00C71431">
            <w:pPr>
              <w:spacing w:after="120"/>
              <w:jc w:val="center"/>
              <w:rPr>
                <w:i/>
                <w:noProof/>
              </w:rPr>
            </w:pPr>
            <w:r>
              <w:rPr>
                <w:i/>
                <w:noProof/>
              </w:rPr>
              <w:t>1,489</w:t>
            </w:r>
          </w:p>
        </w:tc>
        <w:tc>
          <w:tcPr>
            <w:tcW w:w="742" w:type="pct"/>
            <w:noWrap/>
          </w:tcPr>
          <w:p w:rsidR="00B231CB" w:rsidRDefault="00C71431">
            <w:pPr>
              <w:spacing w:after="120"/>
              <w:jc w:val="center"/>
              <w:rPr>
                <w:i/>
                <w:noProof/>
              </w:rPr>
            </w:pPr>
            <w:r>
              <w:rPr>
                <w:i/>
                <w:noProof/>
              </w:rPr>
              <w:t>1,351</w:t>
            </w:r>
          </w:p>
        </w:tc>
      </w:tr>
    </w:tbl>
    <w:p w:rsidR="00B231CB" w:rsidRDefault="00B231CB">
      <w:pPr>
        <w:spacing w:after="0"/>
        <w:rPr>
          <w:noProof/>
          <w:highlight w:val="yellow"/>
        </w:rPr>
      </w:pPr>
    </w:p>
    <w:tbl>
      <w:tblPr>
        <w:tblStyle w:val="TableGrid"/>
        <w:tblW w:w="5000" w:type="pct"/>
        <w:tblLook w:val="04A0" w:firstRow="1" w:lastRow="0" w:firstColumn="1" w:lastColumn="0" w:noHBand="0" w:noVBand="1"/>
      </w:tblPr>
      <w:tblGrid>
        <w:gridCol w:w="2470"/>
        <w:gridCol w:w="932"/>
        <w:gridCol w:w="974"/>
        <w:gridCol w:w="1271"/>
        <w:gridCol w:w="933"/>
        <w:gridCol w:w="1354"/>
        <w:gridCol w:w="1354"/>
      </w:tblGrid>
      <w:tr w:rsidR="00B231CB">
        <w:trPr>
          <w:trHeight w:val="255"/>
        </w:trPr>
        <w:tc>
          <w:tcPr>
            <w:tcW w:w="1251" w:type="pct"/>
            <w:noWrap/>
            <w:hideMark/>
          </w:tcPr>
          <w:p w:rsidR="00B231CB" w:rsidRDefault="00C71431">
            <w:pPr>
              <w:spacing w:after="120"/>
              <w:rPr>
                <w:noProof/>
                <w:szCs w:val="24"/>
              </w:rPr>
            </w:pPr>
            <w:r>
              <w:rPr>
                <w:b/>
                <w:noProof/>
                <w:szCs w:val="24"/>
              </w:rPr>
              <w:t>2030 (EUR/van</w:t>
            </w:r>
            <w:r>
              <w:rPr>
                <w:noProof/>
                <w:szCs w:val="24"/>
              </w:rPr>
              <w:t>)</w:t>
            </w:r>
          </w:p>
        </w:tc>
        <w:tc>
          <w:tcPr>
            <w:tcW w:w="515" w:type="pct"/>
            <w:noWrap/>
          </w:tcPr>
          <w:p w:rsidR="00B231CB" w:rsidRDefault="00C71431">
            <w:pPr>
              <w:spacing w:after="120"/>
              <w:jc w:val="center"/>
              <w:rPr>
                <w:noProof/>
                <w:szCs w:val="24"/>
              </w:rPr>
            </w:pPr>
            <w:r>
              <w:rPr>
                <w:noProof/>
                <w:szCs w:val="24"/>
              </w:rPr>
              <w:t>TLV20</w:t>
            </w:r>
          </w:p>
        </w:tc>
        <w:tc>
          <w:tcPr>
            <w:tcW w:w="537" w:type="pct"/>
            <w:noWrap/>
          </w:tcPr>
          <w:p w:rsidR="00B231CB" w:rsidRDefault="00C71431">
            <w:pPr>
              <w:spacing w:after="120"/>
              <w:jc w:val="center"/>
              <w:rPr>
                <w:noProof/>
                <w:szCs w:val="24"/>
              </w:rPr>
            </w:pPr>
            <w:r>
              <w:rPr>
                <w:noProof/>
                <w:szCs w:val="24"/>
              </w:rPr>
              <w:t>TLV25</w:t>
            </w:r>
          </w:p>
        </w:tc>
        <w:tc>
          <w:tcPr>
            <w:tcW w:w="697" w:type="pct"/>
            <w:noWrap/>
          </w:tcPr>
          <w:p w:rsidR="00B231CB" w:rsidRDefault="00C71431">
            <w:pPr>
              <w:spacing w:after="120"/>
              <w:jc w:val="center"/>
              <w:rPr>
                <w:noProof/>
                <w:szCs w:val="24"/>
              </w:rPr>
            </w:pPr>
            <w:r>
              <w:rPr>
                <w:noProof/>
                <w:szCs w:val="24"/>
              </w:rPr>
              <w:t>TLV30</w:t>
            </w:r>
          </w:p>
        </w:tc>
        <w:tc>
          <w:tcPr>
            <w:tcW w:w="515" w:type="pct"/>
            <w:noWrap/>
          </w:tcPr>
          <w:p w:rsidR="00B231CB" w:rsidRDefault="00C71431">
            <w:pPr>
              <w:spacing w:after="120"/>
              <w:jc w:val="center"/>
              <w:rPr>
                <w:noProof/>
                <w:szCs w:val="24"/>
              </w:rPr>
            </w:pPr>
            <w:r>
              <w:rPr>
                <w:noProof/>
                <w:szCs w:val="24"/>
              </w:rPr>
              <w:t>TLV40</w:t>
            </w:r>
          </w:p>
        </w:tc>
        <w:tc>
          <w:tcPr>
            <w:tcW w:w="742" w:type="pct"/>
            <w:noWrap/>
          </w:tcPr>
          <w:p w:rsidR="00B231CB" w:rsidRDefault="00C71431">
            <w:pPr>
              <w:spacing w:after="120"/>
              <w:jc w:val="center"/>
              <w:rPr>
                <w:noProof/>
                <w:szCs w:val="24"/>
              </w:rPr>
            </w:pPr>
            <w:r>
              <w:rPr>
                <w:noProof/>
                <w:szCs w:val="24"/>
              </w:rPr>
              <w:t>TLV_EP40</w:t>
            </w:r>
          </w:p>
        </w:tc>
        <w:tc>
          <w:tcPr>
            <w:tcW w:w="742" w:type="pct"/>
            <w:noWrap/>
          </w:tcPr>
          <w:p w:rsidR="00B231CB" w:rsidRDefault="00C71431">
            <w:pPr>
              <w:spacing w:after="120"/>
              <w:jc w:val="center"/>
              <w:rPr>
                <w:noProof/>
                <w:szCs w:val="24"/>
              </w:rPr>
            </w:pPr>
            <w:r>
              <w:rPr>
                <w:noProof/>
                <w:szCs w:val="24"/>
              </w:rPr>
              <w:t>TLV_EP50</w:t>
            </w:r>
          </w:p>
        </w:tc>
      </w:tr>
      <w:tr w:rsidR="00B231CB">
        <w:trPr>
          <w:trHeight w:val="255"/>
        </w:trPr>
        <w:tc>
          <w:tcPr>
            <w:tcW w:w="1251" w:type="pct"/>
            <w:noWrap/>
          </w:tcPr>
          <w:p w:rsidR="00B231CB" w:rsidRDefault="00C71431">
            <w:pPr>
              <w:spacing w:after="120"/>
              <w:rPr>
                <w:noProof/>
                <w:szCs w:val="24"/>
              </w:rPr>
            </w:pPr>
            <w:r>
              <w:rPr>
                <w:noProof/>
                <w:szCs w:val="24"/>
              </w:rPr>
              <w:t>Capital cost [1]</w:t>
            </w:r>
          </w:p>
        </w:tc>
        <w:tc>
          <w:tcPr>
            <w:tcW w:w="515" w:type="pct"/>
            <w:noWrap/>
          </w:tcPr>
          <w:p w:rsidR="00B231CB" w:rsidRDefault="00C71431">
            <w:pPr>
              <w:spacing w:after="120"/>
              <w:jc w:val="center"/>
              <w:rPr>
                <w:noProof/>
              </w:rPr>
            </w:pPr>
            <w:r>
              <w:rPr>
                <w:noProof/>
              </w:rPr>
              <w:t>128</w:t>
            </w:r>
          </w:p>
        </w:tc>
        <w:tc>
          <w:tcPr>
            <w:tcW w:w="537" w:type="pct"/>
            <w:noWrap/>
          </w:tcPr>
          <w:p w:rsidR="00B231CB" w:rsidRDefault="00C71431">
            <w:pPr>
              <w:spacing w:after="120"/>
              <w:jc w:val="center"/>
              <w:rPr>
                <w:noProof/>
              </w:rPr>
            </w:pPr>
            <w:r>
              <w:rPr>
                <w:noProof/>
              </w:rPr>
              <w:t>186</w:t>
            </w:r>
          </w:p>
        </w:tc>
        <w:tc>
          <w:tcPr>
            <w:tcW w:w="697" w:type="pct"/>
            <w:noWrap/>
          </w:tcPr>
          <w:p w:rsidR="00B231CB" w:rsidRDefault="00C71431">
            <w:pPr>
              <w:spacing w:after="120"/>
              <w:jc w:val="center"/>
              <w:rPr>
                <w:noProof/>
              </w:rPr>
            </w:pPr>
            <w:r>
              <w:rPr>
                <w:noProof/>
              </w:rPr>
              <w:t>267</w:t>
            </w:r>
          </w:p>
        </w:tc>
        <w:tc>
          <w:tcPr>
            <w:tcW w:w="515" w:type="pct"/>
            <w:noWrap/>
          </w:tcPr>
          <w:p w:rsidR="00B231CB" w:rsidRDefault="00C71431">
            <w:pPr>
              <w:spacing w:after="120"/>
              <w:jc w:val="center"/>
              <w:rPr>
                <w:noProof/>
              </w:rPr>
            </w:pPr>
            <w:r>
              <w:rPr>
                <w:noProof/>
              </w:rPr>
              <w:t>474</w:t>
            </w:r>
          </w:p>
        </w:tc>
        <w:tc>
          <w:tcPr>
            <w:tcW w:w="742" w:type="pct"/>
            <w:noWrap/>
          </w:tcPr>
          <w:p w:rsidR="00B231CB" w:rsidRDefault="00C71431">
            <w:pPr>
              <w:spacing w:after="120"/>
              <w:jc w:val="center"/>
              <w:rPr>
                <w:noProof/>
              </w:rPr>
            </w:pPr>
            <w:r>
              <w:rPr>
                <w:noProof/>
              </w:rPr>
              <w:t>424</w:t>
            </w:r>
          </w:p>
        </w:tc>
        <w:tc>
          <w:tcPr>
            <w:tcW w:w="742" w:type="pct"/>
            <w:noWrap/>
          </w:tcPr>
          <w:p w:rsidR="00B231CB" w:rsidRDefault="00C71431">
            <w:pPr>
              <w:spacing w:after="120"/>
              <w:jc w:val="center"/>
              <w:rPr>
                <w:noProof/>
              </w:rPr>
            </w:pPr>
            <w:r>
              <w:rPr>
                <w:noProof/>
              </w:rPr>
              <w:t>731</w:t>
            </w:r>
          </w:p>
        </w:tc>
      </w:tr>
      <w:tr w:rsidR="00B231CB">
        <w:trPr>
          <w:trHeight w:val="255"/>
        </w:trPr>
        <w:tc>
          <w:tcPr>
            <w:tcW w:w="1251" w:type="pct"/>
            <w:tcBorders>
              <w:bottom w:val="single" w:sz="4" w:space="0" w:color="auto"/>
            </w:tcBorders>
            <w:noWrap/>
          </w:tcPr>
          <w:p w:rsidR="00B231CB" w:rsidRDefault="00C71431">
            <w:pPr>
              <w:spacing w:after="120"/>
              <w:rPr>
                <w:noProof/>
                <w:szCs w:val="24"/>
              </w:rPr>
            </w:pPr>
            <w:r>
              <w:rPr>
                <w:noProof/>
                <w:szCs w:val="24"/>
              </w:rPr>
              <w:t xml:space="preserve">O&amp;M cost [2] </w:t>
            </w:r>
          </w:p>
        </w:tc>
        <w:tc>
          <w:tcPr>
            <w:tcW w:w="515" w:type="pct"/>
            <w:tcBorders>
              <w:bottom w:val="single" w:sz="4" w:space="0" w:color="auto"/>
            </w:tcBorders>
            <w:noWrap/>
          </w:tcPr>
          <w:p w:rsidR="00B231CB" w:rsidRDefault="00C71431">
            <w:pPr>
              <w:spacing w:after="120"/>
              <w:jc w:val="center"/>
              <w:rPr>
                <w:noProof/>
              </w:rPr>
            </w:pPr>
            <w:r>
              <w:rPr>
                <w:noProof/>
              </w:rPr>
              <w:t>-22</w:t>
            </w:r>
          </w:p>
        </w:tc>
        <w:tc>
          <w:tcPr>
            <w:tcW w:w="537" w:type="pct"/>
            <w:tcBorders>
              <w:bottom w:val="single" w:sz="4" w:space="0" w:color="auto"/>
            </w:tcBorders>
            <w:noWrap/>
          </w:tcPr>
          <w:p w:rsidR="00B231CB" w:rsidRDefault="00C71431">
            <w:pPr>
              <w:spacing w:after="120"/>
              <w:jc w:val="center"/>
              <w:rPr>
                <w:noProof/>
              </w:rPr>
            </w:pPr>
            <w:r>
              <w:rPr>
                <w:noProof/>
              </w:rPr>
              <w:t>-24</w:t>
            </w:r>
          </w:p>
        </w:tc>
        <w:tc>
          <w:tcPr>
            <w:tcW w:w="697" w:type="pct"/>
            <w:tcBorders>
              <w:bottom w:val="single" w:sz="4" w:space="0" w:color="auto"/>
            </w:tcBorders>
            <w:noWrap/>
          </w:tcPr>
          <w:p w:rsidR="00B231CB" w:rsidRDefault="00C71431">
            <w:pPr>
              <w:spacing w:after="120"/>
              <w:jc w:val="center"/>
              <w:rPr>
                <w:noProof/>
              </w:rPr>
            </w:pPr>
            <w:r>
              <w:rPr>
                <w:noProof/>
              </w:rPr>
              <w:t>-33</w:t>
            </w:r>
          </w:p>
        </w:tc>
        <w:tc>
          <w:tcPr>
            <w:tcW w:w="515" w:type="pct"/>
            <w:tcBorders>
              <w:bottom w:val="single" w:sz="4" w:space="0" w:color="auto"/>
            </w:tcBorders>
            <w:noWrap/>
          </w:tcPr>
          <w:p w:rsidR="00B231CB" w:rsidRDefault="00C71431">
            <w:pPr>
              <w:spacing w:after="120"/>
              <w:jc w:val="center"/>
              <w:rPr>
                <w:noProof/>
              </w:rPr>
            </w:pPr>
            <w:r>
              <w:rPr>
                <w:noProof/>
              </w:rPr>
              <w:t>-62</w:t>
            </w:r>
          </w:p>
        </w:tc>
        <w:tc>
          <w:tcPr>
            <w:tcW w:w="742" w:type="pct"/>
            <w:tcBorders>
              <w:bottom w:val="single" w:sz="4" w:space="0" w:color="auto"/>
            </w:tcBorders>
            <w:noWrap/>
          </w:tcPr>
          <w:p w:rsidR="00B231CB" w:rsidRDefault="00C71431">
            <w:pPr>
              <w:spacing w:after="120"/>
              <w:jc w:val="center"/>
              <w:rPr>
                <w:noProof/>
              </w:rPr>
            </w:pPr>
            <w:r>
              <w:rPr>
                <w:noProof/>
              </w:rPr>
              <w:t>-61</w:t>
            </w:r>
          </w:p>
        </w:tc>
        <w:tc>
          <w:tcPr>
            <w:tcW w:w="742" w:type="pct"/>
            <w:tcBorders>
              <w:bottom w:val="single" w:sz="4" w:space="0" w:color="auto"/>
            </w:tcBorders>
            <w:noWrap/>
          </w:tcPr>
          <w:p w:rsidR="00B231CB" w:rsidRDefault="00C71431">
            <w:pPr>
              <w:spacing w:after="120"/>
              <w:jc w:val="center"/>
              <w:rPr>
                <w:noProof/>
              </w:rPr>
            </w:pPr>
            <w:r>
              <w:rPr>
                <w:noProof/>
              </w:rPr>
              <w:t>-104</w:t>
            </w:r>
          </w:p>
        </w:tc>
      </w:tr>
      <w:tr w:rsidR="00B231CB">
        <w:trPr>
          <w:trHeight w:val="255"/>
        </w:trPr>
        <w:tc>
          <w:tcPr>
            <w:tcW w:w="1251" w:type="pct"/>
            <w:tcBorders>
              <w:bottom w:val="single" w:sz="24" w:space="0" w:color="auto"/>
            </w:tcBorders>
            <w:noWrap/>
          </w:tcPr>
          <w:p w:rsidR="00B231CB" w:rsidRDefault="00C71431">
            <w:pPr>
              <w:spacing w:after="120"/>
              <w:rPr>
                <w:noProof/>
                <w:szCs w:val="24"/>
              </w:rPr>
            </w:pPr>
            <w:r>
              <w:rPr>
                <w:noProof/>
                <w:szCs w:val="24"/>
              </w:rPr>
              <w:t>Fuel cost savings [3]</w:t>
            </w:r>
          </w:p>
        </w:tc>
        <w:tc>
          <w:tcPr>
            <w:tcW w:w="515" w:type="pct"/>
            <w:tcBorders>
              <w:bottom w:val="single" w:sz="24" w:space="0" w:color="auto"/>
            </w:tcBorders>
            <w:noWrap/>
          </w:tcPr>
          <w:p w:rsidR="00B231CB" w:rsidRDefault="00C71431">
            <w:pPr>
              <w:spacing w:after="120"/>
              <w:jc w:val="center"/>
              <w:rPr>
                <w:noProof/>
              </w:rPr>
            </w:pPr>
            <w:r>
              <w:rPr>
                <w:noProof/>
              </w:rPr>
              <w:t>1,388</w:t>
            </w:r>
          </w:p>
        </w:tc>
        <w:tc>
          <w:tcPr>
            <w:tcW w:w="537" w:type="pct"/>
            <w:tcBorders>
              <w:bottom w:val="single" w:sz="24" w:space="0" w:color="auto"/>
            </w:tcBorders>
            <w:noWrap/>
          </w:tcPr>
          <w:p w:rsidR="00B231CB" w:rsidRDefault="00C71431">
            <w:pPr>
              <w:spacing w:after="120"/>
              <w:jc w:val="center"/>
              <w:rPr>
                <w:noProof/>
              </w:rPr>
            </w:pPr>
            <w:r>
              <w:rPr>
                <w:noProof/>
              </w:rPr>
              <w:t>1,743</w:t>
            </w:r>
          </w:p>
        </w:tc>
        <w:tc>
          <w:tcPr>
            <w:tcW w:w="697" w:type="pct"/>
            <w:tcBorders>
              <w:bottom w:val="single" w:sz="24" w:space="0" w:color="auto"/>
            </w:tcBorders>
            <w:noWrap/>
          </w:tcPr>
          <w:p w:rsidR="00B231CB" w:rsidRDefault="00C71431">
            <w:pPr>
              <w:spacing w:after="120"/>
              <w:jc w:val="center"/>
              <w:rPr>
                <w:noProof/>
              </w:rPr>
            </w:pPr>
            <w:r>
              <w:rPr>
                <w:noProof/>
              </w:rPr>
              <w:t>2,064</w:t>
            </w:r>
          </w:p>
        </w:tc>
        <w:tc>
          <w:tcPr>
            <w:tcW w:w="515" w:type="pct"/>
            <w:tcBorders>
              <w:bottom w:val="single" w:sz="24" w:space="0" w:color="auto"/>
            </w:tcBorders>
            <w:noWrap/>
          </w:tcPr>
          <w:p w:rsidR="00B231CB" w:rsidRDefault="00C71431">
            <w:pPr>
              <w:spacing w:after="120"/>
              <w:jc w:val="center"/>
              <w:rPr>
                <w:noProof/>
              </w:rPr>
            </w:pPr>
            <w:r>
              <w:rPr>
                <w:noProof/>
              </w:rPr>
              <w:t>2,629</w:t>
            </w:r>
          </w:p>
        </w:tc>
        <w:tc>
          <w:tcPr>
            <w:tcW w:w="742" w:type="pct"/>
            <w:tcBorders>
              <w:bottom w:val="single" w:sz="24" w:space="0" w:color="auto"/>
            </w:tcBorders>
            <w:noWrap/>
          </w:tcPr>
          <w:p w:rsidR="00B231CB" w:rsidRDefault="00C71431">
            <w:pPr>
              <w:spacing w:after="120"/>
              <w:jc w:val="center"/>
              <w:rPr>
                <w:noProof/>
              </w:rPr>
            </w:pPr>
            <w:r>
              <w:rPr>
                <w:noProof/>
              </w:rPr>
              <w:t>2,321</w:t>
            </w:r>
          </w:p>
        </w:tc>
        <w:tc>
          <w:tcPr>
            <w:tcW w:w="742" w:type="pct"/>
            <w:tcBorders>
              <w:bottom w:val="single" w:sz="24" w:space="0" w:color="auto"/>
            </w:tcBorders>
            <w:noWrap/>
          </w:tcPr>
          <w:p w:rsidR="00B231CB" w:rsidRDefault="00C71431">
            <w:pPr>
              <w:spacing w:after="120"/>
              <w:jc w:val="center"/>
              <w:rPr>
                <w:noProof/>
              </w:rPr>
            </w:pPr>
            <w:r>
              <w:rPr>
                <w:noProof/>
              </w:rPr>
              <w:t>3,032</w:t>
            </w:r>
          </w:p>
        </w:tc>
      </w:tr>
      <w:tr w:rsidR="00B231CB">
        <w:trPr>
          <w:trHeight w:val="255"/>
        </w:trPr>
        <w:tc>
          <w:tcPr>
            <w:tcW w:w="1251" w:type="pct"/>
            <w:noWrap/>
          </w:tcPr>
          <w:p w:rsidR="00B231CB" w:rsidRDefault="00C71431">
            <w:pPr>
              <w:spacing w:after="120"/>
              <w:rPr>
                <w:i/>
                <w:noProof/>
                <w:szCs w:val="24"/>
              </w:rPr>
            </w:pPr>
            <w:r>
              <w:rPr>
                <w:i/>
                <w:noProof/>
                <w:szCs w:val="24"/>
              </w:rPr>
              <w:t>Net savings</w:t>
            </w:r>
            <w:r>
              <w:rPr>
                <w:i/>
                <w:noProof/>
                <w:szCs w:val="24"/>
              </w:rPr>
              <w:t xml:space="preserve"> [3]-[1]-[2]</w:t>
            </w:r>
          </w:p>
        </w:tc>
        <w:tc>
          <w:tcPr>
            <w:tcW w:w="515" w:type="pct"/>
            <w:noWrap/>
          </w:tcPr>
          <w:p w:rsidR="00B231CB" w:rsidRDefault="00C71431">
            <w:pPr>
              <w:spacing w:after="120"/>
              <w:jc w:val="center"/>
              <w:rPr>
                <w:i/>
                <w:noProof/>
              </w:rPr>
            </w:pPr>
            <w:r>
              <w:rPr>
                <w:i/>
                <w:noProof/>
              </w:rPr>
              <w:t>1,282</w:t>
            </w:r>
          </w:p>
        </w:tc>
        <w:tc>
          <w:tcPr>
            <w:tcW w:w="537" w:type="pct"/>
            <w:noWrap/>
          </w:tcPr>
          <w:p w:rsidR="00B231CB" w:rsidRDefault="00C71431">
            <w:pPr>
              <w:spacing w:after="120"/>
              <w:jc w:val="center"/>
              <w:rPr>
                <w:i/>
                <w:noProof/>
              </w:rPr>
            </w:pPr>
            <w:r>
              <w:rPr>
                <w:i/>
                <w:noProof/>
              </w:rPr>
              <w:t>1,582</w:t>
            </w:r>
          </w:p>
        </w:tc>
        <w:tc>
          <w:tcPr>
            <w:tcW w:w="697" w:type="pct"/>
            <w:noWrap/>
          </w:tcPr>
          <w:p w:rsidR="00B231CB" w:rsidRDefault="00C71431">
            <w:pPr>
              <w:spacing w:after="120"/>
              <w:jc w:val="center"/>
              <w:rPr>
                <w:i/>
                <w:noProof/>
              </w:rPr>
            </w:pPr>
            <w:r>
              <w:rPr>
                <w:i/>
                <w:noProof/>
              </w:rPr>
              <w:t>1,830</w:t>
            </w:r>
          </w:p>
        </w:tc>
        <w:tc>
          <w:tcPr>
            <w:tcW w:w="515" w:type="pct"/>
            <w:noWrap/>
          </w:tcPr>
          <w:p w:rsidR="00B231CB" w:rsidRDefault="00C71431">
            <w:pPr>
              <w:spacing w:after="120"/>
              <w:jc w:val="center"/>
              <w:rPr>
                <w:i/>
                <w:noProof/>
              </w:rPr>
            </w:pPr>
            <w:r>
              <w:rPr>
                <w:i/>
                <w:noProof/>
              </w:rPr>
              <w:t>2,217</w:t>
            </w:r>
          </w:p>
        </w:tc>
        <w:tc>
          <w:tcPr>
            <w:tcW w:w="742" w:type="pct"/>
            <w:noWrap/>
          </w:tcPr>
          <w:p w:rsidR="00B231CB" w:rsidRDefault="00C71431">
            <w:pPr>
              <w:spacing w:after="120"/>
              <w:jc w:val="center"/>
              <w:rPr>
                <w:i/>
                <w:noProof/>
              </w:rPr>
            </w:pPr>
            <w:r>
              <w:rPr>
                <w:i/>
                <w:noProof/>
              </w:rPr>
              <w:t>1,958</w:t>
            </w:r>
          </w:p>
        </w:tc>
        <w:tc>
          <w:tcPr>
            <w:tcW w:w="742" w:type="pct"/>
            <w:noWrap/>
          </w:tcPr>
          <w:p w:rsidR="00B231CB" w:rsidRDefault="00C71431">
            <w:pPr>
              <w:spacing w:after="120"/>
              <w:jc w:val="center"/>
              <w:rPr>
                <w:i/>
                <w:noProof/>
              </w:rPr>
            </w:pPr>
            <w:r>
              <w:rPr>
                <w:i/>
                <w:noProof/>
              </w:rPr>
              <w:t>2,405</w:t>
            </w:r>
          </w:p>
        </w:tc>
      </w:tr>
    </w:tbl>
    <w:p w:rsidR="00B231CB" w:rsidRDefault="00C71431">
      <w:pPr>
        <w:pStyle w:val="Heading4"/>
        <w:rPr>
          <w:noProof/>
          <w:color w:val="000000" w:themeColor="text1"/>
        </w:rPr>
      </w:pPr>
      <w:r>
        <w:rPr>
          <w:noProof/>
          <w:color w:val="000000" w:themeColor="text1"/>
        </w:rPr>
        <w:t>TCO for second user - vans (TLV) and sensitivity regarding technology cost assumptions</w:t>
      </w:r>
    </w:p>
    <w:p w:rsidR="00B231CB" w:rsidRDefault="00C71431">
      <w:pPr>
        <w:spacing w:after="120"/>
        <w:rPr>
          <w:noProof/>
        </w:rPr>
      </w:pPr>
      <w:r>
        <w:rPr>
          <w:noProof/>
          <w:color w:val="000000" w:themeColor="text1"/>
          <w:szCs w:val="24"/>
        </w:rPr>
        <w:fldChar w:fldCharType="begin"/>
      </w:r>
      <w:r>
        <w:rPr>
          <w:noProof/>
          <w:color w:val="000000" w:themeColor="text1"/>
          <w:szCs w:val="24"/>
        </w:rPr>
        <w:instrText xml:space="preserve"> REF _Ref494107608 \h </w:instrText>
      </w:r>
      <w:r>
        <w:rPr>
          <w:noProof/>
          <w:color w:val="000000" w:themeColor="text1"/>
          <w:szCs w:val="24"/>
        </w:rPr>
      </w:r>
      <w:r>
        <w:rPr>
          <w:noProof/>
          <w:color w:val="000000" w:themeColor="text1"/>
          <w:szCs w:val="24"/>
        </w:rPr>
        <w:fldChar w:fldCharType="separate"/>
      </w:r>
      <w:r>
        <w:rPr>
          <w:noProof/>
        </w:rPr>
        <w:t>Table 29</w:t>
      </w:r>
      <w:r>
        <w:rPr>
          <w:noProof/>
          <w:color w:val="000000" w:themeColor="text1"/>
          <w:szCs w:val="24"/>
        </w:rPr>
        <w:fldChar w:fldCharType="end"/>
      </w:r>
      <w:r>
        <w:rPr>
          <w:noProof/>
          <w:color w:val="000000" w:themeColor="text1"/>
          <w:szCs w:val="24"/>
        </w:rPr>
        <w:t xml:space="preserve"> summarises the detailed results of the sensitivity analysis </w:t>
      </w:r>
      <w:r>
        <w:rPr>
          <w:noProof/>
          <w:color w:val="000000" w:themeColor="text1"/>
        </w:rPr>
        <w:t>of the TCO for the second user of vans for various TLV options and with different technology cost assumptions.</w:t>
      </w:r>
      <w:r>
        <w:rPr>
          <w:noProof/>
          <w:color w:val="000000" w:themeColor="text1"/>
          <w:szCs w:val="24"/>
        </w:rPr>
        <w:t xml:space="preserve"> </w:t>
      </w:r>
    </w:p>
    <w:p w:rsidR="00B231CB" w:rsidRDefault="00C71431">
      <w:pPr>
        <w:pStyle w:val="Caption"/>
        <w:keepNext/>
        <w:spacing w:before="240" w:after="240"/>
        <w:jc w:val="both"/>
        <w:rPr>
          <w:noProof/>
        </w:rPr>
      </w:pPr>
      <w:bookmarkStart w:id="192" w:name="_Ref494107608"/>
      <w:r>
        <w:rPr>
          <w:noProof/>
        </w:rPr>
        <w:t xml:space="preserve">Table </w:t>
      </w:r>
      <w:r>
        <w:rPr>
          <w:noProof/>
        </w:rPr>
        <w:fldChar w:fldCharType="begin"/>
      </w:r>
      <w:r>
        <w:rPr>
          <w:noProof/>
        </w:rPr>
        <w:instrText xml:space="preserve"> SEQ Table \*</w:instrText>
      </w:r>
      <w:r>
        <w:rPr>
          <w:noProof/>
        </w:rPr>
        <w:instrText xml:space="preserve"> ARABIC </w:instrText>
      </w:r>
      <w:r>
        <w:rPr>
          <w:noProof/>
        </w:rPr>
        <w:fldChar w:fldCharType="separate"/>
      </w:r>
      <w:r>
        <w:rPr>
          <w:noProof/>
        </w:rPr>
        <w:t>29</w:t>
      </w:r>
      <w:r>
        <w:rPr>
          <w:noProof/>
        </w:rPr>
        <w:fldChar w:fldCharType="end"/>
      </w:r>
      <w:bookmarkEnd w:id="192"/>
      <w:r>
        <w:rPr>
          <w:noProof/>
        </w:rPr>
        <w:t>: Sensitivity - TCO-second end user (years 6-10) for vans in 2025 and 2030 under different cost assumptions (net savings in EUR/van)</w:t>
      </w: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color w:val="000000" w:themeColor="text1"/>
                <w:szCs w:val="24"/>
              </w:rPr>
            </w:pPr>
            <w:r>
              <w:rPr>
                <w:b/>
                <w:noProof/>
                <w:color w:val="000000" w:themeColor="text1"/>
                <w:szCs w:val="24"/>
              </w:rPr>
              <w:t>TLV20 - 2025 (EUR/van)</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color w:val="000000" w:themeColor="text1"/>
              </w:rPr>
            </w:pPr>
            <w:r>
              <w:rPr>
                <w:noProof/>
                <w:color w:val="000000" w:themeColor="text1"/>
              </w:rPr>
              <w:t>169</w:t>
            </w:r>
          </w:p>
        </w:tc>
        <w:tc>
          <w:tcPr>
            <w:tcW w:w="673" w:type="pct"/>
            <w:noWrap/>
          </w:tcPr>
          <w:p w:rsidR="00B231CB" w:rsidRDefault="00C71431">
            <w:pPr>
              <w:spacing w:after="120"/>
              <w:jc w:val="center"/>
              <w:rPr>
                <w:noProof/>
                <w:color w:val="000000" w:themeColor="text1"/>
              </w:rPr>
            </w:pPr>
            <w:r>
              <w:rPr>
                <w:noProof/>
                <w:color w:val="000000" w:themeColor="text1"/>
              </w:rPr>
              <w:t>118</w:t>
            </w:r>
          </w:p>
        </w:tc>
        <w:tc>
          <w:tcPr>
            <w:tcW w:w="673" w:type="pct"/>
            <w:noWrap/>
          </w:tcPr>
          <w:p w:rsidR="00B231CB" w:rsidRDefault="00C71431">
            <w:pPr>
              <w:spacing w:after="120"/>
              <w:jc w:val="center"/>
              <w:rPr>
                <w:noProof/>
                <w:color w:val="000000" w:themeColor="text1"/>
              </w:rPr>
            </w:pPr>
            <w:r>
              <w:rPr>
                <w:noProof/>
                <w:color w:val="000000" w:themeColor="text1"/>
              </w:rPr>
              <w:t>69</w:t>
            </w:r>
          </w:p>
        </w:tc>
        <w:tc>
          <w:tcPr>
            <w:tcW w:w="673" w:type="pct"/>
            <w:noWrap/>
          </w:tcPr>
          <w:p w:rsidR="00B231CB" w:rsidRDefault="00C71431">
            <w:pPr>
              <w:spacing w:after="120"/>
              <w:jc w:val="center"/>
              <w:rPr>
                <w:noProof/>
                <w:color w:val="000000" w:themeColor="text1"/>
              </w:rPr>
            </w:pPr>
            <w:r>
              <w:rPr>
                <w:noProof/>
                <w:color w:val="000000" w:themeColor="text1"/>
              </w:rPr>
              <w:t>N/A</w:t>
            </w:r>
          </w:p>
        </w:tc>
        <w:tc>
          <w:tcPr>
            <w:tcW w:w="672"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color w:val="000000" w:themeColor="text1"/>
              </w:rPr>
            </w:pPr>
            <w:r>
              <w:rPr>
                <w:noProof/>
                <w:color w:val="000000" w:themeColor="text1"/>
              </w:rPr>
              <w:t>-14</w:t>
            </w:r>
          </w:p>
        </w:tc>
        <w:tc>
          <w:tcPr>
            <w:tcW w:w="673" w:type="pct"/>
            <w:noWrap/>
          </w:tcPr>
          <w:p w:rsidR="00B231CB" w:rsidRDefault="00C71431">
            <w:pPr>
              <w:spacing w:after="120"/>
              <w:jc w:val="center"/>
              <w:rPr>
                <w:noProof/>
                <w:color w:val="000000" w:themeColor="text1"/>
              </w:rPr>
            </w:pPr>
            <w:r>
              <w:rPr>
                <w:noProof/>
                <w:color w:val="000000" w:themeColor="text1"/>
              </w:rPr>
              <w:t>-20</w:t>
            </w:r>
          </w:p>
        </w:tc>
        <w:tc>
          <w:tcPr>
            <w:tcW w:w="673" w:type="pct"/>
            <w:noWrap/>
          </w:tcPr>
          <w:p w:rsidR="00B231CB" w:rsidRDefault="00C71431">
            <w:pPr>
              <w:spacing w:after="120"/>
              <w:jc w:val="center"/>
              <w:rPr>
                <w:noProof/>
                <w:color w:val="000000" w:themeColor="text1"/>
              </w:rPr>
            </w:pPr>
            <w:r>
              <w:rPr>
                <w:noProof/>
                <w:color w:val="000000" w:themeColor="text1"/>
              </w:rPr>
              <w:t>-17</w:t>
            </w:r>
          </w:p>
        </w:tc>
        <w:tc>
          <w:tcPr>
            <w:tcW w:w="673" w:type="pct"/>
            <w:noWrap/>
          </w:tcPr>
          <w:p w:rsidR="00B231CB" w:rsidRDefault="00C71431">
            <w:pPr>
              <w:spacing w:after="120"/>
              <w:jc w:val="center"/>
              <w:rPr>
                <w:noProof/>
                <w:color w:val="000000" w:themeColor="text1"/>
              </w:rPr>
            </w:pPr>
            <w:r>
              <w:rPr>
                <w:noProof/>
                <w:color w:val="000000" w:themeColor="text1"/>
              </w:rPr>
              <w:t>N/A</w:t>
            </w:r>
          </w:p>
        </w:tc>
        <w:tc>
          <w:tcPr>
            <w:tcW w:w="672"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3" w:type="pct"/>
            <w:tcBorders>
              <w:bottom w:val="single" w:sz="24" w:space="0" w:color="auto"/>
            </w:tcBorders>
            <w:noWrap/>
          </w:tcPr>
          <w:p w:rsidR="00B231CB" w:rsidRDefault="00C71431">
            <w:pPr>
              <w:tabs>
                <w:tab w:val="center" w:pos="1191"/>
              </w:tabs>
              <w:spacing w:after="120"/>
              <w:jc w:val="center"/>
              <w:rPr>
                <w:noProof/>
                <w:color w:val="000000" w:themeColor="text1"/>
              </w:rPr>
            </w:pPr>
            <w:r>
              <w:rPr>
                <w:noProof/>
                <w:color w:val="000000" w:themeColor="text1"/>
              </w:rPr>
              <w:t>734</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689</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707</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N/A</w:t>
            </w:r>
          </w:p>
        </w:tc>
        <w:tc>
          <w:tcPr>
            <w:tcW w:w="672"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3" w:type="pct"/>
            <w:noWrap/>
          </w:tcPr>
          <w:p w:rsidR="00B231CB" w:rsidRDefault="00C71431">
            <w:pPr>
              <w:spacing w:after="120"/>
              <w:jc w:val="center"/>
              <w:rPr>
                <w:i/>
                <w:noProof/>
                <w:color w:val="000000" w:themeColor="text1"/>
              </w:rPr>
            </w:pPr>
            <w:r>
              <w:rPr>
                <w:i/>
                <w:noProof/>
                <w:color w:val="000000" w:themeColor="text1"/>
              </w:rPr>
              <w:t>579</w:t>
            </w:r>
          </w:p>
        </w:tc>
        <w:tc>
          <w:tcPr>
            <w:tcW w:w="673" w:type="pct"/>
            <w:noWrap/>
          </w:tcPr>
          <w:p w:rsidR="00B231CB" w:rsidRDefault="00C71431">
            <w:pPr>
              <w:spacing w:after="120"/>
              <w:jc w:val="center"/>
              <w:rPr>
                <w:i/>
                <w:noProof/>
                <w:color w:val="000000" w:themeColor="text1"/>
              </w:rPr>
            </w:pPr>
            <w:r>
              <w:rPr>
                <w:i/>
                <w:noProof/>
                <w:color w:val="000000" w:themeColor="text1"/>
              </w:rPr>
              <w:t>591</w:t>
            </w:r>
          </w:p>
        </w:tc>
        <w:tc>
          <w:tcPr>
            <w:tcW w:w="673" w:type="pct"/>
            <w:noWrap/>
          </w:tcPr>
          <w:p w:rsidR="00B231CB" w:rsidRDefault="00C71431">
            <w:pPr>
              <w:spacing w:after="120"/>
              <w:jc w:val="center"/>
              <w:rPr>
                <w:i/>
                <w:noProof/>
                <w:color w:val="000000" w:themeColor="text1"/>
              </w:rPr>
            </w:pPr>
            <w:r>
              <w:rPr>
                <w:i/>
                <w:noProof/>
                <w:color w:val="000000" w:themeColor="text1"/>
              </w:rPr>
              <w:t>655</w:t>
            </w:r>
          </w:p>
        </w:tc>
        <w:tc>
          <w:tcPr>
            <w:tcW w:w="673" w:type="pct"/>
            <w:noWrap/>
          </w:tcPr>
          <w:p w:rsidR="00B231CB" w:rsidRDefault="00C71431">
            <w:pPr>
              <w:spacing w:after="120"/>
              <w:jc w:val="center"/>
              <w:rPr>
                <w:i/>
                <w:noProof/>
                <w:color w:val="000000" w:themeColor="text1"/>
              </w:rPr>
            </w:pPr>
            <w:r>
              <w:rPr>
                <w:i/>
                <w:noProof/>
                <w:color w:val="000000" w:themeColor="text1"/>
              </w:rPr>
              <w:t>N/A</w:t>
            </w:r>
          </w:p>
        </w:tc>
        <w:tc>
          <w:tcPr>
            <w:tcW w:w="672" w:type="pct"/>
            <w:noWrap/>
          </w:tcPr>
          <w:p w:rsidR="00B231CB" w:rsidRDefault="00C71431">
            <w:pPr>
              <w:spacing w:after="120"/>
              <w:jc w:val="center"/>
              <w:rPr>
                <w:i/>
                <w:noProof/>
                <w:color w:val="000000" w:themeColor="text1"/>
                <w:szCs w:val="24"/>
              </w:rPr>
            </w:pPr>
            <w:r>
              <w:rPr>
                <w:i/>
                <w:noProof/>
                <w:color w:val="000000" w:themeColor="text1"/>
              </w:rPr>
              <w:t>N/A</w:t>
            </w:r>
          </w:p>
        </w:tc>
      </w:tr>
    </w:tbl>
    <w:p w:rsidR="00B231CB" w:rsidRDefault="00B231CB">
      <w:pPr>
        <w:spacing w:after="12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TLV20 - 2030 (EUR/van)</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color w:val="000000" w:themeColor="text1"/>
              </w:rPr>
            </w:pPr>
            <w:r>
              <w:rPr>
                <w:noProof/>
                <w:color w:val="000000" w:themeColor="text1"/>
              </w:rPr>
              <w:t>262</w:t>
            </w:r>
          </w:p>
        </w:tc>
        <w:tc>
          <w:tcPr>
            <w:tcW w:w="675" w:type="pct"/>
            <w:noWrap/>
          </w:tcPr>
          <w:p w:rsidR="00B231CB" w:rsidRDefault="00C71431">
            <w:pPr>
              <w:spacing w:after="120"/>
              <w:jc w:val="center"/>
              <w:rPr>
                <w:noProof/>
                <w:color w:val="000000" w:themeColor="text1"/>
              </w:rPr>
            </w:pPr>
            <w:r>
              <w:rPr>
                <w:noProof/>
                <w:color w:val="000000" w:themeColor="text1"/>
              </w:rPr>
              <w:t>179</w:t>
            </w:r>
          </w:p>
        </w:tc>
        <w:tc>
          <w:tcPr>
            <w:tcW w:w="675" w:type="pct"/>
            <w:noWrap/>
          </w:tcPr>
          <w:p w:rsidR="00B231CB" w:rsidRDefault="00C71431">
            <w:pPr>
              <w:spacing w:after="120"/>
              <w:jc w:val="center"/>
              <w:rPr>
                <w:noProof/>
                <w:color w:val="000000" w:themeColor="text1"/>
              </w:rPr>
            </w:pPr>
            <w:r>
              <w:rPr>
                <w:noProof/>
                <w:color w:val="000000" w:themeColor="text1"/>
              </w:rPr>
              <w:t>128</w:t>
            </w:r>
          </w:p>
        </w:tc>
        <w:tc>
          <w:tcPr>
            <w:tcW w:w="675" w:type="pct"/>
            <w:noWrap/>
          </w:tcPr>
          <w:p w:rsidR="00B231CB" w:rsidRDefault="00C71431">
            <w:pPr>
              <w:spacing w:after="120"/>
              <w:jc w:val="center"/>
              <w:rPr>
                <w:noProof/>
                <w:color w:val="000000" w:themeColor="text1"/>
              </w:rPr>
            </w:pPr>
            <w:r>
              <w:rPr>
                <w:noProof/>
                <w:color w:val="000000" w:themeColor="text1"/>
              </w:rPr>
              <w:t>N/A</w:t>
            </w:r>
          </w:p>
        </w:tc>
        <w:tc>
          <w:tcPr>
            <w:tcW w:w="673"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color w:val="000000" w:themeColor="text1"/>
              </w:rPr>
            </w:pPr>
            <w:r>
              <w:rPr>
                <w:noProof/>
                <w:color w:val="000000" w:themeColor="text1"/>
              </w:rPr>
              <w:t>-15</w:t>
            </w:r>
          </w:p>
        </w:tc>
        <w:tc>
          <w:tcPr>
            <w:tcW w:w="675" w:type="pct"/>
            <w:noWrap/>
          </w:tcPr>
          <w:p w:rsidR="00B231CB" w:rsidRDefault="00C71431">
            <w:pPr>
              <w:spacing w:after="120"/>
              <w:jc w:val="center"/>
              <w:rPr>
                <w:noProof/>
                <w:color w:val="000000" w:themeColor="text1"/>
              </w:rPr>
            </w:pPr>
            <w:r>
              <w:rPr>
                <w:noProof/>
                <w:color w:val="000000" w:themeColor="text1"/>
              </w:rPr>
              <w:t>-24</w:t>
            </w:r>
          </w:p>
        </w:tc>
        <w:tc>
          <w:tcPr>
            <w:tcW w:w="675" w:type="pct"/>
            <w:noWrap/>
          </w:tcPr>
          <w:p w:rsidR="00B231CB" w:rsidRDefault="00C71431">
            <w:pPr>
              <w:spacing w:after="120"/>
              <w:jc w:val="center"/>
              <w:rPr>
                <w:noProof/>
                <w:color w:val="000000" w:themeColor="text1"/>
              </w:rPr>
            </w:pPr>
            <w:r>
              <w:rPr>
                <w:noProof/>
                <w:color w:val="000000" w:themeColor="text1"/>
              </w:rPr>
              <w:t>-22</w:t>
            </w:r>
          </w:p>
        </w:tc>
        <w:tc>
          <w:tcPr>
            <w:tcW w:w="675" w:type="pct"/>
            <w:noWrap/>
          </w:tcPr>
          <w:p w:rsidR="00B231CB" w:rsidRDefault="00C71431">
            <w:pPr>
              <w:spacing w:after="120"/>
              <w:jc w:val="center"/>
              <w:rPr>
                <w:noProof/>
                <w:color w:val="000000" w:themeColor="text1"/>
              </w:rPr>
            </w:pPr>
            <w:r>
              <w:rPr>
                <w:noProof/>
                <w:color w:val="000000" w:themeColor="text1"/>
              </w:rPr>
              <w:t>N/A</w:t>
            </w:r>
          </w:p>
        </w:tc>
        <w:tc>
          <w:tcPr>
            <w:tcW w:w="673" w:type="pct"/>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1,428</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1,366</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1,388</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N/A</w:t>
            </w:r>
          </w:p>
        </w:tc>
        <w:tc>
          <w:tcPr>
            <w:tcW w:w="673" w:type="pct"/>
            <w:tcBorders>
              <w:bottom w:val="single" w:sz="24" w:space="0" w:color="auto"/>
            </w:tcBorders>
            <w:noWrap/>
          </w:tcPr>
          <w:p w:rsidR="00B231CB" w:rsidRDefault="00C71431">
            <w:pPr>
              <w:spacing w:after="120"/>
              <w:jc w:val="center"/>
              <w:rPr>
                <w:noProof/>
                <w:color w:val="000000" w:themeColor="text1"/>
                <w:szCs w:val="24"/>
              </w:rPr>
            </w:pPr>
            <w:r>
              <w:rPr>
                <w:noProof/>
                <w:color w:val="000000" w:themeColor="text1"/>
              </w:rPr>
              <w:t>N/A</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color w:val="000000" w:themeColor="text1"/>
              </w:rPr>
            </w:pPr>
            <w:r>
              <w:rPr>
                <w:i/>
                <w:noProof/>
                <w:color w:val="000000" w:themeColor="text1"/>
              </w:rPr>
              <w:t>1,181</w:t>
            </w:r>
          </w:p>
        </w:tc>
        <w:tc>
          <w:tcPr>
            <w:tcW w:w="675" w:type="pct"/>
            <w:noWrap/>
          </w:tcPr>
          <w:p w:rsidR="00B231CB" w:rsidRDefault="00C71431">
            <w:pPr>
              <w:spacing w:after="120"/>
              <w:jc w:val="center"/>
              <w:rPr>
                <w:i/>
                <w:noProof/>
                <w:color w:val="000000" w:themeColor="text1"/>
              </w:rPr>
            </w:pPr>
            <w:r>
              <w:rPr>
                <w:i/>
                <w:noProof/>
                <w:color w:val="000000" w:themeColor="text1"/>
              </w:rPr>
              <w:t>1,212</w:t>
            </w:r>
          </w:p>
        </w:tc>
        <w:tc>
          <w:tcPr>
            <w:tcW w:w="675" w:type="pct"/>
            <w:noWrap/>
          </w:tcPr>
          <w:p w:rsidR="00B231CB" w:rsidRDefault="00C71431">
            <w:pPr>
              <w:spacing w:after="120"/>
              <w:jc w:val="center"/>
              <w:rPr>
                <w:i/>
                <w:noProof/>
                <w:color w:val="000000" w:themeColor="text1"/>
              </w:rPr>
            </w:pPr>
            <w:r>
              <w:rPr>
                <w:i/>
                <w:noProof/>
                <w:color w:val="000000" w:themeColor="text1"/>
              </w:rPr>
              <w:t>1,282</w:t>
            </w:r>
          </w:p>
        </w:tc>
        <w:tc>
          <w:tcPr>
            <w:tcW w:w="675" w:type="pct"/>
            <w:noWrap/>
          </w:tcPr>
          <w:p w:rsidR="00B231CB" w:rsidRDefault="00C71431">
            <w:pPr>
              <w:spacing w:after="120"/>
              <w:jc w:val="center"/>
              <w:rPr>
                <w:i/>
                <w:noProof/>
                <w:color w:val="000000" w:themeColor="text1"/>
              </w:rPr>
            </w:pPr>
            <w:r>
              <w:rPr>
                <w:i/>
                <w:noProof/>
                <w:color w:val="000000" w:themeColor="text1"/>
              </w:rPr>
              <w:t>N/A</w:t>
            </w:r>
          </w:p>
        </w:tc>
        <w:tc>
          <w:tcPr>
            <w:tcW w:w="673" w:type="pct"/>
            <w:noWrap/>
          </w:tcPr>
          <w:p w:rsidR="00B231CB" w:rsidRDefault="00C71431">
            <w:pPr>
              <w:spacing w:after="120"/>
              <w:jc w:val="center"/>
              <w:rPr>
                <w:i/>
                <w:noProof/>
                <w:color w:val="000000" w:themeColor="text1"/>
                <w:szCs w:val="24"/>
              </w:rPr>
            </w:pPr>
            <w:r>
              <w:rPr>
                <w:i/>
                <w:noProof/>
                <w:color w:val="000000" w:themeColor="text1"/>
              </w:rPr>
              <w:t>N/A</w:t>
            </w:r>
          </w:p>
        </w:tc>
      </w:tr>
    </w:tbl>
    <w:p w:rsidR="00B231CB" w:rsidRDefault="00B231CB">
      <w:pPr>
        <w:spacing w:after="120"/>
        <w:rPr>
          <w:noProof/>
          <w:color w:val="000000" w:themeColor="text1"/>
        </w:rPr>
      </w:pP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color w:val="000000" w:themeColor="text1"/>
                <w:szCs w:val="24"/>
              </w:rPr>
            </w:pPr>
            <w:r>
              <w:rPr>
                <w:b/>
                <w:noProof/>
                <w:color w:val="000000" w:themeColor="text1"/>
                <w:szCs w:val="24"/>
              </w:rPr>
              <w:t>TLV25 - 2025 (EUR/van)</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color w:val="000000" w:themeColor="text1"/>
              </w:rPr>
            </w:pPr>
            <w:r>
              <w:rPr>
                <w:noProof/>
                <w:color w:val="000000" w:themeColor="text1"/>
              </w:rPr>
              <w:t>229</w:t>
            </w:r>
          </w:p>
        </w:tc>
        <w:tc>
          <w:tcPr>
            <w:tcW w:w="673" w:type="pct"/>
            <w:noWrap/>
          </w:tcPr>
          <w:p w:rsidR="00B231CB" w:rsidRDefault="00C71431">
            <w:pPr>
              <w:spacing w:after="120"/>
              <w:jc w:val="center"/>
              <w:rPr>
                <w:noProof/>
                <w:color w:val="000000" w:themeColor="text1"/>
              </w:rPr>
            </w:pPr>
            <w:r>
              <w:rPr>
                <w:noProof/>
                <w:color w:val="000000" w:themeColor="text1"/>
              </w:rPr>
              <w:t>163</w:t>
            </w:r>
          </w:p>
        </w:tc>
        <w:tc>
          <w:tcPr>
            <w:tcW w:w="673" w:type="pct"/>
            <w:noWrap/>
          </w:tcPr>
          <w:p w:rsidR="00B231CB" w:rsidRDefault="00C71431">
            <w:pPr>
              <w:spacing w:after="120"/>
              <w:jc w:val="center"/>
              <w:rPr>
                <w:noProof/>
                <w:color w:val="000000" w:themeColor="text1"/>
              </w:rPr>
            </w:pPr>
            <w:r>
              <w:rPr>
                <w:noProof/>
                <w:color w:val="000000" w:themeColor="text1"/>
              </w:rPr>
              <w:t>106</w:t>
            </w:r>
          </w:p>
        </w:tc>
        <w:tc>
          <w:tcPr>
            <w:tcW w:w="673" w:type="pct"/>
            <w:noWrap/>
          </w:tcPr>
          <w:p w:rsidR="00B231CB" w:rsidRDefault="00C71431">
            <w:pPr>
              <w:spacing w:after="120"/>
              <w:jc w:val="center"/>
              <w:rPr>
                <w:noProof/>
                <w:color w:val="000000" w:themeColor="text1"/>
              </w:rPr>
            </w:pPr>
            <w:r>
              <w:rPr>
                <w:noProof/>
                <w:color w:val="000000" w:themeColor="text1"/>
              </w:rPr>
              <w:t>72</w:t>
            </w:r>
          </w:p>
        </w:tc>
        <w:tc>
          <w:tcPr>
            <w:tcW w:w="672" w:type="pct"/>
            <w:noWrap/>
          </w:tcPr>
          <w:p w:rsidR="00B231CB" w:rsidRDefault="00C71431">
            <w:pPr>
              <w:spacing w:after="120"/>
              <w:jc w:val="center"/>
              <w:rPr>
                <w:noProof/>
                <w:color w:val="000000" w:themeColor="text1"/>
              </w:rPr>
            </w:pPr>
            <w:r>
              <w:rPr>
                <w:noProof/>
                <w:color w:val="000000" w:themeColor="text1"/>
              </w:rPr>
              <w:t>36</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color w:val="000000" w:themeColor="text1"/>
              </w:rPr>
            </w:pPr>
            <w:r>
              <w:rPr>
                <w:noProof/>
                <w:color w:val="000000" w:themeColor="text1"/>
              </w:rPr>
              <w:t>-24</w:t>
            </w:r>
          </w:p>
        </w:tc>
        <w:tc>
          <w:tcPr>
            <w:tcW w:w="673" w:type="pct"/>
            <w:noWrap/>
          </w:tcPr>
          <w:p w:rsidR="00B231CB" w:rsidRDefault="00C71431">
            <w:pPr>
              <w:spacing w:after="120"/>
              <w:jc w:val="center"/>
              <w:rPr>
                <w:noProof/>
                <w:color w:val="000000" w:themeColor="text1"/>
              </w:rPr>
            </w:pPr>
            <w:r>
              <w:rPr>
                <w:noProof/>
                <w:color w:val="000000" w:themeColor="text1"/>
              </w:rPr>
              <w:t>-26</w:t>
            </w:r>
          </w:p>
        </w:tc>
        <w:tc>
          <w:tcPr>
            <w:tcW w:w="673" w:type="pct"/>
            <w:noWrap/>
          </w:tcPr>
          <w:p w:rsidR="00B231CB" w:rsidRDefault="00C71431">
            <w:pPr>
              <w:spacing w:after="120"/>
              <w:jc w:val="center"/>
              <w:rPr>
                <w:noProof/>
                <w:color w:val="000000" w:themeColor="text1"/>
              </w:rPr>
            </w:pPr>
            <w:r>
              <w:rPr>
                <w:noProof/>
                <w:color w:val="000000" w:themeColor="text1"/>
              </w:rPr>
              <w:t>-23</w:t>
            </w:r>
          </w:p>
        </w:tc>
        <w:tc>
          <w:tcPr>
            <w:tcW w:w="673" w:type="pct"/>
            <w:noWrap/>
          </w:tcPr>
          <w:p w:rsidR="00B231CB" w:rsidRDefault="00C71431">
            <w:pPr>
              <w:spacing w:after="120"/>
              <w:jc w:val="center"/>
              <w:rPr>
                <w:noProof/>
                <w:color w:val="000000" w:themeColor="text1"/>
              </w:rPr>
            </w:pPr>
            <w:r>
              <w:rPr>
                <w:noProof/>
                <w:color w:val="000000" w:themeColor="text1"/>
              </w:rPr>
              <w:t>-28</w:t>
            </w:r>
          </w:p>
        </w:tc>
        <w:tc>
          <w:tcPr>
            <w:tcW w:w="672" w:type="pct"/>
            <w:noWrap/>
          </w:tcPr>
          <w:p w:rsidR="00B231CB" w:rsidRDefault="00C71431">
            <w:pPr>
              <w:spacing w:after="120"/>
              <w:jc w:val="center"/>
              <w:rPr>
                <w:noProof/>
                <w:color w:val="000000" w:themeColor="text1"/>
              </w:rPr>
            </w:pPr>
            <w:r>
              <w:rPr>
                <w:noProof/>
                <w:color w:val="000000" w:themeColor="text1"/>
              </w:rPr>
              <w:t>-25</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912</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869</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893</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848</w:t>
            </w:r>
          </w:p>
        </w:tc>
        <w:tc>
          <w:tcPr>
            <w:tcW w:w="672"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863</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 xml:space="preserve">Net </w:t>
            </w:r>
            <w:r>
              <w:rPr>
                <w:i/>
                <w:noProof/>
                <w:color w:val="000000" w:themeColor="text1"/>
                <w:szCs w:val="24"/>
              </w:rPr>
              <w:t>savings [3]-[1]-[2]</w:t>
            </w:r>
          </w:p>
        </w:tc>
        <w:tc>
          <w:tcPr>
            <w:tcW w:w="673" w:type="pct"/>
            <w:noWrap/>
          </w:tcPr>
          <w:p w:rsidR="00B231CB" w:rsidRDefault="00C71431">
            <w:pPr>
              <w:spacing w:after="120"/>
              <w:jc w:val="center"/>
              <w:rPr>
                <w:i/>
                <w:noProof/>
                <w:color w:val="000000" w:themeColor="text1"/>
              </w:rPr>
            </w:pPr>
            <w:r>
              <w:rPr>
                <w:i/>
                <w:noProof/>
                <w:color w:val="000000" w:themeColor="text1"/>
              </w:rPr>
              <w:t>706</w:t>
            </w:r>
          </w:p>
        </w:tc>
        <w:tc>
          <w:tcPr>
            <w:tcW w:w="673" w:type="pct"/>
            <w:noWrap/>
          </w:tcPr>
          <w:p w:rsidR="00B231CB" w:rsidRDefault="00C71431">
            <w:pPr>
              <w:spacing w:after="120"/>
              <w:jc w:val="center"/>
              <w:rPr>
                <w:i/>
                <w:noProof/>
                <w:color w:val="000000" w:themeColor="text1"/>
              </w:rPr>
            </w:pPr>
            <w:r>
              <w:rPr>
                <w:i/>
                <w:noProof/>
                <w:color w:val="000000" w:themeColor="text1"/>
              </w:rPr>
              <w:t>732</w:t>
            </w:r>
          </w:p>
        </w:tc>
        <w:tc>
          <w:tcPr>
            <w:tcW w:w="673" w:type="pct"/>
            <w:noWrap/>
          </w:tcPr>
          <w:p w:rsidR="00B231CB" w:rsidRDefault="00C71431">
            <w:pPr>
              <w:spacing w:after="120"/>
              <w:jc w:val="center"/>
              <w:rPr>
                <w:i/>
                <w:noProof/>
                <w:color w:val="000000" w:themeColor="text1"/>
              </w:rPr>
            </w:pPr>
            <w:r>
              <w:rPr>
                <w:i/>
                <w:noProof/>
                <w:color w:val="000000" w:themeColor="text1"/>
              </w:rPr>
              <w:t>809</w:t>
            </w:r>
          </w:p>
        </w:tc>
        <w:tc>
          <w:tcPr>
            <w:tcW w:w="673" w:type="pct"/>
            <w:noWrap/>
          </w:tcPr>
          <w:p w:rsidR="00B231CB" w:rsidRDefault="00C71431">
            <w:pPr>
              <w:spacing w:after="120"/>
              <w:jc w:val="center"/>
              <w:rPr>
                <w:i/>
                <w:noProof/>
                <w:color w:val="000000" w:themeColor="text1"/>
              </w:rPr>
            </w:pPr>
            <w:r>
              <w:rPr>
                <w:i/>
                <w:noProof/>
                <w:color w:val="000000" w:themeColor="text1"/>
              </w:rPr>
              <w:t>804</w:t>
            </w:r>
          </w:p>
        </w:tc>
        <w:tc>
          <w:tcPr>
            <w:tcW w:w="672" w:type="pct"/>
            <w:noWrap/>
          </w:tcPr>
          <w:p w:rsidR="00B231CB" w:rsidRDefault="00C71431">
            <w:pPr>
              <w:spacing w:after="120"/>
              <w:jc w:val="center"/>
              <w:rPr>
                <w:i/>
                <w:noProof/>
                <w:color w:val="000000" w:themeColor="text1"/>
              </w:rPr>
            </w:pPr>
            <w:r>
              <w:rPr>
                <w:i/>
                <w:noProof/>
                <w:color w:val="000000" w:themeColor="text1"/>
              </w:rPr>
              <w:t>852</w:t>
            </w:r>
          </w:p>
        </w:tc>
      </w:tr>
    </w:tbl>
    <w:p w:rsidR="00B231CB" w:rsidRDefault="00B231CB">
      <w:pPr>
        <w:spacing w:after="12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TLV25 - 2030 (EUR/van)</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color w:val="000000" w:themeColor="text1"/>
              </w:rPr>
            </w:pPr>
            <w:r>
              <w:rPr>
                <w:noProof/>
                <w:color w:val="000000" w:themeColor="text1"/>
              </w:rPr>
              <w:t>358</w:t>
            </w:r>
          </w:p>
        </w:tc>
        <w:tc>
          <w:tcPr>
            <w:tcW w:w="675" w:type="pct"/>
            <w:noWrap/>
          </w:tcPr>
          <w:p w:rsidR="00B231CB" w:rsidRDefault="00C71431">
            <w:pPr>
              <w:spacing w:after="120"/>
              <w:jc w:val="center"/>
              <w:rPr>
                <w:noProof/>
                <w:color w:val="000000" w:themeColor="text1"/>
              </w:rPr>
            </w:pPr>
            <w:r>
              <w:rPr>
                <w:noProof/>
                <w:color w:val="000000" w:themeColor="text1"/>
              </w:rPr>
              <w:t>253</w:t>
            </w:r>
          </w:p>
        </w:tc>
        <w:tc>
          <w:tcPr>
            <w:tcW w:w="675" w:type="pct"/>
            <w:noWrap/>
          </w:tcPr>
          <w:p w:rsidR="00B231CB" w:rsidRDefault="00C71431">
            <w:pPr>
              <w:spacing w:after="120"/>
              <w:jc w:val="center"/>
              <w:rPr>
                <w:noProof/>
                <w:color w:val="000000" w:themeColor="text1"/>
              </w:rPr>
            </w:pPr>
            <w:r>
              <w:rPr>
                <w:noProof/>
                <w:color w:val="000000" w:themeColor="text1"/>
              </w:rPr>
              <w:t>186</w:t>
            </w:r>
          </w:p>
        </w:tc>
        <w:tc>
          <w:tcPr>
            <w:tcW w:w="675" w:type="pct"/>
            <w:noWrap/>
          </w:tcPr>
          <w:p w:rsidR="00B231CB" w:rsidRDefault="00C71431">
            <w:pPr>
              <w:spacing w:after="120"/>
              <w:jc w:val="center"/>
              <w:rPr>
                <w:noProof/>
                <w:color w:val="000000" w:themeColor="text1"/>
              </w:rPr>
            </w:pPr>
            <w:r>
              <w:rPr>
                <w:noProof/>
                <w:color w:val="000000" w:themeColor="text1"/>
              </w:rPr>
              <w:t>107</w:t>
            </w:r>
          </w:p>
        </w:tc>
        <w:tc>
          <w:tcPr>
            <w:tcW w:w="673" w:type="pct"/>
            <w:noWrap/>
          </w:tcPr>
          <w:p w:rsidR="00B231CB" w:rsidRDefault="00C71431">
            <w:pPr>
              <w:spacing w:after="120"/>
              <w:jc w:val="center"/>
              <w:rPr>
                <w:noProof/>
                <w:color w:val="000000" w:themeColor="text1"/>
              </w:rPr>
            </w:pPr>
            <w:r>
              <w:rPr>
                <w:noProof/>
                <w:color w:val="000000" w:themeColor="text1"/>
              </w:rPr>
              <w:t>70</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color w:val="000000" w:themeColor="text1"/>
              </w:rPr>
            </w:pPr>
            <w:r>
              <w:rPr>
                <w:noProof/>
                <w:color w:val="000000" w:themeColor="text1"/>
              </w:rPr>
              <w:t>-20</w:t>
            </w:r>
          </w:p>
        </w:tc>
        <w:tc>
          <w:tcPr>
            <w:tcW w:w="675" w:type="pct"/>
            <w:noWrap/>
          </w:tcPr>
          <w:p w:rsidR="00B231CB" w:rsidRDefault="00C71431">
            <w:pPr>
              <w:spacing w:after="120"/>
              <w:jc w:val="center"/>
              <w:rPr>
                <w:noProof/>
                <w:color w:val="000000" w:themeColor="text1"/>
              </w:rPr>
            </w:pPr>
            <w:r>
              <w:rPr>
                <w:noProof/>
                <w:color w:val="000000" w:themeColor="text1"/>
              </w:rPr>
              <w:t>-29</w:t>
            </w:r>
          </w:p>
        </w:tc>
        <w:tc>
          <w:tcPr>
            <w:tcW w:w="675" w:type="pct"/>
            <w:noWrap/>
          </w:tcPr>
          <w:p w:rsidR="00B231CB" w:rsidRDefault="00C71431">
            <w:pPr>
              <w:spacing w:after="120"/>
              <w:jc w:val="center"/>
              <w:rPr>
                <w:noProof/>
                <w:color w:val="000000" w:themeColor="text1"/>
              </w:rPr>
            </w:pPr>
            <w:r>
              <w:rPr>
                <w:noProof/>
                <w:color w:val="000000" w:themeColor="text1"/>
              </w:rPr>
              <w:t>-24</w:t>
            </w:r>
          </w:p>
        </w:tc>
        <w:tc>
          <w:tcPr>
            <w:tcW w:w="675" w:type="pct"/>
            <w:noWrap/>
          </w:tcPr>
          <w:p w:rsidR="00B231CB" w:rsidRDefault="00C71431">
            <w:pPr>
              <w:spacing w:after="120"/>
              <w:jc w:val="center"/>
              <w:rPr>
                <w:noProof/>
                <w:color w:val="000000" w:themeColor="text1"/>
              </w:rPr>
            </w:pPr>
            <w:r>
              <w:rPr>
                <w:noProof/>
                <w:color w:val="000000" w:themeColor="text1"/>
              </w:rPr>
              <w:t>-36</w:t>
            </w:r>
          </w:p>
        </w:tc>
        <w:tc>
          <w:tcPr>
            <w:tcW w:w="673" w:type="pct"/>
            <w:noWrap/>
          </w:tcPr>
          <w:p w:rsidR="00B231CB" w:rsidRDefault="00C71431">
            <w:pPr>
              <w:spacing w:after="120"/>
              <w:jc w:val="center"/>
              <w:rPr>
                <w:noProof/>
                <w:color w:val="000000" w:themeColor="text1"/>
              </w:rPr>
            </w:pPr>
            <w:r>
              <w:rPr>
                <w:noProof/>
                <w:color w:val="000000" w:themeColor="text1"/>
              </w:rPr>
              <w:t>-33</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1,759</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1,713</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1,743</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1,673</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1,687</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color w:val="000000" w:themeColor="text1"/>
              </w:rPr>
            </w:pPr>
            <w:r>
              <w:rPr>
                <w:i/>
                <w:noProof/>
                <w:color w:val="000000" w:themeColor="text1"/>
              </w:rPr>
              <w:t>1,422</w:t>
            </w:r>
          </w:p>
        </w:tc>
        <w:tc>
          <w:tcPr>
            <w:tcW w:w="675" w:type="pct"/>
            <w:noWrap/>
          </w:tcPr>
          <w:p w:rsidR="00B231CB" w:rsidRDefault="00C71431">
            <w:pPr>
              <w:spacing w:after="120"/>
              <w:jc w:val="center"/>
              <w:rPr>
                <w:i/>
                <w:noProof/>
                <w:color w:val="000000" w:themeColor="text1"/>
              </w:rPr>
            </w:pPr>
            <w:r>
              <w:rPr>
                <w:i/>
                <w:noProof/>
                <w:color w:val="000000" w:themeColor="text1"/>
              </w:rPr>
              <w:t>1,489</w:t>
            </w:r>
          </w:p>
        </w:tc>
        <w:tc>
          <w:tcPr>
            <w:tcW w:w="675" w:type="pct"/>
            <w:noWrap/>
          </w:tcPr>
          <w:p w:rsidR="00B231CB" w:rsidRDefault="00C71431">
            <w:pPr>
              <w:spacing w:after="120"/>
              <w:jc w:val="center"/>
              <w:rPr>
                <w:i/>
                <w:noProof/>
                <w:color w:val="000000" w:themeColor="text1"/>
              </w:rPr>
            </w:pPr>
            <w:r>
              <w:rPr>
                <w:i/>
                <w:noProof/>
                <w:color w:val="000000" w:themeColor="text1"/>
              </w:rPr>
              <w:t>1,582</w:t>
            </w:r>
          </w:p>
        </w:tc>
        <w:tc>
          <w:tcPr>
            <w:tcW w:w="675" w:type="pct"/>
            <w:noWrap/>
          </w:tcPr>
          <w:p w:rsidR="00B231CB" w:rsidRDefault="00C71431">
            <w:pPr>
              <w:spacing w:after="120"/>
              <w:jc w:val="center"/>
              <w:rPr>
                <w:i/>
                <w:noProof/>
                <w:color w:val="000000" w:themeColor="text1"/>
              </w:rPr>
            </w:pPr>
            <w:r>
              <w:rPr>
                <w:i/>
                <w:noProof/>
                <w:color w:val="000000" w:themeColor="text1"/>
              </w:rPr>
              <w:t>1,602</w:t>
            </w:r>
          </w:p>
        </w:tc>
        <w:tc>
          <w:tcPr>
            <w:tcW w:w="673" w:type="pct"/>
            <w:noWrap/>
          </w:tcPr>
          <w:p w:rsidR="00B231CB" w:rsidRDefault="00C71431">
            <w:pPr>
              <w:spacing w:after="120"/>
              <w:jc w:val="center"/>
              <w:rPr>
                <w:i/>
                <w:noProof/>
                <w:color w:val="000000" w:themeColor="text1"/>
              </w:rPr>
            </w:pPr>
            <w:r>
              <w:rPr>
                <w:i/>
                <w:noProof/>
                <w:color w:val="000000" w:themeColor="text1"/>
              </w:rPr>
              <w:t>1,650</w:t>
            </w:r>
          </w:p>
        </w:tc>
      </w:tr>
    </w:tbl>
    <w:p w:rsidR="00B231CB" w:rsidRDefault="00B231CB">
      <w:pPr>
        <w:spacing w:after="120"/>
        <w:rPr>
          <w:noProof/>
          <w:color w:val="000000" w:themeColor="text1"/>
        </w:rPr>
      </w:pPr>
    </w:p>
    <w:tbl>
      <w:tblPr>
        <w:tblStyle w:val="TableGrid"/>
        <w:tblW w:w="5000" w:type="pct"/>
        <w:tblLook w:val="04A0" w:firstRow="1" w:lastRow="0" w:firstColumn="1" w:lastColumn="0" w:noHBand="0" w:noVBand="1"/>
      </w:tblPr>
      <w:tblGrid>
        <w:gridCol w:w="3040"/>
        <w:gridCol w:w="1250"/>
        <w:gridCol w:w="1250"/>
        <w:gridCol w:w="1250"/>
        <w:gridCol w:w="1250"/>
        <w:gridCol w:w="1248"/>
      </w:tblGrid>
      <w:tr w:rsidR="00B231CB">
        <w:trPr>
          <w:trHeight w:val="255"/>
        </w:trPr>
        <w:tc>
          <w:tcPr>
            <w:tcW w:w="1636" w:type="pct"/>
            <w:noWrap/>
            <w:hideMark/>
          </w:tcPr>
          <w:p w:rsidR="00B231CB" w:rsidRDefault="00C71431">
            <w:pPr>
              <w:spacing w:after="120"/>
              <w:rPr>
                <w:b/>
                <w:noProof/>
                <w:color w:val="000000" w:themeColor="text1"/>
                <w:szCs w:val="24"/>
              </w:rPr>
            </w:pPr>
            <w:r>
              <w:rPr>
                <w:b/>
                <w:noProof/>
                <w:color w:val="000000" w:themeColor="text1"/>
                <w:szCs w:val="24"/>
              </w:rPr>
              <w:t>TLV40 - 2025 (EUR/van)</w:t>
            </w:r>
          </w:p>
        </w:tc>
        <w:tc>
          <w:tcPr>
            <w:tcW w:w="673" w:type="pct"/>
            <w:noWrap/>
          </w:tcPr>
          <w:p w:rsidR="00B231CB" w:rsidRDefault="00C71431">
            <w:pPr>
              <w:spacing w:after="120"/>
              <w:jc w:val="center"/>
              <w:rPr>
                <w:b/>
                <w:i/>
                <w:noProof/>
                <w:color w:val="000000" w:themeColor="text1"/>
              </w:rPr>
            </w:pPr>
            <w:r>
              <w:rPr>
                <w:b/>
                <w:i/>
                <w:noProof/>
                <w:color w:val="000000" w:themeColor="text1"/>
              </w:rPr>
              <w:t>High</w:t>
            </w:r>
          </w:p>
        </w:tc>
        <w:tc>
          <w:tcPr>
            <w:tcW w:w="673" w:type="pct"/>
            <w:noWrap/>
          </w:tcPr>
          <w:p w:rsidR="00B231CB" w:rsidRDefault="00C71431">
            <w:pPr>
              <w:spacing w:after="120"/>
              <w:jc w:val="center"/>
              <w:rPr>
                <w:b/>
                <w:i/>
                <w:noProof/>
                <w:color w:val="000000" w:themeColor="text1"/>
              </w:rPr>
            </w:pPr>
            <w:r>
              <w:rPr>
                <w:b/>
                <w:i/>
                <w:noProof/>
                <w:color w:val="000000" w:themeColor="text1"/>
              </w:rPr>
              <w:t>High ICE</w:t>
            </w:r>
          </w:p>
        </w:tc>
        <w:tc>
          <w:tcPr>
            <w:tcW w:w="673" w:type="pct"/>
            <w:noWrap/>
          </w:tcPr>
          <w:p w:rsidR="00B231CB" w:rsidRDefault="00C71431">
            <w:pPr>
              <w:spacing w:after="120"/>
              <w:jc w:val="center"/>
              <w:rPr>
                <w:b/>
                <w:i/>
                <w:noProof/>
                <w:color w:val="000000" w:themeColor="text1"/>
              </w:rPr>
            </w:pPr>
            <w:r>
              <w:rPr>
                <w:b/>
                <w:i/>
                <w:noProof/>
                <w:color w:val="000000" w:themeColor="text1"/>
              </w:rPr>
              <w:t>Medium</w:t>
            </w:r>
          </w:p>
        </w:tc>
        <w:tc>
          <w:tcPr>
            <w:tcW w:w="673" w:type="pct"/>
            <w:noWrap/>
          </w:tcPr>
          <w:p w:rsidR="00B231CB" w:rsidRDefault="00C71431">
            <w:pPr>
              <w:spacing w:after="120"/>
              <w:jc w:val="center"/>
              <w:rPr>
                <w:b/>
                <w:i/>
                <w:noProof/>
                <w:color w:val="000000" w:themeColor="text1"/>
              </w:rPr>
            </w:pPr>
            <w:r>
              <w:rPr>
                <w:b/>
                <w:i/>
                <w:noProof/>
                <w:color w:val="000000" w:themeColor="text1"/>
              </w:rPr>
              <w:t>LxEV</w:t>
            </w:r>
          </w:p>
        </w:tc>
        <w:tc>
          <w:tcPr>
            <w:tcW w:w="672"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36"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3" w:type="pct"/>
            <w:noWrap/>
          </w:tcPr>
          <w:p w:rsidR="00B231CB" w:rsidRDefault="00C71431">
            <w:pPr>
              <w:spacing w:after="120"/>
              <w:jc w:val="center"/>
              <w:rPr>
                <w:noProof/>
                <w:color w:val="000000" w:themeColor="text1"/>
              </w:rPr>
            </w:pPr>
            <w:r>
              <w:rPr>
                <w:noProof/>
                <w:color w:val="000000" w:themeColor="text1"/>
              </w:rPr>
              <w:t>468</w:t>
            </w:r>
          </w:p>
        </w:tc>
        <w:tc>
          <w:tcPr>
            <w:tcW w:w="673" w:type="pct"/>
            <w:noWrap/>
          </w:tcPr>
          <w:p w:rsidR="00B231CB" w:rsidRDefault="00C71431">
            <w:pPr>
              <w:spacing w:after="120"/>
              <w:jc w:val="center"/>
              <w:rPr>
                <w:noProof/>
                <w:color w:val="000000" w:themeColor="text1"/>
              </w:rPr>
            </w:pPr>
            <w:r>
              <w:rPr>
                <w:noProof/>
                <w:color w:val="000000" w:themeColor="text1"/>
              </w:rPr>
              <w:t>339</w:t>
            </w:r>
          </w:p>
        </w:tc>
        <w:tc>
          <w:tcPr>
            <w:tcW w:w="673" w:type="pct"/>
            <w:noWrap/>
          </w:tcPr>
          <w:p w:rsidR="00B231CB" w:rsidRDefault="00C71431">
            <w:pPr>
              <w:spacing w:after="120"/>
              <w:jc w:val="center"/>
              <w:rPr>
                <w:noProof/>
                <w:color w:val="000000" w:themeColor="text1"/>
              </w:rPr>
            </w:pPr>
            <w:r>
              <w:rPr>
                <w:noProof/>
                <w:color w:val="000000" w:themeColor="text1"/>
              </w:rPr>
              <w:t>263</w:t>
            </w:r>
          </w:p>
        </w:tc>
        <w:tc>
          <w:tcPr>
            <w:tcW w:w="673" w:type="pct"/>
            <w:noWrap/>
          </w:tcPr>
          <w:p w:rsidR="00B231CB" w:rsidRDefault="00C71431">
            <w:pPr>
              <w:spacing w:after="120"/>
              <w:jc w:val="center"/>
              <w:rPr>
                <w:noProof/>
                <w:color w:val="000000" w:themeColor="text1"/>
              </w:rPr>
            </w:pPr>
            <w:r>
              <w:rPr>
                <w:noProof/>
                <w:color w:val="000000" w:themeColor="text1"/>
              </w:rPr>
              <w:t>200</w:t>
            </w:r>
          </w:p>
        </w:tc>
        <w:tc>
          <w:tcPr>
            <w:tcW w:w="672" w:type="pct"/>
            <w:noWrap/>
          </w:tcPr>
          <w:p w:rsidR="00B231CB" w:rsidRDefault="00C71431">
            <w:pPr>
              <w:spacing w:after="120"/>
              <w:jc w:val="center"/>
              <w:rPr>
                <w:noProof/>
                <w:color w:val="000000" w:themeColor="text1"/>
              </w:rPr>
            </w:pPr>
            <w:r>
              <w:rPr>
                <w:noProof/>
                <w:color w:val="000000" w:themeColor="text1"/>
              </w:rPr>
              <w:t>111</w:t>
            </w:r>
          </w:p>
        </w:tc>
      </w:tr>
      <w:tr w:rsidR="00B231CB">
        <w:trPr>
          <w:trHeight w:val="255"/>
        </w:trPr>
        <w:tc>
          <w:tcPr>
            <w:tcW w:w="1636"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3" w:type="pct"/>
            <w:noWrap/>
          </w:tcPr>
          <w:p w:rsidR="00B231CB" w:rsidRDefault="00C71431">
            <w:pPr>
              <w:spacing w:after="120"/>
              <w:jc w:val="center"/>
              <w:rPr>
                <w:noProof/>
                <w:color w:val="000000" w:themeColor="text1"/>
              </w:rPr>
            </w:pPr>
            <w:r>
              <w:rPr>
                <w:noProof/>
                <w:color w:val="000000" w:themeColor="text1"/>
              </w:rPr>
              <w:t>-48</w:t>
            </w:r>
          </w:p>
        </w:tc>
        <w:tc>
          <w:tcPr>
            <w:tcW w:w="673" w:type="pct"/>
            <w:noWrap/>
          </w:tcPr>
          <w:p w:rsidR="00B231CB" w:rsidRDefault="00C71431">
            <w:pPr>
              <w:spacing w:after="120"/>
              <w:jc w:val="center"/>
              <w:rPr>
                <w:noProof/>
                <w:color w:val="000000" w:themeColor="text1"/>
              </w:rPr>
            </w:pPr>
            <w:r>
              <w:rPr>
                <w:noProof/>
                <w:color w:val="000000" w:themeColor="text1"/>
              </w:rPr>
              <w:t>-48</w:t>
            </w:r>
          </w:p>
        </w:tc>
        <w:tc>
          <w:tcPr>
            <w:tcW w:w="673" w:type="pct"/>
            <w:noWrap/>
          </w:tcPr>
          <w:p w:rsidR="00B231CB" w:rsidRDefault="00C71431">
            <w:pPr>
              <w:spacing w:after="120"/>
              <w:jc w:val="center"/>
              <w:rPr>
                <w:noProof/>
                <w:color w:val="000000" w:themeColor="text1"/>
              </w:rPr>
            </w:pPr>
            <w:r>
              <w:rPr>
                <w:noProof/>
                <w:color w:val="000000" w:themeColor="text1"/>
              </w:rPr>
              <w:t>-46</w:t>
            </w:r>
          </w:p>
        </w:tc>
        <w:tc>
          <w:tcPr>
            <w:tcW w:w="673" w:type="pct"/>
            <w:noWrap/>
          </w:tcPr>
          <w:p w:rsidR="00B231CB" w:rsidRDefault="00C71431">
            <w:pPr>
              <w:spacing w:after="120"/>
              <w:jc w:val="center"/>
              <w:rPr>
                <w:noProof/>
                <w:color w:val="000000" w:themeColor="text1"/>
              </w:rPr>
            </w:pPr>
            <w:r>
              <w:rPr>
                <w:noProof/>
                <w:color w:val="000000" w:themeColor="text1"/>
              </w:rPr>
              <w:t>-49</w:t>
            </w:r>
          </w:p>
        </w:tc>
        <w:tc>
          <w:tcPr>
            <w:tcW w:w="672" w:type="pct"/>
            <w:noWrap/>
          </w:tcPr>
          <w:p w:rsidR="00B231CB" w:rsidRDefault="00C71431">
            <w:pPr>
              <w:spacing w:after="120"/>
              <w:jc w:val="center"/>
              <w:rPr>
                <w:noProof/>
                <w:color w:val="000000" w:themeColor="text1"/>
              </w:rPr>
            </w:pPr>
            <w:r>
              <w:rPr>
                <w:noProof/>
                <w:color w:val="000000" w:themeColor="text1"/>
              </w:rPr>
              <w:t>-26</w:t>
            </w:r>
          </w:p>
        </w:tc>
      </w:tr>
      <w:tr w:rsidR="00B231CB">
        <w:trPr>
          <w:trHeight w:val="255"/>
        </w:trPr>
        <w:tc>
          <w:tcPr>
            <w:tcW w:w="1636"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1,425</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1,430</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1,475</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1,442</w:t>
            </w:r>
          </w:p>
        </w:tc>
        <w:tc>
          <w:tcPr>
            <w:tcW w:w="672"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1,565</w:t>
            </w:r>
          </w:p>
        </w:tc>
      </w:tr>
      <w:tr w:rsidR="00B231CB">
        <w:trPr>
          <w:trHeight w:val="255"/>
        </w:trPr>
        <w:tc>
          <w:tcPr>
            <w:tcW w:w="1636"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3" w:type="pct"/>
            <w:noWrap/>
          </w:tcPr>
          <w:p w:rsidR="00B231CB" w:rsidRDefault="00C71431">
            <w:pPr>
              <w:spacing w:after="120"/>
              <w:jc w:val="center"/>
              <w:rPr>
                <w:i/>
                <w:noProof/>
                <w:color w:val="000000" w:themeColor="text1"/>
              </w:rPr>
            </w:pPr>
            <w:r>
              <w:rPr>
                <w:i/>
                <w:noProof/>
                <w:color w:val="000000" w:themeColor="text1"/>
              </w:rPr>
              <w:t>1,006</w:t>
            </w:r>
          </w:p>
        </w:tc>
        <w:tc>
          <w:tcPr>
            <w:tcW w:w="673" w:type="pct"/>
            <w:noWrap/>
          </w:tcPr>
          <w:p w:rsidR="00B231CB" w:rsidRDefault="00C71431">
            <w:pPr>
              <w:spacing w:after="120"/>
              <w:jc w:val="center"/>
              <w:rPr>
                <w:i/>
                <w:noProof/>
                <w:color w:val="000000" w:themeColor="text1"/>
              </w:rPr>
            </w:pPr>
            <w:r>
              <w:rPr>
                <w:i/>
                <w:noProof/>
                <w:color w:val="000000" w:themeColor="text1"/>
              </w:rPr>
              <w:t>1,139</w:t>
            </w:r>
          </w:p>
        </w:tc>
        <w:tc>
          <w:tcPr>
            <w:tcW w:w="673" w:type="pct"/>
            <w:noWrap/>
          </w:tcPr>
          <w:p w:rsidR="00B231CB" w:rsidRDefault="00C71431">
            <w:pPr>
              <w:spacing w:after="120"/>
              <w:jc w:val="center"/>
              <w:rPr>
                <w:i/>
                <w:noProof/>
                <w:color w:val="000000" w:themeColor="text1"/>
              </w:rPr>
            </w:pPr>
            <w:r>
              <w:rPr>
                <w:i/>
                <w:noProof/>
                <w:color w:val="000000" w:themeColor="text1"/>
              </w:rPr>
              <w:t>1,258</w:t>
            </w:r>
          </w:p>
        </w:tc>
        <w:tc>
          <w:tcPr>
            <w:tcW w:w="673" w:type="pct"/>
            <w:noWrap/>
          </w:tcPr>
          <w:p w:rsidR="00B231CB" w:rsidRDefault="00C71431">
            <w:pPr>
              <w:spacing w:after="120"/>
              <w:jc w:val="center"/>
              <w:rPr>
                <w:i/>
                <w:noProof/>
                <w:color w:val="000000" w:themeColor="text1"/>
              </w:rPr>
            </w:pPr>
            <w:r>
              <w:rPr>
                <w:i/>
                <w:noProof/>
                <w:color w:val="000000" w:themeColor="text1"/>
              </w:rPr>
              <w:t>1,290</w:t>
            </w:r>
          </w:p>
        </w:tc>
        <w:tc>
          <w:tcPr>
            <w:tcW w:w="672" w:type="pct"/>
            <w:noWrap/>
          </w:tcPr>
          <w:p w:rsidR="00B231CB" w:rsidRDefault="00C71431">
            <w:pPr>
              <w:spacing w:after="120"/>
              <w:jc w:val="center"/>
              <w:rPr>
                <w:i/>
                <w:noProof/>
                <w:color w:val="000000" w:themeColor="text1"/>
              </w:rPr>
            </w:pPr>
            <w:r>
              <w:rPr>
                <w:i/>
                <w:noProof/>
                <w:color w:val="000000" w:themeColor="text1"/>
              </w:rPr>
              <w:t>1,479</w:t>
            </w:r>
          </w:p>
        </w:tc>
      </w:tr>
    </w:tbl>
    <w:p w:rsidR="00B231CB" w:rsidRDefault="00B231CB">
      <w:pPr>
        <w:spacing w:after="120"/>
        <w:rPr>
          <w:noProof/>
          <w:color w:val="000000" w:themeColor="text1"/>
        </w:rPr>
      </w:pPr>
    </w:p>
    <w:tbl>
      <w:tblPr>
        <w:tblStyle w:val="TableGrid"/>
        <w:tblW w:w="5027" w:type="pct"/>
        <w:tblLook w:val="04A0" w:firstRow="1" w:lastRow="0" w:firstColumn="1" w:lastColumn="0" w:noHBand="0" w:noVBand="1"/>
      </w:tblPr>
      <w:tblGrid>
        <w:gridCol w:w="3039"/>
        <w:gridCol w:w="1259"/>
        <w:gridCol w:w="1261"/>
        <w:gridCol w:w="1261"/>
        <w:gridCol w:w="1261"/>
        <w:gridCol w:w="1257"/>
      </w:tblGrid>
      <w:tr w:rsidR="00B231CB">
        <w:trPr>
          <w:trHeight w:val="255"/>
        </w:trPr>
        <w:tc>
          <w:tcPr>
            <w:tcW w:w="1628" w:type="pct"/>
            <w:noWrap/>
            <w:hideMark/>
          </w:tcPr>
          <w:p w:rsidR="00B231CB" w:rsidRDefault="00C71431">
            <w:pPr>
              <w:spacing w:after="120"/>
              <w:rPr>
                <w:b/>
                <w:noProof/>
                <w:color w:val="000000" w:themeColor="text1"/>
                <w:szCs w:val="24"/>
              </w:rPr>
            </w:pPr>
            <w:r>
              <w:rPr>
                <w:b/>
                <w:noProof/>
                <w:color w:val="000000" w:themeColor="text1"/>
                <w:szCs w:val="24"/>
              </w:rPr>
              <w:t>TLV40 - 2030 (EUR/van)</w:t>
            </w:r>
          </w:p>
        </w:tc>
        <w:tc>
          <w:tcPr>
            <w:tcW w:w="674" w:type="pct"/>
            <w:noWrap/>
          </w:tcPr>
          <w:p w:rsidR="00B231CB" w:rsidRDefault="00C71431">
            <w:pPr>
              <w:spacing w:after="120"/>
              <w:jc w:val="center"/>
              <w:rPr>
                <w:b/>
                <w:i/>
                <w:noProof/>
                <w:color w:val="000000" w:themeColor="text1"/>
              </w:rPr>
            </w:pPr>
            <w:r>
              <w:rPr>
                <w:b/>
                <w:i/>
                <w:noProof/>
                <w:color w:val="000000" w:themeColor="text1"/>
              </w:rPr>
              <w:t>High</w:t>
            </w:r>
          </w:p>
        </w:tc>
        <w:tc>
          <w:tcPr>
            <w:tcW w:w="675" w:type="pct"/>
            <w:noWrap/>
          </w:tcPr>
          <w:p w:rsidR="00B231CB" w:rsidRDefault="00C71431">
            <w:pPr>
              <w:spacing w:after="120"/>
              <w:jc w:val="center"/>
              <w:rPr>
                <w:b/>
                <w:i/>
                <w:noProof/>
                <w:color w:val="000000" w:themeColor="text1"/>
              </w:rPr>
            </w:pPr>
            <w:r>
              <w:rPr>
                <w:b/>
                <w:i/>
                <w:noProof/>
                <w:color w:val="000000" w:themeColor="text1"/>
              </w:rPr>
              <w:t>High ICE</w:t>
            </w:r>
          </w:p>
        </w:tc>
        <w:tc>
          <w:tcPr>
            <w:tcW w:w="675" w:type="pct"/>
            <w:noWrap/>
          </w:tcPr>
          <w:p w:rsidR="00B231CB" w:rsidRDefault="00C71431">
            <w:pPr>
              <w:spacing w:after="120"/>
              <w:jc w:val="center"/>
              <w:rPr>
                <w:b/>
                <w:i/>
                <w:noProof/>
                <w:color w:val="000000" w:themeColor="text1"/>
              </w:rPr>
            </w:pPr>
            <w:r>
              <w:rPr>
                <w:b/>
                <w:i/>
                <w:noProof/>
                <w:color w:val="000000" w:themeColor="text1"/>
              </w:rPr>
              <w:t>Medium</w:t>
            </w:r>
          </w:p>
        </w:tc>
        <w:tc>
          <w:tcPr>
            <w:tcW w:w="675" w:type="pct"/>
            <w:noWrap/>
          </w:tcPr>
          <w:p w:rsidR="00B231CB" w:rsidRDefault="00C71431">
            <w:pPr>
              <w:spacing w:after="120"/>
              <w:jc w:val="center"/>
              <w:rPr>
                <w:b/>
                <w:i/>
                <w:noProof/>
                <w:color w:val="000000" w:themeColor="text1"/>
              </w:rPr>
            </w:pPr>
            <w:r>
              <w:rPr>
                <w:b/>
                <w:i/>
                <w:noProof/>
                <w:color w:val="000000" w:themeColor="text1"/>
              </w:rPr>
              <w:t>LxEV</w:t>
            </w:r>
          </w:p>
        </w:tc>
        <w:tc>
          <w:tcPr>
            <w:tcW w:w="673" w:type="pct"/>
            <w:noWrap/>
          </w:tcPr>
          <w:p w:rsidR="00B231CB" w:rsidRDefault="00C71431">
            <w:pPr>
              <w:spacing w:after="120"/>
              <w:jc w:val="center"/>
              <w:rPr>
                <w:b/>
                <w:i/>
                <w:noProof/>
                <w:color w:val="000000" w:themeColor="text1"/>
              </w:rPr>
            </w:pPr>
            <w:r>
              <w:rPr>
                <w:b/>
                <w:i/>
                <w:noProof/>
                <w:color w:val="000000" w:themeColor="text1"/>
              </w:rPr>
              <w:t>Low</w:t>
            </w:r>
          </w:p>
        </w:tc>
      </w:tr>
      <w:tr w:rsidR="00B231CB">
        <w:trPr>
          <w:trHeight w:val="255"/>
        </w:trPr>
        <w:tc>
          <w:tcPr>
            <w:tcW w:w="1628"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674" w:type="pct"/>
            <w:noWrap/>
          </w:tcPr>
          <w:p w:rsidR="00B231CB" w:rsidRDefault="00C71431">
            <w:pPr>
              <w:spacing w:after="120"/>
              <w:jc w:val="center"/>
              <w:rPr>
                <w:noProof/>
                <w:color w:val="000000" w:themeColor="text1"/>
              </w:rPr>
            </w:pPr>
            <w:r>
              <w:rPr>
                <w:noProof/>
                <w:color w:val="000000" w:themeColor="text1"/>
              </w:rPr>
              <w:t>765</w:t>
            </w:r>
          </w:p>
        </w:tc>
        <w:tc>
          <w:tcPr>
            <w:tcW w:w="675" w:type="pct"/>
            <w:noWrap/>
          </w:tcPr>
          <w:p w:rsidR="00B231CB" w:rsidRDefault="00C71431">
            <w:pPr>
              <w:spacing w:after="120"/>
              <w:jc w:val="center"/>
              <w:rPr>
                <w:noProof/>
                <w:color w:val="000000" w:themeColor="text1"/>
              </w:rPr>
            </w:pPr>
            <w:r>
              <w:rPr>
                <w:noProof/>
                <w:color w:val="000000" w:themeColor="text1"/>
              </w:rPr>
              <w:t>558</w:t>
            </w:r>
          </w:p>
        </w:tc>
        <w:tc>
          <w:tcPr>
            <w:tcW w:w="675" w:type="pct"/>
            <w:noWrap/>
          </w:tcPr>
          <w:p w:rsidR="00B231CB" w:rsidRDefault="00C71431">
            <w:pPr>
              <w:spacing w:after="120"/>
              <w:jc w:val="center"/>
              <w:rPr>
                <w:noProof/>
                <w:color w:val="000000" w:themeColor="text1"/>
              </w:rPr>
            </w:pPr>
            <w:r>
              <w:rPr>
                <w:noProof/>
                <w:color w:val="000000" w:themeColor="text1"/>
              </w:rPr>
              <w:t>474</w:t>
            </w:r>
          </w:p>
        </w:tc>
        <w:tc>
          <w:tcPr>
            <w:tcW w:w="675" w:type="pct"/>
            <w:noWrap/>
          </w:tcPr>
          <w:p w:rsidR="00B231CB" w:rsidRDefault="00C71431">
            <w:pPr>
              <w:spacing w:after="120"/>
              <w:jc w:val="center"/>
              <w:rPr>
                <w:noProof/>
                <w:color w:val="000000" w:themeColor="text1"/>
              </w:rPr>
            </w:pPr>
            <w:r>
              <w:rPr>
                <w:noProof/>
                <w:color w:val="000000" w:themeColor="text1"/>
              </w:rPr>
              <w:t>327</w:t>
            </w:r>
          </w:p>
        </w:tc>
        <w:tc>
          <w:tcPr>
            <w:tcW w:w="673" w:type="pct"/>
            <w:noWrap/>
          </w:tcPr>
          <w:p w:rsidR="00B231CB" w:rsidRDefault="00C71431">
            <w:pPr>
              <w:spacing w:after="120"/>
              <w:jc w:val="center"/>
              <w:rPr>
                <w:noProof/>
                <w:color w:val="000000" w:themeColor="text1"/>
              </w:rPr>
            </w:pPr>
            <w:r>
              <w:rPr>
                <w:noProof/>
                <w:color w:val="000000" w:themeColor="text1"/>
              </w:rPr>
              <w:t>244</w:t>
            </w:r>
          </w:p>
        </w:tc>
      </w:tr>
      <w:tr w:rsidR="00B231CB">
        <w:trPr>
          <w:trHeight w:val="255"/>
        </w:trPr>
        <w:tc>
          <w:tcPr>
            <w:tcW w:w="1628"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674" w:type="pct"/>
            <w:noWrap/>
          </w:tcPr>
          <w:p w:rsidR="00B231CB" w:rsidRDefault="00C71431">
            <w:pPr>
              <w:spacing w:after="120"/>
              <w:jc w:val="center"/>
              <w:rPr>
                <w:noProof/>
                <w:color w:val="000000" w:themeColor="text1"/>
              </w:rPr>
            </w:pPr>
            <w:r>
              <w:rPr>
                <w:noProof/>
                <w:color w:val="000000" w:themeColor="text1"/>
              </w:rPr>
              <w:t>-67</w:t>
            </w:r>
          </w:p>
        </w:tc>
        <w:tc>
          <w:tcPr>
            <w:tcW w:w="675" w:type="pct"/>
            <w:noWrap/>
          </w:tcPr>
          <w:p w:rsidR="00B231CB" w:rsidRDefault="00C71431">
            <w:pPr>
              <w:spacing w:after="120"/>
              <w:jc w:val="center"/>
              <w:rPr>
                <w:noProof/>
                <w:color w:val="000000" w:themeColor="text1"/>
              </w:rPr>
            </w:pPr>
            <w:r>
              <w:rPr>
                <w:noProof/>
                <w:color w:val="000000" w:themeColor="text1"/>
              </w:rPr>
              <w:t>-67</w:t>
            </w:r>
          </w:p>
        </w:tc>
        <w:tc>
          <w:tcPr>
            <w:tcW w:w="675" w:type="pct"/>
            <w:noWrap/>
          </w:tcPr>
          <w:p w:rsidR="00B231CB" w:rsidRDefault="00C71431">
            <w:pPr>
              <w:spacing w:after="120"/>
              <w:jc w:val="center"/>
              <w:rPr>
                <w:noProof/>
                <w:color w:val="000000" w:themeColor="text1"/>
              </w:rPr>
            </w:pPr>
            <w:r>
              <w:rPr>
                <w:noProof/>
                <w:color w:val="000000" w:themeColor="text1"/>
              </w:rPr>
              <w:t>-62</w:t>
            </w:r>
          </w:p>
        </w:tc>
        <w:tc>
          <w:tcPr>
            <w:tcW w:w="675" w:type="pct"/>
            <w:noWrap/>
          </w:tcPr>
          <w:p w:rsidR="00B231CB" w:rsidRDefault="00C71431">
            <w:pPr>
              <w:spacing w:after="120"/>
              <w:jc w:val="center"/>
              <w:rPr>
                <w:noProof/>
                <w:color w:val="000000" w:themeColor="text1"/>
              </w:rPr>
            </w:pPr>
            <w:r>
              <w:rPr>
                <w:noProof/>
                <w:color w:val="000000" w:themeColor="text1"/>
              </w:rPr>
              <w:t>-70</w:t>
            </w:r>
          </w:p>
        </w:tc>
        <w:tc>
          <w:tcPr>
            <w:tcW w:w="673" w:type="pct"/>
            <w:noWrap/>
          </w:tcPr>
          <w:p w:rsidR="00B231CB" w:rsidRDefault="00C71431">
            <w:pPr>
              <w:spacing w:after="120"/>
              <w:jc w:val="center"/>
              <w:rPr>
                <w:noProof/>
                <w:color w:val="000000" w:themeColor="text1"/>
              </w:rPr>
            </w:pPr>
            <w:r>
              <w:rPr>
                <w:noProof/>
                <w:color w:val="000000" w:themeColor="text1"/>
              </w:rPr>
              <w:t>-34</w:t>
            </w:r>
          </w:p>
        </w:tc>
      </w:tr>
      <w:tr w:rsidR="00B231CB">
        <w:trPr>
          <w:trHeight w:val="255"/>
        </w:trPr>
        <w:tc>
          <w:tcPr>
            <w:tcW w:w="1628"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674"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2,575</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2,589</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2,629</w:t>
            </w:r>
          </w:p>
        </w:tc>
        <w:tc>
          <w:tcPr>
            <w:tcW w:w="675"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2,596</w:t>
            </w:r>
          </w:p>
        </w:tc>
        <w:tc>
          <w:tcPr>
            <w:tcW w:w="673" w:type="pct"/>
            <w:tcBorders>
              <w:bottom w:val="single" w:sz="24" w:space="0" w:color="auto"/>
            </w:tcBorders>
            <w:noWrap/>
          </w:tcPr>
          <w:p w:rsidR="00B231CB" w:rsidRDefault="00C71431">
            <w:pPr>
              <w:spacing w:after="120"/>
              <w:jc w:val="center"/>
              <w:rPr>
                <w:noProof/>
                <w:color w:val="000000" w:themeColor="text1"/>
              </w:rPr>
            </w:pPr>
            <w:r>
              <w:rPr>
                <w:noProof/>
                <w:color w:val="000000" w:themeColor="text1"/>
              </w:rPr>
              <w:t>2,865</w:t>
            </w:r>
          </w:p>
        </w:tc>
      </w:tr>
      <w:tr w:rsidR="00B231CB">
        <w:trPr>
          <w:trHeight w:val="255"/>
        </w:trPr>
        <w:tc>
          <w:tcPr>
            <w:tcW w:w="1628"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674" w:type="pct"/>
            <w:noWrap/>
          </w:tcPr>
          <w:p w:rsidR="00B231CB" w:rsidRDefault="00C71431">
            <w:pPr>
              <w:spacing w:after="120"/>
              <w:jc w:val="center"/>
              <w:rPr>
                <w:i/>
                <w:noProof/>
                <w:color w:val="000000" w:themeColor="text1"/>
              </w:rPr>
            </w:pPr>
            <w:r>
              <w:rPr>
                <w:i/>
                <w:noProof/>
                <w:color w:val="000000" w:themeColor="text1"/>
              </w:rPr>
              <w:t>1,877</w:t>
            </w:r>
          </w:p>
        </w:tc>
        <w:tc>
          <w:tcPr>
            <w:tcW w:w="675" w:type="pct"/>
            <w:noWrap/>
          </w:tcPr>
          <w:p w:rsidR="00B231CB" w:rsidRDefault="00C71431">
            <w:pPr>
              <w:spacing w:after="120"/>
              <w:jc w:val="center"/>
              <w:rPr>
                <w:i/>
                <w:noProof/>
                <w:color w:val="000000" w:themeColor="text1"/>
              </w:rPr>
            </w:pPr>
            <w:r>
              <w:rPr>
                <w:i/>
                <w:noProof/>
                <w:color w:val="000000" w:themeColor="text1"/>
              </w:rPr>
              <w:t>2,098</w:t>
            </w:r>
          </w:p>
        </w:tc>
        <w:tc>
          <w:tcPr>
            <w:tcW w:w="675" w:type="pct"/>
            <w:noWrap/>
          </w:tcPr>
          <w:p w:rsidR="00B231CB" w:rsidRDefault="00C71431">
            <w:pPr>
              <w:spacing w:after="120"/>
              <w:jc w:val="center"/>
              <w:rPr>
                <w:i/>
                <w:noProof/>
                <w:color w:val="000000" w:themeColor="text1"/>
              </w:rPr>
            </w:pPr>
            <w:r>
              <w:rPr>
                <w:i/>
                <w:noProof/>
                <w:color w:val="000000" w:themeColor="text1"/>
              </w:rPr>
              <w:t>2,217</w:t>
            </w:r>
          </w:p>
        </w:tc>
        <w:tc>
          <w:tcPr>
            <w:tcW w:w="675" w:type="pct"/>
            <w:noWrap/>
          </w:tcPr>
          <w:p w:rsidR="00B231CB" w:rsidRDefault="00C71431">
            <w:pPr>
              <w:spacing w:after="120"/>
              <w:jc w:val="center"/>
              <w:rPr>
                <w:i/>
                <w:noProof/>
                <w:color w:val="000000" w:themeColor="text1"/>
              </w:rPr>
            </w:pPr>
            <w:r>
              <w:rPr>
                <w:i/>
                <w:noProof/>
                <w:color w:val="000000" w:themeColor="text1"/>
              </w:rPr>
              <w:t>2,339</w:t>
            </w:r>
          </w:p>
        </w:tc>
        <w:tc>
          <w:tcPr>
            <w:tcW w:w="673" w:type="pct"/>
            <w:noWrap/>
          </w:tcPr>
          <w:p w:rsidR="00B231CB" w:rsidRDefault="00C71431">
            <w:pPr>
              <w:spacing w:after="120"/>
              <w:jc w:val="center"/>
              <w:rPr>
                <w:i/>
                <w:noProof/>
                <w:color w:val="000000" w:themeColor="text1"/>
              </w:rPr>
            </w:pPr>
            <w:r>
              <w:rPr>
                <w:i/>
                <w:noProof/>
                <w:color w:val="000000" w:themeColor="text1"/>
              </w:rPr>
              <w:t>2,655</w:t>
            </w:r>
          </w:p>
        </w:tc>
      </w:tr>
    </w:tbl>
    <w:p w:rsidR="00B231CB" w:rsidRDefault="00C71431">
      <w:pPr>
        <w:spacing w:after="200" w:line="276" w:lineRule="auto"/>
        <w:jc w:val="left"/>
        <w:rPr>
          <w:rFonts w:ascii="Times New Roman Bold" w:hAnsi="Times New Roman Bold"/>
          <w:b/>
          <w:noProof/>
          <w:szCs w:val="24"/>
          <w:lang w:eastAsia="en-GB"/>
        </w:rPr>
      </w:pPr>
      <w:bookmarkStart w:id="193" w:name="_Toc493623275"/>
      <w:bookmarkStart w:id="194" w:name="_Toc493689247"/>
      <w:bookmarkStart w:id="195" w:name="_Toc493689357"/>
      <w:bookmarkStart w:id="196" w:name="_Toc493689469"/>
      <w:bookmarkStart w:id="197" w:name="_Toc493623276"/>
      <w:bookmarkStart w:id="198" w:name="_Toc493689248"/>
      <w:bookmarkStart w:id="199" w:name="_Toc493689358"/>
      <w:bookmarkStart w:id="200" w:name="_Toc493689470"/>
      <w:bookmarkStart w:id="201" w:name="_Toc493623277"/>
      <w:bookmarkStart w:id="202" w:name="_Toc493689249"/>
      <w:bookmarkStart w:id="203" w:name="_Toc493689359"/>
      <w:bookmarkStart w:id="204" w:name="_Toc493689471"/>
      <w:bookmarkStart w:id="205" w:name="_Toc474791772"/>
      <w:bookmarkStart w:id="206" w:name="_Toc491284017"/>
      <w:bookmarkStart w:id="207" w:name="_Toc491285101"/>
      <w:bookmarkStart w:id="208" w:name="_Toc491286187"/>
      <w:bookmarkStart w:id="209" w:name="_Toc491284018"/>
      <w:bookmarkStart w:id="210" w:name="_Toc491285102"/>
      <w:bookmarkStart w:id="211" w:name="_Toc491286188"/>
      <w:bookmarkStart w:id="212" w:name="_Toc491284089"/>
      <w:bookmarkStart w:id="213" w:name="_Toc491285173"/>
      <w:bookmarkStart w:id="214" w:name="_Toc491286259"/>
      <w:bookmarkStart w:id="215" w:name="_Toc491284160"/>
      <w:bookmarkStart w:id="216" w:name="_Toc491285244"/>
      <w:bookmarkStart w:id="217" w:name="_Toc491286330"/>
      <w:bookmarkStart w:id="218" w:name="_Toc491284161"/>
      <w:bookmarkStart w:id="219" w:name="_Toc491285245"/>
      <w:bookmarkStart w:id="220" w:name="_Toc491286331"/>
      <w:bookmarkStart w:id="221" w:name="_Toc491284162"/>
      <w:bookmarkStart w:id="222" w:name="_Toc491285246"/>
      <w:bookmarkStart w:id="223" w:name="_Toc491286332"/>
      <w:bookmarkStart w:id="224" w:name="_Toc491284233"/>
      <w:bookmarkStart w:id="225" w:name="_Toc491285317"/>
      <w:bookmarkStart w:id="226" w:name="_Toc491286403"/>
      <w:bookmarkStart w:id="227" w:name="_Toc491284234"/>
      <w:bookmarkStart w:id="228" w:name="_Toc491285318"/>
      <w:bookmarkStart w:id="229" w:name="_Toc491286404"/>
      <w:bookmarkStart w:id="230" w:name="_Toc491284319"/>
      <w:bookmarkStart w:id="231" w:name="_Toc491285403"/>
      <w:bookmarkStart w:id="232" w:name="_Toc491286489"/>
      <w:bookmarkStart w:id="233" w:name="_Toc491284320"/>
      <w:bookmarkStart w:id="234" w:name="_Toc491285404"/>
      <w:bookmarkStart w:id="235" w:name="_Toc491286490"/>
      <w:bookmarkStart w:id="236" w:name="_Toc491284384"/>
      <w:bookmarkStart w:id="237" w:name="_Toc491285468"/>
      <w:bookmarkStart w:id="238" w:name="_Toc491286554"/>
      <w:bookmarkStart w:id="239" w:name="_Toc491284458"/>
      <w:bookmarkStart w:id="240" w:name="_Toc491285542"/>
      <w:bookmarkStart w:id="241" w:name="_Toc491286628"/>
      <w:bookmarkStart w:id="242" w:name="_Toc491284508"/>
      <w:bookmarkStart w:id="243" w:name="_Toc491285592"/>
      <w:bookmarkStart w:id="244" w:name="_Toc491286678"/>
      <w:bookmarkStart w:id="245" w:name="_Toc491284579"/>
      <w:bookmarkStart w:id="246" w:name="_Toc491285663"/>
      <w:bookmarkStart w:id="247" w:name="_Toc491286749"/>
      <w:bookmarkStart w:id="248" w:name="_Toc491284629"/>
      <w:bookmarkStart w:id="249" w:name="_Toc491285713"/>
      <w:bookmarkStart w:id="250" w:name="_Toc491286799"/>
      <w:bookmarkStart w:id="251" w:name="_Toc491284631"/>
      <w:bookmarkStart w:id="252" w:name="_Toc491285715"/>
      <w:bookmarkStart w:id="253" w:name="_Toc491286801"/>
      <w:bookmarkStart w:id="254" w:name="_Toc491284632"/>
      <w:bookmarkStart w:id="255" w:name="_Toc491285716"/>
      <w:bookmarkStart w:id="256" w:name="_Toc491286802"/>
      <w:bookmarkStart w:id="257" w:name="_Toc491284633"/>
      <w:bookmarkStart w:id="258" w:name="_Toc491285717"/>
      <w:bookmarkStart w:id="259" w:name="_Toc491286803"/>
      <w:bookmarkStart w:id="260" w:name="_Toc491284635"/>
      <w:bookmarkStart w:id="261" w:name="_Toc491285719"/>
      <w:bookmarkStart w:id="262" w:name="_Toc491286805"/>
      <w:bookmarkStart w:id="263" w:name="_Toc491284675"/>
      <w:bookmarkStart w:id="264" w:name="_Toc491285759"/>
      <w:bookmarkStart w:id="265" w:name="_Toc491286845"/>
      <w:bookmarkStart w:id="266" w:name="_Toc491284677"/>
      <w:bookmarkStart w:id="267" w:name="_Toc491285761"/>
      <w:bookmarkStart w:id="268" w:name="_Toc491286847"/>
      <w:bookmarkStart w:id="269" w:name="_Toc491284712"/>
      <w:bookmarkStart w:id="270" w:name="_Toc491285796"/>
      <w:bookmarkStart w:id="271" w:name="_Toc491286882"/>
      <w:bookmarkStart w:id="272" w:name="_Toc491284714"/>
      <w:bookmarkStart w:id="273" w:name="_Toc491285798"/>
      <w:bookmarkStart w:id="274" w:name="_Toc491286884"/>
      <w:bookmarkStart w:id="275" w:name="_Toc491284749"/>
      <w:bookmarkStart w:id="276" w:name="_Toc491285833"/>
      <w:bookmarkStart w:id="277" w:name="_Toc491286919"/>
      <w:bookmarkStart w:id="278" w:name="_Toc491284750"/>
      <w:bookmarkStart w:id="279" w:name="_Toc491285834"/>
      <w:bookmarkStart w:id="280" w:name="_Toc491286920"/>
      <w:bookmarkStart w:id="281" w:name="_Toc491284751"/>
      <w:bookmarkStart w:id="282" w:name="_Toc491285835"/>
      <w:bookmarkStart w:id="283" w:name="_Toc491286921"/>
      <w:bookmarkStart w:id="284" w:name="_Toc491284752"/>
      <w:bookmarkStart w:id="285" w:name="_Toc491285836"/>
      <w:bookmarkStart w:id="286" w:name="_Toc491286922"/>
      <w:bookmarkStart w:id="287" w:name="_Toc491284753"/>
      <w:bookmarkStart w:id="288" w:name="_Toc491285837"/>
      <w:bookmarkStart w:id="289" w:name="_Toc491286923"/>
      <w:bookmarkStart w:id="290" w:name="_Toc491284754"/>
      <w:bookmarkStart w:id="291" w:name="_Toc491285838"/>
      <w:bookmarkStart w:id="292" w:name="_Toc491286924"/>
      <w:bookmarkStart w:id="293" w:name="_Toc491284755"/>
      <w:bookmarkStart w:id="294" w:name="_Toc491285839"/>
      <w:bookmarkStart w:id="295" w:name="_Toc491286925"/>
      <w:bookmarkStart w:id="296" w:name="_Toc491284795"/>
      <w:bookmarkStart w:id="297" w:name="_Toc491285879"/>
      <w:bookmarkStart w:id="298" w:name="_Toc491286965"/>
      <w:bookmarkStart w:id="299" w:name="_Toc491284796"/>
      <w:bookmarkStart w:id="300" w:name="_Toc491285880"/>
      <w:bookmarkStart w:id="301" w:name="_Toc491286966"/>
      <w:bookmarkStart w:id="302" w:name="_Ref493085922"/>
      <w:bookmarkStart w:id="303" w:name="_Ref493596178"/>
      <w:bookmarkStart w:id="304" w:name="_Toc493873339"/>
      <w:bookmarkStart w:id="305" w:name="_Toc487211788"/>
      <w:bookmarkEnd w:id="139"/>
      <w:bookmarkEnd w:id="140"/>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Pr>
          <w:noProof/>
        </w:rPr>
        <w:br w:type="page"/>
      </w:r>
    </w:p>
    <w:p w:rsidR="00B231CB" w:rsidRDefault="00C71431">
      <w:pPr>
        <w:pStyle w:val="Heading2"/>
        <w:rPr>
          <w:noProof/>
        </w:rPr>
      </w:pPr>
      <w:bookmarkStart w:id="306" w:name="_Toc496688642"/>
      <w:r>
        <w:rPr>
          <w:noProof/>
        </w:rPr>
        <w:t xml:space="preserve">Distribution of </w:t>
      </w:r>
      <w:r>
        <w:rPr>
          <w:noProof/>
        </w:rPr>
        <w:t>effort</w:t>
      </w:r>
      <w:bookmarkEnd w:id="302"/>
      <w:r>
        <w:rPr>
          <w:noProof/>
        </w:rPr>
        <w:t xml:space="preserve"> (DOE)</w:t>
      </w:r>
      <w:bookmarkEnd w:id="303"/>
      <w:bookmarkEnd w:id="304"/>
      <w:r>
        <w:rPr>
          <w:noProof/>
        </w:rPr>
        <w:t xml:space="preserve">: </w:t>
      </w:r>
      <w:bookmarkStart w:id="307" w:name="_Toc491871899"/>
      <w:bookmarkStart w:id="308" w:name="_Toc491871901"/>
      <w:bookmarkStart w:id="309" w:name="_Toc491871902"/>
      <w:bookmarkEnd w:id="307"/>
      <w:bookmarkEnd w:id="308"/>
      <w:bookmarkEnd w:id="309"/>
      <w:r>
        <w:rPr>
          <w:noProof/>
        </w:rPr>
        <w:t xml:space="preserve">additional information regarding </w:t>
      </w:r>
      <w:bookmarkStart w:id="310" w:name="_Ref485810775"/>
      <w:bookmarkStart w:id="311" w:name="_Toc488135825"/>
      <w:r>
        <w:rPr>
          <w:noProof/>
        </w:rPr>
        <w:t>impacts on competition between manufacturers</w:t>
      </w:r>
      <w:bookmarkEnd w:id="310"/>
      <w:bookmarkEnd w:id="311"/>
      <w:bookmarkEnd w:id="306"/>
    </w:p>
    <w:p w:rsidR="00B231CB" w:rsidRDefault="00C71431">
      <w:pPr>
        <w:spacing w:after="120"/>
        <w:rPr>
          <w:noProof/>
          <w:szCs w:val="24"/>
        </w:rPr>
      </w:pPr>
      <w:r>
        <w:rPr>
          <w:noProof/>
        </w:rPr>
        <w:t xml:space="preserve">The analysis presented in Section 6.4 of the Impact Assessment has looked at </w:t>
      </w:r>
      <w:r>
        <w:rPr>
          <w:noProof/>
          <w:szCs w:val="24"/>
        </w:rPr>
        <w:t>how manufacturing costs of different types of manufacturers may change across different</w:t>
      </w:r>
      <w:r>
        <w:rPr>
          <w:noProof/>
          <w:szCs w:val="24"/>
        </w:rPr>
        <w:t xml:space="preserve"> policy options considered for distributing the efforts. It used both an absolute price indicator and a relative one (cost increase relative to the average price of the vehicles).</w:t>
      </w:r>
    </w:p>
    <w:p w:rsidR="00B231CB" w:rsidRDefault="00C71431">
      <w:pPr>
        <w:spacing w:after="120"/>
        <w:rPr>
          <w:noProof/>
          <w:szCs w:val="24"/>
        </w:rPr>
      </w:pPr>
      <w:r>
        <w:rPr>
          <w:noProof/>
          <w:szCs w:val="24"/>
        </w:rPr>
        <w:t>This Section presents additional modelling results, complementing those pres</w:t>
      </w:r>
      <w:r>
        <w:rPr>
          <w:noProof/>
          <w:szCs w:val="24"/>
        </w:rPr>
        <w:t>ented in the main text of the Impact Assessment.</w:t>
      </w:r>
    </w:p>
    <w:p w:rsidR="00B231CB" w:rsidRDefault="00C71431">
      <w:pPr>
        <w:spacing w:after="120"/>
        <w:rPr>
          <w:i/>
          <w:noProof/>
          <w:szCs w:val="24"/>
        </w:rPr>
      </w:pPr>
      <w:r>
        <w:rPr>
          <w:i/>
          <w:noProof/>
          <w:szCs w:val="24"/>
        </w:rPr>
        <w:t>Passenger cars</w:t>
      </w:r>
    </w:p>
    <w:p w:rsidR="00B231CB" w:rsidRDefault="00C71431">
      <w:pPr>
        <w:spacing w:after="120"/>
        <w:rPr>
          <w:noProof/>
          <w:szCs w:val="24"/>
        </w:rPr>
      </w:pPr>
      <w:r>
        <w:rPr>
          <w:noProof/>
          <w:szCs w:val="24"/>
        </w:rPr>
        <w:t>The two figures below show the main results of the analysis for passenger cars in case of an EU-wide fleet CO</w:t>
      </w:r>
      <w:r>
        <w:rPr>
          <w:noProof/>
          <w:szCs w:val="24"/>
          <w:vertAlign w:val="subscript"/>
        </w:rPr>
        <w:t>2</w:t>
      </w:r>
      <w:r>
        <w:rPr>
          <w:noProof/>
          <w:szCs w:val="24"/>
        </w:rPr>
        <w:t xml:space="preserve"> target in 2025 and 2030 under option TLC25.</w:t>
      </w:r>
    </w:p>
    <w:p w:rsidR="00B231CB" w:rsidRDefault="00C71431">
      <w:pPr>
        <w:spacing w:after="120"/>
        <w:rPr>
          <w:noProof/>
        </w:rPr>
      </w:pPr>
      <w:r>
        <w:rPr>
          <w:noProof/>
          <w:szCs w:val="24"/>
        </w:rPr>
        <w:fldChar w:fldCharType="begin"/>
      </w:r>
      <w:r>
        <w:rPr>
          <w:noProof/>
          <w:szCs w:val="24"/>
        </w:rPr>
        <w:instrText xml:space="preserve"> REF _Ref493076397 \h  \* MERGEFORMAT</w:instrText>
      </w:r>
      <w:r>
        <w:rPr>
          <w:noProof/>
          <w:szCs w:val="24"/>
        </w:rPr>
        <w:instrText xml:space="preserve"> </w:instrText>
      </w:r>
      <w:r>
        <w:rPr>
          <w:noProof/>
          <w:szCs w:val="24"/>
        </w:rPr>
      </w:r>
      <w:r>
        <w:rPr>
          <w:noProof/>
          <w:szCs w:val="24"/>
        </w:rPr>
        <w:fldChar w:fldCharType="separate"/>
      </w:r>
      <w:r>
        <w:rPr>
          <w:noProof/>
        </w:rPr>
        <w:t>Figure 16</w:t>
      </w:r>
      <w:r>
        <w:rPr>
          <w:noProof/>
          <w:szCs w:val="24"/>
        </w:rPr>
        <w:fldChar w:fldCharType="end"/>
      </w:r>
      <w:r>
        <w:rPr>
          <w:noProof/>
          <w:szCs w:val="24"/>
        </w:rPr>
        <w:t xml:space="preserve"> shows the cost increase per vehicle (EUR/car), while in </w:t>
      </w:r>
      <w:r>
        <w:rPr>
          <w:noProof/>
          <w:szCs w:val="24"/>
        </w:rPr>
        <w:fldChar w:fldCharType="begin"/>
      </w:r>
      <w:r>
        <w:rPr>
          <w:noProof/>
          <w:szCs w:val="24"/>
        </w:rPr>
        <w:instrText xml:space="preserve"> REF _Ref493076399 \h  \* MERGEFORMAT </w:instrText>
      </w:r>
      <w:r>
        <w:rPr>
          <w:noProof/>
          <w:szCs w:val="24"/>
        </w:rPr>
      </w:r>
      <w:r>
        <w:rPr>
          <w:noProof/>
          <w:szCs w:val="24"/>
        </w:rPr>
        <w:fldChar w:fldCharType="separate"/>
      </w:r>
      <w:r>
        <w:rPr>
          <w:noProof/>
        </w:rPr>
        <w:t>Figure 17</w:t>
      </w:r>
      <w:r>
        <w:rPr>
          <w:noProof/>
          <w:szCs w:val="24"/>
        </w:rPr>
        <w:fldChar w:fldCharType="end"/>
      </w:r>
      <w:r>
        <w:rPr>
          <w:noProof/>
          <w:szCs w:val="24"/>
        </w:rPr>
        <w:t xml:space="preserve"> these</w:t>
      </w:r>
      <w:r>
        <w:rPr>
          <w:noProof/>
          <w:szCs w:val="24"/>
        </w:rPr>
        <w:t xml:space="preserve"> costs are related to the vehicle price (cost increase in % of car price).</w:t>
      </w:r>
      <w:r>
        <w:rPr>
          <w:noProof/>
        </w:rPr>
        <w:t xml:space="preserve"> </w:t>
      </w:r>
    </w:p>
    <w:p w:rsidR="00B231CB" w:rsidRDefault="00C71431">
      <w:pPr>
        <w:pStyle w:val="Caption"/>
        <w:keepNext/>
        <w:rPr>
          <w:noProof/>
          <w:szCs w:val="24"/>
        </w:rPr>
      </w:pPr>
      <w:bookmarkStart w:id="312" w:name="_Ref493076397"/>
      <w:bookmarkStart w:id="313" w:name="_Toc493873422"/>
      <w:r>
        <w:rPr>
          <w:noProof/>
        </w:rP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bookmarkEnd w:id="312"/>
      <w:r>
        <w:rPr>
          <w:noProof/>
        </w:rPr>
        <w:t xml:space="preserve">: </w:t>
      </w:r>
      <w:r>
        <w:rPr>
          <w:noProof/>
          <w:szCs w:val="24"/>
        </w:rPr>
        <w:t>Additional manufacturing costs (EUR/car) for categories of passenger car manufacturers under different options DOE and with the EU-wide fleet CO</w:t>
      </w:r>
      <w:r>
        <w:rPr>
          <w:noProof/>
          <w:szCs w:val="24"/>
          <w:vertAlign w:val="subscript"/>
        </w:rPr>
        <w:t>2</w:t>
      </w:r>
      <w:r>
        <w:rPr>
          <w:noProof/>
          <w:szCs w:val="24"/>
        </w:rPr>
        <w:t xml:space="preserve"> target levels as in option TLC25</w:t>
      </w:r>
    </w:p>
    <w:p w:rsidR="00B231CB" w:rsidRDefault="00C71431">
      <w:pPr>
        <w:rPr>
          <w:noProof/>
        </w:rPr>
      </w:pPr>
      <w:r>
        <w:rPr>
          <w:noProof/>
          <w:szCs w:val="24"/>
          <w:lang w:eastAsia="en-GB"/>
        </w:rPr>
        <w:drawing>
          <wp:inline distT="0" distB="0" distL="0" distR="0" wp14:anchorId="3A50599D" wp14:editId="378AA431">
            <wp:extent cx="2736000" cy="2123615"/>
            <wp:effectExtent l="0" t="0" r="762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6000" cy="2123615"/>
                    </a:xfrm>
                    <a:prstGeom prst="rect">
                      <a:avLst/>
                    </a:prstGeom>
                    <a:noFill/>
                    <a:ln>
                      <a:noFill/>
                    </a:ln>
                    <a:effectLst/>
                    <a:extLst/>
                  </pic:spPr>
                </pic:pic>
              </a:graphicData>
            </a:graphic>
          </wp:inline>
        </w:drawing>
      </w:r>
      <w:bookmarkEnd w:id="313"/>
      <w:r>
        <w:rPr>
          <w:noProof/>
          <w:lang w:eastAsia="en-GB"/>
        </w:rPr>
        <w:drawing>
          <wp:inline distT="0" distB="0" distL="0" distR="0" wp14:anchorId="5CC9C291" wp14:editId="433A1B8D">
            <wp:extent cx="2736000" cy="2123615"/>
            <wp:effectExtent l="0" t="0" r="762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6000" cy="2123615"/>
                    </a:xfrm>
                    <a:prstGeom prst="rect">
                      <a:avLst/>
                    </a:prstGeom>
                    <a:noFill/>
                    <a:ln>
                      <a:noFill/>
                    </a:ln>
                    <a:effectLst/>
                    <a:extLst/>
                  </pic:spPr>
                </pic:pic>
              </a:graphicData>
            </a:graphic>
          </wp:inline>
        </w:drawing>
      </w:r>
    </w:p>
    <w:p w:rsidR="00B231CB" w:rsidRDefault="00C71431">
      <w:pPr>
        <w:rPr>
          <w:b/>
          <w:noProof/>
          <w:szCs w:val="24"/>
        </w:rPr>
      </w:pPr>
      <w:bookmarkStart w:id="314" w:name="_Ref493076399"/>
      <w:bookmarkStart w:id="315" w:name="_Toc493873423"/>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17</w:t>
      </w:r>
      <w:r>
        <w:rPr>
          <w:b/>
          <w:noProof/>
        </w:rPr>
        <w:fldChar w:fldCharType="end"/>
      </w:r>
      <w:bookmarkEnd w:id="314"/>
      <w:r>
        <w:rPr>
          <w:b/>
          <w:noProof/>
        </w:rPr>
        <w:t xml:space="preserve">: </w:t>
      </w:r>
      <w:r>
        <w:rPr>
          <w:b/>
          <w:noProof/>
          <w:szCs w:val="24"/>
        </w:rPr>
        <w:t>Additional manufacturing costs relative to vehicle price (% of car price) for categories of passenger car manufacturers under different options DOE and with the EU-wide fleet CO</w:t>
      </w:r>
      <w:r>
        <w:rPr>
          <w:b/>
          <w:noProof/>
          <w:szCs w:val="24"/>
          <w:vertAlign w:val="subscript"/>
        </w:rPr>
        <w:t>2</w:t>
      </w:r>
      <w:r>
        <w:rPr>
          <w:b/>
          <w:noProof/>
          <w:szCs w:val="24"/>
        </w:rPr>
        <w:t xml:space="preserve"> tar</w:t>
      </w:r>
      <w:r>
        <w:rPr>
          <w:b/>
          <w:noProof/>
          <w:szCs w:val="24"/>
        </w:rPr>
        <w:t>get levels as in option TLC25</w:t>
      </w:r>
      <w:bookmarkEnd w:id="315"/>
    </w:p>
    <w:p w:rsidR="00B231CB" w:rsidRDefault="00C71431">
      <w:pPr>
        <w:jc w:val="center"/>
        <w:rPr>
          <w:noProof/>
          <w:szCs w:val="24"/>
        </w:rPr>
      </w:pPr>
      <w:r>
        <w:rPr>
          <w:b/>
          <w:noProof/>
          <w:lang w:eastAsia="en-GB"/>
        </w:rPr>
        <w:drawing>
          <wp:inline distT="0" distB="0" distL="0" distR="0" wp14:anchorId="273FD920" wp14:editId="57795F7D">
            <wp:extent cx="2736000" cy="2128000"/>
            <wp:effectExtent l="0" t="0" r="7620" b="571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6000" cy="2128000"/>
                    </a:xfrm>
                    <a:prstGeom prst="rect">
                      <a:avLst/>
                    </a:prstGeom>
                    <a:noFill/>
                    <a:ln>
                      <a:noFill/>
                    </a:ln>
                    <a:effectLst/>
                    <a:extLst/>
                  </pic:spPr>
                </pic:pic>
              </a:graphicData>
            </a:graphic>
          </wp:inline>
        </w:drawing>
      </w:r>
      <w:r>
        <w:rPr>
          <w:noProof/>
          <w:lang w:eastAsia="en-GB"/>
        </w:rPr>
        <w:drawing>
          <wp:inline distT="0" distB="0" distL="0" distR="0" wp14:anchorId="66512775" wp14:editId="5263A6AB">
            <wp:extent cx="2736000" cy="2128000"/>
            <wp:effectExtent l="0" t="0" r="7620" b="571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36000" cy="2128000"/>
                    </a:xfrm>
                    <a:prstGeom prst="rect">
                      <a:avLst/>
                    </a:prstGeom>
                    <a:noFill/>
                    <a:ln>
                      <a:noFill/>
                    </a:ln>
                    <a:effectLst/>
                    <a:extLst/>
                  </pic:spPr>
                </pic:pic>
              </a:graphicData>
            </a:graphic>
          </wp:inline>
        </w:drawing>
      </w:r>
    </w:p>
    <w:p w:rsidR="00B231CB" w:rsidRDefault="00C71431">
      <w:pPr>
        <w:spacing w:after="120"/>
        <w:rPr>
          <w:i/>
          <w:noProof/>
          <w:szCs w:val="24"/>
        </w:rPr>
      </w:pPr>
      <w:r>
        <w:rPr>
          <w:i/>
          <w:noProof/>
          <w:szCs w:val="24"/>
        </w:rPr>
        <w:t>Vans</w:t>
      </w:r>
    </w:p>
    <w:p w:rsidR="00B231CB" w:rsidRDefault="00C71431">
      <w:pPr>
        <w:spacing w:after="120"/>
        <w:rPr>
          <w:noProof/>
          <w:szCs w:val="24"/>
        </w:rPr>
      </w:pPr>
      <w:r>
        <w:rPr>
          <w:noProof/>
          <w:szCs w:val="24"/>
        </w:rPr>
        <w:t>The two figures below show the main results for vans with EU-wide fleet CO</w:t>
      </w:r>
      <w:r>
        <w:rPr>
          <w:noProof/>
          <w:szCs w:val="24"/>
          <w:vertAlign w:val="subscript"/>
        </w:rPr>
        <w:t>2</w:t>
      </w:r>
      <w:r>
        <w:rPr>
          <w:noProof/>
          <w:szCs w:val="24"/>
        </w:rPr>
        <w:t xml:space="preserve"> targets in 2025 and 2030 as under option TLV25. </w:t>
      </w:r>
      <w:r>
        <w:rPr>
          <w:noProof/>
          <w:szCs w:val="24"/>
        </w:rPr>
        <w:fldChar w:fldCharType="begin"/>
      </w:r>
      <w:r>
        <w:rPr>
          <w:noProof/>
          <w:szCs w:val="24"/>
        </w:rPr>
        <w:instrText xml:space="preserve"> REF _Ref494041071 \h  \* MERGEFORMAT </w:instrText>
      </w:r>
      <w:r>
        <w:rPr>
          <w:noProof/>
          <w:szCs w:val="24"/>
        </w:rPr>
      </w:r>
      <w:r>
        <w:rPr>
          <w:noProof/>
          <w:szCs w:val="24"/>
        </w:rPr>
        <w:fldChar w:fldCharType="separate"/>
      </w:r>
      <w:r>
        <w:rPr>
          <w:noProof/>
        </w:rPr>
        <w:t>Figure 18</w:t>
      </w:r>
      <w:r>
        <w:rPr>
          <w:noProof/>
          <w:szCs w:val="24"/>
        </w:rPr>
        <w:fldChar w:fldCharType="end"/>
      </w:r>
      <w:r>
        <w:rPr>
          <w:noProof/>
          <w:szCs w:val="24"/>
        </w:rPr>
        <w:t xml:space="preserve"> shows the absolute manufacturing cost increase (EUR/van), while in </w:t>
      </w:r>
      <w:r>
        <w:rPr>
          <w:noProof/>
          <w:szCs w:val="24"/>
        </w:rPr>
        <w:fldChar w:fldCharType="begin"/>
      </w:r>
      <w:r>
        <w:rPr>
          <w:noProof/>
          <w:szCs w:val="24"/>
        </w:rPr>
        <w:instrText xml:space="preserve"> REF _Ref494041083 \h  \* MERGEFORMAT </w:instrText>
      </w:r>
      <w:r>
        <w:rPr>
          <w:noProof/>
          <w:szCs w:val="24"/>
        </w:rPr>
      </w:r>
      <w:r>
        <w:rPr>
          <w:noProof/>
          <w:szCs w:val="24"/>
        </w:rPr>
        <w:fldChar w:fldCharType="separate"/>
      </w:r>
      <w:r>
        <w:rPr>
          <w:noProof/>
        </w:rPr>
        <w:t>Figure 19</w:t>
      </w:r>
      <w:r>
        <w:rPr>
          <w:noProof/>
          <w:szCs w:val="24"/>
        </w:rPr>
        <w:fldChar w:fldCharType="end"/>
      </w:r>
      <w:r>
        <w:rPr>
          <w:noProof/>
          <w:szCs w:val="24"/>
        </w:rPr>
        <w:t xml:space="preserve"> these costs are related to the vehicle price (cost increase in % of van price). </w:t>
      </w:r>
    </w:p>
    <w:p w:rsidR="00B231CB" w:rsidRDefault="00C71431">
      <w:pPr>
        <w:pStyle w:val="Caption"/>
        <w:keepNext/>
        <w:jc w:val="both"/>
        <w:rPr>
          <w:noProof/>
          <w:szCs w:val="24"/>
        </w:rPr>
      </w:pPr>
      <w:bookmarkStart w:id="316" w:name="_Ref494041071"/>
      <w:bookmarkStart w:id="317" w:name="_Toc493873424"/>
      <w:r>
        <w:rPr>
          <w:noProof/>
        </w:rP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bookmarkEnd w:id="316"/>
      <w:r>
        <w:rPr>
          <w:noProof/>
        </w:rPr>
        <w:t xml:space="preserve">: </w:t>
      </w:r>
      <w:r>
        <w:rPr>
          <w:noProof/>
          <w:szCs w:val="24"/>
        </w:rPr>
        <w:t>Additional manufacturing costs (EUR/van) for categories of van manufacturers under different options DOE and with the EU-wide fleet CO</w:t>
      </w:r>
      <w:r>
        <w:rPr>
          <w:noProof/>
          <w:szCs w:val="24"/>
          <w:vertAlign w:val="subscript"/>
        </w:rPr>
        <w:t>2</w:t>
      </w:r>
      <w:r>
        <w:rPr>
          <w:noProof/>
          <w:szCs w:val="24"/>
        </w:rPr>
        <w:t xml:space="preserve"> ta</w:t>
      </w:r>
      <w:r>
        <w:rPr>
          <w:noProof/>
          <w:szCs w:val="24"/>
        </w:rPr>
        <w:t>rget levels as in option TLV</w:t>
      </w:r>
      <w:bookmarkEnd w:id="317"/>
      <w:r>
        <w:rPr>
          <w:noProof/>
          <w:szCs w:val="24"/>
        </w:rPr>
        <w:t xml:space="preserve">25 </w:t>
      </w:r>
    </w:p>
    <w:p w:rsidR="00B231CB" w:rsidRDefault="00C71431">
      <w:pPr>
        <w:jc w:val="center"/>
        <w:rPr>
          <w:rFonts w:asciiTheme="minorHAnsi" w:hAnsiTheme="minorHAnsi"/>
          <w:noProof/>
        </w:rPr>
      </w:pPr>
      <w:r>
        <w:rPr>
          <w:rFonts w:asciiTheme="minorHAnsi" w:hAnsiTheme="minorHAnsi"/>
          <w:noProof/>
          <w:lang w:eastAsia="en-GB"/>
        </w:rPr>
        <w:drawing>
          <wp:inline distT="0" distB="0" distL="0" distR="0" wp14:anchorId="53FDCEED" wp14:editId="4AF84E03">
            <wp:extent cx="2736000" cy="2128000"/>
            <wp:effectExtent l="0" t="0" r="7620" b="571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6000" cy="2128000"/>
                    </a:xfrm>
                    <a:prstGeom prst="rect">
                      <a:avLst/>
                    </a:prstGeom>
                    <a:noFill/>
                    <a:ln>
                      <a:noFill/>
                    </a:ln>
                    <a:effectLst/>
                    <a:extLst/>
                  </pic:spPr>
                </pic:pic>
              </a:graphicData>
            </a:graphic>
          </wp:inline>
        </w:drawing>
      </w:r>
      <w:r>
        <w:rPr>
          <w:rFonts w:asciiTheme="minorHAnsi" w:hAnsiTheme="minorHAnsi"/>
          <w:noProof/>
          <w:lang w:eastAsia="en-GB"/>
        </w:rPr>
        <w:drawing>
          <wp:inline distT="0" distB="0" distL="0" distR="0" wp14:anchorId="32D5A2DB" wp14:editId="48D57643">
            <wp:extent cx="2736000" cy="2128000"/>
            <wp:effectExtent l="0" t="0" r="7620" b="571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000" cy="2128000"/>
                    </a:xfrm>
                    <a:prstGeom prst="rect">
                      <a:avLst/>
                    </a:prstGeom>
                    <a:noFill/>
                    <a:ln>
                      <a:noFill/>
                    </a:ln>
                    <a:effectLst/>
                    <a:extLst/>
                  </pic:spPr>
                </pic:pic>
              </a:graphicData>
            </a:graphic>
          </wp:inline>
        </w:drawing>
      </w:r>
    </w:p>
    <w:p w:rsidR="00B231CB" w:rsidRDefault="00C71431">
      <w:pPr>
        <w:rPr>
          <w:b/>
          <w:noProof/>
          <w:szCs w:val="24"/>
        </w:rPr>
      </w:pPr>
      <w:bookmarkStart w:id="318" w:name="_Ref494041083"/>
      <w:bookmarkStart w:id="319" w:name="_Toc493873425"/>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19</w:t>
      </w:r>
      <w:r>
        <w:rPr>
          <w:b/>
          <w:noProof/>
        </w:rPr>
        <w:fldChar w:fldCharType="end"/>
      </w:r>
      <w:bookmarkEnd w:id="318"/>
      <w:r>
        <w:rPr>
          <w:b/>
          <w:noProof/>
        </w:rPr>
        <w:t xml:space="preserve">: </w:t>
      </w:r>
      <w:r>
        <w:rPr>
          <w:b/>
          <w:noProof/>
          <w:szCs w:val="24"/>
        </w:rPr>
        <w:t>Additional manufacturing costs relative to vehicle price (% of van price) for categories of van manufacturers under different options DOE and with the EU-wide fleet CO</w:t>
      </w:r>
      <w:r>
        <w:rPr>
          <w:b/>
          <w:noProof/>
          <w:szCs w:val="24"/>
          <w:vertAlign w:val="subscript"/>
        </w:rPr>
        <w:t>2</w:t>
      </w:r>
      <w:r>
        <w:rPr>
          <w:b/>
          <w:noProof/>
          <w:szCs w:val="24"/>
        </w:rPr>
        <w:t xml:space="preserve"> target levels as</w:t>
      </w:r>
      <w:r>
        <w:rPr>
          <w:b/>
          <w:noProof/>
          <w:szCs w:val="24"/>
        </w:rPr>
        <w:t xml:space="preserve"> in option TLV</w:t>
      </w:r>
      <w:bookmarkEnd w:id="319"/>
      <w:r>
        <w:rPr>
          <w:b/>
          <w:noProof/>
          <w:szCs w:val="24"/>
        </w:rPr>
        <w:t>25</w:t>
      </w:r>
    </w:p>
    <w:p w:rsidR="00B231CB" w:rsidRDefault="00C71431">
      <w:pPr>
        <w:jc w:val="left"/>
        <w:rPr>
          <w:rFonts w:asciiTheme="minorHAnsi" w:hAnsiTheme="minorHAnsi"/>
          <w:noProof/>
        </w:rPr>
      </w:pPr>
      <w:r>
        <w:rPr>
          <w:rFonts w:asciiTheme="minorHAnsi" w:hAnsiTheme="minorHAnsi"/>
          <w:noProof/>
          <w:lang w:eastAsia="en-GB"/>
        </w:rPr>
        <w:drawing>
          <wp:inline distT="0" distB="0" distL="0" distR="0" wp14:anchorId="4026C5DA" wp14:editId="2A810A0C">
            <wp:extent cx="2736000" cy="2143492"/>
            <wp:effectExtent l="0" t="0" r="7620" b="952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36000" cy="2143492"/>
                    </a:xfrm>
                    <a:prstGeom prst="rect">
                      <a:avLst/>
                    </a:prstGeom>
                    <a:noFill/>
                    <a:ln>
                      <a:noFill/>
                    </a:ln>
                    <a:effectLst/>
                    <a:extLst/>
                  </pic:spPr>
                </pic:pic>
              </a:graphicData>
            </a:graphic>
          </wp:inline>
        </w:drawing>
      </w:r>
      <w:r>
        <w:rPr>
          <w:rFonts w:asciiTheme="minorHAnsi" w:hAnsiTheme="minorHAnsi"/>
          <w:noProof/>
          <w:lang w:eastAsia="en-GB"/>
        </w:rPr>
        <w:drawing>
          <wp:inline distT="0" distB="0" distL="0" distR="0" wp14:anchorId="336B3DA2" wp14:editId="3428506F">
            <wp:extent cx="2736000" cy="2143492"/>
            <wp:effectExtent l="0" t="0" r="7620" b="952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6000" cy="2143492"/>
                    </a:xfrm>
                    <a:prstGeom prst="rect">
                      <a:avLst/>
                    </a:prstGeom>
                    <a:noFill/>
                    <a:ln>
                      <a:noFill/>
                    </a:ln>
                    <a:effectLst/>
                    <a:extLst/>
                  </pic:spPr>
                </pic:pic>
              </a:graphicData>
            </a:graphic>
          </wp:inline>
        </w:drawing>
      </w:r>
    </w:p>
    <w:p w:rsidR="00B231CB" w:rsidRDefault="00C71431">
      <w:pPr>
        <w:spacing w:after="200" w:line="276" w:lineRule="auto"/>
        <w:jc w:val="left"/>
        <w:rPr>
          <w:rFonts w:ascii="Times New Roman Bold" w:hAnsi="Times New Roman Bold"/>
          <w:b/>
          <w:noProof/>
          <w:szCs w:val="24"/>
          <w:lang w:eastAsia="en-GB"/>
        </w:rPr>
      </w:pPr>
      <w:bookmarkStart w:id="320" w:name="_Toc491284798"/>
      <w:bookmarkStart w:id="321" w:name="_Toc491285882"/>
      <w:bookmarkStart w:id="322" w:name="_Toc491286968"/>
      <w:bookmarkStart w:id="323" w:name="_Toc487211789"/>
      <w:bookmarkStart w:id="324" w:name="_Ref491441648"/>
      <w:bookmarkStart w:id="325" w:name="_Ref492570566"/>
      <w:bookmarkStart w:id="326" w:name="_Ref493085928"/>
      <w:bookmarkStart w:id="327" w:name="_Ref493596189"/>
      <w:bookmarkStart w:id="328" w:name="_Toc493873341"/>
      <w:bookmarkEnd w:id="305"/>
      <w:bookmarkEnd w:id="320"/>
      <w:bookmarkEnd w:id="321"/>
      <w:bookmarkEnd w:id="322"/>
      <w:r>
        <w:rPr>
          <w:noProof/>
        </w:rPr>
        <w:br w:type="page"/>
      </w:r>
    </w:p>
    <w:p w:rsidR="00B231CB" w:rsidRDefault="00C71431">
      <w:pPr>
        <w:pStyle w:val="Heading2"/>
        <w:rPr>
          <w:noProof/>
        </w:rPr>
      </w:pPr>
      <w:bookmarkStart w:id="329" w:name="_Toc496688643"/>
      <w:r>
        <w:rPr>
          <w:noProof/>
        </w:rPr>
        <w:t>ZEV/ LEV incentives</w:t>
      </w:r>
      <w:bookmarkEnd w:id="323"/>
      <w:bookmarkEnd w:id="324"/>
      <w:bookmarkEnd w:id="325"/>
      <w:bookmarkEnd w:id="326"/>
      <w:bookmarkEnd w:id="327"/>
      <w:bookmarkEnd w:id="328"/>
      <w:bookmarkEnd w:id="329"/>
    </w:p>
    <w:p w:rsidR="00B231CB" w:rsidRDefault="00C71431">
      <w:pPr>
        <w:pStyle w:val="Heading3"/>
        <w:rPr>
          <w:noProof/>
        </w:rPr>
      </w:pPr>
      <w:bookmarkStart w:id="330" w:name="_Toc491871905"/>
      <w:bookmarkStart w:id="331" w:name="_Toc491871906"/>
      <w:bookmarkStart w:id="332" w:name="_Toc490062455"/>
      <w:bookmarkStart w:id="333" w:name="_Toc490062640"/>
      <w:bookmarkStart w:id="334" w:name="_Toc490243274"/>
      <w:bookmarkStart w:id="335" w:name="_Toc490836399"/>
      <w:bookmarkStart w:id="336" w:name="_Toc490836767"/>
      <w:bookmarkStart w:id="337" w:name="_Toc490836866"/>
      <w:bookmarkStart w:id="338" w:name="_Toc491183415"/>
      <w:bookmarkStart w:id="339" w:name="_Toc491284802"/>
      <w:bookmarkStart w:id="340" w:name="_Toc491285886"/>
      <w:bookmarkStart w:id="341" w:name="_Toc491286972"/>
      <w:bookmarkStart w:id="342" w:name="_Toc491871907"/>
      <w:bookmarkStart w:id="343" w:name="_Toc491871920"/>
      <w:bookmarkStart w:id="344" w:name="_Toc491871921"/>
      <w:bookmarkStart w:id="345" w:name="_Toc491871922"/>
      <w:bookmarkStart w:id="346" w:name="_Toc491871923"/>
      <w:bookmarkStart w:id="347" w:name="_Toc491871924"/>
      <w:bookmarkStart w:id="348" w:name="_Toc491871925"/>
      <w:bookmarkStart w:id="349" w:name="_Toc491871926"/>
      <w:bookmarkStart w:id="350" w:name="_Toc491871927"/>
      <w:bookmarkStart w:id="351" w:name="_Toc491871928"/>
      <w:bookmarkStart w:id="352" w:name="_Toc491871929"/>
      <w:bookmarkStart w:id="353" w:name="_Toc491871930"/>
      <w:bookmarkStart w:id="354" w:name="_Toc491871931"/>
      <w:bookmarkStart w:id="355" w:name="_Toc491871932"/>
      <w:bookmarkStart w:id="356" w:name="_Toc491871933"/>
      <w:bookmarkStart w:id="357" w:name="_Toc491871934"/>
      <w:bookmarkStart w:id="358" w:name="_Toc491871935"/>
      <w:bookmarkStart w:id="359" w:name="_Toc491871936"/>
      <w:bookmarkStart w:id="360" w:name="_Toc491871937"/>
      <w:bookmarkStart w:id="361" w:name="_Toc491871938"/>
      <w:bookmarkStart w:id="362" w:name="_Toc491871939"/>
      <w:bookmarkStart w:id="363" w:name="_Toc491871940"/>
      <w:bookmarkStart w:id="364" w:name="_Toc491871941"/>
      <w:bookmarkStart w:id="365" w:name="_Toc491871958"/>
      <w:bookmarkStart w:id="366" w:name="_Toc491871959"/>
      <w:bookmarkStart w:id="367" w:name="_Toc491871960"/>
      <w:bookmarkStart w:id="368" w:name="_Toc491871961"/>
      <w:bookmarkStart w:id="369" w:name="_Toc491871962"/>
      <w:bookmarkStart w:id="370" w:name="_Toc491871963"/>
      <w:bookmarkStart w:id="371" w:name="_Toc491871964"/>
      <w:bookmarkStart w:id="372" w:name="_Toc491871965"/>
      <w:bookmarkStart w:id="373" w:name="_Toc491871966"/>
      <w:bookmarkStart w:id="374" w:name="_Toc491871967"/>
      <w:bookmarkStart w:id="375" w:name="_Toc491871968"/>
      <w:bookmarkStart w:id="376" w:name="_Toc491871969"/>
      <w:bookmarkStart w:id="377" w:name="_Toc491871970"/>
      <w:bookmarkStart w:id="378" w:name="_Toc491871971"/>
      <w:bookmarkStart w:id="379" w:name="_Toc491871972"/>
      <w:bookmarkStart w:id="380" w:name="_Toc491871973"/>
      <w:bookmarkStart w:id="381" w:name="_Toc491871974"/>
      <w:bookmarkStart w:id="382" w:name="_Toc491871975"/>
      <w:bookmarkStart w:id="383" w:name="_Toc491871976"/>
      <w:bookmarkStart w:id="384" w:name="_Toc491871977"/>
      <w:bookmarkStart w:id="385" w:name="_Toc491871978"/>
      <w:bookmarkStart w:id="386" w:name="_Toc491871979"/>
      <w:bookmarkStart w:id="387" w:name="_Toc491871980"/>
      <w:bookmarkStart w:id="388" w:name="_Toc491871981"/>
      <w:bookmarkStart w:id="389" w:name="_Toc491871982"/>
      <w:bookmarkStart w:id="390" w:name="_Toc491871983"/>
      <w:bookmarkStart w:id="391" w:name="_Toc491879094"/>
      <w:bookmarkStart w:id="392" w:name="_Toc493873343"/>
      <w:bookmarkStart w:id="393" w:name="_Toc496688644"/>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noProof/>
        </w:rPr>
        <w:t xml:space="preserve">Passenger cars: </w:t>
      </w:r>
      <w:bookmarkStart w:id="394" w:name="_Toc493797457"/>
      <w:bookmarkStart w:id="395" w:name="_Ref493842850"/>
      <w:r>
        <w:rPr>
          <w:noProof/>
        </w:rPr>
        <w:t>assessment of options with additional incentives for low-emission vehicles</w:t>
      </w:r>
      <w:bookmarkEnd w:id="392"/>
      <w:bookmarkEnd w:id="394"/>
      <w:bookmarkEnd w:id="395"/>
      <w:r>
        <w:rPr>
          <w:noProof/>
        </w:rPr>
        <w:t xml:space="preserve">: </w:t>
      </w:r>
      <w:bookmarkStart w:id="396" w:name="_Ref491957580"/>
      <w:bookmarkStart w:id="397" w:name="_Toc493873344"/>
      <w:r>
        <w:rPr>
          <w:noProof/>
        </w:rPr>
        <w:t>economic and social impacts</w:t>
      </w:r>
      <w:bookmarkEnd w:id="396"/>
      <w:bookmarkEnd w:id="397"/>
      <w:bookmarkEnd w:id="393"/>
    </w:p>
    <w:p w:rsidR="00B231CB" w:rsidRDefault="00C71431">
      <w:pPr>
        <w:spacing w:after="120"/>
        <w:rPr>
          <w:noProof/>
          <w:szCs w:val="24"/>
        </w:rPr>
      </w:pPr>
      <w:r>
        <w:rPr>
          <w:noProof/>
          <w:szCs w:val="24"/>
        </w:rPr>
        <w:fldChar w:fldCharType="begin"/>
      </w:r>
      <w:r>
        <w:rPr>
          <w:noProof/>
          <w:szCs w:val="24"/>
        </w:rPr>
        <w:instrText xml:space="preserve"> REF _Ref494114321 \h </w:instrText>
      </w:r>
      <w:r>
        <w:rPr>
          <w:noProof/>
          <w:szCs w:val="24"/>
        </w:rPr>
      </w:r>
      <w:r>
        <w:rPr>
          <w:noProof/>
          <w:szCs w:val="24"/>
        </w:rPr>
        <w:fldChar w:fldCharType="separate"/>
      </w:r>
      <w:r>
        <w:rPr>
          <w:noProof/>
        </w:rPr>
        <w:t>Table 30</w:t>
      </w:r>
      <w:r>
        <w:rPr>
          <w:noProof/>
          <w:szCs w:val="24"/>
        </w:rPr>
        <w:fldChar w:fldCharType="end"/>
      </w:r>
      <w:r>
        <w:rPr>
          <w:noProof/>
          <w:szCs w:val="24"/>
        </w:rPr>
        <w:t xml:space="preserve"> provides a detailed overview of the net savings achieved under the different LEV incentives options using the different indicators used in the economic and social analysis. </w:t>
      </w:r>
    </w:p>
    <w:p w:rsidR="00B231CB" w:rsidRDefault="00C71431">
      <w:pPr>
        <w:pStyle w:val="Caption"/>
        <w:keepNext/>
        <w:spacing w:before="240" w:after="240"/>
        <w:jc w:val="both"/>
        <w:rPr>
          <w:noProof/>
        </w:rPr>
      </w:pPr>
      <w:bookmarkStart w:id="398" w:name="_Ref494114321"/>
      <w:r>
        <w:rPr>
          <w:noProof/>
        </w:rPr>
        <w:t xml:space="preserve">Table </w:t>
      </w:r>
      <w:r>
        <w:rPr>
          <w:noProof/>
        </w:rPr>
        <w:fldChar w:fldCharType="begin"/>
      </w:r>
      <w:r>
        <w:rPr>
          <w:noProof/>
        </w:rPr>
        <w:instrText xml:space="preserve"> SEQ Table \* ARABIC </w:instrText>
      </w:r>
      <w:r>
        <w:rPr>
          <w:noProof/>
        </w:rPr>
        <w:fldChar w:fldCharType="separate"/>
      </w:r>
      <w:r>
        <w:rPr>
          <w:noProof/>
        </w:rPr>
        <w:t>30</w:t>
      </w:r>
      <w:r>
        <w:rPr>
          <w:noProof/>
        </w:rPr>
        <w:fldChar w:fldCharType="end"/>
      </w:r>
      <w:bookmarkEnd w:id="398"/>
      <w:r>
        <w:rPr>
          <w:noProof/>
        </w:rPr>
        <w:t>: Detailed overview of the net savings in EUR/car under different LEV incentive options (LEV definitions, CO</w:t>
      </w:r>
      <w:r>
        <w:rPr>
          <w:noProof/>
          <w:vertAlign w:val="subscript"/>
        </w:rPr>
        <w:t>2</w:t>
      </w:r>
      <w:r>
        <w:rPr>
          <w:noProof/>
        </w:rPr>
        <w:t xml:space="preserve"> targets and LEV mandate/benchmark levels) for 2025 and 2030 passenger cars using several economic (societal perspective,</w:t>
      </w:r>
      <w:r>
        <w:rPr>
          <w:noProof/>
        </w:rPr>
        <w:t xml:space="preserve"> TCO-first user) and social (TCO-second user) impact indicators</w:t>
      </w:r>
    </w:p>
    <w:p w:rsidR="00B231CB" w:rsidRDefault="00C71431">
      <w:pPr>
        <w:rPr>
          <w:noProof/>
          <w:u w:val="single"/>
        </w:rPr>
      </w:pPr>
      <w:r>
        <w:rPr>
          <w:b/>
          <w:noProof/>
          <w:szCs w:val="24"/>
          <w:u w:val="single"/>
        </w:rPr>
        <w:t>TLC20 – 2025 (LEVD_ZEV)</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TLC20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rPr>
            </w:pPr>
            <w:r>
              <w:rPr>
                <w:noProof/>
              </w:rPr>
              <w:t>115</w:t>
            </w:r>
          </w:p>
        </w:tc>
        <w:tc>
          <w:tcPr>
            <w:tcW w:w="1050" w:type="pct"/>
            <w:noWrap/>
          </w:tcPr>
          <w:p w:rsidR="00B231CB" w:rsidRDefault="00C71431">
            <w:pPr>
              <w:spacing w:after="120"/>
              <w:jc w:val="center"/>
              <w:rPr>
                <w:noProof/>
              </w:rPr>
            </w:pPr>
            <w:r>
              <w:rPr>
                <w:noProof/>
              </w:rPr>
              <w:t>-241</w:t>
            </w:r>
          </w:p>
        </w:tc>
        <w:tc>
          <w:tcPr>
            <w:tcW w:w="1050" w:type="pct"/>
            <w:noWrap/>
          </w:tcPr>
          <w:p w:rsidR="00B231CB" w:rsidRDefault="00C71431">
            <w:pPr>
              <w:spacing w:after="120"/>
              <w:jc w:val="center"/>
              <w:rPr>
                <w:noProof/>
              </w:rPr>
            </w:pPr>
            <w:r>
              <w:rPr>
                <w:noProof/>
              </w:rPr>
              <w:t>-273</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rPr>
            </w:pPr>
            <w:r>
              <w:rPr>
                <w:noProof/>
              </w:rPr>
              <w:t>1</w:t>
            </w:r>
          </w:p>
        </w:tc>
        <w:tc>
          <w:tcPr>
            <w:tcW w:w="1050" w:type="pct"/>
            <w:noWrap/>
          </w:tcPr>
          <w:p w:rsidR="00B231CB" w:rsidRDefault="00C71431">
            <w:pPr>
              <w:spacing w:after="120"/>
              <w:jc w:val="center"/>
              <w:rPr>
                <w:noProof/>
              </w:rPr>
            </w:pPr>
            <w:r>
              <w:rPr>
                <w:noProof/>
              </w:rPr>
              <w:t>136</w:t>
            </w:r>
          </w:p>
        </w:tc>
        <w:tc>
          <w:tcPr>
            <w:tcW w:w="1050" w:type="pct"/>
            <w:noWrap/>
          </w:tcPr>
          <w:p w:rsidR="00B231CB" w:rsidRDefault="00C71431">
            <w:pPr>
              <w:spacing w:after="120"/>
              <w:jc w:val="center"/>
              <w:rPr>
                <w:noProof/>
              </w:rPr>
            </w:pPr>
            <w:r>
              <w:rPr>
                <w:noProof/>
              </w:rPr>
              <w:t>176</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 xml:space="preserve">Fuel cost savings </w:t>
            </w:r>
            <w:r>
              <w:rPr>
                <w:noProof/>
                <w:color w:val="000000" w:themeColor="text1"/>
                <w:szCs w:val="24"/>
              </w:rPr>
              <w:t>[3]</w:t>
            </w:r>
          </w:p>
        </w:tc>
        <w:tc>
          <w:tcPr>
            <w:tcW w:w="1050" w:type="pct"/>
            <w:tcBorders>
              <w:bottom w:val="single" w:sz="24" w:space="0" w:color="auto"/>
            </w:tcBorders>
            <w:noWrap/>
          </w:tcPr>
          <w:p w:rsidR="00B231CB" w:rsidRDefault="00C71431">
            <w:pPr>
              <w:spacing w:after="120"/>
              <w:jc w:val="center"/>
              <w:rPr>
                <w:noProof/>
              </w:rPr>
            </w:pPr>
            <w:r>
              <w:rPr>
                <w:noProof/>
              </w:rPr>
              <w:t>354</w:t>
            </w:r>
          </w:p>
        </w:tc>
        <w:tc>
          <w:tcPr>
            <w:tcW w:w="1050" w:type="pct"/>
            <w:tcBorders>
              <w:bottom w:val="single" w:sz="24" w:space="0" w:color="auto"/>
            </w:tcBorders>
            <w:noWrap/>
          </w:tcPr>
          <w:p w:rsidR="00B231CB" w:rsidRDefault="00C71431">
            <w:pPr>
              <w:spacing w:after="120"/>
              <w:jc w:val="center"/>
              <w:rPr>
                <w:noProof/>
              </w:rPr>
            </w:pPr>
            <w:r>
              <w:rPr>
                <w:noProof/>
              </w:rPr>
              <w:t>143</w:t>
            </w:r>
          </w:p>
        </w:tc>
        <w:tc>
          <w:tcPr>
            <w:tcW w:w="1050" w:type="pct"/>
            <w:tcBorders>
              <w:bottom w:val="single" w:sz="24" w:space="0" w:color="auto"/>
            </w:tcBorders>
            <w:noWrap/>
          </w:tcPr>
          <w:p w:rsidR="00B231CB" w:rsidRDefault="00C71431">
            <w:pPr>
              <w:spacing w:after="120"/>
              <w:jc w:val="center"/>
              <w:rPr>
                <w:noProof/>
              </w:rPr>
            </w:pPr>
            <w:r>
              <w:rPr>
                <w:noProof/>
              </w:rPr>
              <w:t>-71</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rPr>
            </w:pPr>
            <w:r>
              <w:rPr>
                <w:i/>
                <w:noProof/>
              </w:rPr>
              <w:t>100</w:t>
            </w:r>
          </w:p>
        </w:tc>
        <w:tc>
          <w:tcPr>
            <w:tcW w:w="1050" w:type="pct"/>
            <w:noWrap/>
          </w:tcPr>
          <w:p w:rsidR="00B231CB" w:rsidRDefault="00C71431">
            <w:pPr>
              <w:spacing w:after="120"/>
              <w:jc w:val="center"/>
              <w:rPr>
                <w:i/>
                <w:noProof/>
              </w:rPr>
            </w:pPr>
            <w:r>
              <w:rPr>
                <w:i/>
                <w:noProof/>
              </w:rPr>
              <w:t>248</w:t>
            </w:r>
          </w:p>
        </w:tc>
        <w:tc>
          <w:tcPr>
            <w:tcW w:w="1050" w:type="pct"/>
            <w:noWrap/>
          </w:tcPr>
          <w:p w:rsidR="00B231CB" w:rsidRDefault="00C71431">
            <w:pPr>
              <w:spacing w:after="120"/>
              <w:jc w:val="center"/>
              <w:rPr>
                <w:i/>
                <w:noProof/>
              </w:rPr>
            </w:pPr>
            <w:r>
              <w:rPr>
                <w:i/>
                <w:noProof/>
              </w:rPr>
              <w:t>27</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TLC20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rPr>
            </w:pPr>
            <w:r>
              <w:rPr>
                <w:noProof/>
              </w:rPr>
              <w:t>90</w:t>
            </w:r>
          </w:p>
        </w:tc>
        <w:tc>
          <w:tcPr>
            <w:tcW w:w="1050" w:type="pct"/>
            <w:noWrap/>
          </w:tcPr>
          <w:p w:rsidR="00B231CB" w:rsidRDefault="00C71431">
            <w:pPr>
              <w:spacing w:after="120"/>
              <w:jc w:val="center"/>
              <w:rPr>
                <w:noProof/>
              </w:rPr>
            </w:pPr>
            <w:r>
              <w:rPr>
                <w:noProof/>
              </w:rPr>
              <w:t>-189</w:t>
            </w:r>
          </w:p>
        </w:tc>
        <w:tc>
          <w:tcPr>
            <w:tcW w:w="1050" w:type="pct"/>
            <w:noWrap/>
          </w:tcPr>
          <w:p w:rsidR="00B231CB" w:rsidRDefault="00C71431">
            <w:pPr>
              <w:spacing w:after="120"/>
              <w:jc w:val="center"/>
              <w:rPr>
                <w:noProof/>
              </w:rPr>
            </w:pPr>
            <w:r>
              <w:rPr>
                <w:noProof/>
              </w:rPr>
              <w:t>-214</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rPr>
            </w:pPr>
            <w:r>
              <w:rPr>
                <w:noProof/>
              </w:rPr>
              <w:t>58</w:t>
            </w:r>
          </w:p>
        </w:tc>
        <w:tc>
          <w:tcPr>
            <w:tcW w:w="1050" w:type="pct"/>
            <w:noWrap/>
          </w:tcPr>
          <w:p w:rsidR="00B231CB" w:rsidRDefault="00C71431">
            <w:pPr>
              <w:spacing w:after="120"/>
              <w:jc w:val="center"/>
              <w:rPr>
                <w:noProof/>
              </w:rPr>
            </w:pPr>
            <w:r>
              <w:rPr>
                <w:noProof/>
              </w:rPr>
              <w:t>57</w:t>
            </w:r>
          </w:p>
        </w:tc>
        <w:tc>
          <w:tcPr>
            <w:tcW w:w="1050" w:type="pct"/>
            <w:noWrap/>
          </w:tcPr>
          <w:p w:rsidR="00B231CB" w:rsidRDefault="00C71431">
            <w:pPr>
              <w:spacing w:after="120"/>
              <w:jc w:val="center"/>
              <w:rPr>
                <w:noProof/>
              </w:rPr>
            </w:pPr>
            <w:r>
              <w:rPr>
                <w:noProof/>
              </w:rPr>
              <w:t>74</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rPr>
            </w:pPr>
            <w:r>
              <w:rPr>
                <w:noProof/>
              </w:rPr>
              <w:t>348</w:t>
            </w:r>
          </w:p>
        </w:tc>
        <w:tc>
          <w:tcPr>
            <w:tcW w:w="1050" w:type="pct"/>
            <w:tcBorders>
              <w:bottom w:val="single" w:sz="24" w:space="0" w:color="auto"/>
            </w:tcBorders>
            <w:noWrap/>
          </w:tcPr>
          <w:p w:rsidR="00B231CB" w:rsidRDefault="00C71431">
            <w:pPr>
              <w:spacing w:after="120"/>
              <w:jc w:val="center"/>
              <w:rPr>
                <w:noProof/>
              </w:rPr>
            </w:pPr>
            <w:r>
              <w:rPr>
                <w:noProof/>
              </w:rPr>
              <w:t>228</w:t>
            </w:r>
          </w:p>
        </w:tc>
        <w:tc>
          <w:tcPr>
            <w:tcW w:w="1050" w:type="pct"/>
            <w:tcBorders>
              <w:bottom w:val="single" w:sz="24" w:space="0" w:color="auto"/>
            </w:tcBorders>
            <w:noWrap/>
          </w:tcPr>
          <w:p w:rsidR="00B231CB" w:rsidRDefault="00C71431">
            <w:pPr>
              <w:spacing w:after="120"/>
              <w:jc w:val="center"/>
              <w:rPr>
                <w:noProof/>
              </w:rPr>
            </w:pPr>
            <w:r>
              <w:rPr>
                <w:noProof/>
              </w:rPr>
              <w:t>116</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rPr>
            </w:pPr>
            <w:r>
              <w:rPr>
                <w:i/>
                <w:noProof/>
              </w:rPr>
              <w:t>200</w:t>
            </w:r>
          </w:p>
        </w:tc>
        <w:tc>
          <w:tcPr>
            <w:tcW w:w="1050" w:type="pct"/>
            <w:noWrap/>
          </w:tcPr>
          <w:p w:rsidR="00B231CB" w:rsidRDefault="00C71431">
            <w:pPr>
              <w:spacing w:after="120"/>
              <w:jc w:val="center"/>
              <w:rPr>
                <w:i/>
                <w:noProof/>
              </w:rPr>
            </w:pPr>
            <w:r>
              <w:rPr>
                <w:i/>
                <w:noProof/>
              </w:rPr>
              <w:t>360</w:t>
            </w:r>
          </w:p>
        </w:tc>
        <w:tc>
          <w:tcPr>
            <w:tcW w:w="1050" w:type="pct"/>
            <w:noWrap/>
          </w:tcPr>
          <w:p w:rsidR="00B231CB" w:rsidRDefault="00C71431">
            <w:pPr>
              <w:spacing w:after="120"/>
              <w:jc w:val="center"/>
              <w:rPr>
                <w:i/>
                <w:noProof/>
              </w:rPr>
            </w:pPr>
            <w:r>
              <w:rPr>
                <w:i/>
                <w:noProof/>
              </w:rPr>
              <w:t>257</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TLC20 - 2025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rPr>
            </w:pPr>
            <w:r>
              <w:rPr>
                <w:noProof/>
              </w:rPr>
              <w:t>43</w:t>
            </w:r>
          </w:p>
        </w:tc>
        <w:tc>
          <w:tcPr>
            <w:tcW w:w="1050" w:type="pct"/>
            <w:noWrap/>
          </w:tcPr>
          <w:p w:rsidR="00B231CB" w:rsidRDefault="00C71431">
            <w:pPr>
              <w:spacing w:after="120"/>
              <w:jc w:val="center"/>
              <w:rPr>
                <w:noProof/>
              </w:rPr>
            </w:pPr>
            <w:r>
              <w:rPr>
                <w:noProof/>
              </w:rPr>
              <w:t>-91</w:t>
            </w:r>
          </w:p>
        </w:tc>
        <w:tc>
          <w:tcPr>
            <w:tcW w:w="1050" w:type="pct"/>
            <w:noWrap/>
          </w:tcPr>
          <w:p w:rsidR="00B231CB" w:rsidRDefault="00C71431">
            <w:pPr>
              <w:spacing w:after="120"/>
              <w:jc w:val="center"/>
              <w:rPr>
                <w:noProof/>
              </w:rPr>
            </w:pPr>
            <w:r>
              <w:rPr>
                <w:noProof/>
              </w:rPr>
              <w:t>-103</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rPr>
            </w:pPr>
            <w:r>
              <w:rPr>
                <w:noProof/>
              </w:rPr>
              <w:t>58</w:t>
            </w:r>
          </w:p>
        </w:tc>
        <w:tc>
          <w:tcPr>
            <w:tcW w:w="1050" w:type="pct"/>
            <w:noWrap/>
          </w:tcPr>
          <w:p w:rsidR="00B231CB" w:rsidRDefault="00C71431">
            <w:pPr>
              <w:spacing w:after="120"/>
              <w:jc w:val="center"/>
              <w:rPr>
                <w:noProof/>
              </w:rPr>
            </w:pPr>
            <w:r>
              <w:rPr>
                <w:noProof/>
              </w:rPr>
              <w:t>57</w:t>
            </w:r>
          </w:p>
        </w:tc>
        <w:tc>
          <w:tcPr>
            <w:tcW w:w="1050" w:type="pct"/>
            <w:noWrap/>
          </w:tcPr>
          <w:p w:rsidR="00B231CB" w:rsidRDefault="00C71431">
            <w:pPr>
              <w:spacing w:after="120"/>
              <w:jc w:val="center"/>
              <w:rPr>
                <w:noProof/>
              </w:rPr>
            </w:pPr>
            <w:r>
              <w:rPr>
                <w:noProof/>
              </w:rPr>
              <w:t>74</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rPr>
            </w:pPr>
            <w:r>
              <w:rPr>
                <w:noProof/>
              </w:rPr>
              <w:t>302</w:t>
            </w:r>
          </w:p>
        </w:tc>
        <w:tc>
          <w:tcPr>
            <w:tcW w:w="1050" w:type="pct"/>
            <w:tcBorders>
              <w:bottom w:val="single" w:sz="24" w:space="0" w:color="auto"/>
            </w:tcBorders>
            <w:noWrap/>
          </w:tcPr>
          <w:p w:rsidR="00B231CB" w:rsidRDefault="00C71431">
            <w:pPr>
              <w:spacing w:after="120"/>
              <w:jc w:val="center"/>
              <w:rPr>
                <w:noProof/>
              </w:rPr>
            </w:pPr>
            <w:r>
              <w:rPr>
                <w:noProof/>
              </w:rPr>
              <w:t>198</w:t>
            </w:r>
          </w:p>
        </w:tc>
        <w:tc>
          <w:tcPr>
            <w:tcW w:w="1050" w:type="pct"/>
            <w:tcBorders>
              <w:bottom w:val="single" w:sz="24" w:space="0" w:color="auto"/>
            </w:tcBorders>
            <w:noWrap/>
          </w:tcPr>
          <w:p w:rsidR="00B231CB" w:rsidRDefault="00C71431">
            <w:pPr>
              <w:spacing w:after="120"/>
              <w:jc w:val="center"/>
              <w:rPr>
                <w:noProof/>
              </w:rPr>
            </w:pPr>
            <w:r>
              <w:rPr>
                <w:noProof/>
              </w:rPr>
              <w:t>94</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rPr>
            </w:pPr>
            <w:r>
              <w:rPr>
                <w:i/>
                <w:noProof/>
              </w:rPr>
              <w:t>201</w:t>
            </w:r>
          </w:p>
        </w:tc>
        <w:tc>
          <w:tcPr>
            <w:tcW w:w="1050" w:type="pct"/>
            <w:noWrap/>
          </w:tcPr>
          <w:p w:rsidR="00B231CB" w:rsidRDefault="00C71431">
            <w:pPr>
              <w:spacing w:after="120"/>
              <w:jc w:val="center"/>
              <w:rPr>
                <w:i/>
                <w:noProof/>
              </w:rPr>
            </w:pPr>
            <w:r>
              <w:rPr>
                <w:i/>
                <w:noProof/>
              </w:rPr>
              <w:t>232</w:t>
            </w:r>
          </w:p>
        </w:tc>
        <w:tc>
          <w:tcPr>
            <w:tcW w:w="1050" w:type="pct"/>
            <w:noWrap/>
          </w:tcPr>
          <w:p w:rsidR="00B231CB" w:rsidRDefault="00C71431">
            <w:pPr>
              <w:spacing w:after="120"/>
              <w:jc w:val="center"/>
              <w:rPr>
                <w:i/>
                <w:noProof/>
              </w:rPr>
            </w:pPr>
            <w:r>
              <w:rPr>
                <w:i/>
                <w:noProof/>
              </w:rPr>
              <w:t>124</w:t>
            </w:r>
          </w:p>
        </w:tc>
      </w:tr>
    </w:tbl>
    <w:p w:rsidR="00B231CB" w:rsidRDefault="00B231CB">
      <w:pPr>
        <w:spacing w:after="0"/>
        <w:rPr>
          <w:b/>
          <w:noProof/>
          <w:color w:val="000000" w:themeColor="text1"/>
          <w:szCs w:val="24"/>
          <w:lang w:eastAsia="en-GB"/>
        </w:rPr>
      </w:pPr>
    </w:p>
    <w:p w:rsidR="00B231CB" w:rsidRDefault="00C71431">
      <w:pPr>
        <w:spacing w:after="200" w:line="276" w:lineRule="auto"/>
        <w:jc w:val="left"/>
        <w:rPr>
          <w:b/>
          <w:noProof/>
          <w:szCs w:val="24"/>
          <w:u w:val="single"/>
        </w:rPr>
      </w:pPr>
      <w:r>
        <w:rPr>
          <w:b/>
          <w:noProof/>
          <w:szCs w:val="24"/>
          <w:u w:val="single"/>
        </w:rPr>
        <w:br w:type="page"/>
      </w:r>
    </w:p>
    <w:p w:rsidR="00B231CB" w:rsidRDefault="00C71431">
      <w:pPr>
        <w:rPr>
          <w:noProof/>
          <w:u w:val="single"/>
        </w:rPr>
      </w:pPr>
      <w:r>
        <w:rPr>
          <w:b/>
          <w:noProof/>
          <w:szCs w:val="24"/>
          <w:u w:val="single"/>
        </w:rPr>
        <w:t>TLC20 – 2030 (LEVD_ZEV)</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 xml:space="preserve">Net </w:t>
            </w:r>
            <w:r>
              <w:rPr>
                <w:b/>
                <w:i/>
                <w:noProof/>
                <w:color w:val="000000" w:themeColor="text1"/>
              </w:rPr>
              <w:t>savings 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TLC20 - 2030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rPr>
            </w:pPr>
            <w:r>
              <w:rPr>
                <w:noProof/>
              </w:rPr>
              <w:t>419</w:t>
            </w:r>
          </w:p>
        </w:tc>
        <w:tc>
          <w:tcPr>
            <w:tcW w:w="1050" w:type="pct"/>
            <w:noWrap/>
          </w:tcPr>
          <w:p w:rsidR="00B231CB" w:rsidRDefault="00C71431">
            <w:pPr>
              <w:spacing w:after="120"/>
              <w:jc w:val="center"/>
              <w:rPr>
                <w:noProof/>
              </w:rPr>
            </w:pPr>
            <w:r>
              <w:rPr>
                <w:noProof/>
              </w:rPr>
              <w:t>-116</w:t>
            </w:r>
          </w:p>
        </w:tc>
        <w:tc>
          <w:tcPr>
            <w:tcW w:w="1049" w:type="pct"/>
            <w:noWrap/>
          </w:tcPr>
          <w:p w:rsidR="00B231CB" w:rsidRDefault="00C71431">
            <w:pPr>
              <w:spacing w:after="120"/>
              <w:jc w:val="center"/>
              <w:rPr>
                <w:noProof/>
              </w:rPr>
            </w:pPr>
            <w:r>
              <w:rPr>
                <w:noProof/>
              </w:rPr>
              <w:t>-139</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rPr>
            </w:pPr>
            <w:r>
              <w:rPr>
                <w:noProof/>
              </w:rPr>
              <w:t>-62</w:t>
            </w:r>
          </w:p>
        </w:tc>
        <w:tc>
          <w:tcPr>
            <w:tcW w:w="1050" w:type="pct"/>
            <w:noWrap/>
          </w:tcPr>
          <w:p w:rsidR="00B231CB" w:rsidRDefault="00C71431">
            <w:pPr>
              <w:spacing w:after="120"/>
              <w:jc w:val="center"/>
              <w:rPr>
                <w:noProof/>
              </w:rPr>
            </w:pPr>
            <w:r>
              <w:rPr>
                <w:noProof/>
              </w:rPr>
              <w:t>-129</w:t>
            </w:r>
          </w:p>
        </w:tc>
        <w:tc>
          <w:tcPr>
            <w:tcW w:w="1049" w:type="pct"/>
            <w:noWrap/>
          </w:tcPr>
          <w:p w:rsidR="00B231CB" w:rsidRDefault="00C71431">
            <w:pPr>
              <w:spacing w:after="120"/>
              <w:jc w:val="center"/>
              <w:rPr>
                <w:noProof/>
              </w:rPr>
            </w:pPr>
            <w:r>
              <w:rPr>
                <w:noProof/>
              </w:rPr>
              <w:t>-120</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rPr>
            </w:pPr>
            <w:r>
              <w:rPr>
                <w:noProof/>
              </w:rPr>
              <w:t>1,159</w:t>
            </w:r>
          </w:p>
        </w:tc>
        <w:tc>
          <w:tcPr>
            <w:tcW w:w="1050" w:type="pct"/>
            <w:tcBorders>
              <w:bottom w:val="single" w:sz="24" w:space="0" w:color="auto"/>
            </w:tcBorders>
            <w:noWrap/>
          </w:tcPr>
          <w:p w:rsidR="00B231CB" w:rsidRDefault="00C71431">
            <w:pPr>
              <w:spacing w:after="120"/>
              <w:jc w:val="center"/>
              <w:rPr>
                <w:noProof/>
              </w:rPr>
            </w:pPr>
            <w:r>
              <w:rPr>
                <w:noProof/>
              </w:rPr>
              <w:t>739</w:t>
            </w:r>
          </w:p>
        </w:tc>
        <w:tc>
          <w:tcPr>
            <w:tcW w:w="1049" w:type="pct"/>
            <w:tcBorders>
              <w:bottom w:val="single" w:sz="24" w:space="0" w:color="auto"/>
            </w:tcBorders>
            <w:noWrap/>
          </w:tcPr>
          <w:p w:rsidR="00B231CB" w:rsidRDefault="00C71431">
            <w:pPr>
              <w:spacing w:after="120"/>
              <w:jc w:val="center"/>
              <w:rPr>
                <w:noProof/>
              </w:rPr>
            </w:pPr>
            <w:r>
              <w:rPr>
                <w:noProof/>
              </w:rPr>
              <w:t>595</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rPr>
            </w:pPr>
            <w:r>
              <w:rPr>
                <w:i/>
                <w:noProof/>
              </w:rPr>
              <w:t>802</w:t>
            </w:r>
          </w:p>
        </w:tc>
        <w:tc>
          <w:tcPr>
            <w:tcW w:w="1050" w:type="pct"/>
            <w:noWrap/>
          </w:tcPr>
          <w:p w:rsidR="00B231CB" w:rsidRDefault="00C71431">
            <w:pPr>
              <w:spacing w:after="120"/>
              <w:jc w:val="center"/>
              <w:rPr>
                <w:i/>
                <w:noProof/>
              </w:rPr>
            </w:pPr>
            <w:r>
              <w:rPr>
                <w:i/>
                <w:noProof/>
              </w:rPr>
              <w:t>984</w:t>
            </w:r>
          </w:p>
        </w:tc>
        <w:tc>
          <w:tcPr>
            <w:tcW w:w="1049" w:type="pct"/>
            <w:noWrap/>
          </w:tcPr>
          <w:p w:rsidR="00B231CB" w:rsidRDefault="00C71431">
            <w:pPr>
              <w:spacing w:after="120"/>
              <w:jc w:val="center"/>
              <w:rPr>
                <w:i/>
                <w:noProof/>
              </w:rPr>
            </w:pPr>
            <w:r>
              <w:rPr>
                <w:i/>
                <w:noProof/>
              </w:rPr>
              <w:t>854</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 xml:space="preserve">TCO-first user (5 years) </w:t>
            </w:r>
            <w:r>
              <w:rPr>
                <w:b/>
                <w:i/>
                <w:noProof/>
                <w:color w:val="000000" w:themeColor="text1"/>
              </w:rPr>
              <w:t>(EUR/car)</w:t>
            </w:r>
          </w:p>
        </w:tc>
      </w:tr>
      <w:tr w:rsidR="00B231CB">
        <w:trPr>
          <w:trHeight w:val="255"/>
        </w:trPr>
        <w:tc>
          <w:tcPr>
            <w:tcW w:w="1851" w:type="pct"/>
            <w:noWrap/>
            <w:hideMark/>
          </w:tcPr>
          <w:p w:rsidR="00B231CB" w:rsidRDefault="00C71431">
            <w:pPr>
              <w:spacing w:after="120"/>
              <w:rPr>
                <w:b/>
                <w:noProof/>
                <w:szCs w:val="24"/>
              </w:rPr>
            </w:pPr>
            <w:r>
              <w:rPr>
                <w:b/>
                <w:noProof/>
                <w:szCs w:val="24"/>
              </w:rPr>
              <w:t>TLC20 - 2030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rPr>
            </w:pPr>
            <w:r>
              <w:rPr>
                <w:noProof/>
              </w:rPr>
              <w:t>328</w:t>
            </w:r>
          </w:p>
        </w:tc>
        <w:tc>
          <w:tcPr>
            <w:tcW w:w="1050" w:type="pct"/>
            <w:noWrap/>
          </w:tcPr>
          <w:p w:rsidR="00B231CB" w:rsidRDefault="00C71431">
            <w:pPr>
              <w:spacing w:after="120"/>
              <w:jc w:val="center"/>
              <w:rPr>
                <w:noProof/>
              </w:rPr>
            </w:pPr>
            <w:r>
              <w:rPr>
                <w:noProof/>
              </w:rPr>
              <w:t>-91</w:t>
            </w:r>
          </w:p>
        </w:tc>
        <w:tc>
          <w:tcPr>
            <w:tcW w:w="1049" w:type="pct"/>
            <w:noWrap/>
          </w:tcPr>
          <w:p w:rsidR="00B231CB" w:rsidRDefault="00C71431">
            <w:pPr>
              <w:spacing w:after="120"/>
              <w:jc w:val="center"/>
              <w:rPr>
                <w:noProof/>
              </w:rPr>
            </w:pPr>
            <w:r>
              <w:rPr>
                <w:noProof/>
              </w:rPr>
              <w:t>-109</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rPr>
            </w:pPr>
            <w:r>
              <w:rPr>
                <w:noProof/>
              </w:rPr>
              <w:t>-26</w:t>
            </w:r>
          </w:p>
        </w:tc>
        <w:tc>
          <w:tcPr>
            <w:tcW w:w="1050" w:type="pct"/>
            <w:noWrap/>
          </w:tcPr>
          <w:p w:rsidR="00B231CB" w:rsidRDefault="00C71431">
            <w:pPr>
              <w:spacing w:after="120"/>
              <w:jc w:val="center"/>
              <w:rPr>
                <w:noProof/>
              </w:rPr>
            </w:pPr>
            <w:r>
              <w:rPr>
                <w:noProof/>
              </w:rPr>
              <w:t>-54</w:t>
            </w:r>
          </w:p>
        </w:tc>
        <w:tc>
          <w:tcPr>
            <w:tcW w:w="1049" w:type="pct"/>
            <w:noWrap/>
          </w:tcPr>
          <w:p w:rsidR="00B231CB" w:rsidRDefault="00C71431">
            <w:pPr>
              <w:spacing w:after="120"/>
              <w:jc w:val="center"/>
              <w:rPr>
                <w:noProof/>
              </w:rPr>
            </w:pPr>
            <w:r>
              <w:rPr>
                <w:noProof/>
              </w:rPr>
              <w:t>-50</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rPr>
            </w:pPr>
            <w:r>
              <w:rPr>
                <w:noProof/>
              </w:rPr>
              <w:t>1,025</w:t>
            </w:r>
          </w:p>
        </w:tc>
        <w:tc>
          <w:tcPr>
            <w:tcW w:w="1050" w:type="pct"/>
            <w:tcBorders>
              <w:bottom w:val="single" w:sz="24" w:space="0" w:color="auto"/>
            </w:tcBorders>
            <w:noWrap/>
          </w:tcPr>
          <w:p w:rsidR="00B231CB" w:rsidRDefault="00C71431">
            <w:pPr>
              <w:spacing w:after="120"/>
              <w:jc w:val="center"/>
              <w:rPr>
                <w:noProof/>
              </w:rPr>
            </w:pPr>
            <w:r>
              <w:rPr>
                <w:noProof/>
              </w:rPr>
              <w:t>789</w:t>
            </w:r>
          </w:p>
        </w:tc>
        <w:tc>
          <w:tcPr>
            <w:tcW w:w="1049" w:type="pct"/>
            <w:tcBorders>
              <w:bottom w:val="single" w:sz="24" w:space="0" w:color="auto"/>
            </w:tcBorders>
            <w:noWrap/>
          </w:tcPr>
          <w:p w:rsidR="00B231CB" w:rsidRDefault="00C71431">
            <w:pPr>
              <w:spacing w:after="120"/>
              <w:jc w:val="center"/>
              <w:rPr>
                <w:noProof/>
              </w:rPr>
            </w:pPr>
            <w:r>
              <w:rPr>
                <w:noProof/>
              </w:rPr>
              <w:t>719</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rPr>
            </w:pPr>
            <w:r>
              <w:rPr>
                <w:i/>
                <w:noProof/>
              </w:rPr>
              <w:t>723</w:t>
            </w:r>
          </w:p>
        </w:tc>
        <w:tc>
          <w:tcPr>
            <w:tcW w:w="1050" w:type="pct"/>
            <w:noWrap/>
          </w:tcPr>
          <w:p w:rsidR="00B231CB" w:rsidRDefault="00C71431">
            <w:pPr>
              <w:spacing w:after="120"/>
              <w:jc w:val="center"/>
              <w:rPr>
                <w:i/>
                <w:noProof/>
              </w:rPr>
            </w:pPr>
            <w:r>
              <w:rPr>
                <w:i/>
                <w:noProof/>
              </w:rPr>
              <w:t>934</w:t>
            </w:r>
          </w:p>
        </w:tc>
        <w:tc>
          <w:tcPr>
            <w:tcW w:w="1049" w:type="pct"/>
            <w:noWrap/>
          </w:tcPr>
          <w:p w:rsidR="00B231CB" w:rsidRDefault="00C71431">
            <w:pPr>
              <w:spacing w:after="120"/>
              <w:jc w:val="center"/>
              <w:rPr>
                <w:i/>
                <w:noProof/>
              </w:rPr>
            </w:pPr>
            <w:r>
              <w:rPr>
                <w:i/>
                <w:noProof/>
              </w:rPr>
              <w:t>878</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TLC20 - 2030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rPr>
            </w:pPr>
            <w:r>
              <w:rPr>
                <w:noProof/>
              </w:rPr>
              <w:t>158</w:t>
            </w:r>
          </w:p>
        </w:tc>
        <w:tc>
          <w:tcPr>
            <w:tcW w:w="1050" w:type="pct"/>
            <w:noWrap/>
          </w:tcPr>
          <w:p w:rsidR="00B231CB" w:rsidRDefault="00C71431">
            <w:pPr>
              <w:spacing w:after="120"/>
              <w:jc w:val="center"/>
              <w:rPr>
                <w:noProof/>
              </w:rPr>
            </w:pPr>
            <w:r>
              <w:rPr>
                <w:noProof/>
              </w:rPr>
              <w:t>-44</w:t>
            </w:r>
          </w:p>
        </w:tc>
        <w:tc>
          <w:tcPr>
            <w:tcW w:w="1049" w:type="pct"/>
            <w:noWrap/>
          </w:tcPr>
          <w:p w:rsidR="00B231CB" w:rsidRDefault="00C71431">
            <w:pPr>
              <w:spacing w:after="120"/>
              <w:jc w:val="center"/>
              <w:rPr>
                <w:noProof/>
              </w:rPr>
            </w:pPr>
            <w:r>
              <w:rPr>
                <w:noProof/>
              </w:rPr>
              <w:t>-53</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rPr>
            </w:pPr>
            <w:r>
              <w:rPr>
                <w:noProof/>
              </w:rPr>
              <w:t>-26</w:t>
            </w:r>
          </w:p>
        </w:tc>
        <w:tc>
          <w:tcPr>
            <w:tcW w:w="1050" w:type="pct"/>
            <w:noWrap/>
          </w:tcPr>
          <w:p w:rsidR="00B231CB" w:rsidRDefault="00C71431">
            <w:pPr>
              <w:spacing w:after="120"/>
              <w:jc w:val="center"/>
              <w:rPr>
                <w:noProof/>
              </w:rPr>
            </w:pPr>
            <w:r>
              <w:rPr>
                <w:noProof/>
              </w:rPr>
              <w:t>-54</w:t>
            </w:r>
          </w:p>
        </w:tc>
        <w:tc>
          <w:tcPr>
            <w:tcW w:w="1049" w:type="pct"/>
            <w:noWrap/>
          </w:tcPr>
          <w:p w:rsidR="00B231CB" w:rsidRDefault="00C71431">
            <w:pPr>
              <w:spacing w:after="120"/>
              <w:jc w:val="center"/>
              <w:rPr>
                <w:noProof/>
              </w:rPr>
            </w:pPr>
            <w:r>
              <w:rPr>
                <w:noProof/>
              </w:rPr>
              <w:t>-50</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rPr>
            </w:pPr>
            <w:r>
              <w:rPr>
                <w:noProof/>
              </w:rPr>
              <w:t>841</w:t>
            </w:r>
          </w:p>
        </w:tc>
        <w:tc>
          <w:tcPr>
            <w:tcW w:w="1050" w:type="pct"/>
            <w:tcBorders>
              <w:bottom w:val="single" w:sz="24" w:space="0" w:color="auto"/>
            </w:tcBorders>
            <w:noWrap/>
          </w:tcPr>
          <w:p w:rsidR="00B231CB" w:rsidRDefault="00C71431">
            <w:pPr>
              <w:spacing w:after="120"/>
              <w:jc w:val="center"/>
              <w:rPr>
                <w:noProof/>
              </w:rPr>
            </w:pPr>
            <w:r>
              <w:rPr>
                <w:noProof/>
              </w:rPr>
              <w:t>648</w:t>
            </w:r>
          </w:p>
        </w:tc>
        <w:tc>
          <w:tcPr>
            <w:tcW w:w="1049" w:type="pct"/>
            <w:tcBorders>
              <w:bottom w:val="single" w:sz="24" w:space="0" w:color="auto"/>
            </w:tcBorders>
            <w:noWrap/>
          </w:tcPr>
          <w:p w:rsidR="00B231CB" w:rsidRDefault="00C71431">
            <w:pPr>
              <w:spacing w:after="120"/>
              <w:jc w:val="center"/>
              <w:rPr>
                <w:noProof/>
              </w:rPr>
            </w:pPr>
            <w:r>
              <w:rPr>
                <w:noProof/>
              </w:rPr>
              <w:t>589</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rPr>
            </w:pPr>
            <w:r>
              <w:rPr>
                <w:i/>
                <w:noProof/>
              </w:rPr>
              <w:t>708</w:t>
            </w:r>
          </w:p>
        </w:tc>
        <w:tc>
          <w:tcPr>
            <w:tcW w:w="1050" w:type="pct"/>
            <w:noWrap/>
          </w:tcPr>
          <w:p w:rsidR="00B231CB" w:rsidRDefault="00C71431">
            <w:pPr>
              <w:spacing w:after="120"/>
              <w:jc w:val="center"/>
              <w:rPr>
                <w:i/>
                <w:noProof/>
              </w:rPr>
            </w:pPr>
            <w:r>
              <w:rPr>
                <w:i/>
                <w:noProof/>
              </w:rPr>
              <w:t>746</w:t>
            </w:r>
          </w:p>
        </w:tc>
        <w:tc>
          <w:tcPr>
            <w:tcW w:w="1049" w:type="pct"/>
            <w:noWrap/>
          </w:tcPr>
          <w:p w:rsidR="00B231CB" w:rsidRDefault="00C71431">
            <w:pPr>
              <w:spacing w:after="120"/>
              <w:jc w:val="center"/>
              <w:rPr>
                <w:i/>
                <w:noProof/>
              </w:rPr>
            </w:pPr>
            <w:r>
              <w:rPr>
                <w:i/>
                <w:noProof/>
              </w:rPr>
              <w:t>692</w:t>
            </w:r>
          </w:p>
        </w:tc>
      </w:tr>
    </w:tbl>
    <w:p w:rsidR="00B231CB" w:rsidRDefault="00C71431">
      <w:pPr>
        <w:spacing w:before="240"/>
        <w:rPr>
          <w:b/>
          <w:noProof/>
          <w:color w:val="000000" w:themeColor="text1"/>
          <w:szCs w:val="24"/>
          <w:lang w:eastAsia="en-GB"/>
        </w:rPr>
      </w:pPr>
      <w:r>
        <w:rPr>
          <w:b/>
          <w:noProof/>
          <w:szCs w:val="24"/>
          <w:u w:val="single"/>
        </w:rPr>
        <w:t>TLC25 – 2025 (LEVD_ZEV)</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TLC25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229</w:t>
            </w:r>
          </w:p>
        </w:tc>
        <w:tc>
          <w:tcPr>
            <w:tcW w:w="1050" w:type="pct"/>
            <w:noWrap/>
          </w:tcPr>
          <w:p w:rsidR="00B231CB" w:rsidRDefault="00C71431">
            <w:pPr>
              <w:spacing w:after="120"/>
              <w:jc w:val="center"/>
              <w:rPr>
                <w:noProof/>
                <w:szCs w:val="24"/>
              </w:rPr>
            </w:pPr>
            <w:r>
              <w:rPr>
                <w:noProof/>
                <w:szCs w:val="24"/>
              </w:rPr>
              <w:t>-150</w:t>
            </w:r>
          </w:p>
        </w:tc>
        <w:tc>
          <w:tcPr>
            <w:tcW w:w="1050" w:type="pct"/>
            <w:noWrap/>
          </w:tcPr>
          <w:p w:rsidR="00B231CB" w:rsidRDefault="00C71431">
            <w:pPr>
              <w:spacing w:after="120"/>
              <w:jc w:val="center"/>
              <w:rPr>
                <w:noProof/>
                <w:szCs w:val="24"/>
              </w:rPr>
            </w:pPr>
            <w:r>
              <w:rPr>
                <w:noProof/>
                <w:szCs w:val="24"/>
              </w:rPr>
              <w:t>-194</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w:t>
            </w:r>
          </w:p>
        </w:tc>
        <w:tc>
          <w:tcPr>
            <w:tcW w:w="1050" w:type="pct"/>
            <w:noWrap/>
          </w:tcPr>
          <w:p w:rsidR="00B231CB" w:rsidRDefault="00C71431">
            <w:pPr>
              <w:spacing w:after="120"/>
              <w:jc w:val="center"/>
              <w:rPr>
                <w:noProof/>
                <w:szCs w:val="24"/>
              </w:rPr>
            </w:pPr>
            <w:r>
              <w:rPr>
                <w:noProof/>
                <w:szCs w:val="24"/>
              </w:rPr>
              <w:t>138</w:t>
            </w:r>
          </w:p>
        </w:tc>
        <w:tc>
          <w:tcPr>
            <w:tcW w:w="1050" w:type="pct"/>
            <w:noWrap/>
          </w:tcPr>
          <w:p w:rsidR="00B231CB" w:rsidRDefault="00C71431">
            <w:pPr>
              <w:spacing w:after="120"/>
              <w:jc w:val="center"/>
              <w:rPr>
                <w:noProof/>
                <w:szCs w:val="24"/>
              </w:rPr>
            </w:pPr>
            <w:r>
              <w:rPr>
                <w:noProof/>
                <w:szCs w:val="24"/>
              </w:rPr>
              <w:t>168</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514</w:t>
            </w:r>
          </w:p>
        </w:tc>
        <w:tc>
          <w:tcPr>
            <w:tcW w:w="1050" w:type="pct"/>
            <w:tcBorders>
              <w:bottom w:val="single" w:sz="24" w:space="0" w:color="auto"/>
            </w:tcBorders>
            <w:noWrap/>
          </w:tcPr>
          <w:p w:rsidR="00B231CB" w:rsidRDefault="00C71431">
            <w:pPr>
              <w:spacing w:after="120"/>
              <w:jc w:val="center"/>
              <w:rPr>
                <w:noProof/>
                <w:szCs w:val="24"/>
              </w:rPr>
            </w:pPr>
            <w:r>
              <w:rPr>
                <w:noProof/>
                <w:szCs w:val="24"/>
              </w:rPr>
              <w:t>298</w:t>
            </w:r>
          </w:p>
        </w:tc>
        <w:tc>
          <w:tcPr>
            <w:tcW w:w="1050" w:type="pct"/>
            <w:tcBorders>
              <w:bottom w:val="single" w:sz="24" w:space="0" w:color="auto"/>
            </w:tcBorders>
            <w:noWrap/>
          </w:tcPr>
          <w:p w:rsidR="00B231CB" w:rsidRDefault="00C71431">
            <w:pPr>
              <w:spacing w:after="120"/>
              <w:jc w:val="center"/>
              <w:rPr>
                <w:noProof/>
                <w:szCs w:val="24"/>
              </w:rPr>
            </w:pPr>
            <w:r>
              <w:rPr>
                <w:noProof/>
                <w:szCs w:val="24"/>
              </w:rPr>
              <w:t>97</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149</w:t>
            </w:r>
          </w:p>
        </w:tc>
        <w:tc>
          <w:tcPr>
            <w:tcW w:w="1050" w:type="pct"/>
            <w:noWrap/>
          </w:tcPr>
          <w:p w:rsidR="00B231CB" w:rsidRDefault="00C71431">
            <w:pPr>
              <w:spacing w:after="120"/>
              <w:jc w:val="center"/>
              <w:rPr>
                <w:i/>
                <w:noProof/>
                <w:szCs w:val="24"/>
              </w:rPr>
            </w:pPr>
            <w:r>
              <w:rPr>
                <w:i/>
                <w:noProof/>
                <w:szCs w:val="24"/>
              </w:rPr>
              <w:t>310</w:t>
            </w:r>
          </w:p>
        </w:tc>
        <w:tc>
          <w:tcPr>
            <w:tcW w:w="1050" w:type="pct"/>
            <w:noWrap/>
          </w:tcPr>
          <w:p w:rsidR="00B231CB" w:rsidRDefault="00C71431">
            <w:pPr>
              <w:spacing w:after="120"/>
              <w:jc w:val="center"/>
              <w:rPr>
                <w:i/>
                <w:noProof/>
                <w:szCs w:val="24"/>
              </w:rPr>
            </w:pPr>
            <w:r>
              <w:rPr>
                <w:i/>
                <w:noProof/>
                <w:szCs w:val="24"/>
              </w:rPr>
              <w:t>123</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TLC25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179</w:t>
            </w:r>
          </w:p>
        </w:tc>
        <w:tc>
          <w:tcPr>
            <w:tcW w:w="1050" w:type="pct"/>
            <w:noWrap/>
          </w:tcPr>
          <w:p w:rsidR="00B231CB" w:rsidRDefault="00C71431">
            <w:pPr>
              <w:spacing w:after="120"/>
              <w:jc w:val="center"/>
              <w:rPr>
                <w:noProof/>
                <w:szCs w:val="24"/>
              </w:rPr>
            </w:pPr>
            <w:r>
              <w:rPr>
                <w:noProof/>
                <w:szCs w:val="24"/>
              </w:rPr>
              <w:t>-117</w:t>
            </w:r>
          </w:p>
        </w:tc>
        <w:tc>
          <w:tcPr>
            <w:tcW w:w="1050" w:type="pct"/>
            <w:noWrap/>
          </w:tcPr>
          <w:p w:rsidR="00B231CB" w:rsidRDefault="00C71431">
            <w:pPr>
              <w:spacing w:after="120"/>
              <w:jc w:val="center"/>
              <w:rPr>
                <w:noProof/>
                <w:szCs w:val="24"/>
              </w:rPr>
            </w:pPr>
            <w:r>
              <w:rPr>
                <w:noProof/>
                <w:szCs w:val="24"/>
              </w:rPr>
              <w:t>-152</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58</w:t>
            </w:r>
          </w:p>
        </w:tc>
        <w:tc>
          <w:tcPr>
            <w:tcW w:w="1050" w:type="pct"/>
            <w:noWrap/>
          </w:tcPr>
          <w:p w:rsidR="00B231CB" w:rsidRDefault="00C71431">
            <w:pPr>
              <w:spacing w:after="120"/>
              <w:jc w:val="center"/>
              <w:rPr>
                <w:noProof/>
                <w:szCs w:val="24"/>
              </w:rPr>
            </w:pPr>
            <w:r>
              <w:rPr>
                <w:noProof/>
                <w:szCs w:val="24"/>
              </w:rPr>
              <w:t>59</w:t>
            </w:r>
          </w:p>
        </w:tc>
        <w:tc>
          <w:tcPr>
            <w:tcW w:w="1050" w:type="pct"/>
            <w:noWrap/>
          </w:tcPr>
          <w:p w:rsidR="00B231CB" w:rsidRDefault="00C71431">
            <w:pPr>
              <w:spacing w:after="120"/>
              <w:jc w:val="center"/>
              <w:rPr>
                <w:noProof/>
                <w:szCs w:val="24"/>
              </w:rPr>
            </w:pPr>
            <w:r>
              <w:rPr>
                <w:noProof/>
                <w:szCs w:val="24"/>
              </w:rPr>
              <w:t>72</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482</w:t>
            </w:r>
          </w:p>
        </w:tc>
        <w:tc>
          <w:tcPr>
            <w:tcW w:w="1050" w:type="pct"/>
            <w:tcBorders>
              <w:bottom w:val="single" w:sz="24" w:space="0" w:color="auto"/>
            </w:tcBorders>
            <w:noWrap/>
          </w:tcPr>
          <w:p w:rsidR="00B231CB" w:rsidRDefault="00C71431">
            <w:pPr>
              <w:spacing w:after="120"/>
              <w:jc w:val="center"/>
              <w:rPr>
                <w:noProof/>
                <w:szCs w:val="24"/>
              </w:rPr>
            </w:pPr>
            <w:r>
              <w:rPr>
                <w:noProof/>
                <w:szCs w:val="24"/>
              </w:rPr>
              <w:t>365</w:t>
            </w:r>
          </w:p>
        </w:tc>
        <w:tc>
          <w:tcPr>
            <w:tcW w:w="1050" w:type="pct"/>
            <w:tcBorders>
              <w:bottom w:val="single" w:sz="24" w:space="0" w:color="auto"/>
            </w:tcBorders>
            <w:noWrap/>
          </w:tcPr>
          <w:p w:rsidR="00B231CB" w:rsidRDefault="00C71431">
            <w:pPr>
              <w:spacing w:after="120"/>
              <w:jc w:val="center"/>
              <w:rPr>
                <w:noProof/>
                <w:szCs w:val="24"/>
              </w:rPr>
            </w:pPr>
            <w:r>
              <w:rPr>
                <w:noProof/>
                <w:szCs w:val="24"/>
              </w:rPr>
              <w:t>259</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245</w:t>
            </w:r>
          </w:p>
        </w:tc>
        <w:tc>
          <w:tcPr>
            <w:tcW w:w="1050" w:type="pct"/>
            <w:noWrap/>
          </w:tcPr>
          <w:p w:rsidR="00B231CB" w:rsidRDefault="00C71431">
            <w:pPr>
              <w:spacing w:after="120"/>
              <w:jc w:val="center"/>
              <w:rPr>
                <w:i/>
                <w:noProof/>
                <w:szCs w:val="24"/>
              </w:rPr>
            </w:pPr>
            <w:r>
              <w:rPr>
                <w:i/>
                <w:noProof/>
                <w:szCs w:val="24"/>
              </w:rPr>
              <w:t>424</w:t>
            </w:r>
          </w:p>
        </w:tc>
        <w:tc>
          <w:tcPr>
            <w:tcW w:w="1050" w:type="pct"/>
            <w:noWrap/>
          </w:tcPr>
          <w:p w:rsidR="00B231CB" w:rsidRDefault="00C71431">
            <w:pPr>
              <w:spacing w:after="120"/>
              <w:jc w:val="center"/>
              <w:rPr>
                <w:i/>
                <w:noProof/>
                <w:szCs w:val="24"/>
              </w:rPr>
            </w:pPr>
            <w:r>
              <w:rPr>
                <w:i/>
                <w:noProof/>
                <w:szCs w:val="24"/>
              </w:rPr>
              <w:t>339</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TLC25 - 2025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86</w:t>
            </w:r>
          </w:p>
        </w:tc>
        <w:tc>
          <w:tcPr>
            <w:tcW w:w="1050" w:type="pct"/>
            <w:noWrap/>
          </w:tcPr>
          <w:p w:rsidR="00B231CB" w:rsidRDefault="00C71431">
            <w:pPr>
              <w:spacing w:after="120"/>
              <w:jc w:val="center"/>
              <w:rPr>
                <w:noProof/>
                <w:szCs w:val="24"/>
              </w:rPr>
            </w:pPr>
            <w:r>
              <w:rPr>
                <w:noProof/>
                <w:szCs w:val="24"/>
              </w:rPr>
              <w:t>-57</w:t>
            </w:r>
          </w:p>
        </w:tc>
        <w:tc>
          <w:tcPr>
            <w:tcW w:w="1049" w:type="pct"/>
            <w:noWrap/>
          </w:tcPr>
          <w:p w:rsidR="00B231CB" w:rsidRDefault="00C71431">
            <w:pPr>
              <w:spacing w:after="120"/>
              <w:jc w:val="center"/>
              <w:rPr>
                <w:noProof/>
                <w:szCs w:val="24"/>
              </w:rPr>
            </w:pPr>
            <w:r>
              <w:rPr>
                <w:noProof/>
                <w:szCs w:val="24"/>
              </w:rPr>
              <w:t>-73</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58</w:t>
            </w:r>
          </w:p>
        </w:tc>
        <w:tc>
          <w:tcPr>
            <w:tcW w:w="1050" w:type="pct"/>
            <w:noWrap/>
          </w:tcPr>
          <w:p w:rsidR="00B231CB" w:rsidRDefault="00C71431">
            <w:pPr>
              <w:spacing w:after="120"/>
              <w:jc w:val="center"/>
              <w:rPr>
                <w:noProof/>
                <w:szCs w:val="24"/>
              </w:rPr>
            </w:pPr>
            <w:r>
              <w:rPr>
                <w:noProof/>
                <w:szCs w:val="24"/>
              </w:rPr>
              <w:t>59</w:t>
            </w:r>
          </w:p>
        </w:tc>
        <w:tc>
          <w:tcPr>
            <w:tcW w:w="1049" w:type="pct"/>
            <w:noWrap/>
          </w:tcPr>
          <w:p w:rsidR="00B231CB" w:rsidRDefault="00C71431">
            <w:pPr>
              <w:spacing w:after="120"/>
              <w:jc w:val="center"/>
              <w:rPr>
                <w:noProof/>
                <w:szCs w:val="24"/>
              </w:rPr>
            </w:pPr>
            <w:r>
              <w:rPr>
                <w:noProof/>
                <w:szCs w:val="24"/>
              </w:rPr>
              <w:t>72</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416</w:t>
            </w:r>
          </w:p>
        </w:tc>
        <w:tc>
          <w:tcPr>
            <w:tcW w:w="1050" w:type="pct"/>
            <w:tcBorders>
              <w:bottom w:val="single" w:sz="24" w:space="0" w:color="auto"/>
            </w:tcBorders>
            <w:noWrap/>
          </w:tcPr>
          <w:p w:rsidR="00B231CB" w:rsidRDefault="00C71431">
            <w:pPr>
              <w:spacing w:after="120"/>
              <w:jc w:val="center"/>
              <w:rPr>
                <w:noProof/>
                <w:szCs w:val="24"/>
              </w:rPr>
            </w:pPr>
            <w:r>
              <w:rPr>
                <w:noProof/>
                <w:szCs w:val="24"/>
              </w:rPr>
              <w:t>310</w:t>
            </w:r>
          </w:p>
        </w:tc>
        <w:tc>
          <w:tcPr>
            <w:tcW w:w="1049" w:type="pct"/>
            <w:tcBorders>
              <w:bottom w:val="single" w:sz="24" w:space="0" w:color="auto"/>
            </w:tcBorders>
            <w:noWrap/>
          </w:tcPr>
          <w:p w:rsidR="00B231CB" w:rsidRDefault="00C71431">
            <w:pPr>
              <w:spacing w:after="120"/>
              <w:jc w:val="center"/>
              <w:rPr>
                <w:noProof/>
                <w:szCs w:val="24"/>
              </w:rPr>
            </w:pPr>
            <w:r>
              <w:rPr>
                <w:noProof/>
                <w:szCs w:val="24"/>
              </w:rPr>
              <w:t>213</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w:t>
            </w:r>
            <w:r>
              <w:rPr>
                <w:i/>
                <w:noProof/>
                <w:color w:val="000000" w:themeColor="text1"/>
                <w:szCs w:val="24"/>
              </w:rPr>
              <w:t xml:space="preserve"> savings [3]-[1]-[2]</w:t>
            </w:r>
          </w:p>
        </w:tc>
        <w:tc>
          <w:tcPr>
            <w:tcW w:w="1050" w:type="pct"/>
            <w:noWrap/>
          </w:tcPr>
          <w:p w:rsidR="00B231CB" w:rsidRDefault="00C71431">
            <w:pPr>
              <w:spacing w:after="120"/>
              <w:jc w:val="center"/>
              <w:rPr>
                <w:i/>
                <w:noProof/>
                <w:szCs w:val="24"/>
              </w:rPr>
            </w:pPr>
            <w:r>
              <w:rPr>
                <w:i/>
                <w:noProof/>
                <w:szCs w:val="24"/>
              </w:rPr>
              <w:t>272</w:t>
            </w:r>
          </w:p>
        </w:tc>
        <w:tc>
          <w:tcPr>
            <w:tcW w:w="1050" w:type="pct"/>
            <w:noWrap/>
          </w:tcPr>
          <w:p w:rsidR="00B231CB" w:rsidRDefault="00C71431">
            <w:pPr>
              <w:spacing w:after="120"/>
              <w:jc w:val="center"/>
              <w:rPr>
                <w:i/>
                <w:noProof/>
                <w:szCs w:val="24"/>
              </w:rPr>
            </w:pPr>
            <w:r>
              <w:rPr>
                <w:i/>
                <w:noProof/>
                <w:szCs w:val="24"/>
              </w:rPr>
              <w:t>308</w:t>
            </w:r>
          </w:p>
        </w:tc>
        <w:tc>
          <w:tcPr>
            <w:tcW w:w="1049" w:type="pct"/>
            <w:noWrap/>
          </w:tcPr>
          <w:p w:rsidR="00B231CB" w:rsidRDefault="00C71431">
            <w:pPr>
              <w:spacing w:after="120"/>
              <w:jc w:val="center"/>
              <w:rPr>
                <w:i/>
                <w:noProof/>
                <w:szCs w:val="24"/>
              </w:rPr>
            </w:pPr>
            <w:r>
              <w:rPr>
                <w:i/>
                <w:noProof/>
                <w:szCs w:val="24"/>
              </w:rPr>
              <w:t>215</w:t>
            </w:r>
          </w:p>
        </w:tc>
      </w:tr>
    </w:tbl>
    <w:p w:rsidR="00B231CB" w:rsidRDefault="00C71431">
      <w:pPr>
        <w:spacing w:before="240"/>
        <w:rPr>
          <w:b/>
          <w:noProof/>
          <w:color w:val="000000" w:themeColor="text1"/>
          <w:szCs w:val="24"/>
          <w:lang w:eastAsia="en-GB"/>
        </w:rPr>
      </w:pPr>
      <w:r>
        <w:rPr>
          <w:b/>
          <w:noProof/>
          <w:szCs w:val="24"/>
          <w:u w:val="single"/>
        </w:rPr>
        <w:t>TLC25 – 2030 (LEVD_ZEV)</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TLC25 - 2030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682</w:t>
            </w:r>
          </w:p>
        </w:tc>
        <w:tc>
          <w:tcPr>
            <w:tcW w:w="1050" w:type="pct"/>
            <w:noWrap/>
          </w:tcPr>
          <w:p w:rsidR="00B231CB" w:rsidRDefault="00C71431">
            <w:pPr>
              <w:spacing w:after="120"/>
              <w:jc w:val="center"/>
              <w:rPr>
                <w:noProof/>
                <w:szCs w:val="24"/>
              </w:rPr>
            </w:pPr>
            <w:r>
              <w:rPr>
                <w:noProof/>
                <w:szCs w:val="24"/>
              </w:rPr>
              <w:t>37</w:t>
            </w:r>
          </w:p>
        </w:tc>
        <w:tc>
          <w:tcPr>
            <w:tcW w:w="1049" w:type="pct"/>
            <w:noWrap/>
          </w:tcPr>
          <w:p w:rsidR="00B231CB" w:rsidRDefault="00C71431">
            <w:pPr>
              <w:spacing w:after="120"/>
              <w:jc w:val="center"/>
              <w:rPr>
                <w:noProof/>
                <w:szCs w:val="24"/>
              </w:rPr>
            </w:pPr>
            <w:r>
              <w:rPr>
                <w:noProof/>
                <w:szCs w:val="24"/>
              </w:rPr>
              <w:t>-3</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-60</w:t>
            </w:r>
          </w:p>
        </w:tc>
        <w:tc>
          <w:tcPr>
            <w:tcW w:w="1050" w:type="pct"/>
            <w:noWrap/>
          </w:tcPr>
          <w:p w:rsidR="00B231CB" w:rsidRDefault="00C71431">
            <w:pPr>
              <w:spacing w:after="120"/>
              <w:jc w:val="center"/>
              <w:rPr>
                <w:noProof/>
                <w:szCs w:val="24"/>
              </w:rPr>
            </w:pPr>
            <w:r>
              <w:rPr>
                <w:noProof/>
                <w:szCs w:val="24"/>
              </w:rPr>
              <w:t>-131</w:t>
            </w:r>
          </w:p>
        </w:tc>
        <w:tc>
          <w:tcPr>
            <w:tcW w:w="1049" w:type="pct"/>
            <w:noWrap/>
          </w:tcPr>
          <w:p w:rsidR="00B231CB" w:rsidRDefault="00C71431">
            <w:pPr>
              <w:spacing w:after="120"/>
              <w:jc w:val="center"/>
              <w:rPr>
                <w:noProof/>
                <w:szCs w:val="24"/>
              </w:rPr>
            </w:pPr>
            <w:r>
              <w:rPr>
                <w:noProof/>
                <w:szCs w:val="24"/>
              </w:rPr>
              <w:t>-126</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1,521</w:t>
            </w:r>
          </w:p>
        </w:tc>
        <w:tc>
          <w:tcPr>
            <w:tcW w:w="1050" w:type="pct"/>
            <w:tcBorders>
              <w:bottom w:val="single" w:sz="24" w:space="0" w:color="auto"/>
            </w:tcBorders>
            <w:noWrap/>
          </w:tcPr>
          <w:p w:rsidR="00B231CB" w:rsidRDefault="00C71431">
            <w:pPr>
              <w:spacing w:after="120"/>
              <w:jc w:val="center"/>
              <w:rPr>
                <w:noProof/>
                <w:szCs w:val="24"/>
              </w:rPr>
            </w:pPr>
            <w:r>
              <w:rPr>
                <w:noProof/>
                <w:szCs w:val="24"/>
              </w:rPr>
              <w:t>1,094</w:t>
            </w:r>
          </w:p>
        </w:tc>
        <w:tc>
          <w:tcPr>
            <w:tcW w:w="1049" w:type="pct"/>
            <w:tcBorders>
              <w:bottom w:val="single" w:sz="24" w:space="0" w:color="auto"/>
            </w:tcBorders>
            <w:noWrap/>
          </w:tcPr>
          <w:p w:rsidR="00B231CB" w:rsidRDefault="00C71431">
            <w:pPr>
              <w:spacing w:after="120"/>
              <w:jc w:val="center"/>
              <w:rPr>
                <w:noProof/>
                <w:szCs w:val="24"/>
              </w:rPr>
            </w:pPr>
            <w:r>
              <w:rPr>
                <w:noProof/>
                <w:szCs w:val="24"/>
              </w:rPr>
              <w:t>952</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 xml:space="preserve">Net </w:t>
            </w:r>
            <w:r>
              <w:rPr>
                <w:i/>
                <w:noProof/>
                <w:color w:val="000000" w:themeColor="text1"/>
                <w:szCs w:val="24"/>
              </w:rPr>
              <w:t>savings [3]-[1]-[2]</w:t>
            </w:r>
          </w:p>
        </w:tc>
        <w:tc>
          <w:tcPr>
            <w:tcW w:w="1050" w:type="pct"/>
            <w:noWrap/>
          </w:tcPr>
          <w:p w:rsidR="00B231CB" w:rsidRDefault="00C71431">
            <w:pPr>
              <w:spacing w:after="120"/>
              <w:jc w:val="center"/>
              <w:rPr>
                <w:i/>
                <w:noProof/>
                <w:szCs w:val="24"/>
              </w:rPr>
            </w:pPr>
            <w:r>
              <w:rPr>
                <w:i/>
                <w:noProof/>
                <w:szCs w:val="24"/>
              </w:rPr>
              <w:t>899</w:t>
            </w:r>
          </w:p>
        </w:tc>
        <w:tc>
          <w:tcPr>
            <w:tcW w:w="1050" w:type="pct"/>
            <w:noWrap/>
          </w:tcPr>
          <w:p w:rsidR="00B231CB" w:rsidRDefault="00C71431">
            <w:pPr>
              <w:spacing w:after="120"/>
              <w:jc w:val="center"/>
              <w:rPr>
                <w:i/>
                <w:noProof/>
                <w:szCs w:val="24"/>
              </w:rPr>
            </w:pPr>
            <w:r>
              <w:rPr>
                <w:i/>
                <w:noProof/>
                <w:szCs w:val="24"/>
              </w:rPr>
              <w:t>1,188</w:t>
            </w:r>
          </w:p>
        </w:tc>
        <w:tc>
          <w:tcPr>
            <w:tcW w:w="1049" w:type="pct"/>
            <w:noWrap/>
          </w:tcPr>
          <w:p w:rsidR="00B231CB" w:rsidRDefault="00C71431">
            <w:pPr>
              <w:spacing w:after="120"/>
              <w:jc w:val="center"/>
              <w:rPr>
                <w:i/>
                <w:noProof/>
                <w:szCs w:val="24"/>
              </w:rPr>
            </w:pPr>
            <w:r>
              <w:rPr>
                <w:i/>
                <w:noProof/>
                <w:szCs w:val="24"/>
              </w:rPr>
              <w:t>1,080</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TLC25 - 2030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533</w:t>
            </w:r>
          </w:p>
        </w:tc>
        <w:tc>
          <w:tcPr>
            <w:tcW w:w="1050" w:type="pct"/>
            <w:noWrap/>
          </w:tcPr>
          <w:p w:rsidR="00B231CB" w:rsidRDefault="00C71431">
            <w:pPr>
              <w:spacing w:after="120"/>
              <w:jc w:val="center"/>
              <w:rPr>
                <w:noProof/>
                <w:szCs w:val="24"/>
              </w:rPr>
            </w:pPr>
            <w:r>
              <w:rPr>
                <w:noProof/>
                <w:szCs w:val="24"/>
              </w:rPr>
              <w:t>29</w:t>
            </w:r>
          </w:p>
        </w:tc>
        <w:tc>
          <w:tcPr>
            <w:tcW w:w="1049" w:type="pct"/>
            <w:noWrap/>
          </w:tcPr>
          <w:p w:rsidR="00B231CB" w:rsidRDefault="00C71431">
            <w:pPr>
              <w:spacing w:after="120"/>
              <w:jc w:val="center"/>
              <w:rPr>
                <w:noProof/>
                <w:szCs w:val="24"/>
              </w:rPr>
            </w:pPr>
            <w:r>
              <w:rPr>
                <w:noProof/>
                <w:szCs w:val="24"/>
              </w:rPr>
              <w:t>-2</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-26</w:t>
            </w:r>
          </w:p>
        </w:tc>
        <w:tc>
          <w:tcPr>
            <w:tcW w:w="1050" w:type="pct"/>
            <w:noWrap/>
          </w:tcPr>
          <w:p w:rsidR="00B231CB" w:rsidRDefault="00C71431">
            <w:pPr>
              <w:spacing w:after="120"/>
              <w:jc w:val="center"/>
              <w:rPr>
                <w:noProof/>
                <w:szCs w:val="24"/>
              </w:rPr>
            </w:pPr>
            <w:r>
              <w:rPr>
                <w:noProof/>
                <w:szCs w:val="24"/>
              </w:rPr>
              <w:t>-56</w:t>
            </w:r>
          </w:p>
        </w:tc>
        <w:tc>
          <w:tcPr>
            <w:tcW w:w="1049" w:type="pct"/>
            <w:noWrap/>
          </w:tcPr>
          <w:p w:rsidR="00B231CB" w:rsidRDefault="00C71431">
            <w:pPr>
              <w:spacing w:after="120"/>
              <w:jc w:val="center"/>
              <w:rPr>
                <w:noProof/>
                <w:szCs w:val="24"/>
              </w:rPr>
            </w:pPr>
            <w:r>
              <w:rPr>
                <w:noProof/>
                <w:szCs w:val="24"/>
              </w:rPr>
              <w:t>-53</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1,325</w:t>
            </w:r>
          </w:p>
        </w:tc>
        <w:tc>
          <w:tcPr>
            <w:tcW w:w="1050" w:type="pct"/>
            <w:tcBorders>
              <w:bottom w:val="single" w:sz="24" w:space="0" w:color="auto"/>
            </w:tcBorders>
            <w:noWrap/>
          </w:tcPr>
          <w:p w:rsidR="00B231CB" w:rsidRDefault="00C71431">
            <w:pPr>
              <w:spacing w:after="120"/>
              <w:jc w:val="center"/>
              <w:rPr>
                <w:noProof/>
                <w:szCs w:val="24"/>
              </w:rPr>
            </w:pPr>
            <w:r>
              <w:rPr>
                <w:noProof/>
                <w:szCs w:val="24"/>
              </w:rPr>
              <w:t>1,085</w:t>
            </w:r>
          </w:p>
        </w:tc>
        <w:tc>
          <w:tcPr>
            <w:tcW w:w="1049" w:type="pct"/>
            <w:tcBorders>
              <w:bottom w:val="single" w:sz="24" w:space="0" w:color="auto"/>
            </w:tcBorders>
            <w:noWrap/>
          </w:tcPr>
          <w:p w:rsidR="00B231CB" w:rsidRDefault="00C71431">
            <w:pPr>
              <w:spacing w:after="120"/>
              <w:jc w:val="center"/>
              <w:rPr>
                <w:noProof/>
                <w:szCs w:val="24"/>
              </w:rPr>
            </w:pPr>
            <w:r>
              <w:rPr>
                <w:noProof/>
                <w:szCs w:val="24"/>
              </w:rPr>
              <w:t>1,015</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817</w:t>
            </w:r>
          </w:p>
        </w:tc>
        <w:tc>
          <w:tcPr>
            <w:tcW w:w="1050" w:type="pct"/>
            <w:noWrap/>
          </w:tcPr>
          <w:p w:rsidR="00B231CB" w:rsidRDefault="00C71431">
            <w:pPr>
              <w:spacing w:after="120"/>
              <w:jc w:val="center"/>
              <w:rPr>
                <w:i/>
                <w:noProof/>
                <w:szCs w:val="24"/>
              </w:rPr>
            </w:pPr>
            <w:r>
              <w:rPr>
                <w:i/>
                <w:noProof/>
                <w:szCs w:val="24"/>
              </w:rPr>
              <w:t>1,111</w:t>
            </w:r>
          </w:p>
        </w:tc>
        <w:tc>
          <w:tcPr>
            <w:tcW w:w="1049" w:type="pct"/>
            <w:noWrap/>
          </w:tcPr>
          <w:p w:rsidR="00B231CB" w:rsidRDefault="00C71431">
            <w:pPr>
              <w:spacing w:after="120"/>
              <w:jc w:val="center"/>
              <w:rPr>
                <w:i/>
                <w:noProof/>
                <w:szCs w:val="24"/>
              </w:rPr>
            </w:pPr>
            <w:r>
              <w:rPr>
                <w:i/>
                <w:noProof/>
                <w:szCs w:val="24"/>
              </w:rPr>
              <w:t>1,070</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TLC25 - 2030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257</w:t>
            </w:r>
          </w:p>
        </w:tc>
        <w:tc>
          <w:tcPr>
            <w:tcW w:w="1050" w:type="pct"/>
            <w:noWrap/>
          </w:tcPr>
          <w:p w:rsidR="00B231CB" w:rsidRDefault="00C71431">
            <w:pPr>
              <w:spacing w:after="120"/>
              <w:jc w:val="center"/>
              <w:rPr>
                <w:noProof/>
                <w:szCs w:val="24"/>
              </w:rPr>
            </w:pPr>
            <w:r>
              <w:rPr>
                <w:noProof/>
                <w:szCs w:val="24"/>
              </w:rPr>
              <w:t>14</w:t>
            </w:r>
          </w:p>
        </w:tc>
        <w:tc>
          <w:tcPr>
            <w:tcW w:w="1049" w:type="pct"/>
            <w:noWrap/>
          </w:tcPr>
          <w:p w:rsidR="00B231CB" w:rsidRDefault="00C71431">
            <w:pPr>
              <w:spacing w:after="120"/>
              <w:jc w:val="center"/>
              <w:rPr>
                <w:noProof/>
                <w:szCs w:val="24"/>
              </w:rPr>
            </w:pPr>
            <w:r>
              <w:rPr>
                <w:noProof/>
                <w:szCs w:val="24"/>
              </w:rPr>
              <w:t>-1</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-26</w:t>
            </w:r>
          </w:p>
        </w:tc>
        <w:tc>
          <w:tcPr>
            <w:tcW w:w="1050" w:type="pct"/>
            <w:noWrap/>
          </w:tcPr>
          <w:p w:rsidR="00B231CB" w:rsidRDefault="00C71431">
            <w:pPr>
              <w:spacing w:after="120"/>
              <w:jc w:val="center"/>
              <w:rPr>
                <w:noProof/>
                <w:szCs w:val="24"/>
              </w:rPr>
            </w:pPr>
            <w:r>
              <w:rPr>
                <w:noProof/>
                <w:szCs w:val="24"/>
              </w:rPr>
              <w:t>-56</w:t>
            </w:r>
          </w:p>
        </w:tc>
        <w:tc>
          <w:tcPr>
            <w:tcW w:w="1049" w:type="pct"/>
            <w:noWrap/>
          </w:tcPr>
          <w:p w:rsidR="00B231CB" w:rsidRDefault="00C71431">
            <w:pPr>
              <w:spacing w:after="120"/>
              <w:jc w:val="center"/>
              <w:rPr>
                <w:noProof/>
                <w:szCs w:val="24"/>
              </w:rPr>
            </w:pPr>
            <w:r>
              <w:rPr>
                <w:noProof/>
                <w:szCs w:val="24"/>
              </w:rPr>
              <w:t>-53</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1,084</w:t>
            </w:r>
          </w:p>
        </w:tc>
        <w:tc>
          <w:tcPr>
            <w:tcW w:w="1050" w:type="pct"/>
            <w:tcBorders>
              <w:bottom w:val="single" w:sz="24" w:space="0" w:color="auto"/>
            </w:tcBorders>
            <w:noWrap/>
          </w:tcPr>
          <w:p w:rsidR="00B231CB" w:rsidRDefault="00C71431">
            <w:pPr>
              <w:spacing w:after="120"/>
              <w:jc w:val="center"/>
              <w:rPr>
                <w:noProof/>
                <w:szCs w:val="24"/>
              </w:rPr>
            </w:pPr>
            <w:r>
              <w:rPr>
                <w:noProof/>
                <w:szCs w:val="24"/>
              </w:rPr>
              <w:t>889</w:t>
            </w:r>
          </w:p>
        </w:tc>
        <w:tc>
          <w:tcPr>
            <w:tcW w:w="1049" w:type="pct"/>
            <w:tcBorders>
              <w:bottom w:val="single" w:sz="24" w:space="0" w:color="auto"/>
            </w:tcBorders>
            <w:noWrap/>
          </w:tcPr>
          <w:p w:rsidR="00B231CB" w:rsidRDefault="00C71431">
            <w:pPr>
              <w:spacing w:after="120"/>
              <w:jc w:val="center"/>
              <w:rPr>
                <w:noProof/>
                <w:szCs w:val="24"/>
              </w:rPr>
            </w:pPr>
            <w:r>
              <w:rPr>
                <w:noProof/>
                <w:szCs w:val="24"/>
              </w:rPr>
              <w:t>830</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853</w:t>
            </w:r>
          </w:p>
        </w:tc>
        <w:tc>
          <w:tcPr>
            <w:tcW w:w="1050" w:type="pct"/>
            <w:noWrap/>
          </w:tcPr>
          <w:p w:rsidR="00B231CB" w:rsidRDefault="00C71431">
            <w:pPr>
              <w:spacing w:after="120"/>
              <w:jc w:val="center"/>
              <w:rPr>
                <w:i/>
                <w:noProof/>
                <w:szCs w:val="24"/>
              </w:rPr>
            </w:pPr>
            <w:r>
              <w:rPr>
                <w:i/>
                <w:noProof/>
                <w:szCs w:val="24"/>
              </w:rPr>
              <w:t>931</w:t>
            </w:r>
          </w:p>
        </w:tc>
        <w:tc>
          <w:tcPr>
            <w:tcW w:w="1049" w:type="pct"/>
            <w:noWrap/>
          </w:tcPr>
          <w:p w:rsidR="00B231CB" w:rsidRDefault="00C71431">
            <w:pPr>
              <w:spacing w:after="120"/>
              <w:jc w:val="center"/>
              <w:rPr>
                <w:i/>
                <w:noProof/>
                <w:szCs w:val="24"/>
              </w:rPr>
            </w:pPr>
            <w:r>
              <w:rPr>
                <w:i/>
                <w:noProof/>
                <w:szCs w:val="24"/>
              </w:rPr>
              <w:t>884</w:t>
            </w:r>
          </w:p>
        </w:tc>
      </w:tr>
    </w:tbl>
    <w:p w:rsidR="00B231CB" w:rsidRDefault="00C71431">
      <w:pPr>
        <w:spacing w:before="240"/>
        <w:rPr>
          <w:b/>
          <w:noProof/>
          <w:color w:val="000000" w:themeColor="text1"/>
          <w:szCs w:val="24"/>
          <w:lang w:eastAsia="en-GB"/>
        </w:rPr>
      </w:pPr>
      <w:r>
        <w:rPr>
          <w:b/>
          <w:noProof/>
          <w:szCs w:val="24"/>
          <w:u w:val="single"/>
        </w:rPr>
        <w:t>TLC30 – 2025 (LEVD_ZEV)</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w:t>
            </w:r>
            <w:r>
              <w:rPr>
                <w:b/>
                <w:i/>
                <w:noProof/>
                <w:color w:val="000000" w:themeColor="text1"/>
              </w:rPr>
              <w:t xml:space="preserve"> 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TLC30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380</w:t>
            </w:r>
          </w:p>
        </w:tc>
        <w:tc>
          <w:tcPr>
            <w:tcW w:w="1050" w:type="pct"/>
            <w:noWrap/>
          </w:tcPr>
          <w:p w:rsidR="00B231CB" w:rsidRDefault="00C71431">
            <w:pPr>
              <w:spacing w:after="120"/>
              <w:jc w:val="center"/>
              <w:rPr>
                <w:noProof/>
                <w:szCs w:val="24"/>
              </w:rPr>
            </w:pPr>
            <w:r>
              <w:rPr>
                <w:noProof/>
                <w:szCs w:val="24"/>
              </w:rPr>
              <w:t>-43</w:t>
            </w:r>
          </w:p>
        </w:tc>
        <w:tc>
          <w:tcPr>
            <w:tcW w:w="1050" w:type="pct"/>
            <w:noWrap/>
          </w:tcPr>
          <w:p w:rsidR="00B231CB" w:rsidRDefault="00C71431">
            <w:pPr>
              <w:spacing w:after="120"/>
              <w:jc w:val="center"/>
              <w:rPr>
                <w:noProof/>
                <w:szCs w:val="24"/>
              </w:rPr>
            </w:pPr>
            <w:r>
              <w:rPr>
                <w:noProof/>
                <w:szCs w:val="24"/>
              </w:rPr>
              <w:t>-101</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w:t>
            </w:r>
          </w:p>
        </w:tc>
        <w:tc>
          <w:tcPr>
            <w:tcW w:w="1050" w:type="pct"/>
            <w:noWrap/>
          </w:tcPr>
          <w:p w:rsidR="00B231CB" w:rsidRDefault="00C71431">
            <w:pPr>
              <w:spacing w:after="120"/>
              <w:jc w:val="center"/>
              <w:rPr>
                <w:noProof/>
                <w:szCs w:val="24"/>
              </w:rPr>
            </w:pPr>
            <w:r>
              <w:rPr>
                <w:noProof/>
                <w:szCs w:val="24"/>
              </w:rPr>
              <w:t>144</w:t>
            </w:r>
          </w:p>
        </w:tc>
        <w:tc>
          <w:tcPr>
            <w:tcW w:w="1050" w:type="pct"/>
            <w:noWrap/>
          </w:tcPr>
          <w:p w:rsidR="00B231CB" w:rsidRDefault="00C71431">
            <w:pPr>
              <w:spacing w:after="120"/>
              <w:jc w:val="center"/>
              <w:rPr>
                <w:noProof/>
                <w:szCs w:val="24"/>
              </w:rPr>
            </w:pPr>
            <w:r>
              <w:rPr>
                <w:noProof/>
                <w:szCs w:val="24"/>
              </w:rPr>
              <w:t>166</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661</w:t>
            </w:r>
          </w:p>
        </w:tc>
        <w:tc>
          <w:tcPr>
            <w:tcW w:w="1050" w:type="pct"/>
            <w:tcBorders>
              <w:bottom w:val="single" w:sz="24" w:space="0" w:color="auto"/>
            </w:tcBorders>
            <w:noWrap/>
          </w:tcPr>
          <w:p w:rsidR="00B231CB" w:rsidRDefault="00C71431">
            <w:pPr>
              <w:spacing w:after="120"/>
              <w:jc w:val="center"/>
              <w:rPr>
                <w:noProof/>
                <w:szCs w:val="24"/>
              </w:rPr>
            </w:pPr>
            <w:r>
              <w:rPr>
                <w:noProof/>
                <w:szCs w:val="24"/>
              </w:rPr>
              <w:t>462</w:t>
            </w:r>
          </w:p>
        </w:tc>
        <w:tc>
          <w:tcPr>
            <w:tcW w:w="1050" w:type="pct"/>
            <w:tcBorders>
              <w:bottom w:val="single" w:sz="24" w:space="0" w:color="auto"/>
            </w:tcBorders>
            <w:noWrap/>
          </w:tcPr>
          <w:p w:rsidR="00B231CB" w:rsidRDefault="00C71431">
            <w:pPr>
              <w:spacing w:after="120"/>
              <w:jc w:val="center"/>
              <w:rPr>
                <w:noProof/>
                <w:szCs w:val="24"/>
              </w:rPr>
            </w:pPr>
            <w:r>
              <w:rPr>
                <w:noProof/>
                <w:szCs w:val="24"/>
              </w:rPr>
              <w:t>274</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152</w:t>
            </w:r>
          </w:p>
        </w:tc>
        <w:tc>
          <w:tcPr>
            <w:tcW w:w="1050" w:type="pct"/>
            <w:noWrap/>
          </w:tcPr>
          <w:p w:rsidR="00B231CB" w:rsidRDefault="00C71431">
            <w:pPr>
              <w:spacing w:after="120"/>
              <w:jc w:val="center"/>
              <w:rPr>
                <w:i/>
                <w:noProof/>
                <w:szCs w:val="24"/>
              </w:rPr>
            </w:pPr>
            <w:r>
              <w:rPr>
                <w:i/>
                <w:noProof/>
                <w:szCs w:val="24"/>
              </w:rPr>
              <w:t>361</w:t>
            </w:r>
          </w:p>
        </w:tc>
        <w:tc>
          <w:tcPr>
            <w:tcW w:w="1050" w:type="pct"/>
            <w:noWrap/>
          </w:tcPr>
          <w:p w:rsidR="00B231CB" w:rsidRDefault="00C71431">
            <w:pPr>
              <w:spacing w:after="120"/>
              <w:jc w:val="center"/>
              <w:rPr>
                <w:i/>
                <w:noProof/>
                <w:szCs w:val="24"/>
              </w:rPr>
            </w:pPr>
            <w:r>
              <w:rPr>
                <w:i/>
                <w:noProof/>
                <w:szCs w:val="24"/>
              </w:rPr>
              <w:t>209</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 xml:space="preserve">TLC30 – </w:t>
            </w:r>
            <w:r>
              <w:rPr>
                <w:b/>
                <w:noProof/>
                <w:szCs w:val="24"/>
              </w:rPr>
              <w:t>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297</w:t>
            </w:r>
          </w:p>
        </w:tc>
        <w:tc>
          <w:tcPr>
            <w:tcW w:w="1050" w:type="pct"/>
            <w:noWrap/>
          </w:tcPr>
          <w:p w:rsidR="00B231CB" w:rsidRDefault="00C71431">
            <w:pPr>
              <w:spacing w:after="120"/>
              <w:jc w:val="center"/>
              <w:rPr>
                <w:noProof/>
                <w:szCs w:val="24"/>
              </w:rPr>
            </w:pPr>
            <w:r>
              <w:rPr>
                <w:noProof/>
                <w:szCs w:val="24"/>
              </w:rPr>
              <w:t>-34</w:t>
            </w:r>
          </w:p>
        </w:tc>
        <w:tc>
          <w:tcPr>
            <w:tcW w:w="1050" w:type="pct"/>
            <w:noWrap/>
          </w:tcPr>
          <w:p w:rsidR="00B231CB" w:rsidRDefault="00C71431">
            <w:pPr>
              <w:spacing w:after="120"/>
              <w:jc w:val="center"/>
              <w:rPr>
                <w:noProof/>
                <w:szCs w:val="24"/>
              </w:rPr>
            </w:pPr>
            <w:r>
              <w:rPr>
                <w:noProof/>
                <w:szCs w:val="24"/>
              </w:rPr>
              <w:t>-79</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54</w:t>
            </w:r>
          </w:p>
        </w:tc>
        <w:tc>
          <w:tcPr>
            <w:tcW w:w="1050" w:type="pct"/>
            <w:noWrap/>
          </w:tcPr>
          <w:p w:rsidR="00B231CB" w:rsidRDefault="00C71431">
            <w:pPr>
              <w:spacing w:after="120"/>
              <w:jc w:val="center"/>
              <w:rPr>
                <w:noProof/>
                <w:szCs w:val="24"/>
              </w:rPr>
            </w:pPr>
            <w:r>
              <w:rPr>
                <w:noProof/>
                <w:szCs w:val="24"/>
              </w:rPr>
              <w:t>60</w:t>
            </w:r>
          </w:p>
        </w:tc>
        <w:tc>
          <w:tcPr>
            <w:tcW w:w="1050" w:type="pct"/>
            <w:noWrap/>
          </w:tcPr>
          <w:p w:rsidR="00B231CB" w:rsidRDefault="00C71431">
            <w:pPr>
              <w:spacing w:after="120"/>
              <w:jc w:val="center"/>
              <w:rPr>
                <w:noProof/>
                <w:szCs w:val="24"/>
              </w:rPr>
            </w:pPr>
            <w:r>
              <w:rPr>
                <w:noProof/>
                <w:szCs w:val="24"/>
              </w:rPr>
              <w:t>70</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614</w:t>
            </w:r>
          </w:p>
        </w:tc>
        <w:tc>
          <w:tcPr>
            <w:tcW w:w="1050" w:type="pct"/>
            <w:tcBorders>
              <w:bottom w:val="single" w:sz="24" w:space="0" w:color="auto"/>
            </w:tcBorders>
            <w:noWrap/>
          </w:tcPr>
          <w:p w:rsidR="00B231CB" w:rsidRDefault="00C71431">
            <w:pPr>
              <w:spacing w:after="120"/>
              <w:jc w:val="center"/>
              <w:rPr>
                <w:noProof/>
                <w:szCs w:val="24"/>
              </w:rPr>
            </w:pPr>
            <w:r>
              <w:rPr>
                <w:noProof/>
                <w:szCs w:val="24"/>
              </w:rPr>
              <w:t>510</w:t>
            </w:r>
          </w:p>
        </w:tc>
        <w:tc>
          <w:tcPr>
            <w:tcW w:w="1050" w:type="pct"/>
            <w:tcBorders>
              <w:bottom w:val="single" w:sz="24" w:space="0" w:color="auto"/>
            </w:tcBorders>
            <w:noWrap/>
          </w:tcPr>
          <w:p w:rsidR="00B231CB" w:rsidRDefault="00C71431">
            <w:pPr>
              <w:spacing w:after="120"/>
              <w:jc w:val="center"/>
              <w:rPr>
                <w:noProof/>
                <w:szCs w:val="24"/>
              </w:rPr>
            </w:pPr>
            <w:r>
              <w:rPr>
                <w:noProof/>
                <w:szCs w:val="24"/>
              </w:rPr>
              <w:t>408</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263</w:t>
            </w:r>
          </w:p>
        </w:tc>
        <w:tc>
          <w:tcPr>
            <w:tcW w:w="1050" w:type="pct"/>
            <w:noWrap/>
          </w:tcPr>
          <w:p w:rsidR="00B231CB" w:rsidRDefault="00C71431">
            <w:pPr>
              <w:spacing w:after="120"/>
              <w:jc w:val="center"/>
              <w:rPr>
                <w:i/>
                <w:noProof/>
                <w:szCs w:val="24"/>
              </w:rPr>
            </w:pPr>
            <w:r>
              <w:rPr>
                <w:i/>
                <w:noProof/>
                <w:szCs w:val="24"/>
              </w:rPr>
              <w:t>483</w:t>
            </w:r>
          </w:p>
        </w:tc>
        <w:tc>
          <w:tcPr>
            <w:tcW w:w="1050" w:type="pct"/>
            <w:noWrap/>
          </w:tcPr>
          <w:p w:rsidR="00B231CB" w:rsidRDefault="00C71431">
            <w:pPr>
              <w:spacing w:after="120"/>
              <w:jc w:val="center"/>
              <w:rPr>
                <w:i/>
                <w:noProof/>
                <w:szCs w:val="24"/>
              </w:rPr>
            </w:pPr>
            <w:r>
              <w:rPr>
                <w:i/>
                <w:noProof/>
                <w:szCs w:val="24"/>
              </w:rPr>
              <w:t>417</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TLC30 - 2025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143</w:t>
            </w:r>
          </w:p>
        </w:tc>
        <w:tc>
          <w:tcPr>
            <w:tcW w:w="1050" w:type="pct"/>
            <w:noWrap/>
          </w:tcPr>
          <w:p w:rsidR="00B231CB" w:rsidRDefault="00C71431">
            <w:pPr>
              <w:spacing w:after="120"/>
              <w:jc w:val="center"/>
              <w:rPr>
                <w:noProof/>
                <w:szCs w:val="24"/>
              </w:rPr>
            </w:pPr>
            <w:r>
              <w:rPr>
                <w:noProof/>
                <w:szCs w:val="24"/>
              </w:rPr>
              <w:t>-16</w:t>
            </w:r>
          </w:p>
        </w:tc>
        <w:tc>
          <w:tcPr>
            <w:tcW w:w="1049" w:type="pct"/>
            <w:noWrap/>
          </w:tcPr>
          <w:p w:rsidR="00B231CB" w:rsidRDefault="00C71431">
            <w:pPr>
              <w:spacing w:after="120"/>
              <w:jc w:val="center"/>
              <w:rPr>
                <w:noProof/>
                <w:szCs w:val="24"/>
              </w:rPr>
            </w:pPr>
            <w:r>
              <w:rPr>
                <w:noProof/>
                <w:szCs w:val="24"/>
              </w:rPr>
              <w:t>-38</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54</w:t>
            </w:r>
          </w:p>
        </w:tc>
        <w:tc>
          <w:tcPr>
            <w:tcW w:w="1050" w:type="pct"/>
            <w:noWrap/>
          </w:tcPr>
          <w:p w:rsidR="00B231CB" w:rsidRDefault="00C71431">
            <w:pPr>
              <w:spacing w:after="120"/>
              <w:jc w:val="center"/>
              <w:rPr>
                <w:noProof/>
                <w:szCs w:val="24"/>
              </w:rPr>
            </w:pPr>
            <w:r>
              <w:rPr>
                <w:noProof/>
                <w:szCs w:val="24"/>
              </w:rPr>
              <w:t>60</w:t>
            </w:r>
          </w:p>
        </w:tc>
        <w:tc>
          <w:tcPr>
            <w:tcW w:w="1049" w:type="pct"/>
            <w:noWrap/>
          </w:tcPr>
          <w:p w:rsidR="00B231CB" w:rsidRDefault="00C71431">
            <w:pPr>
              <w:spacing w:after="120"/>
              <w:jc w:val="center"/>
              <w:rPr>
                <w:noProof/>
                <w:szCs w:val="24"/>
              </w:rPr>
            </w:pPr>
            <w:r>
              <w:rPr>
                <w:noProof/>
                <w:szCs w:val="24"/>
              </w:rPr>
              <w:t>70</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527</w:t>
            </w:r>
          </w:p>
        </w:tc>
        <w:tc>
          <w:tcPr>
            <w:tcW w:w="1050" w:type="pct"/>
            <w:tcBorders>
              <w:bottom w:val="single" w:sz="24" w:space="0" w:color="auto"/>
            </w:tcBorders>
            <w:noWrap/>
          </w:tcPr>
          <w:p w:rsidR="00B231CB" w:rsidRDefault="00C71431">
            <w:pPr>
              <w:spacing w:after="120"/>
              <w:jc w:val="center"/>
              <w:rPr>
                <w:noProof/>
                <w:szCs w:val="24"/>
              </w:rPr>
            </w:pPr>
            <w:r>
              <w:rPr>
                <w:noProof/>
                <w:szCs w:val="24"/>
              </w:rPr>
              <w:t>429</w:t>
            </w:r>
          </w:p>
        </w:tc>
        <w:tc>
          <w:tcPr>
            <w:tcW w:w="1049" w:type="pct"/>
            <w:tcBorders>
              <w:bottom w:val="single" w:sz="24" w:space="0" w:color="auto"/>
            </w:tcBorders>
            <w:noWrap/>
          </w:tcPr>
          <w:p w:rsidR="00B231CB" w:rsidRDefault="00C71431">
            <w:pPr>
              <w:spacing w:after="120"/>
              <w:jc w:val="center"/>
              <w:rPr>
                <w:noProof/>
                <w:szCs w:val="24"/>
              </w:rPr>
            </w:pPr>
            <w:r>
              <w:rPr>
                <w:noProof/>
                <w:szCs w:val="24"/>
              </w:rPr>
              <w:t>338</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329</w:t>
            </w:r>
          </w:p>
        </w:tc>
        <w:tc>
          <w:tcPr>
            <w:tcW w:w="1050" w:type="pct"/>
            <w:noWrap/>
          </w:tcPr>
          <w:p w:rsidR="00B231CB" w:rsidRDefault="00C71431">
            <w:pPr>
              <w:spacing w:after="120"/>
              <w:jc w:val="center"/>
              <w:rPr>
                <w:i/>
                <w:noProof/>
                <w:szCs w:val="24"/>
              </w:rPr>
            </w:pPr>
            <w:r>
              <w:rPr>
                <w:i/>
                <w:noProof/>
                <w:szCs w:val="24"/>
              </w:rPr>
              <w:t>385</w:t>
            </w:r>
          </w:p>
        </w:tc>
        <w:tc>
          <w:tcPr>
            <w:tcW w:w="1049" w:type="pct"/>
            <w:noWrap/>
          </w:tcPr>
          <w:p w:rsidR="00B231CB" w:rsidRDefault="00C71431">
            <w:pPr>
              <w:spacing w:after="120"/>
              <w:jc w:val="center"/>
              <w:rPr>
                <w:i/>
                <w:noProof/>
                <w:szCs w:val="24"/>
              </w:rPr>
            </w:pPr>
            <w:r>
              <w:rPr>
                <w:i/>
                <w:noProof/>
                <w:szCs w:val="24"/>
              </w:rPr>
              <w:t>306</w:t>
            </w:r>
          </w:p>
        </w:tc>
      </w:tr>
    </w:tbl>
    <w:p w:rsidR="00B231CB" w:rsidRDefault="00B231CB">
      <w:pPr>
        <w:spacing w:before="240"/>
        <w:rPr>
          <w:b/>
          <w:noProof/>
          <w:szCs w:val="24"/>
          <w:u w:val="single"/>
        </w:rPr>
      </w:pPr>
    </w:p>
    <w:p w:rsidR="00B231CB" w:rsidRDefault="00C71431">
      <w:pPr>
        <w:rPr>
          <w:noProof/>
        </w:rPr>
      </w:pPr>
      <w:r>
        <w:rPr>
          <w:noProof/>
        </w:rPr>
        <w:br w:type="page"/>
      </w:r>
    </w:p>
    <w:p w:rsidR="00B231CB" w:rsidRDefault="00C71431">
      <w:pPr>
        <w:spacing w:before="240"/>
        <w:rPr>
          <w:b/>
          <w:noProof/>
          <w:color w:val="000000" w:themeColor="text1"/>
          <w:szCs w:val="24"/>
          <w:lang w:eastAsia="en-GB"/>
        </w:rPr>
      </w:pPr>
      <w:r>
        <w:rPr>
          <w:b/>
          <w:noProof/>
          <w:szCs w:val="24"/>
          <w:u w:val="single"/>
        </w:rPr>
        <w:t>TLC30 – 2030 (LEVD_ZEV)</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TLC30 - 2030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1,020</w:t>
            </w:r>
          </w:p>
        </w:tc>
        <w:tc>
          <w:tcPr>
            <w:tcW w:w="1050" w:type="pct"/>
            <w:noWrap/>
          </w:tcPr>
          <w:p w:rsidR="00B231CB" w:rsidRDefault="00C71431">
            <w:pPr>
              <w:spacing w:after="120"/>
              <w:jc w:val="center"/>
              <w:rPr>
                <w:noProof/>
                <w:szCs w:val="24"/>
              </w:rPr>
            </w:pPr>
            <w:r>
              <w:rPr>
                <w:noProof/>
                <w:szCs w:val="24"/>
              </w:rPr>
              <w:t>249</w:t>
            </w:r>
          </w:p>
        </w:tc>
        <w:tc>
          <w:tcPr>
            <w:tcW w:w="1049" w:type="pct"/>
            <w:noWrap/>
          </w:tcPr>
          <w:p w:rsidR="00B231CB" w:rsidRDefault="00C71431">
            <w:pPr>
              <w:spacing w:after="120"/>
              <w:jc w:val="center"/>
              <w:rPr>
                <w:noProof/>
                <w:szCs w:val="24"/>
              </w:rPr>
            </w:pPr>
            <w:r>
              <w:rPr>
                <w:noProof/>
                <w:szCs w:val="24"/>
              </w:rPr>
              <w:t>181</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-96</w:t>
            </w:r>
          </w:p>
        </w:tc>
        <w:tc>
          <w:tcPr>
            <w:tcW w:w="1050" w:type="pct"/>
            <w:noWrap/>
          </w:tcPr>
          <w:p w:rsidR="00B231CB" w:rsidRDefault="00C71431">
            <w:pPr>
              <w:spacing w:after="120"/>
              <w:jc w:val="center"/>
              <w:rPr>
                <w:noProof/>
                <w:szCs w:val="24"/>
              </w:rPr>
            </w:pPr>
            <w:r>
              <w:rPr>
                <w:noProof/>
                <w:szCs w:val="24"/>
              </w:rPr>
              <w:t>-138</w:t>
            </w:r>
          </w:p>
        </w:tc>
        <w:tc>
          <w:tcPr>
            <w:tcW w:w="1049" w:type="pct"/>
            <w:noWrap/>
          </w:tcPr>
          <w:p w:rsidR="00B231CB" w:rsidRDefault="00C71431">
            <w:pPr>
              <w:spacing w:after="120"/>
              <w:jc w:val="center"/>
              <w:rPr>
                <w:noProof/>
                <w:szCs w:val="24"/>
              </w:rPr>
            </w:pPr>
            <w:r>
              <w:rPr>
                <w:noProof/>
                <w:szCs w:val="24"/>
              </w:rPr>
              <w:t>-136</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1,802</w:t>
            </w:r>
          </w:p>
        </w:tc>
        <w:tc>
          <w:tcPr>
            <w:tcW w:w="1050" w:type="pct"/>
            <w:tcBorders>
              <w:bottom w:val="single" w:sz="24" w:space="0" w:color="auto"/>
            </w:tcBorders>
            <w:noWrap/>
          </w:tcPr>
          <w:p w:rsidR="00B231CB" w:rsidRDefault="00C71431">
            <w:pPr>
              <w:spacing w:after="120"/>
              <w:jc w:val="center"/>
              <w:rPr>
                <w:noProof/>
                <w:szCs w:val="24"/>
              </w:rPr>
            </w:pPr>
            <w:r>
              <w:rPr>
                <w:noProof/>
                <w:szCs w:val="24"/>
              </w:rPr>
              <w:t>1,466</w:t>
            </w:r>
          </w:p>
        </w:tc>
        <w:tc>
          <w:tcPr>
            <w:tcW w:w="1049" w:type="pct"/>
            <w:tcBorders>
              <w:bottom w:val="single" w:sz="24" w:space="0" w:color="auto"/>
            </w:tcBorders>
            <w:noWrap/>
          </w:tcPr>
          <w:p w:rsidR="00B231CB" w:rsidRDefault="00C71431">
            <w:pPr>
              <w:spacing w:after="120"/>
              <w:jc w:val="center"/>
              <w:rPr>
                <w:noProof/>
                <w:szCs w:val="24"/>
              </w:rPr>
            </w:pPr>
            <w:r>
              <w:rPr>
                <w:noProof/>
                <w:szCs w:val="24"/>
              </w:rPr>
              <w:t>1,314</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878</w:t>
            </w:r>
          </w:p>
        </w:tc>
        <w:tc>
          <w:tcPr>
            <w:tcW w:w="1050" w:type="pct"/>
            <w:noWrap/>
          </w:tcPr>
          <w:p w:rsidR="00B231CB" w:rsidRDefault="00C71431">
            <w:pPr>
              <w:spacing w:after="120"/>
              <w:jc w:val="center"/>
              <w:rPr>
                <w:i/>
                <w:noProof/>
                <w:szCs w:val="24"/>
              </w:rPr>
            </w:pPr>
            <w:r>
              <w:rPr>
                <w:i/>
                <w:noProof/>
                <w:szCs w:val="24"/>
              </w:rPr>
              <w:t>1,355</w:t>
            </w:r>
          </w:p>
        </w:tc>
        <w:tc>
          <w:tcPr>
            <w:tcW w:w="1049" w:type="pct"/>
            <w:noWrap/>
          </w:tcPr>
          <w:p w:rsidR="00B231CB" w:rsidRDefault="00C71431">
            <w:pPr>
              <w:spacing w:after="120"/>
              <w:jc w:val="center"/>
              <w:rPr>
                <w:i/>
                <w:noProof/>
                <w:szCs w:val="24"/>
              </w:rPr>
            </w:pPr>
            <w:r>
              <w:rPr>
                <w:i/>
                <w:noProof/>
                <w:szCs w:val="24"/>
              </w:rPr>
              <w:t>1,269</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TLC30 - 2030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799</w:t>
            </w:r>
          </w:p>
        </w:tc>
        <w:tc>
          <w:tcPr>
            <w:tcW w:w="1050" w:type="pct"/>
            <w:noWrap/>
          </w:tcPr>
          <w:p w:rsidR="00B231CB" w:rsidRDefault="00C71431">
            <w:pPr>
              <w:spacing w:after="120"/>
              <w:jc w:val="center"/>
              <w:rPr>
                <w:noProof/>
                <w:szCs w:val="24"/>
              </w:rPr>
            </w:pPr>
            <w:r>
              <w:rPr>
                <w:noProof/>
                <w:szCs w:val="24"/>
              </w:rPr>
              <w:t>195</w:t>
            </w:r>
          </w:p>
        </w:tc>
        <w:tc>
          <w:tcPr>
            <w:tcW w:w="1049" w:type="pct"/>
            <w:noWrap/>
          </w:tcPr>
          <w:p w:rsidR="00B231CB" w:rsidRDefault="00C71431">
            <w:pPr>
              <w:spacing w:after="120"/>
              <w:jc w:val="center"/>
              <w:rPr>
                <w:noProof/>
                <w:szCs w:val="24"/>
              </w:rPr>
            </w:pPr>
            <w:r>
              <w:rPr>
                <w:noProof/>
                <w:szCs w:val="24"/>
              </w:rPr>
              <w:t>142</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-40</w:t>
            </w:r>
          </w:p>
        </w:tc>
        <w:tc>
          <w:tcPr>
            <w:tcW w:w="1050" w:type="pct"/>
            <w:noWrap/>
          </w:tcPr>
          <w:p w:rsidR="00B231CB" w:rsidRDefault="00C71431">
            <w:pPr>
              <w:spacing w:after="120"/>
              <w:jc w:val="center"/>
              <w:rPr>
                <w:noProof/>
                <w:szCs w:val="24"/>
              </w:rPr>
            </w:pPr>
            <w:r>
              <w:rPr>
                <w:noProof/>
                <w:szCs w:val="24"/>
              </w:rPr>
              <w:t>-58</w:t>
            </w:r>
          </w:p>
        </w:tc>
        <w:tc>
          <w:tcPr>
            <w:tcW w:w="1049" w:type="pct"/>
            <w:noWrap/>
          </w:tcPr>
          <w:p w:rsidR="00B231CB" w:rsidRDefault="00C71431">
            <w:pPr>
              <w:spacing w:after="120"/>
              <w:jc w:val="center"/>
              <w:rPr>
                <w:noProof/>
                <w:szCs w:val="24"/>
              </w:rPr>
            </w:pPr>
            <w:r>
              <w:rPr>
                <w:noProof/>
                <w:szCs w:val="24"/>
              </w:rPr>
              <w:t>-57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 xml:space="preserve">Fuel </w:t>
            </w:r>
            <w:r>
              <w:rPr>
                <w:noProof/>
                <w:color w:val="000000" w:themeColor="text1"/>
                <w:szCs w:val="24"/>
              </w:rPr>
              <w:t>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1,576</w:t>
            </w:r>
          </w:p>
        </w:tc>
        <w:tc>
          <w:tcPr>
            <w:tcW w:w="1050" w:type="pct"/>
            <w:tcBorders>
              <w:bottom w:val="single" w:sz="24" w:space="0" w:color="auto"/>
            </w:tcBorders>
            <w:noWrap/>
          </w:tcPr>
          <w:p w:rsidR="00B231CB" w:rsidRDefault="00C71431">
            <w:pPr>
              <w:spacing w:after="120"/>
              <w:jc w:val="center"/>
              <w:rPr>
                <w:noProof/>
                <w:szCs w:val="24"/>
              </w:rPr>
            </w:pPr>
            <w:r>
              <w:rPr>
                <w:noProof/>
                <w:szCs w:val="24"/>
              </w:rPr>
              <w:t>1,393</w:t>
            </w:r>
          </w:p>
        </w:tc>
        <w:tc>
          <w:tcPr>
            <w:tcW w:w="1049" w:type="pct"/>
            <w:tcBorders>
              <w:bottom w:val="single" w:sz="24" w:space="0" w:color="auto"/>
            </w:tcBorders>
            <w:noWrap/>
          </w:tcPr>
          <w:p w:rsidR="00B231CB" w:rsidRDefault="00C71431">
            <w:pPr>
              <w:spacing w:after="120"/>
              <w:jc w:val="center"/>
              <w:rPr>
                <w:noProof/>
                <w:szCs w:val="24"/>
              </w:rPr>
            </w:pPr>
            <w:r>
              <w:rPr>
                <w:noProof/>
                <w:szCs w:val="24"/>
              </w:rPr>
              <w:t>1,315</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818</w:t>
            </w:r>
          </w:p>
        </w:tc>
        <w:tc>
          <w:tcPr>
            <w:tcW w:w="1050" w:type="pct"/>
            <w:noWrap/>
          </w:tcPr>
          <w:p w:rsidR="00B231CB" w:rsidRDefault="00C71431">
            <w:pPr>
              <w:spacing w:after="120"/>
              <w:jc w:val="center"/>
              <w:rPr>
                <w:i/>
                <w:noProof/>
                <w:szCs w:val="24"/>
              </w:rPr>
            </w:pPr>
            <w:r>
              <w:rPr>
                <w:i/>
                <w:noProof/>
                <w:szCs w:val="24"/>
              </w:rPr>
              <w:t>1,256</w:t>
            </w:r>
          </w:p>
        </w:tc>
        <w:tc>
          <w:tcPr>
            <w:tcW w:w="1049" w:type="pct"/>
            <w:noWrap/>
          </w:tcPr>
          <w:p w:rsidR="00B231CB" w:rsidRDefault="00C71431">
            <w:pPr>
              <w:spacing w:after="120"/>
              <w:jc w:val="center"/>
              <w:rPr>
                <w:i/>
                <w:noProof/>
                <w:szCs w:val="24"/>
              </w:rPr>
            </w:pPr>
            <w:r>
              <w:rPr>
                <w:i/>
                <w:noProof/>
                <w:szCs w:val="24"/>
              </w:rPr>
              <w:t>1,230</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TLC30 - 2030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385</w:t>
            </w:r>
          </w:p>
        </w:tc>
        <w:tc>
          <w:tcPr>
            <w:tcW w:w="1050" w:type="pct"/>
            <w:noWrap/>
          </w:tcPr>
          <w:p w:rsidR="00B231CB" w:rsidRDefault="00C71431">
            <w:pPr>
              <w:spacing w:after="120"/>
              <w:jc w:val="center"/>
              <w:rPr>
                <w:noProof/>
                <w:szCs w:val="24"/>
              </w:rPr>
            </w:pPr>
            <w:r>
              <w:rPr>
                <w:noProof/>
                <w:szCs w:val="24"/>
              </w:rPr>
              <w:t>94</w:t>
            </w:r>
          </w:p>
        </w:tc>
        <w:tc>
          <w:tcPr>
            <w:tcW w:w="1049" w:type="pct"/>
            <w:noWrap/>
          </w:tcPr>
          <w:p w:rsidR="00B231CB" w:rsidRDefault="00C71431">
            <w:pPr>
              <w:spacing w:after="120"/>
              <w:jc w:val="center"/>
              <w:rPr>
                <w:noProof/>
                <w:szCs w:val="24"/>
              </w:rPr>
            </w:pPr>
            <w:r>
              <w:rPr>
                <w:noProof/>
                <w:szCs w:val="24"/>
              </w:rPr>
              <w:t>68</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-40</w:t>
            </w:r>
          </w:p>
        </w:tc>
        <w:tc>
          <w:tcPr>
            <w:tcW w:w="1050" w:type="pct"/>
            <w:noWrap/>
          </w:tcPr>
          <w:p w:rsidR="00B231CB" w:rsidRDefault="00C71431">
            <w:pPr>
              <w:spacing w:after="120"/>
              <w:jc w:val="center"/>
              <w:rPr>
                <w:noProof/>
                <w:szCs w:val="24"/>
              </w:rPr>
            </w:pPr>
            <w:r>
              <w:rPr>
                <w:noProof/>
                <w:szCs w:val="24"/>
              </w:rPr>
              <w:t>-58</w:t>
            </w:r>
          </w:p>
        </w:tc>
        <w:tc>
          <w:tcPr>
            <w:tcW w:w="1049" w:type="pct"/>
            <w:noWrap/>
          </w:tcPr>
          <w:p w:rsidR="00B231CB" w:rsidRDefault="00C71431">
            <w:pPr>
              <w:spacing w:after="120"/>
              <w:jc w:val="center"/>
              <w:rPr>
                <w:noProof/>
                <w:szCs w:val="24"/>
              </w:rPr>
            </w:pPr>
            <w:r>
              <w:rPr>
                <w:noProof/>
                <w:szCs w:val="24"/>
              </w:rPr>
              <w:t>-57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1,292</w:t>
            </w:r>
          </w:p>
        </w:tc>
        <w:tc>
          <w:tcPr>
            <w:tcW w:w="1050" w:type="pct"/>
            <w:tcBorders>
              <w:bottom w:val="single" w:sz="24" w:space="0" w:color="auto"/>
            </w:tcBorders>
            <w:noWrap/>
          </w:tcPr>
          <w:p w:rsidR="00B231CB" w:rsidRDefault="00C71431">
            <w:pPr>
              <w:spacing w:after="120"/>
              <w:jc w:val="center"/>
              <w:rPr>
                <w:noProof/>
                <w:szCs w:val="24"/>
              </w:rPr>
            </w:pPr>
            <w:r>
              <w:rPr>
                <w:noProof/>
                <w:szCs w:val="24"/>
              </w:rPr>
              <w:t>1,138</w:t>
            </w:r>
          </w:p>
        </w:tc>
        <w:tc>
          <w:tcPr>
            <w:tcW w:w="1049" w:type="pct"/>
            <w:tcBorders>
              <w:bottom w:val="single" w:sz="24" w:space="0" w:color="auto"/>
            </w:tcBorders>
            <w:noWrap/>
          </w:tcPr>
          <w:p w:rsidR="00B231CB" w:rsidRDefault="00C71431">
            <w:pPr>
              <w:spacing w:after="120"/>
              <w:jc w:val="center"/>
              <w:rPr>
                <w:noProof/>
                <w:szCs w:val="24"/>
              </w:rPr>
            </w:pPr>
            <w:r>
              <w:rPr>
                <w:noProof/>
                <w:szCs w:val="24"/>
              </w:rPr>
              <w:t>1,074</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947</w:t>
            </w:r>
          </w:p>
        </w:tc>
        <w:tc>
          <w:tcPr>
            <w:tcW w:w="1050" w:type="pct"/>
            <w:noWrap/>
          </w:tcPr>
          <w:p w:rsidR="00B231CB" w:rsidRDefault="00C71431">
            <w:pPr>
              <w:spacing w:after="120"/>
              <w:jc w:val="center"/>
              <w:rPr>
                <w:i/>
                <w:noProof/>
                <w:szCs w:val="24"/>
              </w:rPr>
            </w:pPr>
            <w:r>
              <w:rPr>
                <w:i/>
                <w:noProof/>
                <w:szCs w:val="24"/>
              </w:rPr>
              <w:t>1,101</w:t>
            </w:r>
          </w:p>
        </w:tc>
        <w:tc>
          <w:tcPr>
            <w:tcW w:w="1049" w:type="pct"/>
            <w:noWrap/>
          </w:tcPr>
          <w:p w:rsidR="00B231CB" w:rsidRDefault="00C71431">
            <w:pPr>
              <w:spacing w:after="120"/>
              <w:jc w:val="center"/>
              <w:rPr>
                <w:i/>
                <w:noProof/>
                <w:szCs w:val="24"/>
              </w:rPr>
            </w:pPr>
            <w:r>
              <w:rPr>
                <w:i/>
                <w:noProof/>
                <w:szCs w:val="24"/>
              </w:rPr>
              <w:t>1,062</w:t>
            </w:r>
          </w:p>
        </w:tc>
      </w:tr>
    </w:tbl>
    <w:p w:rsidR="00B231CB" w:rsidRDefault="00C71431">
      <w:pPr>
        <w:spacing w:before="240"/>
        <w:rPr>
          <w:b/>
          <w:noProof/>
          <w:color w:val="000000" w:themeColor="text1"/>
          <w:szCs w:val="24"/>
          <w:lang w:eastAsia="en-GB"/>
        </w:rPr>
      </w:pPr>
      <w:r>
        <w:rPr>
          <w:b/>
          <w:noProof/>
          <w:szCs w:val="24"/>
          <w:u w:val="single"/>
        </w:rPr>
        <w:t>TLC40 – 2025 (LEVD_ZEV)</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TLC40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747</w:t>
            </w:r>
          </w:p>
        </w:tc>
        <w:tc>
          <w:tcPr>
            <w:tcW w:w="1050" w:type="pct"/>
            <w:noWrap/>
          </w:tcPr>
          <w:p w:rsidR="00B231CB" w:rsidRDefault="00C71431">
            <w:pPr>
              <w:spacing w:after="120"/>
              <w:jc w:val="center"/>
              <w:rPr>
                <w:noProof/>
                <w:szCs w:val="24"/>
              </w:rPr>
            </w:pPr>
            <w:r>
              <w:rPr>
                <w:noProof/>
                <w:szCs w:val="24"/>
              </w:rPr>
              <w:t>179</w:t>
            </w:r>
          </w:p>
        </w:tc>
        <w:tc>
          <w:tcPr>
            <w:tcW w:w="1049" w:type="pct"/>
            <w:noWrap/>
          </w:tcPr>
          <w:p w:rsidR="00B231CB" w:rsidRDefault="00C71431">
            <w:pPr>
              <w:spacing w:after="120"/>
              <w:jc w:val="center"/>
              <w:rPr>
                <w:noProof/>
                <w:szCs w:val="24"/>
              </w:rPr>
            </w:pPr>
            <w:r>
              <w:rPr>
                <w:noProof/>
                <w:szCs w:val="24"/>
              </w:rPr>
              <w:t>116</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w:t>
            </w:r>
          </w:p>
        </w:tc>
        <w:tc>
          <w:tcPr>
            <w:tcW w:w="1050" w:type="pct"/>
            <w:noWrap/>
          </w:tcPr>
          <w:p w:rsidR="00B231CB" w:rsidRDefault="00C71431">
            <w:pPr>
              <w:spacing w:after="120"/>
              <w:jc w:val="center"/>
              <w:rPr>
                <w:noProof/>
                <w:szCs w:val="24"/>
              </w:rPr>
            </w:pPr>
            <w:r>
              <w:rPr>
                <w:noProof/>
                <w:szCs w:val="24"/>
              </w:rPr>
              <w:t>107</w:t>
            </w:r>
          </w:p>
        </w:tc>
        <w:tc>
          <w:tcPr>
            <w:tcW w:w="1049" w:type="pct"/>
            <w:noWrap/>
          </w:tcPr>
          <w:p w:rsidR="00B231CB" w:rsidRDefault="00C71431">
            <w:pPr>
              <w:spacing w:after="120"/>
              <w:jc w:val="center"/>
              <w:rPr>
                <w:noProof/>
                <w:szCs w:val="24"/>
              </w:rPr>
            </w:pPr>
            <w:r>
              <w:rPr>
                <w:noProof/>
                <w:szCs w:val="24"/>
              </w:rPr>
              <w:t>122</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922</w:t>
            </w:r>
          </w:p>
        </w:tc>
        <w:tc>
          <w:tcPr>
            <w:tcW w:w="1050" w:type="pct"/>
            <w:tcBorders>
              <w:bottom w:val="single" w:sz="24" w:space="0" w:color="auto"/>
            </w:tcBorders>
            <w:noWrap/>
          </w:tcPr>
          <w:p w:rsidR="00B231CB" w:rsidRDefault="00C71431">
            <w:pPr>
              <w:spacing w:after="120"/>
              <w:jc w:val="center"/>
              <w:rPr>
                <w:noProof/>
                <w:szCs w:val="24"/>
              </w:rPr>
            </w:pPr>
            <w:r>
              <w:rPr>
                <w:noProof/>
                <w:szCs w:val="24"/>
              </w:rPr>
              <w:t>799</w:t>
            </w:r>
          </w:p>
        </w:tc>
        <w:tc>
          <w:tcPr>
            <w:tcW w:w="1049" w:type="pct"/>
            <w:tcBorders>
              <w:bottom w:val="single" w:sz="24" w:space="0" w:color="auto"/>
            </w:tcBorders>
            <w:noWrap/>
          </w:tcPr>
          <w:p w:rsidR="00B231CB" w:rsidRDefault="00C71431">
            <w:pPr>
              <w:spacing w:after="120"/>
              <w:jc w:val="center"/>
              <w:rPr>
                <w:noProof/>
                <w:szCs w:val="24"/>
              </w:rPr>
            </w:pPr>
            <w:r>
              <w:rPr>
                <w:noProof/>
                <w:szCs w:val="24"/>
              </w:rPr>
              <w:t>701</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 xml:space="preserve">Net </w:t>
            </w:r>
            <w:r>
              <w:rPr>
                <w:i/>
                <w:noProof/>
                <w:color w:val="000000" w:themeColor="text1"/>
                <w:szCs w:val="24"/>
              </w:rPr>
              <w:t>savings [3]-[1]-[2]</w:t>
            </w:r>
          </w:p>
        </w:tc>
        <w:tc>
          <w:tcPr>
            <w:tcW w:w="1050" w:type="pct"/>
            <w:noWrap/>
          </w:tcPr>
          <w:p w:rsidR="00B231CB" w:rsidRDefault="00C71431">
            <w:pPr>
              <w:spacing w:after="120"/>
              <w:jc w:val="center"/>
              <w:rPr>
                <w:i/>
                <w:noProof/>
                <w:szCs w:val="24"/>
              </w:rPr>
            </w:pPr>
            <w:r>
              <w:rPr>
                <w:i/>
                <w:noProof/>
                <w:szCs w:val="24"/>
              </w:rPr>
              <w:t>78</w:t>
            </w:r>
          </w:p>
        </w:tc>
        <w:tc>
          <w:tcPr>
            <w:tcW w:w="1050" w:type="pct"/>
            <w:noWrap/>
          </w:tcPr>
          <w:p w:rsidR="00B231CB" w:rsidRDefault="00C71431">
            <w:pPr>
              <w:spacing w:after="120"/>
              <w:jc w:val="center"/>
              <w:rPr>
                <w:i/>
                <w:noProof/>
                <w:szCs w:val="24"/>
              </w:rPr>
            </w:pPr>
            <w:r>
              <w:rPr>
                <w:i/>
                <w:noProof/>
                <w:szCs w:val="24"/>
              </w:rPr>
              <w:t>513</w:t>
            </w:r>
          </w:p>
        </w:tc>
        <w:tc>
          <w:tcPr>
            <w:tcW w:w="1049" w:type="pct"/>
            <w:noWrap/>
          </w:tcPr>
          <w:p w:rsidR="00B231CB" w:rsidRDefault="00C71431">
            <w:pPr>
              <w:spacing w:after="120"/>
              <w:jc w:val="center"/>
              <w:rPr>
                <w:i/>
                <w:noProof/>
                <w:szCs w:val="24"/>
              </w:rPr>
            </w:pPr>
            <w:r>
              <w:rPr>
                <w:i/>
                <w:noProof/>
                <w:szCs w:val="24"/>
              </w:rPr>
              <w:t>462</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TLC40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585</w:t>
            </w:r>
          </w:p>
        </w:tc>
        <w:tc>
          <w:tcPr>
            <w:tcW w:w="1050" w:type="pct"/>
            <w:noWrap/>
          </w:tcPr>
          <w:p w:rsidR="00B231CB" w:rsidRDefault="00C71431">
            <w:pPr>
              <w:spacing w:after="120"/>
              <w:jc w:val="center"/>
              <w:rPr>
                <w:noProof/>
                <w:szCs w:val="24"/>
              </w:rPr>
            </w:pPr>
            <w:r>
              <w:rPr>
                <w:noProof/>
                <w:szCs w:val="24"/>
              </w:rPr>
              <w:t>140</w:t>
            </w:r>
          </w:p>
        </w:tc>
        <w:tc>
          <w:tcPr>
            <w:tcW w:w="1050" w:type="pct"/>
            <w:noWrap/>
          </w:tcPr>
          <w:p w:rsidR="00B231CB" w:rsidRDefault="00C71431">
            <w:pPr>
              <w:spacing w:after="120"/>
              <w:jc w:val="center"/>
              <w:rPr>
                <w:noProof/>
                <w:szCs w:val="24"/>
              </w:rPr>
            </w:pPr>
            <w:r>
              <w:rPr>
                <w:noProof/>
                <w:szCs w:val="24"/>
              </w:rPr>
              <w:t>91</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40</w:t>
            </w:r>
          </w:p>
        </w:tc>
        <w:tc>
          <w:tcPr>
            <w:tcW w:w="1050" w:type="pct"/>
            <w:noWrap/>
          </w:tcPr>
          <w:p w:rsidR="00B231CB" w:rsidRDefault="00C71431">
            <w:pPr>
              <w:spacing w:after="120"/>
              <w:jc w:val="center"/>
              <w:rPr>
                <w:noProof/>
                <w:szCs w:val="24"/>
              </w:rPr>
            </w:pPr>
            <w:r>
              <w:rPr>
                <w:noProof/>
                <w:szCs w:val="24"/>
              </w:rPr>
              <w:t>45</w:t>
            </w:r>
          </w:p>
        </w:tc>
        <w:tc>
          <w:tcPr>
            <w:tcW w:w="1050" w:type="pct"/>
            <w:noWrap/>
          </w:tcPr>
          <w:p w:rsidR="00B231CB" w:rsidRDefault="00C71431">
            <w:pPr>
              <w:spacing w:after="120"/>
              <w:jc w:val="center"/>
              <w:rPr>
                <w:noProof/>
                <w:szCs w:val="24"/>
              </w:rPr>
            </w:pPr>
            <w:r>
              <w:rPr>
                <w:noProof/>
                <w:szCs w:val="24"/>
              </w:rPr>
              <w:t>51</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866</w:t>
            </w:r>
          </w:p>
        </w:tc>
        <w:tc>
          <w:tcPr>
            <w:tcW w:w="1050" w:type="pct"/>
            <w:tcBorders>
              <w:bottom w:val="single" w:sz="24" w:space="0" w:color="auto"/>
            </w:tcBorders>
            <w:noWrap/>
          </w:tcPr>
          <w:p w:rsidR="00B231CB" w:rsidRDefault="00C71431">
            <w:pPr>
              <w:spacing w:after="120"/>
              <w:jc w:val="center"/>
              <w:rPr>
                <w:noProof/>
                <w:szCs w:val="24"/>
              </w:rPr>
            </w:pPr>
            <w:r>
              <w:rPr>
                <w:noProof/>
                <w:szCs w:val="24"/>
              </w:rPr>
              <w:t>808</w:t>
            </w:r>
          </w:p>
        </w:tc>
        <w:tc>
          <w:tcPr>
            <w:tcW w:w="1050" w:type="pct"/>
            <w:tcBorders>
              <w:bottom w:val="single" w:sz="24" w:space="0" w:color="auto"/>
            </w:tcBorders>
            <w:noWrap/>
          </w:tcPr>
          <w:p w:rsidR="00B231CB" w:rsidRDefault="00C71431">
            <w:pPr>
              <w:spacing w:after="120"/>
              <w:jc w:val="center"/>
              <w:rPr>
                <w:noProof/>
                <w:szCs w:val="24"/>
              </w:rPr>
            </w:pPr>
            <w:r>
              <w:rPr>
                <w:noProof/>
                <w:szCs w:val="24"/>
              </w:rPr>
              <w:t>756</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241</w:t>
            </w:r>
          </w:p>
        </w:tc>
        <w:tc>
          <w:tcPr>
            <w:tcW w:w="1050" w:type="pct"/>
            <w:noWrap/>
          </w:tcPr>
          <w:p w:rsidR="00B231CB" w:rsidRDefault="00C71431">
            <w:pPr>
              <w:spacing w:after="120"/>
              <w:jc w:val="center"/>
              <w:rPr>
                <w:i/>
                <w:noProof/>
                <w:szCs w:val="24"/>
              </w:rPr>
            </w:pPr>
            <w:r>
              <w:rPr>
                <w:i/>
                <w:noProof/>
                <w:szCs w:val="24"/>
              </w:rPr>
              <w:t>623</w:t>
            </w:r>
          </w:p>
        </w:tc>
        <w:tc>
          <w:tcPr>
            <w:tcW w:w="1050" w:type="pct"/>
            <w:noWrap/>
          </w:tcPr>
          <w:p w:rsidR="00B231CB" w:rsidRDefault="00C71431">
            <w:pPr>
              <w:spacing w:after="120"/>
              <w:jc w:val="center"/>
              <w:rPr>
                <w:i/>
                <w:noProof/>
                <w:szCs w:val="24"/>
              </w:rPr>
            </w:pPr>
            <w:r>
              <w:rPr>
                <w:i/>
                <w:noProof/>
                <w:szCs w:val="24"/>
              </w:rPr>
              <w:t>615</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TLC40 - 2025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282</w:t>
            </w:r>
          </w:p>
        </w:tc>
        <w:tc>
          <w:tcPr>
            <w:tcW w:w="1050" w:type="pct"/>
            <w:noWrap/>
          </w:tcPr>
          <w:p w:rsidR="00B231CB" w:rsidRDefault="00C71431">
            <w:pPr>
              <w:spacing w:after="120"/>
              <w:jc w:val="center"/>
              <w:rPr>
                <w:noProof/>
                <w:szCs w:val="24"/>
              </w:rPr>
            </w:pPr>
            <w:r>
              <w:rPr>
                <w:noProof/>
                <w:szCs w:val="24"/>
              </w:rPr>
              <w:t>68</w:t>
            </w:r>
          </w:p>
        </w:tc>
        <w:tc>
          <w:tcPr>
            <w:tcW w:w="1049" w:type="pct"/>
            <w:noWrap/>
          </w:tcPr>
          <w:p w:rsidR="00B231CB" w:rsidRDefault="00C71431">
            <w:pPr>
              <w:spacing w:after="120"/>
              <w:jc w:val="center"/>
              <w:rPr>
                <w:noProof/>
                <w:szCs w:val="24"/>
              </w:rPr>
            </w:pPr>
            <w:r>
              <w:rPr>
                <w:noProof/>
                <w:szCs w:val="24"/>
              </w:rPr>
              <w:t>44</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40</w:t>
            </w:r>
          </w:p>
        </w:tc>
        <w:tc>
          <w:tcPr>
            <w:tcW w:w="1050" w:type="pct"/>
            <w:noWrap/>
          </w:tcPr>
          <w:p w:rsidR="00B231CB" w:rsidRDefault="00C71431">
            <w:pPr>
              <w:spacing w:after="120"/>
              <w:jc w:val="center"/>
              <w:rPr>
                <w:noProof/>
                <w:szCs w:val="24"/>
              </w:rPr>
            </w:pPr>
            <w:r>
              <w:rPr>
                <w:noProof/>
                <w:szCs w:val="24"/>
              </w:rPr>
              <w:t>45</w:t>
            </w:r>
          </w:p>
        </w:tc>
        <w:tc>
          <w:tcPr>
            <w:tcW w:w="1049" w:type="pct"/>
            <w:noWrap/>
          </w:tcPr>
          <w:p w:rsidR="00B231CB" w:rsidRDefault="00C71431">
            <w:pPr>
              <w:spacing w:after="120"/>
              <w:jc w:val="center"/>
              <w:rPr>
                <w:noProof/>
                <w:szCs w:val="24"/>
              </w:rPr>
            </w:pPr>
            <w:r>
              <w:rPr>
                <w:noProof/>
                <w:szCs w:val="24"/>
              </w:rPr>
              <w:t>51</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742</w:t>
            </w:r>
          </w:p>
        </w:tc>
        <w:tc>
          <w:tcPr>
            <w:tcW w:w="1050" w:type="pct"/>
            <w:tcBorders>
              <w:bottom w:val="single" w:sz="24" w:space="0" w:color="auto"/>
            </w:tcBorders>
            <w:noWrap/>
          </w:tcPr>
          <w:p w:rsidR="00B231CB" w:rsidRDefault="00C71431">
            <w:pPr>
              <w:spacing w:after="120"/>
              <w:jc w:val="center"/>
              <w:rPr>
                <w:noProof/>
                <w:szCs w:val="24"/>
              </w:rPr>
            </w:pPr>
            <w:r>
              <w:rPr>
                <w:noProof/>
                <w:szCs w:val="24"/>
              </w:rPr>
              <w:t>677</w:t>
            </w:r>
          </w:p>
        </w:tc>
        <w:tc>
          <w:tcPr>
            <w:tcW w:w="1049" w:type="pct"/>
            <w:tcBorders>
              <w:bottom w:val="single" w:sz="24" w:space="0" w:color="auto"/>
            </w:tcBorders>
            <w:noWrap/>
          </w:tcPr>
          <w:p w:rsidR="00B231CB" w:rsidRDefault="00C71431">
            <w:pPr>
              <w:spacing w:after="120"/>
              <w:jc w:val="center"/>
              <w:rPr>
                <w:noProof/>
                <w:szCs w:val="24"/>
              </w:rPr>
            </w:pPr>
            <w:r>
              <w:rPr>
                <w:noProof/>
                <w:szCs w:val="24"/>
              </w:rPr>
              <w:t>630</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420</w:t>
            </w:r>
          </w:p>
        </w:tc>
        <w:tc>
          <w:tcPr>
            <w:tcW w:w="1050" w:type="pct"/>
            <w:noWrap/>
          </w:tcPr>
          <w:p w:rsidR="00B231CB" w:rsidRDefault="00C71431">
            <w:pPr>
              <w:spacing w:after="120"/>
              <w:jc w:val="center"/>
              <w:rPr>
                <w:i/>
                <w:noProof/>
                <w:szCs w:val="24"/>
              </w:rPr>
            </w:pPr>
            <w:r>
              <w:rPr>
                <w:i/>
                <w:noProof/>
                <w:szCs w:val="24"/>
              </w:rPr>
              <w:t>565</w:t>
            </w:r>
          </w:p>
        </w:tc>
        <w:tc>
          <w:tcPr>
            <w:tcW w:w="1049" w:type="pct"/>
            <w:noWrap/>
          </w:tcPr>
          <w:p w:rsidR="00B231CB" w:rsidRDefault="00C71431">
            <w:pPr>
              <w:spacing w:after="120"/>
              <w:jc w:val="center"/>
              <w:rPr>
                <w:i/>
                <w:noProof/>
                <w:szCs w:val="24"/>
              </w:rPr>
            </w:pPr>
            <w:r>
              <w:rPr>
                <w:i/>
                <w:noProof/>
                <w:szCs w:val="24"/>
              </w:rPr>
              <w:t>535</w:t>
            </w:r>
          </w:p>
        </w:tc>
      </w:tr>
    </w:tbl>
    <w:p w:rsidR="00B231CB" w:rsidRDefault="00C71431">
      <w:pPr>
        <w:spacing w:before="240"/>
        <w:rPr>
          <w:b/>
          <w:noProof/>
          <w:color w:val="000000" w:themeColor="text1"/>
          <w:szCs w:val="24"/>
          <w:lang w:eastAsia="en-GB"/>
        </w:rPr>
      </w:pPr>
      <w:r>
        <w:rPr>
          <w:b/>
          <w:noProof/>
          <w:szCs w:val="24"/>
          <w:u w:val="single"/>
        </w:rPr>
        <w:t>TLC40 – 2030 (LEVD_ZEV)</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 xml:space="preserve">Net savings from a </w:t>
            </w:r>
            <w:r>
              <w:rPr>
                <w:b/>
                <w:i/>
                <w:noProof/>
                <w:color w:val="000000" w:themeColor="text1"/>
              </w:rPr>
              <w:t>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TLC40 - 2030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1,812</w:t>
            </w:r>
          </w:p>
        </w:tc>
        <w:tc>
          <w:tcPr>
            <w:tcW w:w="1050" w:type="pct"/>
            <w:noWrap/>
          </w:tcPr>
          <w:p w:rsidR="00B231CB" w:rsidRDefault="00C71431">
            <w:pPr>
              <w:spacing w:after="120"/>
              <w:jc w:val="center"/>
              <w:rPr>
                <w:noProof/>
                <w:szCs w:val="24"/>
              </w:rPr>
            </w:pPr>
            <w:r>
              <w:rPr>
                <w:noProof/>
                <w:szCs w:val="24"/>
              </w:rPr>
              <w:t>794</w:t>
            </w:r>
          </w:p>
        </w:tc>
        <w:tc>
          <w:tcPr>
            <w:tcW w:w="1049" w:type="pct"/>
            <w:noWrap/>
          </w:tcPr>
          <w:p w:rsidR="00B231CB" w:rsidRDefault="00C71431">
            <w:pPr>
              <w:spacing w:after="120"/>
              <w:jc w:val="center"/>
              <w:rPr>
                <w:noProof/>
                <w:szCs w:val="24"/>
              </w:rPr>
            </w:pPr>
            <w:r>
              <w:rPr>
                <w:noProof/>
                <w:szCs w:val="24"/>
              </w:rPr>
              <w:t>730</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-157</w:t>
            </w:r>
          </w:p>
        </w:tc>
        <w:tc>
          <w:tcPr>
            <w:tcW w:w="1050" w:type="pct"/>
            <w:noWrap/>
          </w:tcPr>
          <w:p w:rsidR="00B231CB" w:rsidRDefault="00C71431">
            <w:pPr>
              <w:spacing w:after="120"/>
              <w:jc w:val="center"/>
              <w:rPr>
                <w:noProof/>
                <w:szCs w:val="24"/>
              </w:rPr>
            </w:pPr>
            <w:r>
              <w:rPr>
                <w:noProof/>
                <w:szCs w:val="24"/>
              </w:rPr>
              <w:t>-169</w:t>
            </w:r>
          </w:p>
        </w:tc>
        <w:tc>
          <w:tcPr>
            <w:tcW w:w="1049" w:type="pct"/>
            <w:noWrap/>
          </w:tcPr>
          <w:p w:rsidR="00B231CB" w:rsidRDefault="00C71431">
            <w:pPr>
              <w:spacing w:after="120"/>
              <w:jc w:val="center"/>
              <w:rPr>
                <w:noProof/>
                <w:szCs w:val="24"/>
              </w:rPr>
            </w:pPr>
            <w:r>
              <w:rPr>
                <w:noProof/>
                <w:szCs w:val="24"/>
              </w:rPr>
              <w:t>-187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2,220</w:t>
            </w:r>
          </w:p>
        </w:tc>
        <w:tc>
          <w:tcPr>
            <w:tcW w:w="1050" w:type="pct"/>
            <w:tcBorders>
              <w:bottom w:val="single" w:sz="24" w:space="0" w:color="auto"/>
            </w:tcBorders>
            <w:noWrap/>
          </w:tcPr>
          <w:p w:rsidR="00B231CB" w:rsidRDefault="00C71431">
            <w:pPr>
              <w:spacing w:after="120"/>
              <w:jc w:val="center"/>
              <w:rPr>
                <w:noProof/>
                <w:szCs w:val="24"/>
              </w:rPr>
            </w:pPr>
            <w:r>
              <w:rPr>
                <w:noProof/>
                <w:szCs w:val="24"/>
              </w:rPr>
              <w:t>2,045</w:t>
            </w:r>
          </w:p>
        </w:tc>
        <w:tc>
          <w:tcPr>
            <w:tcW w:w="1049" w:type="pct"/>
            <w:tcBorders>
              <w:bottom w:val="single" w:sz="24" w:space="0" w:color="auto"/>
            </w:tcBorders>
            <w:noWrap/>
          </w:tcPr>
          <w:p w:rsidR="00B231CB" w:rsidRDefault="00C71431">
            <w:pPr>
              <w:spacing w:after="120"/>
              <w:jc w:val="center"/>
              <w:rPr>
                <w:noProof/>
                <w:szCs w:val="24"/>
              </w:rPr>
            </w:pPr>
            <w:r>
              <w:rPr>
                <w:noProof/>
                <w:szCs w:val="24"/>
              </w:rPr>
              <w:t>1,999</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565</w:t>
            </w:r>
          </w:p>
        </w:tc>
        <w:tc>
          <w:tcPr>
            <w:tcW w:w="1050" w:type="pct"/>
            <w:noWrap/>
          </w:tcPr>
          <w:p w:rsidR="00B231CB" w:rsidRDefault="00C71431">
            <w:pPr>
              <w:spacing w:after="120"/>
              <w:jc w:val="center"/>
              <w:rPr>
                <w:i/>
                <w:noProof/>
                <w:szCs w:val="24"/>
              </w:rPr>
            </w:pPr>
            <w:r>
              <w:rPr>
                <w:i/>
                <w:noProof/>
                <w:szCs w:val="24"/>
              </w:rPr>
              <w:t>1,420</w:t>
            </w:r>
          </w:p>
        </w:tc>
        <w:tc>
          <w:tcPr>
            <w:tcW w:w="1049" w:type="pct"/>
            <w:noWrap/>
          </w:tcPr>
          <w:p w:rsidR="00B231CB" w:rsidRDefault="00C71431">
            <w:pPr>
              <w:spacing w:after="120"/>
              <w:jc w:val="center"/>
              <w:rPr>
                <w:i/>
                <w:noProof/>
                <w:szCs w:val="24"/>
              </w:rPr>
            </w:pPr>
            <w:r>
              <w:rPr>
                <w:i/>
                <w:noProof/>
                <w:szCs w:val="24"/>
              </w:rPr>
              <w:t>1,456</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TLC40 - 2030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1,419</w:t>
            </w:r>
          </w:p>
        </w:tc>
        <w:tc>
          <w:tcPr>
            <w:tcW w:w="1050" w:type="pct"/>
            <w:noWrap/>
          </w:tcPr>
          <w:p w:rsidR="00B231CB" w:rsidRDefault="00C71431">
            <w:pPr>
              <w:spacing w:after="120"/>
              <w:jc w:val="center"/>
              <w:rPr>
                <w:noProof/>
                <w:szCs w:val="24"/>
              </w:rPr>
            </w:pPr>
            <w:r>
              <w:rPr>
                <w:noProof/>
                <w:szCs w:val="24"/>
              </w:rPr>
              <w:t>621</w:t>
            </w:r>
          </w:p>
        </w:tc>
        <w:tc>
          <w:tcPr>
            <w:tcW w:w="1049" w:type="pct"/>
            <w:noWrap/>
          </w:tcPr>
          <w:p w:rsidR="00B231CB" w:rsidRDefault="00C71431">
            <w:pPr>
              <w:spacing w:after="120"/>
              <w:jc w:val="center"/>
              <w:rPr>
                <w:noProof/>
                <w:szCs w:val="24"/>
              </w:rPr>
            </w:pPr>
            <w:r>
              <w:rPr>
                <w:noProof/>
                <w:szCs w:val="24"/>
              </w:rPr>
              <w:t>571</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-66</w:t>
            </w:r>
          </w:p>
        </w:tc>
        <w:tc>
          <w:tcPr>
            <w:tcW w:w="1050" w:type="pct"/>
            <w:noWrap/>
          </w:tcPr>
          <w:p w:rsidR="00B231CB" w:rsidRDefault="00C71431">
            <w:pPr>
              <w:spacing w:after="120"/>
              <w:jc w:val="center"/>
              <w:rPr>
                <w:noProof/>
                <w:szCs w:val="24"/>
              </w:rPr>
            </w:pPr>
            <w:r>
              <w:rPr>
                <w:noProof/>
                <w:szCs w:val="24"/>
              </w:rPr>
              <w:t>-71</w:t>
            </w:r>
          </w:p>
        </w:tc>
        <w:tc>
          <w:tcPr>
            <w:tcW w:w="1049" w:type="pct"/>
            <w:noWrap/>
          </w:tcPr>
          <w:p w:rsidR="00B231CB" w:rsidRDefault="00C71431">
            <w:pPr>
              <w:spacing w:after="120"/>
              <w:jc w:val="center"/>
              <w:rPr>
                <w:noProof/>
                <w:szCs w:val="24"/>
              </w:rPr>
            </w:pPr>
            <w:r>
              <w:rPr>
                <w:noProof/>
                <w:szCs w:val="24"/>
              </w:rPr>
              <w:t>-78</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1,992</w:t>
            </w:r>
          </w:p>
        </w:tc>
        <w:tc>
          <w:tcPr>
            <w:tcW w:w="1050" w:type="pct"/>
            <w:tcBorders>
              <w:bottom w:val="single" w:sz="24" w:space="0" w:color="auto"/>
            </w:tcBorders>
            <w:noWrap/>
          </w:tcPr>
          <w:p w:rsidR="00B231CB" w:rsidRDefault="00C71431">
            <w:pPr>
              <w:spacing w:after="120"/>
              <w:jc w:val="center"/>
              <w:rPr>
                <w:noProof/>
                <w:szCs w:val="24"/>
              </w:rPr>
            </w:pPr>
            <w:r>
              <w:rPr>
                <w:noProof/>
                <w:szCs w:val="24"/>
              </w:rPr>
              <w:t>1,906</w:t>
            </w:r>
          </w:p>
        </w:tc>
        <w:tc>
          <w:tcPr>
            <w:tcW w:w="1049" w:type="pct"/>
            <w:tcBorders>
              <w:bottom w:val="single" w:sz="24" w:space="0" w:color="auto"/>
            </w:tcBorders>
            <w:noWrap/>
          </w:tcPr>
          <w:p w:rsidR="00B231CB" w:rsidRDefault="00C71431">
            <w:pPr>
              <w:spacing w:after="120"/>
              <w:jc w:val="center"/>
              <w:rPr>
                <w:noProof/>
                <w:szCs w:val="24"/>
              </w:rPr>
            </w:pPr>
            <w:r>
              <w:rPr>
                <w:noProof/>
                <w:szCs w:val="24"/>
              </w:rPr>
              <w:t>1,887</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639</w:t>
            </w:r>
          </w:p>
        </w:tc>
        <w:tc>
          <w:tcPr>
            <w:tcW w:w="1050" w:type="pct"/>
            <w:noWrap/>
          </w:tcPr>
          <w:p w:rsidR="00B231CB" w:rsidRDefault="00C71431">
            <w:pPr>
              <w:spacing w:after="120"/>
              <w:jc w:val="center"/>
              <w:rPr>
                <w:i/>
                <w:noProof/>
                <w:szCs w:val="24"/>
              </w:rPr>
            </w:pPr>
            <w:r>
              <w:rPr>
                <w:i/>
                <w:noProof/>
                <w:szCs w:val="24"/>
              </w:rPr>
              <w:t>1,356</w:t>
            </w:r>
          </w:p>
        </w:tc>
        <w:tc>
          <w:tcPr>
            <w:tcW w:w="1049" w:type="pct"/>
            <w:noWrap/>
          </w:tcPr>
          <w:p w:rsidR="00B231CB" w:rsidRDefault="00C71431">
            <w:pPr>
              <w:spacing w:after="120"/>
              <w:jc w:val="center"/>
              <w:rPr>
                <w:i/>
                <w:noProof/>
                <w:szCs w:val="24"/>
              </w:rPr>
            </w:pPr>
            <w:r>
              <w:rPr>
                <w:i/>
                <w:noProof/>
                <w:szCs w:val="24"/>
              </w:rPr>
              <w:t>1,395</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TLC40 - 2030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684</w:t>
            </w:r>
          </w:p>
        </w:tc>
        <w:tc>
          <w:tcPr>
            <w:tcW w:w="1050" w:type="pct"/>
            <w:noWrap/>
          </w:tcPr>
          <w:p w:rsidR="00B231CB" w:rsidRDefault="00C71431">
            <w:pPr>
              <w:spacing w:after="120"/>
              <w:jc w:val="center"/>
              <w:rPr>
                <w:noProof/>
                <w:szCs w:val="24"/>
              </w:rPr>
            </w:pPr>
            <w:r>
              <w:rPr>
                <w:noProof/>
                <w:szCs w:val="24"/>
              </w:rPr>
              <w:t>299</w:t>
            </w:r>
          </w:p>
        </w:tc>
        <w:tc>
          <w:tcPr>
            <w:tcW w:w="1049" w:type="pct"/>
            <w:noWrap/>
          </w:tcPr>
          <w:p w:rsidR="00B231CB" w:rsidRDefault="00C71431">
            <w:pPr>
              <w:spacing w:after="120"/>
              <w:jc w:val="center"/>
              <w:rPr>
                <w:noProof/>
                <w:szCs w:val="24"/>
              </w:rPr>
            </w:pPr>
            <w:r>
              <w:rPr>
                <w:noProof/>
                <w:szCs w:val="24"/>
              </w:rPr>
              <w:t>275</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-66</w:t>
            </w:r>
          </w:p>
        </w:tc>
        <w:tc>
          <w:tcPr>
            <w:tcW w:w="1050" w:type="pct"/>
            <w:noWrap/>
          </w:tcPr>
          <w:p w:rsidR="00B231CB" w:rsidRDefault="00C71431">
            <w:pPr>
              <w:spacing w:after="120"/>
              <w:jc w:val="center"/>
              <w:rPr>
                <w:noProof/>
                <w:szCs w:val="24"/>
              </w:rPr>
            </w:pPr>
            <w:r>
              <w:rPr>
                <w:noProof/>
                <w:szCs w:val="24"/>
              </w:rPr>
              <w:t>-71</w:t>
            </w:r>
          </w:p>
        </w:tc>
        <w:tc>
          <w:tcPr>
            <w:tcW w:w="1049" w:type="pct"/>
            <w:noWrap/>
          </w:tcPr>
          <w:p w:rsidR="00B231CB" w:rsidRDefault="00C71431">
            <w:pPr>
              <w:spacing w:after="120"/>
              <w:jc w:val="center"/>
              <w:rPr>
                <w:noProof/>
                <w:szCs w:val="24"/>
              </w:rPr>
            </w:pPr>
            <w:r>
              <w:rPr>
                <w:noProof/>
                <w:szCs w:val="24"/>
              </w:rPr>
              <w:t>-78</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1,640</w:t>
            </w:r>
          </w:p>
        </w:tc>
        <w:tc>
          <w:tcPr>
            <w:tcW w:w="1050" w:type="pct"/>
            <w:tcBorders>
              <w:bottom w:val="single" w:sz="24" w:space="0" w:color="auto"/>
            </w:tcBorders>
            <w:noWrap/>
          </w:tcPr>
          <w:p w:rsidR="00B231CB" w:rsidRDefault="00C71431">
            <w:pPr>
              <w:spacing w:after="120"/>
              <w:jc w:val="center"/>
              <w:rPr>
                <w:noProof/>
                <w:szCs w:val="24"/>
              </w:rPr>
            </w:pPr>
            <w:r>
              <w:rPr>
                <w:noProof/>
                <w:szCs w:val="24"/>
              </w:rPr>
              <w:t>1,557</w:t>
            </w:r>
          </w:p>
        </w:tc>
        <w:tc>
          <w:tcPr>
            <w:tcW w:w="1049" w:type="pct"/>
            <w:tcBorders>
              <w:bottom w:val="single" w:sz="24" w:space="0" w:color="auto"/>
            </w:tcBorders>
            <w:noWrap/>
          </w:tcPr>
          <w:p w:rsidR="00B231CB" w:rsidRDefault="00C71431">
            <w:pPr>
              <w:spacing w:after="120"/>
              <w:jc w:val="center"/>
              <w:rPr>
                <w:noProof/>
                <w:szCs w:val="24"/>
              </w:rPr>
            </w:pPr>
            <w:r>
              <w:rPr>
                <w:noProof/>
                <w:szCs w:val="24"/>
              </w:rPr>
              <w:t>1,539</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1,022</w:t>
            </w:r>
          </w:p>
        </w:tc>
        <w:tc>
          <w:tcPr>
            <w:tcW w:w="1050" w:type="pct"/>
            <w:noWrap/>
          </w:tcPr>
          <w:p w:rsidR="00B231CB" w:rsidRDefault="00C71431">
            <w:pPr>
              <w:spacing w:after="120"/>
              <w:jc w:val="center"/>
              <w:rPr>
                <w:i/>
                <w:noProof/>
                <w:szCs w:val="24"/>
              </w:rPr>
            </w:pPr>
            <w:r>
              <w:rPr>
                <w:i/>
                <w:noProof/>
                <w:szCs w:val="24"/>
              </w:rPr>
              <w:t>1,329</w:t>
            </w:r>
          </w:p>
        </w:tc>
        <w:tc>
          <w:tcPr>
            <w:tcW w:w="1049" w:type="pct"/>
            <w:noWrap/>
          </w:tcPr>
          <w:p w:rsidR="00B231CB" w:rsidRDefault="00C71431">
            <w:pPr>
              <w:spacing w:after="120"/>
              <w:jc w:val="center"/>
              <w:rPr>
                <w:i/>
                <w:noProof/>
                <w:szCs w:val="24"/>
              </w:rPr>
            </w:pPr>
            <w:r>
              <w:rPr>
                <w:i/>
                <w:noProof/>
                <w:szCs w:val="24"/>
              </w:rPr>
              <w:t>1,342</w:t>
            </w:r>
          </w:p>
        </w:tc>
      </w:tr>
    </w:tbl>
    <w:p w:rsidR="00B231CB" w:rsidRDefault="00C71431">
      <w:pPr>
        <w:spacing w:before="240"/>
        <w:rPr>
          <w:b/>
          <w:noProof/>
          <w:color w:val="000000" w:themeColor="text1"/>
          <w:szCs w:val="24"/>
          <w:lang w:eastAsia="en-GB"/>
        </w:rPr>
      </w:pPr>
      <w:r>
        <w:rPr>
          <w:b/>
          <w:noProof/>
          <w:szCs w:val="24"/>
          <w:u w:val="single"/>
        </w:rPr>
        <w:t>TLC20 – 2025 (LEVD_25)</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color w:val="000000" w:themeColor="text1"/>
                <w:szCs w:val="24"/>
              </w:rPr>
              <w:br w:type="page"/>
            </w: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TLC20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rPr>
            </w:pPr>
            <w:r>
              <w:rPr>
                <w:noProof/>
              </w:rPr>
              <w:t>115</w:t>
            </w:r>
          </w:p>
        </w:tc>
        <w:tc>
          <w:tcPr>
            <w:tcW w:w="1050" w:type="pct"/>
            <w:noWrap/>
          </w:tcPr>
          <w:p w:rsidR="00B231CB" w:rsidRDefault="00C71431">
            <w:pPr>
              <w:spacing w:after="120"/>
              <w:jc w:val="center"/>
              <w:rPr>
                <w:noProof/>
              </w:rPr>
            </w:pPr>
            <w:r>
              <w:rPr>
                <w:noProof/>
              </w:rPr>
              <w:t>-233</w:t>
            </w:r>
          </w:p>
        </w:tc>
        <w:tc>
          <w:tcPr>
            <w:tcW w:w="1049" w:type="pct"/>
            <w:noWrap/>
          </w:tcPr>
          <w:p w:rsidR="00B231CB" w:rsidRDefault="00C71431">
            <w:pPr>
              <w:spacing w:after="120"/>
              <w:jc w:val="center"/>
              <w:rPr>
                <w:noProof/>
              </w:rPr>
            </w:pPr>
            <w:r>
              <w:rPr>
                <w:noProof/>
              </w:rPr>
              <w:t>-229</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rPr>
            </w:pPr>
            <w:r>
              <w:rPr>
                <w:noProof/>
              </w:rPr>
              <w:t>1</w:t>
            </w:r>
          </w:p>
        </w:tc>
        <w:tc>
          <w:tcPr>
            <w:tcW w:w="1050" w:type="pct"/>
            <w:noWrap/>
          </w:tcPr>
          <w:p w:rsidR="00B231CB" w:rsidRDefault="00C71431">
            <w:pPr>
              <w:spacing w:after="120"/>
              <w:jc w:val="center"/>
              <w:rPr>
                <w:noProof/>
              </w:rPr>
            </w:pPr>
            <w:r>
              <w:rPr>
                <w:noProof/>
              </w:rPr>
              <w:t>170</w:t>
            </w:r>
          </w:p>
        </w:tc>
        <w:tc>
          <w:tcPr>
            <w:tcW w:w="1049" w:type="pct"/>
            <w:noWrap/>
          </w:tcPr>
          <w:p w:rsidR="00B231CB" w:rsidRDefault="00C71431">
            <w:pPr>
              <w:spacing w:after="120"/>
              <w:jc w:val="center"/>
              <w:rPr>
                <w:noProof/>
              </w:rPr>
            </w:pPr>
            <w:r>
              <w:rPr>
                <w:noProof/>
              </w:rPr>
              <w:t>207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rPr>
            </w:pPr>
            <w:r>
              <w:rPr>
                <w:noProof/>
              </w:rPr>
              <w:t>354</w:t>
            </w:r>
          </w:p>
        </w:tc>
        <w:tc>
          <w:tcPr>
            <w:tcW w:w="1050" w:type="pct"/>
            <w:tcBorders>
              <w:bottom w:val="single" w:sz="24" w:space="0" w:color="auto"/>
            </w:tcBorders>
            <w:noWrap/>
          </w:tcPr>
          <w:p w:rsidR="00B231CB" w:rsidRDefault="00C71431">
            <w:pPr>
              <w:spacing w:after="120"/>
              <w:jc w:val="center"/>
              <w:rPr>
                <w:noProof/>
              </w:rPr>
            </w:pPr>
            <w:r>
              <w:rPr>
                <w:noProof/>
              </w:rPr>
              <w:t>42</w:t>
            </w:r>
          </w:p>
        </w:tc>
        <w:tc>
          <w:tcPr>
            <w:tcW w:w="1049" w:type="pct"/>
            <w:tcBorders>
              <w:bottom w:val="single" w:sz="24" w:space="0" w:color="auto"/>
            </w:tcBorders>
            <w:noWrap/>
          </w:tcPr>
          <w:p w:rsidR="00B231CB" w:rsidRDefault="00C71431">
            <w:pPr>
              <w:spacing w:after="120"/>
              <w:jc w:val="center"/>
              <w:rPr>
                <w:noProof/>
              </w:rPr>
            </w:pPr>
            <w:r>
              <w:rPr>
                <w:noProof/>
              </w:rPr>
              <w:t>-153</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rPr>
            </w:pPr>
            <w:r>
              <w:rPr>
                <w:i/>
                <w:noProof/>
              </w:rPr>
              <w:t>100</w:t>
            </w:r>
          </w:p>
        </w:tc>
        <w:tc>
          <w:tcPr>
            <w:tcW w:w="1050" w:type="pct"/>
            <w:noWrap/>
          </w:tcPr>
          <w:p w:rsidR="00B231CB" w:rsidRDefault="00C71431">
            <w:pPr>
              <w:spacing w:after="120"/>
              <w:jc w:val="center"/>
              <w:rPr>
                <w:i/>
                <w:noProof/>
              </w:rPr>
            </w:pPr>
            <w:r>
              <w:rPr>
                <w:i/>
                <w:noProof/>
              </w:rPr>
              <w:t>106</w:t>
            </w:r>
          </w:p>
        </w:tc>
        <w:tc>
          <w:tcPr>
            <w:tcW w:w="1049" w:type="pct"/>
            <w:noWrap/>
          </w:tcPr>
          <w:p w:rsidR="00B231CB" w:rsidRDefault="00C71431">
            <w:pPr>
              <w:spacing w:after="120"/>
              <w:jc w:val="center"/>
              <w:rPr>
                <w:i/>
                <w:noProof/>
              </w:rPr>
            </w:pPr>
            <w:r>
              <w:rPr>
                <w:i/>
                <w:noProof/>
              </w:rPr>
              <w:t>-131</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TLC20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rPr>
            </w:pPr>
            <w:r>
              <w:rPr>
                <w:noProof/>
              </w:rPr>
              <w:t>90</w:t>
            </w:r>
          </w:p>
        </w:tc>
        <w:tc>
          <w:tcPr>
            <w:tcW w:w="1050" w:type="pct"/>
            <w:noWrap/>
          </w:tcPr>
          <w:p w:rsidR="00B231CB" w:rsidRDefault="00C71431">
            <w:pPr>
              <w:spacing w:after="120"/>
              <w:jc w:val="center"/>
              <w:rPr>
                <w:noProof/>
              </w:rPr>
            </w:pPr>
            <w:r>
              <w:rPr>
                <w:noProof/>
              </w:rPr>
              <w:t>-183</w:t>
            </w:r>
          </w:p>
        </w:tc>
        <w:tc>
          <w:tcPr>
            <w:tcW w:w="1050" w:type="pct"/>
            <w:noWrap/>
          </w:tcPr>
          <w:p w:rsidR="00B231CB" w:rsidRDefault="00C71431">
            <w:pPr>
              <w:spacing w:after="120"/>
              <w:jc w:val="center"/>
              <w:rPr>
                <w:noProof/>
              </w:rPr>
            </w:pPr>
            <w:r>
              <w:rPr>
                <w:noProof/>
              </w:rPr>
              <w:t>-179</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O&amp;</w:t>
            </w:r>
            <w:r>
              <w:rPr>
                <w:noProof/>
                <w:color w:val="000000" w:themeColor="text1"/>
                <w:szCs w:val="24"/>
              </w:rPr>
              <w:t xml:space="preserve">M cost [2] </w:t>
            </w:r>
          </w:p>
        </w:tc>
        <w:tc>
          <w:tcPr>
            <w:tcW w:w="1050" w:type="pct"/>
            <w:noWrap/>
          </w:tcPr>
          <w:p w:rsidR="00B231CB" w:rsidRDefault="00C71431">
            <w:pPr>
              <w:spacing w:after="120"/>
              <w:jc w:val="center"/>
              <w:rPr>
                <w:noProof/>
              </w:rPr>
            </w:pPr>
            <w:r>
              <w:rPr>
                <w:noProof/>
              </w:rPr>
              <w:t>58</w:t>
            </w:r>
          </w:p>
        </w:tc>
        <w:tc>
          <w:tcPr>
            <w:tcW w:w="1050" w:type="pct"/>
            <w:noWrap/>
          </w:tcPr>
          <w:p w:rsidR="00B231CB" w:rsidRDefault="00C71431">
            <w:pPr>
              <w:spacing w:after="120"/>
              <w:jc w:val="center"/>
              <w:rPr>
                <w:noProof/>
              </w:rPr>
            </w:pPr>
            <w:r>
              <w:rPr>
                <w:noProof/>
              </w:rPr>
              <w:t>71</w:t>
            </w:r>
          </w:p>
        </w:tc>
        <w:tc>
          <w:tcPr>
            <w:tcW w:w="1050" w:type="pct"/>
            <w:noWrap/>
          </w:tcPr>
          <w:p w:rsidR="00B231CB" w:rsidRDefault="00C71431">
            <w:pPr>
              <w:spacing w:after="120"/>
              <w:jc w:val="center"/>
              <w:rPr>
                <w:noProof/>
              </w:rPr>
            </w:pPr>
            <w:r>
              <w:rPr>
                <w:noProof/>
              </w:rPr>
              <w:t>87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rPr>
            </w:pPr>
            <w:r>
              <w:rPr>
                <w:noProof/>
              </w:rPr>
              <w:t>348</w:t>
            </w:r>
          </w:p>
        </w:tc>
        <w:tc>
          <w:tcPr>
            <w:tcW w:w="1050" w:type="pct"/>
            <w:tcBorders>
              <w:bottom w:val="single" w:sz="24" w:space="0" w:color="auto"/>
            </w:tcBorders>
            <w:noWrap/>
          </w:tcPr>
          <w:p w:rsidR="00B231CB" w:rsidRDefault="00C71431">
            <w:pPr>
              <w:spacing w:after="120"/>
              <w:jc w:val="center"/>
              <w:rPr>
                <w:noProof/>
              </w:rPr>
            </w:pPr>
            <w:r>
              <w:rPr>
                <w:noProof/>
              </w:rPr>
              <w:t>164</w:t>
            </w:r>
          </w:p>
        </w:tc>
        <w:tc>
          <w:tcPr>
            <w:tcW w:w="1050" w:type="pct"/>
            <w:tcBorders>
              <w:bottom w:val="single" w:sz="24" w:space="0" w:color="auto"/>
            </w:tcBorders>
            <w:noWrap/>
          </w:tcPr>
          <w:p w:rsidR="00B231CB" w:rsidRDefault="00C71431">
            <w:pPr>
              <w:spacing w:after="120"/>
              <w:jc w:val="center"/>
              <w:rPr>
                <w:noProof/>
              </w:rPr>
            </w:pPr>
            <w:r>
              <w:rPr>
                <w:noProof/>
              </w:rPr>
              <w:t>47</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rPr>
            </w:pPr>
            <w:r>
              <w:rPr>
                <w:i/>
                <w:noProof/>
              </w:rPr>
              <w:t>200</w:t>
            </w:r>
          </w:p>
        </w:tc>
        <w:tc>
          <w:tcPr>
            <w:tcW w:w="1050" w:type="pct"/>
            <w:noWrap/>
          </w:tcPr>
          <w:p w:rsidR="00B231CB" w:rsidRDefault="00C71431">
            <w:pPr>
              <w:spacing w:after="120"/>
              <w:jc w:val="center"/>
              <w:rPr>
                <w:i/>
                <w:noProof/>
              </w:rPr>
            </w:pPr>
            <w:r>
              <w:rPr>
                <w:i/>
                <w:noProof/>
              </w:rPr>
              <w:t>276</w:t>
            </w:r>
          </w:p>
        </w:tc>
        <w:tc>
          <w:tcPr>
            <w:tcW w:w="1050" w:type="pct"/>
            <w:noWrap/>
          </w:tcPr>
          <w:p w:rsidR="00B231CB" w:rsidRDefault="00C71431">
            <w:pPr>
              <w:spacing w:after="120"/>
              <w:jc w:val="center"/>
              <w:rPr>
                <w:i/>
                <w:noProof/>
              </w:rPr>
            </w:pPr>
            <w:r>
              <w:rPr>
                <w:i/>
                <w:noProof/>
              </w:rPr>
              <w:t>139</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TLC20 - 2025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rPr>
            </w:pPr>
            <w:r>
              <w:rPr>
                <w:noProof/>
              </w:rPr>
              <w:t>43</w:t>
            </w:r>
          </w:p>
        </w:tc>
        <w:tc>
          <w:tcPr>
            <w:tcW w:w="1050" w:type="pct"/>
            <w:noWrap/>
          </w:tcPr>
          <w:p w:rsidR="00B231CB" w:rsidRDefault="00C71431">
            <w:pPr>
              <w:spacing w:after="120"/>
              <w:jc w:val="center"/>
              <w:rPr>
                <w:noProof/>
              </w:rPr>
            </w:pPr>
            <w:r>
              <w:rPr>
                <w:noProof/>
              </w:rPr>
              <w:t>-88</w:t>
            </w:r>
          </w:p>
        </w:tc>
        <w:tc>
          <w:tcPr>
            <w:tcW w:w="1050" w:type="pct"/>
            <w:noWrap/>
          </w:tcPr>
          <w:p w:rsidR="00B231CB" w:rsidRDefault="00C71431">
            <w:pPr>
              <w:spacing w:after="120"/>
              <w:jc w:val="center"/>
              <w:rPr>
                <w:noProof/>
              </w:rPr>
            </w:pPr>
            <w:r>
              <w:rPr>
                <w:noProof/>
              </w:rPr>
              <w:t>-87</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rPr>
            </w:pPr>
            <w:r>
              <w:rPr>
                <w:noProof/>
              </w:rPr>
              <w:t>58</w:t>
            </w:r>
          </w:p>
        </w:tc>
        <w:tc>
          <w:tcPr>
            <w:tcW w:w="1050" w:type="pct"/>
            <w:noWrap/>
          </w:tcPr>
          <w:p w:rsidR="00B231CB" w:rsidRDefault="00C71431">
            <w:pPr>
              <w:spacing w:after="120"/>
              <w:jc w:val="center"/>
              <w:rPr>
                <w:noProof/>
              </w:rPr>
            </w:pPr>
            <w:r>
              <w:rPr>
                <w:noProof/>
              </w:rPr>
              <w:t>71</w:t>
            </w:r>
          </w:p>
        </w:tc>
        <w:tc>
          <w:tcPr>
            <w:tcW w:w="1050" w:type="pct"/>
            <w:noWrap/>
          </w:tcPr>
          <w:p w:rsidR="00B231CB" w:rsidRDefault="00C71431">
            <w:pPr>
              <w:spacing w:after="120"/>
              <w:jc w:val="center"/>
              <w:rPr>
                <w:noProof/>
              </w:rPr>
            </w:pPr>
            <w:r>
              <w:rPr>
                <w:noProof/>
              </w:rPr>
              <w:t>87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rPr>
            </w:pPr>
            <w:r>
              <w:rPr>
                <w:noProof/>
              </w:rPr>
              <w:t>302</w:t>
            </w:r>
          </w:p>
        </w:tc>
        <w:tc>
          <w:tcPr>
            <w:tcW w:w="1050" w:type="pct"/>
            <w:tcBorders>
              <w:bottom w:val="single" w:sz="24" w:space="0" w:color="auto"/>
            </w:tcBorders>
            <w:noWrap/>
          </w:tcPr>
          <w:p w:rsidR="00B231CB" w:rsidRDefault="00C71431">
            <w:pPr>
              <w:spacing w:after="120"/>
              <w:jc w:val="center"/>
              <w:rPr>
                <w:noProof/>
              </w:rPr>
            </w:pPr>
            <w:r>
              <w:rPr>
                <w:noProof/>
              </w:rPr>
              <w:t>137</w:t>
            </w:r>
          </w:p>
        </w:tc>
        <w:tc>
          <w:tcPr>
            <w:tcW w:w="1050" w:type="pct"/>
            <w:tcBorders>
              <w:bottom w:val="single" w:sz="24" w:space="0" w:color="auto"/>
            </w:tcBorders>
            <w:noWrap/>
          </w:tcPr>
          <w:p w:rsidR="00B231CB" w:rsidRDefault="00C71431">
            <w:pPr>
              <w:spacing w:after="120"/>
              <w:jc w:val="center"/>
              <w:rPr>
                <w:noProof/>
              </w:rPr>
            </w:pPr>
            <w:r>
              <w:rPr>
                <w:noProof/>
              </w:rPr>
              <w:t>33</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rPr>
            </w:pPr>
            <w:r>
              <w:rPr>
                <w:i/>
                <w:noProof/>
              </w:rPr>
              <w:t>201</w:t>
            </w:r>
          </w:p>
        </w:tc>
        <w:tc>
          <w:tcPr>
            <w:tcW w:w="1050" w:type="pct"/>
            <w:noWrap/>
          </w:tcPr>
          <w:p w:rsidR="00B231CB" w:rsidRDefault="00C71431">
            <w:pPr>
              <w:spacing w:after="120"/>
              <w:jc w:val="center"/>
              <w:rPr>
                <w:i/>
                <w:noProof/>
              </w:rPr>
            </w:pPr>
            <w:r>
              <w:rPr>
                <w:i/>
                <w:noProof/>
              </w:rPr>
              <w:t>154</w:t>
            </w:r>
          </w:p>
        </w:tc>
        <w:tc>
          <w:tcPr>
            <w:tcW w:w="1050" w:type="pct"/>
            <w:noWrap/>
          </w:tcPr>
          <w:p w:rsidR="00B231CB" w:rsidRDefault="00C71431">
            <w:pPr>
              <w:spacing w:after="120"/>
              <w:jc w:val="center"/>
              <w:rPr>
                <w:i/>
                <w:noProof/>
              </w:rPr>
            </w:pPr>
            <w:r>
              <w:rPr>
                <w:i/>
                <w:noProof/>
              </w:rPr>
              <w:t>33</w:t>
            </w:r>
          </w:p>
        </w:tc>
      </w:tr>
    </w:tbl>
    <w:p w:rsidR="00B231CB" w:rsidRDefault="00B231CB">
      <w:pPr>
        <w:spacing w:before="240"/>
        <w:rPr>
          <w:b/>
          <w:noProof/>
          <w:szCs w:val="24"/>
          <w:u w:val="single"/>
        </w:rPr>
      </w:pPr>
    </w:p>
    <w:p w:rsidR="00B231CB" w:rsidRDefault="00C71431">
      <w:pPr>
        <w:rPr>
          <w:noProof/>
        </w:rPr>
      </w:pPr>
      <w:r>
        <w:rPr>
          <w:noProof/>
        </w:rPr>
        <w:br w:type="page"/>
      </w:r>
    </w:p>
    <w:p w:rsidR="00B231CB" w:rsidRDefault="00C71431">
      <w:pPr>
        <w:spacing w:before="240"/>
        <w:rPr>
          <w:b/>
          <w:noProof/>
          <w:color w:val="000000" w:themeColor="text1"/>
          <w:szCs w:val="24"/>
          <w:lang w:eastAsia="en-GB"/>
        </w:rPr>
      </w:pPr>
      <w:r>
        <w:rPr>
          <w:b/>
          <w:noProof/>
          <w:szCs w:val="24"/>
          <w:u w:val="single"/>
        </w:rPr>
        <w:t>TLC20 – 2030 (LEVD_25)</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TLC20 - 2030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rPr>
            </w:pPr>
            <w:r>
              <w:rPr>
                <w:noProof/>
              </w:rPr>
              <w:t>419</w:t>
            </w:r>
          </w:p>
        </w:tc>
        <w:tc>
          <w:tcPr>
            <w:tcW w:w="1050" w:type="pct"/>
            <w:noWrap/>
          </w:tcPr>
          <w:p w:rsidR="00B231CB" w:rsidRDefault="00C71431">
            <w:pPr>
              <w:spacing w:after="120"/>
              <w:jc w:val="center"/>
              <w:rPr>
                <w:noProof/>
              </w:rPr>
            </w:pPr>
            <w:r>
              <w:rPr>
                <w:noProof/>
              </w:rPr>
              <w:t>-114</w:t>
            </w:r>
          </w:p>
        </w:tc>
        <w:tc>
          <w:tcPr>
            <w:tcW w:w="1049" w:type="pct"/>
            <w:noWrap/>
          </w:tcPr>
          <w:p w:rsidR="00B231CB" w:rsidRDefault="00C71431">
            <w:pPr>
              <w:spacing w:after="120"/>
              <w:jc w:val="center"/>
              <w:rPr>
                <w:noProof/>
              </w:rPr>
            </w:pPr>
            <w:r>
              <w:rPr>
                <w:noProof/>
              </w:rPr>
              <w:t>-107</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rPr>
            </w:pPr>
            <w:r>
              <w:rPr>
                <w:noProof/>
              </w:rPr>
              <w:t>-62</w:t>
            </w:r>
          </w:p>
        </w:tc>
        <w:tc>
          <w:tcPr>
            <w:tcW w:w="1050" w:type="pct"/>
            <w:noWrap/>
          </w:tcPr>
          <w:p w:rsidR="00B231CB" w:rsidRDefault="00C71431">
            <w:pPr>
              <w:spacing w:after="120"/>
              <w:jc w:val="center"/>
              <w:rPr>
                <w:noProof/>
              </w:rPr>
            </w:pPr>
            <w:r>
              <w:rPr>
                <w:noProof/>
              </w:rPr>
              <w:t>-87</w:t>
            </w:r>
          </w:p>
        </w:tc>
        <w:tc>
          <w:tcPr>
            <w:tcW w:w="1049" w:type="pct"/>
            <w:noWrap/>
          </w:tcPr>
          <w:p w:rsidR="00B231CB" w:rsidRDefault="00C71431">
            <w:pPr>
              <w:spacing w:after="120"/>
              <w:jc w:val="center"/>
              <w:rPr>
                <w:noProof/>
              </w:rPr>
            </w:pPr>
            <w:r>
              <w:rPr>
                <w:noProof/>
              </w:rPr>
              <w:t>-4</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rPr>
            </w:pPr>
            <w:r>
              <w:rPr>
                <w:noProof/>
              </w:rPr>
              <w:t>1,159</w:t>
            </w:r>
          </w:p>
        </w:tc>
        <w:tc>
          <w:tcPr>
            <w:tcW w:w="1050" w:type="pct"/>
            <w:tcBorders>
              <w:bottom w:val="single" w:sz="24" w:space="0" w:color="auto"/>
            </w:tcBorders>
            <w:noWrap/>
          </w:tcPr>
          <w:p w:rsidR="00B231CB" w:rsidRDefault="00C71431">
            <w:pPr>
              <w:spacing w:after="120"/>
              <w:jc w:val="center"/>
              <w:rPr>
                <w:noProof/>
              </w:rPr>
            </w:pPr>
            <w:r>
              <w:rPr>
                <w:noProof/>
              </w:rPr>
              <w:t>608</w:t>
            </w:r>
          </w:p>
        </w:tc>
        <w:tc>
          <w:tcPr>
            <w:tcW w:w="1049" w:type="pct"/>
            <w:tcBorders>
              <w:bottom w:val="single" w:sz="24" w:space="0" w:color="auto"/>
            </w:tcBorders>
            <w:noWrap/>
          </w:tcPr>
          <w:p w:rsidR="00B231CB" w:rsidRDefault="00C71431">
            <w:pPr>
              <w:spacing w:after="120"/>
              <w:jc w:val="center"/>
              <w:rPr>
                <w:noProof/>
              </w:rPr>
            </w:pPr>
            <w:r>
              <w:rPr>
                <w:noProof/>
              </w:rPr>
              <w:t>297</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rPr>
            </w:pPr>
            <w:r>
              <w:rPr>
                <w:i/>
                <w:noProof/>
              </w:rPr>
              <w:t>802</w:t>
            </w:r>
          </w:p>
        </w:tc>
        <w:tc>
          <w:tcPr>
            <w:tcW w:w="1050" w:type="pct"/>
            <w:noWrap/>
          </w:tcPr>
          <w:p w:rsidR="00B231CB" w:rsidRDefault="00C71431">
            <w:pPr>
              <w:spacing w:after="120"/>
              <w:jc w:val="center"/>
              <w:rPr>
                <w:i/>
                <w:noProof/>
              </w:rPr>
            </w:pPr>
            <w:r>
              <w:rPr>
                <w:i/>
                <w:noProof/>
              </w:rPr>
              <w:t>810</w:t>
            </w:r>
          </w:p>
        </w:tc>
        <w:tc>
          <w:tcPr>
            <w:tcW w:w="1049" w:type="pct"/>
            <w:noWrap/>
          </w:tcPr>
          <w:p w:rsidR="00B231CB" w:rsidRDefault="00C71431">
            <w:pPr>
              <w:spacing w:after="120"/>
              <w:jc w:val="center"/>
              <w:rPr>
                <w:i/>
                <w:noProof/>
              </w:rPr>
            </w:pPr>
            <w:r>
              <w:rPr>
                <w:i/>
                <w:noProof/>
              </w:rPr>
              <w:t>407</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TLC20 - 2030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rPr>
            </w:pPr>
            <w:r>
              <w:rPr>
                <w:noProof/>
              </w:rPr>
              <w:t>328</w:t>
            </w:r>
          </w:p>
        </w:tc>
        <w:tc>
          <w:tcPr>
            <w:tcW w:w="1050" w:type="pct"/>
            <w:noWrap/>
          </w:tcPr>
          <w:p w:rsidR="00B231CB" w:rsidRDefault="00C71431">
            <w:pPr>
              <w:spacing w:after="120"/>
              <w:jc w:val="center"/>
              <w:rPr>
                <w:noProof/>
              </w:rPr>
            </w:pPr>
            <w:r>
              <w:rPr>
                <w:noProof/>
              </w:rPr>
              <w:t>-89</w:t>
            </w:r>
          </w:p>
        </w:tc>
        <w:tc>
          <w:tcPr>
            <w:tcW w:w="1049" w:type="pct"/>
            <w:noWrap/>
          </w:tcPr>
          <w:p w:rsidR="00B231CB" w:rsidRDefault="00C71431">
            <w:pPr>
              <w:spacing w:after="120"/>
              <w:jc w:val="center"/>
              <w:rPr>
                <w:noProof/>
              </w:rPr>
            </w:pPr>
            <w:r>
              <w:rPr>
                <w:noProof/>
              </w:rPr>
              <w:t>-84</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rPr>
            </w:pPr>
            <w:r>
              <w:rPr>
                <w:noProof/>
              </w:rPr>
              <w:t>-26</w:t>
            </w:r>
          </w:p>
        </w:tc>
        <w:tc>
          <w:tcPr>
            <w:tcW w:w="1050" w:type="pct"/>
            <w:noWrap/>
          </w:tcPr>
          <w:p w:rsidR="00B231CB" w:rsidRDefault="00C71431">
            <w:pPr>
              <w:spacing w:after="120"/>
              <w:jc w:val="center"/>
              <w:rPr>
                <w:noProof/>
              </w:rPr>
            </w:pPr>
            <w:r>
              <w:rPr>
                <w:noProof/>
              </w:rPr>
              <w:t>-36</w:t>
            </w:r>
          </w:p>
        </w:tc>
        <w:tc>
          <w:tcPr>
            <w:tcW w:w="1049" w:type="pct"/>
            <w:noWrap/>
          </w:tcPr>
          <w:p w:rsidR="00B231CB" w:rsidRDefault="00C71431">
            <w:pPr>
              <w:spacing w:after="120"/>
              <w:jc w:val="center"/>
              <w:rPr>
                <w:noProof/>
              </w:rPr>
            </w:pPr>
            <w:r>
              <w:rPr>
                <w:noProof/>
              </w:rPr>
              <w:t>-2</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rPr>
            </w:pPr>
            <w:r>
              <w:rPr>
                <w:noProof/>
              </w:rPr>
              <w:t>1,025</w:t>
            </w:r>
          </w:p>
        </w:tc>
        <w:tc>
          <w:tcPr>
            <w:tcW w:w="1050" w:type="pct"/>
            <w:tcBorders>
              <w:bottom w:val="single" w:sz="24" w:space="0" w:color="auto"/>
            </w:tcBorders>
            <w:noWrap/>
          </w:tcPr>
          <w:p w:rsidR="00B231CB" w:rsidRDefault="00C71431">
            <w:pPr>
              <w:spacing w:after="120"/>
              <w:jc w:val="center"/>
              <w:rPr>
                <w:noProof/>
              </w:rPr>
            </w:pPr>
            <w:r>
              <w:rPr>
                <w:noProof/>
              </w:rPr>
              <w:t>710</w:t>
            </w:r>
          </w:p>
        </w:tc>
        <w:tc>
          <w:tcPr>
            <w:tcW w:w="1049" w:type="pct"/>
            <w:tcBorders>
              <w:bottom w:val="single" w:sz="24" w:space="0" w:color="auto"/>
            </w:tcBorders>
            <w:noWrap/>
          </w:tcPr>
          <w:p w:rsidR="00B231CB" w:rsidRDefault="00C71431">
            <w:pPr>
              <w:spacing w:after="120"/>
              <w:jc w:val="center"/>
              <w:rPr>
                <w:noProof/>
              </w:rPr>
            </w:pPr>
            <w:r>
              <w:rPr>
                <w:noProof/>
              </w:rPr>
              <w:t>515</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rPr>
            </w:pPr>
            <w:r>
              <w:rPr>
                <w:i/>
                <w:noProof/>
              </w:rPr>
              <w:t>723</w:t>
            </w:r>
          </w:p>
        </w:tc>
        <w:tc>
          <w:tcPr>
            <w:tcW w:w="1050" w:type="pct"/>
            <w:noWrap/>
          </w:tcPr>
          <w:p w:rsidR="00B231CB" w:rsidRDefault="00C71431">
            <w:pPr>
              <w:spacing w:after="120"/>
              <w:jc w:val="center"/>
              <w:rPr>
                <w:i/>
                <w:noProof/>
              </w:rPr>
            </w:pPr>
            <w:r>
              <w:rPr>
                <w:i/>
                <w:noProof/>
              </w:rPr>
              <w:t>836</w:t>
            </w:r>
          </w:p>
        </w:tc>
        <w:tc>
          <w:tcPr>
            <w:tcW w:w="1049" w:type="pct"/>
            <w:noWrap/>
          </w:tcPr>
          <w:p w:rsidR="00B231CB" w:rsidRDefault="00C71431">
            <w:pPr>
              <w:spacing w:after="120"/>
              <w:jc w:val="center"/>
              <w:rPr>
                <w:i/>
                <w:noProof/>
              </w:rPr>
            </w:pPr>
            <w:r>
              <w:rPr>
                <w:i/>
                <w:noProof/>
              </w:rPr>
              <w:t>600</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TLC20 - 2030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rPr>
            </w:pPr>
            <w:r>
              <w:rPr>
                <w:noProof/>
              </w:rPr>
              <w:t>158</w:t>
            </w:r>
          </w:p>
        </w:tc>
        <w:tc>
          <w:tcPr>
            <w:tcW w:w="1050" w:type="pct"/>
            <w:noWrap/>
          </w:tcPr>
          <w:p w:rsidR="00B231CB" w:rsidRDefault="00C71431">
            <w:pPr>
              <w:spacing w:after="120"/>
              <w:jc w:val="center"/>
              <w:rPr>
                <w:noProof/>
              </w:rPr>
            </w:pPr>
            <w:r>
              <w:rPr>
                <w:noProof/>
              </w:rPr>
              <w:t>-43</w:t>
            </w:r>
          </w:p>
        </w:tc>
        <w:tc>
          <w:tcPr>
            <w:tcW w:w="1049" w:type="pct"/>
            <w:noWrap/>
          </w:tcPr>
          <w:p w:rsidR="00B231CB" w:rsidRDefault="00C71431">
            <w:pPr>
              <w:spacing w:after="120"/>
              <w:jc w:val="center"/>
              <w:rPr>
                <w:noProof/>
              </w:rPr>
            </w:pPr>
            <w:r>
              <w:rPr>
                <w:noProof/>
              </w:rPr>
              <w:t>-40</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rPr>
            </w:pPr>
            <w:r>
              <w:rPr>
                <w:noProof/>
              </w:rPr>
              <w:t>-26</w:t>
            </w:r>
          </w:p>
        </w:tc>
        <w:tc>
          <w:tcPr>
            <w:tcW w:w="1050" w:type="pct"/>
            <w:noWrap/>
          </w:tcPr>
          <w:p w:rsidR="00B231CB" w:rsidRDefault="00C71431">
            <w:pPr>
              <w:spacing w:after="120"/>
              <w:jc w:val="center"/>
              <w:rPr>
                <w:noProof/>
              </w:rPr>
            </w:pPr>
            <w:r>
              <w:rPr>
                <w:noProof/>
              </w:rPr>
              <w:t>-36</w:t>
            </w:r>
          </w:p>
        </w:tc>
        <w:tc>
          <w:tcPr>
            <w:tcW w:w="1049" w:type="pct"/>
            <w:noWrap/>
          </w:tcPr>
          <w:p w:rsidR="00B231CB" w:rsidRDefault="00C71431">
            <w:pPr>
              <w:spacing w:after="120"/>
              <w:jc w:val="center"/>
              <w:rPr>
                <w:noProof/>
              </w:rPr>
            </w:pPr>
            <w:r>
              <w:rPr>
                <w:noProof/>
              </w:rPr>
              <w:t>-2</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rPr>
            </w:pPr>
            <w:r>
              <w:rPr>
                <w:noProof/>
              </w:rPr>
              <w:t>841</w:t>
            </w:r>
          </w:p>
        </w:tc>
        <w:tc>
          <w:tcPr>
            <w:tcW w:w="1050" w:type="pct"/>
            <w:tcBorders>
              <w:bottom w:val="single" w:sz="24" w:space="0" w:color="auto"/>
            </w:tcBorders>
            <w:noWrap/>
          </w:tcPr>
          <w:p w:rsidR="00B231CB" w:rsidRDefault="00C71431">
            <w:pPr>
              <w:spacing w:after="120"/>
              <w:jc w:val="center"/>
              <w:rPr>
                <w:noProof/>
              </w:rPr>
            </w:pPr>
            <w:r>
              <w:rPr>
                <w:noProof/>
              </w:rPr>
              <w:t>583</w:t>
            </w:r>
          </w:p>
        </w:tc>
        <w:tc>
          <w:tcPr>
            <w:tcW w:w="1049" w:type="pct"/>
            <w:tcBorders>
              <w:bottom w:val="single" w:sz="24" w:space="0" w:color="auto"/>
            </w:tcBorders>
            <w:noWrap/>
          </w:tcPr>
          <w:p w:rsidR="00B231CB" w:rsidRDefault="00C71431">
            <w:pPr>
              <w:spacing w:after="120"/>
              <w:jc w:val="center"/>
              <w:rPr>
                <w:noProof/>
              </w:rPr>
            </w:pPr>
            <w:r>
              <w:rPr>
                <w:noProof/>
              </w:rPr>
              <w:t>429</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rPr>
            </w:pPr>
            <w:r>
              <w:rPr>
                <w:i/>
                <w:noProof/>
              </w:rPr>
              <w:t>708</w:t>
            </w:r>
          </w:p>
        </w:tc>
        <w:tc>
          <w:tcPr>
            <w:tcW w:w="1050" w:type="pct"/>
            <w:noWrap/>
          </w:tcPr>
          <w:p w:rsidR="00B231CB" w:rsidRDefault="00C71431">
            <w:pPr>
              <w:spacing w:after="120"/>
              <w:jc w:val="center"/>
              <w:rPr>
                <w:i/>
                <w:noProof/>
              </w:rPr>
            </w:pPr>
            <w:r>
              <w:rPr>
                <w:i/>
                <w:noProof/>
              </w:rPr>
              <w:t>662</w:t>
            </w:r>
          </w:p>
        </w:tc>
        <w:tc>
          <w:tcPr>
            <w:tcW w:w="1049" w:type="pct"/>
            <w:noWrap/>
          </w:tcPr>
          <w:p w:rsidR="00B231CB" w:rsidRDefault="00C71431">
            <w:pPr>
              <w:spacing w:after="120"/>
              <w:jc w:val="center"/>
              <w:rPr>
                <w:i/>
                <w:noProof/>
              </w:rPr>
            </w:pPr>
            <w:r>
              <w:rPr>
                <w:i/>
                <w:noProof/>
              </w:rPr>
              <w:t>471</w:t>
            </w:r>
          </w:p>
        </w:tc>
      </w:tr>
    </w:tbl>
    <w:p w:rsidR="00B231CB" w:rsidRDefault="00C71431">
      <w:pPr>
        <w:spacing w:before="240"/>
        <w:rPr>
          <w:b/>
          <w:noProof/>
          <w:color w:val="000000" w:themeColor="text1"/>
          <w:szCs w:val="24"/>
          <w:lang w:eastAsia="en-GB"/>
        </w:rPr>
      </w:pPr>
      <w:r>
        <w:rPr>
          <w:b/>
          <w:noProof/>
          <w:szCs w:val="24"/>
          <w:u w:val="single"/>
        </w:rPr>
        <w:t>TLC25 – 2025 (LEVD_25)</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 xml:space="preserve">Net savings from a </w:t>
            </w:r>
            <w:r>
              <w:rPr>
                <w:b/>
                <w:i/>
                <w:noProof/>
                <w:color w:val="000000" w:themeColor="text1"/>
              </w:rPr>
              <w:t>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TLC25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229</w:t>
            </w:r>
          </w:p>
        </w:tc>
        <w:tc>
          <w:tcPr>
            <w:tcW w:w="1050" w:type="pct"/>
            <w:noWrap/>
          </w:tcPr>
          <w:p w:rsidR="00B231CB" w:rsidRDefault="00C71431">
            <w:pPr>
              <w:spacing w:after="120"/>
              <w:jc w:val="center"/>
              <w:rPr>
                <w:noProof/>
                <w:szCs w:val="24"/>
              </w:rPr>
            </w:pPr>
            <w:r>
              <w:rPr>
                <w:noProof/>
                <w:szCs w:val="24"/>
              </w:rPr>
              <w:t>-153</w:t>
            </w:r>
          </w:p>
        </w:tc>
        <w:tc>
          <w:tcPr>
            <w:tcW w:w="1049" w:type="pct"/>
            <w:noWrap/>
          </w:tcPr>
          <w:p w:rsidR="00B231CB" w:rsidRDefault="00C71431">
            <w:pPr>
              <w:spacing w:after="120"/>
              <w:jc w:val="center"/>
              <w:rPr>
                <w:noProof/>
                <w:szCs w:val="24"/>
              </w:rPr>
            </w:pPr>
            <w:r>
              <w:rPr>
                <w:noProof/>
                <w:szCs w:val="24"/>
              </w:rPr>
              <w:t>-157</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w:t>
            </w:r>
          </w:p>
        </w:tc>
        <w:tc>
          <w:tcPr>
            <w:tcW w:w="1050" w:type="pct"/>
            <w:noWrap/>
          </w:tcPr>
          <w:p w:rsidR="00B231CB" w:rsidRDefault="00C71431">
            <w:pPr>
              <w:spacing w:after="120"/>
              <w:jc w:val="center"/>
              <w:rPr>
                <w:noProof/>
                <w:szCs w:val="24"/>
              </w:rPr>
            </w:pPr>
            <w:r>
              <w:rPr>
                <w:noProof/>
                <w:szCs w:val="24"/>
              </w:rPr>
              <w:t>185</w:t>
            </w:r>
          </w:p>
        </w:tc>
        <w:tc>
          <w:tcPr>
            <w:tcW w:w="1049" w:type="pct"/>
            <w:noWrap/>
          </w:tcPr>
          <w:p w:rsidR="00B231CB" w:rsidRDefault="00C71431">
            <w:pPr>
              <w:spacing w:after="120"/>
              <w:jc w:val="center"/>
              <w:rPr>
                <w:noProof/>
                <w:szCs w:val="24"/>
              </w:rPr>
            </w:pPr>
            <w:r>
              <w:rPr>
                <w:noProof/>
                <w:szCs w:val="24"/>
              </w:rPr>
              <w:t>205</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514</w:t>
            </w:r>
          </w:p>
        </w:tc>
        <w:tc>
          <w:tcPr>
            <w:tcW w:w="1050" w:type="pct"/>
            <w:tcBorders>
              <w:bottom w:val="single" w:sz="24" w:space="0" w:color="auto"/>
            </w:tcBorders>
            <w:noWrap/>
          </w:tcPr>
          <w:p w:rsidR="00B231CB" w:rsidRDefault="00C71431">
            <w:pPr>
              <w:spacing w:after="120"/>
              <w:jc w:val="center"/>
              <w:rPr>
                <w:noProof/>
                <w:szCs w:val="24"/>
              </w:rPr>
            </w:pPr>
            <w:r>
              <w:rPr>
                <w:noProof/>
                <w:szCs w:val="24"/>
              </w:rPr>
              <w:t>169</w:t>
            </w:r>
          </w:p>
        </w:tc>
        <w:tc>
          <w:tcPr>
            <w:tcW w:w="1049" w:type="pct"/>
            <w:tcBorders>
              <w:bottom w:val="single" w:sz="24" w:space="0" w:color="auto"/>
            </w:tcBorders>
            <w:noWrap/>
          </w:tcPr>
          <w:p w:rsidR="00B231CB" w:rsidRDefault="00C71431">
            <w:pPr>
              <w:spacing w:after="120"/>
              <w:jc w:val="center"/>
              <w:rPr>
                <w:noProof/>
                <w:szCs w:val="24"/>
              </w:rPr>
            </w:pPr>
            <w:r>
              <w:rPr>
                <w:noProof/>
                <w:szCs w:val="24"/>
              </w:rPr>
              <w:t>23</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149</w:t>
            </w:r>
          </w:p>
        </w:tc>
        <w:tc>
          <w:tcPr>
            <w:tcW w:w="1050" w:type="pct"/>
            <w:noWrap/>
          </w:tcPr>
          <w:p w:rsidR="00B231CB" w:rsidRDefault="00C71431">
            <w:pPr>
              <w:spacing w:after="120"/>
              <w:jc w:val="center"/>
              <w:rPr>
                <w:i/>
                <w:noProof/>
                <w:szCs w:val="24"/>
              </w:rPr>
            </w:pPr>
            <w:r>
              <w:rPr>
                <w:i/>
                <w:noProof/>
                <w:szCs w:val="24"/>
              </w:rPr>
              <w:t>138</w:t>
            </w:r>
          </w:p>
        </w:tc>
        <w:tc>
          <w:tcPr>
            <w:tcW w:w="1049" w:type="pct"/>
            <w:noWrap/>
          </w:tcPr>
          <w:p w:rsidR="00B231CB" w:rsidRDefault="00C71431">
            <w:pPr>
              <w:spacing w:after="120"/>
              <w:jc w:val="center"/>
              <w:rPr>
                <w:i/>
                <w:noProof/>
                <w:szCs w:val="24"/>
              </w:rPr>
            </w:pPr>
            <w:r>
              <w:rPr>
                <w:i/>
                <w:noProof/>
                <w:szCs w:val="24"/>
              </w:rPr>
              <w:t>-25</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TLC25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179</w:t>
            </w:r>
          </w:p>
        </w:tc>
        <w:tc>
          <w:tcPr>
            <w:tcW w:w="1050" w:type="pct"/>
            <w:noWrap/>
          </w:tcPr>
          <w:p w:rsidR="00B231CB" w:rsidRDefault="00C71431">
            <w:pPr>
              <w:spacing w:after="120"/>
              <w:jc w:val="center"/>
              <w:rPr>
                <w:noProof/>
                <w:szCs w:val="24"/>
              </w:rPr>
            </w:pPr>
            <w:r>
              <w:rPr>
                <w:noProof/>
                <w:szCs w:val="24"/>
              </w:rPr>
              <w:t>-120</w:t>
            </w:r>
          </w:p>
        </w:tc>
        <w:tc>
          <w:tcPr>
            <w:tcW w:w="1050" w:type="pct"/>
            <w:noWrap/>
          </w:tcPr>
          <w:p w:rsidR="00B231CB" w:rsidRDefault="00C71431">
            <w:pPr>
              <w:spacing w:after="120"/>
              <w:jc w:val="center"/>
              <w:rPr>
                <w:noProof/>
                <w:szCs w:val="24"/>
              </w:rPr>
            </w:pPr>
            <w:r>
              <w:rPr>
                <w:noProof/>
                <w:szCs w:val="24"/>
              </w:rPr>
              <w:t>-123</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58</w:t>
            </w:r>
          </w:p>
        </w:tc>
        <w:tc>
          <w:tcPr>
            <w:tcW w:w="1050" w:type="pct"/>
            <w:noWrap/>
          </w:tcPr>
          <w:p w:rsidR="00B231CB" w:rsidRDefault="00C71431">
            <w:pPr>
              <w:spacing w:after="120"/>
              <w:jc w:val="center"/>
              <w:rPr>
                <w:noProof/>
                <w:szCs w:val="24"/>
              </w:rPr>
            </w:pPr>
            <w:r>
              <w:rPr>
                <w:noProof/>
                <w:szCs w:val="24"/>
              </w:rPr>
              <w:t>79</w:t>
            </w:r>
          </w:p>
        </w:tc>
        <w:tc>
          <w:tcPr>
            <w:tcW w:w="1050" w:type="pct"/>
            <w:noWrap/>
          </w:tcPr>
          <w:p w:rsidR="00B231CB" w:rsidRDefault="00C71431">
            <w:pPr>
              <w:spacing w:after="120"/>
              <w:jc w:val="center"/>
              <w:rPr>
                <w:noProof/>
                <w:szCs w:val="24"/>
              </w:rPr>
            </w:pPr>
            <w:r>
              <w:rPr>
                <w:noProof/>
                <w:szCs w:val="24"/>
              </w:rPr>
              <w:t>87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482</w:t>
            </w:r>
          </w:p>
        </w:tc>
        <w:tc>
          <w:tcPr>
            <w:tcW w:w="1050" w:type="pct"/>
            <w:tcBorders>
              <w:bottom w:val="single" w:sz="24" w:space="0" w:color="auto"/>
            </w:tcBorders>
            <w:noWrap/>
          </w:tcPr>
          <w:p w:rsidR="00B231CB" w:rsidRDefault="00C71431">
            <w:pPr>
              <w:spacing w:after="120"/>
              <w:jc w:val="center"/>
              <w:rPr>
                <w:noProof/>
                <w:szCs w:val="24"/>
              </w:rPr>
            </w:pPr>
            <w:r>
              <w:rPr>
                <w:noProof/>
                <w:szCs w:val="24"/>
              </w:rPr>
              <w:t>282</w:t>
            </w:r>
          </w:p>
        </w:tc>
        <w:tc>
          <w:tcPr>
            <w:tcW w:w="1050" w:type="pct"/>
            <w:tcBorders>
              <w:bottom w:val="single" w:sz="24" w:space="0" w:color="auto"/>
            </w:tcBorders>
            <w:noWrap/>
          </w:tcPr>
          <w:p w:rsidR="00B231CB" w:rsidRDefault="00C71431">
            <w:pPr>
              <w:spacing w:after="120"/>
              <w:jc w:val="center"/>
              <w:rPr>
                <w:noProof/>
                <w:szCs w:val="24"/>
              </w:rPr>
            </w:pPr>
            <w:r>
              <w:rPr>
                <w:noProof/>
                <w:szCs w:val="24"/>
              </w:rPr>
              <w:t>195</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245</w:t>
            </w:r>
          </w:p>
        </w:tc>
        <w:tc>
          <w:tcPr>
            <w:tcW w:w="1050" w:type="pct"/>
            <w:noWrap/>
          </w:tcPr>
          <w:p w:rsidR="00B231CB" w:rsidRDefault="00C71431">
            <w:pPr>
              <w:spacing w:after="120"/>
              <w:jc w:val="center"/>
              <w:rPr>
                <w:i/>
                <w:noProof/>
                <w:szCs w:val="24"/>
              </w:rPr>
            </w:pPr>
            <w:r>
              <w:rPr>
                <w:i/>
                <w:noProof/>
                <w:szCs w:val="24"/>
              </w:rPr>
              <w:t>323</w:t>
            </w:r>
          </w:p>
        </w:tc>
        <w:tc>
          <w:tcPr>
            <w:tcW w:w="1050" w:type="pct"/>
            <w:noWrap/>
          </w:tcPr>
          <w:p w:rsidR="00B231CB" w:rsidRDefault="00C71431">
            <w:pPr>
              <w:spacing w:after="120"/>
              <w:jc w:val="center"/>
              <w:rPr>
                <w:i/>
                <w:noProof/>
                <w:szCs w:val="24"/>
              </w:rPr>
            </w:pPr>
            <w:r>
              <w:rPr>
                <w:i/>
                <w:noProof/>
                <w:szCs w:val="24"/>
              </w:rPr>
              <w:t>230</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TLC25 - 2025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86</w:t>
            </w:r>
          </w:p>
        </w:tc>
        <w:tc>
          <w:tcPr>
            <w:tcW w:w="1050" w:type="pct"/>
            <w:noWrap/>
          </w:tcPr>
          <w:p w:rsidR="00B231CB" w:rsidRDefault="00C71431">
            <w:pPr>
              <w:spacing w:after="120"/>
              <w:jc w:val="center"/>
              <w:rPr>
                <w:noProof/>
                <w:szCs w:val="24"/>
              </w:rPr>
            </w:pPr>
            <w:r>
              <w:rPr>
                <w:noProof/>
                <w:szCs w:val="24"/>
              </w:rPr>
              <w:t>-58</w:t>
            </w:r>
          </w:p>
        </w:tc>
        <w:tc>
          <w:tcPr>
            <w:tcW w:w="1049" w:type="pct"/>
            <w:noWrap/>
          </w:tcPr>
          <w:p w:rsidR="00B231CB" w:rsidRDefault="00C71431">
            <w:pPr>
              <w:spacing w:after="120"/>
              <w:jc w:val="center"/>
              <w:rPr>
                <w:noProof/>
                <w:szCs w:val="24"/>
              </w:rPr>
            </w:pPr>
            <w:r>
              <w:rPr>
                <w:noProof/>
                <w:szCs w:val="24"/>
              </w:rPr>
              <w:t>-59</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58</w:t>
            </w:r>
          </w:p>
        </w:tc>
        <w:tc>
          <w:tcPr>
            <w:tcW w:w="1050" w:type="pct"/>
            <w:noWrap/>
          </w:tcPr>
          <w:p w:rsidR="00B231CB" w:rsidRDefault="00C71431">
            <w:pPr>
              <w:spacing w:after="120"/>
              <w:jc w:val="center"/>
              <w:rPr>
                <w:noProof/>
                <w:szCs w:val="24"/>
              </w:rPr>
            </w:pPr>
            <w:r>
              <w:rPr>
                <w:noProof/>
                <w:szCs w:val="24"/>
              </w:rPr>
              <w:t>79</w:t>
            </w:r>
          </w:p>
        </w:tc>
        <w:tc>
          <w:tcPr>
            <w:tcW w:w="1049" w:type="pct"/>
            <w:noWrap/>
          </w:tcPr>
          <w:p w:rsidR="00B231CB" w:rsidRDefault="00C71431">
            <w:pPr>
              <w:spacing w:after="120"/>
              <w:jc w:val="center"/>
              <w:rPr>
                <w:noProof/>
                <w:szCs w:val="24"/>
              </w:rPr>
            </w:pPr>
            <w:r>
              <w:rPr>
                <w:noProof/>
                <w:szCs w:val="24"/>
              </w:rPr>
              <w:t>87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416</w:t>
            </w:r>
          </w:p>
        </w:tc>
        <w:tc>
          <w:tcPr>
            <w:tcW w:w="1050" w:type="pct"/>
            <w:tcBorders>
              <w:bottom w:val="single" w:sz="24" w:space="0" w:color="auto"/>
            </w:tcBorders>
            <w:noWrap/>
          </w:tcPr>
          <w:p w:rsidR="00B231CB" w:rsidRDefault="00C71431">
            <w:pPr>
              <w:spacing w:after="120"/>
              <w:jc w:val="center"/>
              <w:rPr>
                <w:noProof/>
                <w:szCs w:val="24"/>
              </w:rPr>
            </w:pPr>
            <w:r>
              <w:rPr>
                <w:noProof/>
                <w:szCs w:val="24"/>
              </w:rPr>
              <w:t>232</w:t>
            </w:r>
          </w:p>
        </w:tc>
        <w:tc>
          <w:tcPr>
            <w:tcW w:w="1049" w:type="pct"/>
            <w:tcBorders>
              <w:bottom w:val="single" w:sz="24" w:space="0" w:color="auto"/>
            </w:tcBorders>
            <w:noWrap/>
          </w:tcPr>
          <w:p w:rsidR="00B231CB" w:rsidRDefault="00C71431">
            <w:pPr>
              <w:spacing w:after="120"/>
              <w:jc w:val="center"/>
              <w:rPr>
                <w:noProof/>
                <w:szCs w:val="24"/>
              </w:rPr>
            </w:pPr>
            <w:r>
              <w:rPr>
                <w:noProof/>
                <w:szCs w:val="24"/>
              </w:rPr>
              <w:t>156</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272</w:t>
            </w:r>
          </w:p>
        </w:tc>
        <w:tc>
          <w:tcPr>
            <w:tcW w:w="1050" w:type="pct"/>
            <w:noWrap/>
          </w:tcPr>
          <w:p w:rsidR="00B231CB" w:rsidRDefault="00C71431">
            <w:pPr>
              <w:spacing w:after="120"/>
              <w:jc w:val="center"/>
              <w:rPr>
                <w:i/>
                <w:noProof/>
                <w:szCs w:val="24"/>
              </w:rPr>
            </w:pPr>
            <w:r>
              <w:rPr>
                <w:i/>
                <w:noProof/>
                <w:szCs w:val="24"/>
              </w:rPr>
              <w:t>212</w:t>
            </w:r>
          </w:p>
        </w:tc>
        <w:tc>
          <w:tcPr>
            <w:tcW w:w="1049" w:type="pct"/>
            <w:noWrap/>
          </w:tcPr>
          <w:p w:rsidR="00B231CB" w:rsidRDefault="00C71431">
            <w:pPr>
              <w:spacing w:after="120"/>
              <w:jc w:val="center"/>
              <w:rPr>
                <w:i/>
                <w:noProof/>
                <w:szCs w:val="24"/>
              </w:rPr>
            </w:pPr>
            <w:r>
              <w:rPr>
                <w:i/>
                <w:noProof/>
                <w:szCs w:val="24"/>
              </w:rPr>
              <w:t>128</w:t>
            </w:r>
          </w:p>
        </w:tc>
      </w:tr>
    </w:tbl>
    <w:p w:rsidR="00B231CB" w:rsidRDefault="00C71431">
      <w:pPr>
        <w:spacing w:before="240"/>
        <w:rPr>
          <w:b/>
          <w:noProof/>
          <w:color w:val="000000" w:themeColor="text1"/>
          <w:szCs w:val="24"/>
          <w:lang w:eastAsia="en-GB"/>
        </w:rPr>
      </w:pPr>
      <w:r>
        <w:rPr>
          <w:b/>
          <w:noProof/>
          <w:szCs w:val="24"/>
          <w:u w:val="single"/>
        </w:rPr>
        <w:t>TLC25 – 2030 (LEVD_25)</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TLC25 - 2030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682</w:t>
            </w:r>
          </w:p>
        </w:tc>
        <w:tc>
          <w:tcPr>
            <w:tcW w:w="1050" w:type="pct"/>
            <w:noWrap/>
          </w:tcPr>
          <w:p w:rsidR="00B231CB" w:rsidRDefault="00C71431">
            <w:pPr>
              <w:spacing w:after="120"/>
              <w:jc w:val="center"/>
              <w:rPr>
                <w:noProof/>
                <w:szCs w:val="24"/>
              </w:rPr>
            </w:pPr>
            <w:r>
              <w:rPr>
                <w:noProof/>
                <w:szCs w:val="24"/>
              </w:rPr>
              <w:t>22</w:t>
            </w:r>
          </w:p>
        </w:tc>
        <w:tc>
          <w:tcPr>
            <w:tcW w:w="1049" w:type="pct"/>
            <w:noWrap/>
          </w:tcPr>
          <w:p w:rsidR="00B231CB" w:rsidRDefault="00C71431">
            <w:pPr>
              <w:spacing w:after="120"/>
              <w:jc w:val="center"/>
              <w:rPr>
                <w:noProof/>
                <w:szCs w:val="24"/>
              </w:rPr>
            </w:pPr>
            <w:r>
              <w:rPr>
                <w:noProof/>
                <w:szCs w:val="24"/>
              </w:rPr>
              <w:t>3</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-60</w:t>
            </w:r>
          </w:p>
        </w:tc>
        <w:tc>
          <w:tcPr>
            <w:tcW w:w="1050" w:type="pct"/>
            <w:noWrap/>
          </w:tcPr>
          <w:p w:rsidR="00B231CB" w:rsidRDefault="00C71431">
            <w:pPr>
              <w:spacing w:after="120"/>
              <w:jc w:val="center"/>
              <w:rPr>
                <w:noProof/>
                <w:szCs w:val="24"/>
              </w:rPr>
            </w:pPr>
            <w:r>
              <w:rPr>
                <w:noProof/>
                <w:szCs w:val="24"/>
              </w:rPr>
              <w:t>-95</w:t>
            </w:r>
          </w:p>
        </w:tc>
        <w:tc>
          <w:tcPr>
            <w:tcW w:w="1049" w:type="pct"/>
            <w:noWrap/>
          </w:tcPr>
          <w:p w:rsidR="00B231CB" w:rsidRDefault="00C71431">
            <w:pPr>
              <w:spacing w:after="120"/>
              <w:jc w:val="center"/>
              <w:rPr>
                <w:noProof/>
                <w:szCs w:val="24"/>
              </w:rPr>
            </w:pPr>
            <w:r>
              <w:rPr>
                <w:noProof/>
                <w:szCs w:val="24"/>
              </w:rPr>
              <w:t>-14</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1,521</w:t>
            </w:r>
          </w:p>
        </w:tc>
        <w:tc>
          <w:tcPr>
            <w:tcW w:w="1050" w:type="pct"/>
            <w:tcBorders>
              <w:bottom w:val="single" w:sz="24" w:space="0" w:color="auto"/>
            </w:tcBorders>
            <w:noWrap/>
          </w:tcPr>
          <w:p w:rsidR="00B231CB" w:rsidRDefault="00C71431">
            <w:pPr>
              <w:spacing w:after="120"/>
              <w:jc w:val="center"/>
              <w:rPr>
                <w:noProof/>
                <w:szCs w:val="24"/>
              </w:rPr>
            </w:pPr>
            <w:r>
              <w:rPr>
                <w:noProof/>
                <w:szCs w:val="24"/>
              </w:rPr>
              <w:t>966</w:t>
            </w:r>
          </w:p>
        </w:tc>
        <w:tc>
          <w:tcPr>
            <w:tcW w:w="1049" w:type="pct"/>
            <w:tcBorders>
              <w:bottom w:val="single" w:sz="24" w:space="0" w:color="auto"/>
            </w:tcBorders>
            <w:noWrap/>
          </w:tcPr>
          <w:p w:rsidR="00B231CB" w:rsidRDefault="00C71431">
            <w:pPr>
              <w:spacing w:after="120"/>
              <w:jc w:val="center"/>
              <w:rPr>
                <w:noProof/>
                <w:szCs w:val="24"/>
              </w:rPr>
            </w:pPr>
            <w:r>
              <w:rPr>
                <w:noProof/>
                <w:szCs w:val="24"/>
              </w:rPr>
              <w:t>673</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899</w:t>
            </w:r>
          </w:p>
        </w:tc>
        <w:tc>
          <w:tcPr>
            <w:tcW w:w="1050" w:type="pct"/>
            <w:noWrap/>
          </w:tcPr>
          <w:p w:rsidR="00B231CB" w:rsidRDefault="00C71431">
            <w:pPr>
              <w:spacing w:after="120"/>
              <w:jc w:val="center"/>
              <w:rPr>
                <w:i/>
                <w:noProof/>
                <w:szCs w:val="24"/>
              </w:rPr>
            </w:pPr>
            <w:r>
              <w:rPr>
                <w:i/>
                <w:noProof/>
                <w:szCs w:val="24"/>
              </w:rPr>
              <w:t>1,039</w:t>
            </w:r>
          </w:p>
        </w:tc>
        <w:tc>
          <w:tcPr>
            <w:tcW w:w="1049" w:type="pct"/>
            <w:noWrap/>
          </w:tcPr>
          <w:p w:rsidR="00B231CB" w:rsidRDefault="00C71431">
            <w:pPr>
              <w:spacing w:after="120"/>
              <w:jc w:val="center"/>
              <w:rPr>
                <w:i/>
                <w:noProof/>
                <w:szCs w:val="24"/>
              </w:rPr>
            </w:pPr>
            <w:r>
              <w:rPr>
                <w:i/>
                <w:noProof/>
                <w:szCs w:val="24"/>
              </w:rPr>
              <w:t>684</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TLC25 - 2030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533</w:t>
            </w:r>
          </w:p>
        </w:tc>
        <w:tc>
          <w:tcPr>
            <w:tcW w:w="1050" w:type="pct"/>
            <w:noWrap/>
          </w:tcPr>
          <w:p w:rsidR="00B231CB" w:rsidRDefault="00C71431">
            <w:pPr>
              <w:spacing w:after="120"/>
              <w:jc w:val="center"/>
              <w:rPr>
                <w:noProof/>
                <w:szCs w:val="24"/>
              </w:rPr>
            </w:pPr>
            <w:r>
              <w:rPr>
                <w:noProof/>
                <w:szCs w:val="24"/>
              </w:rPr>
              <w:t>17</w:t>
            </w:r>
          </w:p>
        </w:tc>
        <w:tc>
          <w:tcPr>
            <w:tcW w:w="1049" w:type="pct"/>
            <w:noWrap/>
          </w:tcPr>
          <w:p w:rsidR="00B231CB" w:rsidRDefault="00C71431">
            <w:pPr>
              <w:spacing w:after="120"/>
              <w:jc w:val="center"/>
              <w:rPr>
                <w:noProof/>
                <w:szCs w:val="24"/>
              </w:rPr>
            </w:pPr>
            <w:r>
              <w:rPr>
                <w:noProof/>
                <w:szCs w:val="24"/>
              </w:rPr>
              <w:t>2</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-26</w:t>
            </w:r>
          </w:p>
        </w:tc>
        <w:tc>
          <w:tcPr>
            <w:tcW w:w="1050" w:type="pct"/>
            <w:noWrap/>
          </w:tcPr>
          <w:p w:rsidR="00B231CB" w:rsidRDefault="00C71431">
            <w:pPr>
              <w:spacing w:after="120"/>
              <w:jc w:val="center"/>
              <w:rPr>
                <w:noProof/>
                <w:szCs w:val="24"/>
              </w:rPr>
            </w:pPr>
            <w:r>
              <w:rPr>
                <w:noProof/>
                <w:szCs w:val="24"/>
              </w:rPr>
              <w:t>-40</w:t>
            </w:r>
          </w:p>
        </w:tc>
        <w:tc>
          <w:tcPr>
            <w:tcW w:w="1049" w:type="pct"/>
            <w:noWrap/>
          </w:tcPr>
          <w:p w:rsidR="00B231CB" w:rsidRDefault="00C71431">
            <w:pPr>
              <w:spacing w:after="120"/>
              <w:jc w:val="center"/>
              <w:rPr>
                <w:noProof/>
                <w:szCs w:val="24"/>
              </w:rPr>
            </w:pPr>
            <w:r>
              <w:rPr>
                <w:noProof/>
                <w:szCs w:val="24"/>
              </w:rPr>
              <w:t>-6</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1,325</w:t>
            </w:r>
          </w:p>
        </w:tc>
        <w:tc>
          <w:tcPr>
            <w:tcW w:w="1050" w:type="pct"/>
            <w:tcBorders>
              <w:bottom w:val="single" w:sz="24" w:space="0" w:color="auto"/>
            </w:tcBorders>
            <w:noWrap/>
          </w:tcPr>
          <w:p w:rsidR="00B231CB" w:rsidRDefault="00C71431">
            <w:pPr>
              <w:spacing w:after="120"/>
              <w:jc w:val="center"/>
              <w:rPr>
                <w:noProof/>
                <w:szCs w:val="24"/>
              </w:rPr>
            </w:pPr>
            <w:r>
              <w:rPr>
                <w:noProof/>
                <w:szCs w:val="24"/>
              </w:rPr>
              <w:t>1,009</w:t>
            </w:r>
          </w:p>
        </w:tc>
        <w:tc>
          <w:tcPr>
            <w:tcW w:w="1049" w:type="pct"/>
            <w:tcBorders>
              <w:bottom w:val="single" w:sz="24" w:space="0" w:color="auto"/>
            </w:tcBorders>
            <w:noWrap/>
          </w:tcPr>
          <w:p w:rsidR="00B231CB" w:rsidRDefault="00C71431">
            <w:pPr>
              <w:spacing w:after="120"/>
              <w:jc w:val="center"/>
              <w:rPr>
                <w:noProof/>
                <w:szCs w:val="24"/>
              </w:rPr>
            </w:pPr>
            <w:r>
              <w:rPr>
                <w:noProof/>
                <w:szCs w:val="24"/>
              </w:rPr>
              <w:t>826</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817</w:t>
            </w:r>
          </w:p>
        </w:tc>
        <w:tc>
          <w:tcPr>
            <w:tcW w:w="1050" w:type="pct"/>
            <w:noWrap/>
          </w:tcPr>
          <w:p w:rsidR="00B231CB" w:rsidRDefault="00C71431">
            <w:pPr>
              <w:spacing w:after="120"/>
              <w:jc w:val="center"/>
              <w:rPr>
                <w:i/>
                <w:noProof/>
                <w:szCs w:val="24"/>
              </w:rPr>
            </w:pPr>
            <w:r>
              <w:rPr>
                <w:i/>
                <w:noProof/>
                <w:szCs w:val="24"/>
              </w:rPr>
              <w:t>1,032</w:t>
            </w:r>
          </w:p>
        </w:tc>
        <w:tc>
          <w:tcPr>
            <w:tcW w:w="1049" w:type="pct"/>
            <w:noWrap/>
          </w:tcPr>
          <w:p w:rsidR="00B231CB" w:rsidRDefault="00C71431">
            <w:pPr>
              <w:spacing w:after="120"/>
              <w:jc w:val="center"/>
              <w:rPr>
                <w:i/>
                <w:noProof/>
                <w:szCs w:val="24"/>
              </w:rPr>
            </w:pPr>
            <w:r>
              <w:rPr>
                <w:i/>
                <w:noProof/>
                <w:szCs w:val="24"/>
              </w:rPr>
              <w:t>830</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TLC25 - 2030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257</w:t>
            </w:r>
          </w:p>
        </w:tc>
        <w:tc>
          <w:tcPr>
            <w:tcW w:w="1050" w:type="pct"/>
            <w:noWrap/>
          </w:tcPr>
          <w:p w:rsidR="00B231CB" w:rsidRDefault="00C71431">
            <w:pPr>
              <w:spacing w:after="120"/>
              <w:jc w:val="center"/>
              <w:rPr>
                <w:noProof/>
                <w:szCs w:val="24"/>
              </w:rPr>
            </w:pPr>
            <w:r>
              <w:rPr>
                <w:noProof/>
                <w:szCs w:val="24"/>
              </w:rPr>
              <w:t>8</w:t>
            </w:r>
          </w:p>
        </w:tc>
        <w:tc>
          <w:tcPr>
            <w:tcW w:w="1049" w:type="pct"/>
            <w:noWrap/>
          </w:tcPr>
          <w:p w:rsidR="00B231CB" w:rsidRDefault="00C71431">
            <w:pPr>
              <w:spacing w:after="120"/>
              <w:jc w:val="center"/>
              <w:rPr>
                <w:noProof/>
                <w:szCs w:val="24"/>
              </w:rPr>
            </w:pPr>
            <w:r>
              <w:rPr>
                <w:noProof/>
                <w:szCs w:val="24"/>
              </w:rPr>
              <w:t>1</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-26</w:t>
            </w:r>
          </w:p>
        </w:tc>
        <w:tc>
          <w:tcPr>
            <w:tcW w:w="1050" w:type="pct"/>
            <w:noWrap/>
          </w:tcPr>
          <w:p w:rsidR="00B231CB" w:rsidRDefault="00C71431">
            <w:pPr>
              <w:spacing w:after="120"/>
              <w:jc w:val="center"/>
              <w:rPr>
                <w:noProof/>
                <w:szCs w:val="24"/>
              </w:rPr>
            </w:pPr>
            <w:r>
              <w:rPr>
                <w:noProof/>
                <w:szCs w:val="24"/>
              </w:rPr>
              <w:t>-40</w:t>
            </w:r>
          </w:p>
        </w:tc>
        <w:tc>
          <w:tcPr>
            <w:tcW w:w="1049" w:type="pct"/>
            <w:noWrap/>
          </w:tcPr>
          <w:p w:rsidR="00B231CB" w:rsidRDefault="00C71431">
            <w:pPr>
              <w:spacing w:after="120"/>
              <w:jc w:val="center"/>
              <w:rPr>
                <w:noProof/>
                <w:szCs w:val="24"/>
              </w:rPr>
            </w:pPr>
            <w:r>
              <w:rPr>
                <w:noProof/>
                <w:szCs w:val="24"/>
              </w:rPr>
              <w:t>-6</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1,084</w:t>
            </w:r>
          </w:p>
        </w:tc>
        <w:tc>
          <w:tcPr>
            <w:tcW w:w="1050" w:type="pct"/>
            <w:tcBorders>
              <w:bottom w:val="single" w:sz="24" w:space="0" w:color="auto"/>
            </w:tcBorders>
            <w:noWrap/>
          </w:tcPr>
          <w:p w:rsidR="00B231CB" w:rsidRDefault="00C71431">
            <w:pPr>
              <w:spacing w:after="120"/>
              <w:jc w:val="center"/>
              <w:rPr>
                <w:noProof/>
                <w:szCs w:val="24"/>
              </w:rPr>
            </w:pPr>
            <w:r>
              <w:rPr>
                <w:noProof/>
                <w:szCs w:val="24"/>
              </w:rPr>
              <w:t>825</w:t>
            </w:r>
          </w:p>
        </w:tc>
        <w:tc>
          <w:tcPr>
            <w:tcW w:w="1049" w:type="pct"/>
            <w:tcBorders>
              <w:bottom w:val="single" w:sz="24" w:space="0" w:color="auto"/>
            </w:tcBorders>
            <w:noWrap/>
          </w:tcPr>
          <w:p w:rsidR="00B231CB" w:rsidRDefault="00C71431">
            <w:pPr>
              <w:spacing w:after="120"/>
              <w:jc w:val="center"/>
              <w:rPr>
                <w:noProof/>
                <w:szCs w:val="24"/>
              </w:rPr>
            </w:pPr>
            <w:r>
              <w:rPr>
                <w:noProof/>
                <w:szCs w:val="24"/>
              </w:rPr>
              <w:t>681</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853</w:t>
            </w:r>
          </w:p>
        </w:tc>
        <w:tc>
          <w:tcPr>
            <w:tcW w:w="1050" w:type="pct"/>
            <w:noWrap/>
          </w:tcPr>
          <w:p w:rsidR="00B231CB" w:rsidRDefault="00C71431">
            <w:pPr>
              <w:spacing w:after="120"/>
              <w:jc w:val="center"/>
              <w:rPr>
                <w:i/>
                <w:noProof/>
                <w:szCs w:val="24"/>
              </w:rPr>
            </w:pPr>
            <w:r>
              <w:rPr>
                <w:i/>
                <w:noProof/>
                <w:szCs w:val="24"/>
              </w:rPr>
              <w:t>858</w:t>
            </w:r>
          </w:p>
        </w:tc>
        <w:tc>
          <w:tcPr>
            <w:tcW w:w="1049" w:type="pct"/>
            <w:noWrap/>
          </w:tcPr>
          <w:p w:rsidR="00B231CB" w:rsidRDefault="00C71431">
            <w:pPr>
              <w:spacing w:after="120"/>
              <w:jc w:val="center"/>
              <w:rPr>
                <w:i/>
                <w:noProof/>
                <w:szCs w:val="24"/>
              </w:rPr>
            </w:pPr>
            <w:r>
              <w:rPr>
                <w:i/>
                <w:noProof/>
                <w:szCs w:val="24"/>
              </w:rPr>
              <w:t>686</w:t>
            </w:r>
          </w:p>
        </w:tc>
      </w:tr>
    </w:tbl>
    <w:p w:rsidR="00B231CB" w:rsidRDefault="00C71431">
      <w:pPr>
        <w:spacing w:before="240"/>
        <w:rPr>
          <w:b/>
          <w:noProof/>
          <w:color w:val="000000" w:themeColor="text1"/>
          <w:szCs w:val="24"/>
          <w:lang w:eastAsia="en-GB"/>
        </w:rPr>
      </w:pPr>
      <w:r>
        <w:rPr>
          <w:b/>
          <w:noProof/>
          <w:szCs w:val="24"/>
          <w:u w:val="single"/>
        </w:rPr>
        <w:t>TLC30 – 2025 (LEVD_25)</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TLC30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380</w:t>
            </w:r>
          </w:p>
        </w:tc>
        <w:tc>
          <w:tcPr>
            <w:tcW w:w="1050" w:type="pct"/>
            <w:noWrap/>
          </w:tcPr>
          <w:p w:rsidR="00B231CB" w:rsidRDefault="00C71431">
            <w:pPr>
              <w:spacing w:after="120"/>
              <w:jc w:val="center"/>
              <w:rPr>
                <w:noProof/>
                <w:szCs w:val="24"/>
              </w:rPr>
            </w:pPr>
            <w:r>
              <w:rPr>
                <w:noProof/>
                <w:szCs w:val="24"/>
              </w:rPr>
              <w:t>-64</w:t>
            </w:r>
          </w:p>
        </w:tc>
        <w:tc>
          <w:tcPr>
            <w:tcW w:w="1050" w:type="pct"/>
            <w:noWrap/>
          </w:tcPr>
          <w:p w:rsidR="00B231CB" w:rsidRDefault="00C71431">
            <w:pPr>
              <w:spacing w:after="120"/>
              <w:jc w:val="center"/>
              <w:rPr>
                <w:noProof/>
                <w:szCs w:val="24"/>
              </w:rPr>
            </w:pPr>
            <w:r>
              <w:rPr>
                <w:noProof/>
                <w:szCs w:val="24"/>
              </w:rPr>
              <w:t>-71</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w:t>
            </w:r>
          </w:p>
        </w:tc>
        <w:tc>
          <w:tcPr>
            <w:tcW w:w="1050" w:type="pct"/>
            <w:noWrap/>
          </w:tcPr>
          <w:p w:rsidR="00B231CB" w:rsidRDefault="00C71431">
            <w:pPr>
              <w:spacing w:after="120"/>
              <w:jc w:val="center"/>
              <w:rPr>
                <w:noProof/>
                <w:szCs w:val="24"/>
              </w:rPr>
            </w:pPr>
            <w:r>
              <w:rPr>
                <w:noProof/>
                <w:szCs w:val="24"/>
              </w:rPr>
              <w:t>205</w:t>
            </w:r>
          </w:p>
        </w:tc>
        <w:tc>
          <w:tcPr>
            <w:tcW w:w="1050" w:type="pct"/>
            <w:noWrap/>
          </w:tcPr>
          <w:p w:rsidR="00B231CB" w:rsidRDefault="00C71431">
            <w:pPr>
              <w:spacing w:after="120"/>
              <w:jc w:val="center"/>
              <w:rPr>
                <w:noProof/>
                <w:szCs w:val="24"/>
              </w:rPr>
            </w:pPr>
            <w:r>
              <w:rPr>
                <w:noProof/>
                <w:szCs w:val="24"/>
              </w:rPr>
              <w:t>210</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661</w:t>
            </w:r>
          </w:p>
        </w:tc>
        <w:tc>
          <w:tcPr>
            <w:tcW w:w="1050" w:type="pct"/>
            <w:tcBorders>
              <w:bottom w:val="single" w:sz="24" w:space="0" w:color="auto"/>
            </w:tcBorders>
            <w:noWrap/>
          </w:tcPr>
          <w:p w:rsidR="00B231CB" w:rsidRDefault="00C71431">
            <w:pPr>
              <w:spacing w:after="120"/>
              <w:jc w:val="center"/>
              <w:rPr>
                <w:noProof/>
                <w:szCs w:val="24"/>
              </w:rPr>
            </w:pPr>
            <w:r>
              <w:rPr>
                <w:noProof/>
                <w:szCs w:val="24"/>
              </w:rPr>
              <w:t>305</w:t>
            </w:r>
          </w:p>
        </w:tc>
        <w:tc>
          <w:tcPr>
            <w:tcW w:w="1050" w:type="pct"/>
            <w:tcBorders>
              <w:bottom w:val="single" w:sz="24" w:space="0" w:color="auto"/>
            </w:tcBorders>
            <w:noWrap/>
          </w:tcPr>
          <w:p w:rsidR="00B231CB" w:rsidRDefault="00C71431">
            <w:pPr>
              <w:spacing w:after="120"/>
              <w:jc w:val="center"/>
              <w:rPr>
                <w:noProof/>
                <w:szCs w:val="24"/>
              </w:rPr>
            </w:pPr>
            <w:r>
              <w:rPr>
                <w:noProof/>
                <w:szCs w:val="24"/>
              </w:rPr>
              <w:t>209</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152</w:t>
            </w:r>
          </w:p>
        </w:tc>
        <w:tc>
          <w:tcPr>
            <w:tcW w:w="1050" w:type="pct"/>
            <w:noWrap/>
          </w:tcPr>
          <w:p w:rsidR="00B231CB" w:rsidRDefault="00C71431">
            <w:pPr>
              <w:spacing w:after="120"/>
              <w:jc w:val="center"/>
              <w:rPr>
                <w:i/>
                <w:noProof/>
                <w:szCs w:val="24"/>
              </w:rPr>
            </w:pPr>
            <w:r>
              <w:rPr>
                <w:i/>
                <w:noProof/>
                <w:szCs w:val="24"/>
              </w:rPr>
              <w:t>163</w:t>
            </w:r>
          </w:p>
        </w:tc>
        <w:tc>
          <w:tcPr>
            <w:tcW w:w="1050" w:type="pct"/>
            <w:noWrap/>
          </w:tcPr>
          <w:p w:rsidR="00B231CB" w:rsidRDefault="00C71431">
            <w:pPr>
              <w:spacing w:after="120"/>
              <w:jc w:val="center"/>
              <w:rPr>
                <w:i/>
                <w:noProof/>
                <w:szCs w:val="24"/>
              </w:rPr>
            </w:pPr>
            <w:r>
              <w:rPr>
                <w:i/>
                <w:noProof/>
                <w:szCs w:val="24"/>
              </w:rPr>
              <w:t>70</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TLC30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297</w:t>
            </w:r>
          </w:p>
        </w:tc>
        <w:tc>
          <w:tcPr>
            <w:tcW w:w="1050" w:type="pct"/>
            <w:noWrap/>
          </w:tcPr>
          <w:p w:rsidR="00B231CB" w:rsidRDefault="00C71431">
            <w:pPr>
              <w:spacing w:after="120"/>
              <w:jc w:val="center"/>
              <w:rPr>
                <w:noProof/>
                <w:szCs w:val="24"/>
              </w:rPr>
            </w:pPr>
            <w:r>
              <w:rPr>
                <w:noProof/>
                <w:szCs w:val="24"/>
              </w:rPr>
              <w:t>-50</w:t>
            </w:r>
          </w:p>
        </w:tc>
        <w:tc>
          <w:tcPr>
            <w:tcW w:w="1050" w:type="pct"/>
            <w:noWrap/>
          </w:tcPr>
          <w:p w:rsidR="00B231CB" w:rsidRDefault="00C71431">
            <w:pPr>
              <w:spacing w:after="120"/>
              <w:jc w:val="center"/>
              <w:rPr>
                <w:noProof/>
                <w:szCs w:val="24"/>
              </w:rPr>
            </w:pPr>
            <w:r>
              <w:rPr>
                <w:noProof/>
                <w:szCs w:val="24"/>
              </w:rPr>
              <w:t>-56</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54</w:t>
            </w:r>
          </w:p>
        </w:tc>
        <w:tc>
          <w:tcPr>
            <w:tcW w:w="1050" w:type="pct"/>
            <w:noWrap/>
          </w:tcPr>
          <w:p w:rsidR="00B231CB" w:rsidRDefault="00C71431">
            <w:pPr>
              <w:spacing w:after="120"/>
              <w:jc w:val="center"/>
              <w:rPr>
                <w:noProof/>
                <w:szCs w:val="24"/>
              </w:rPr>
            </w:pPr>
            <w:r>
              <w:rPr>
                <w:noProof/>
                <w:szCs w:val="24"/>
              </w:rPr>
              <w:t>86</w:t>
            </w:r>
          </w:p>
        </w:tc>
        <w:tc>
          <w:tcPr>
            <w:tcW w:w="1050" w:type="pct"/>
            <w:noWrap/>
          </w:tcPr>
          <w:p w:rsidR="00B231CB" w:rsidRDefault="00C71431">
            <w:pPr>
              <w:spacing w:after="120"/>
              <w:jc w:val="center"/>
              <w:rPr>
                <w:noProof/>
                <w:szCs w:val="24"/>
              </w:rPr>
            </w:pPr>
            <w:r>
              <w:rPr>
                <w:noProof/>
                <w:szCs w:val="24"/>
              </w:rPr>
              <w:t>88</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614</w:t>
            </w:r>
          </w:p>
        </w:tc>
        <w:tc>
          <w:tcPr>
            <w:tcW w:w="1050" w:type="pct"/>
            <w:tcBorders>
              <w:bottom w:val="single" w:sz="24" w:space="0" w:color="auto"/>
            </w:tcBorders>
            <w:noWrap/>
          </w:tcPr>
          <w:p w:rsidR="00B231CB" w:rsidRDefault="00C71431">
            <w:pPr>
              <w:spacing w:after="120"/>
              <w:jc w:val="center"/>
              <w:rPr>
                <w:noProof/>
                <w:szCs w:val="24"/>
              </w:rPr>
            </w:pPr>
            <w:r>
              <w:rPr>
                <w:noProof/>
                <w:szCs w:val="24"/>
              </w:rPr>
              <w:t>407</w:t>
            </w:r>
          </w:p>
        </w:tc>
        <w:tc>
          <w:tcPr>
            <w:tcW w:w="1050" w:type="pct"/>
            <w:tcBorders>
              <w:bottom w:val="single" w:sz="24" w:space="0" w:color="auto"/>
            </w:tcBorders>
            <w:noWrap/>
          </w:tcPr>
          <w:p w:rsidR="00B231CB" w:rsidRDefault="00C71431">
            <w:pPr>
              <w:spacing w:after="120"/>
              <w:jc w:val="center"/>
              <w:rPr>
                <w:noProof/>
                <w:szCs w:val="24"/>
              </w:rPr>
            </w:pPr>
            <w:r>
              <w:rPr>
                <w:noProof/>
                <w:szCs w:val="24"/>
              </w:rPr>
              <w:t>351</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263</w:t>
            </w:r>
          </w:p>
        </w:tc>
        <w:tc>
          <w:tcPr>
            <w:tcW w:w="1050" w:type="pct"/>
            <w:noWrap/>
          </w:tcPr>
          <w:p w:rsidR="00B231CB" w:rsidRDefault="00C71431">
            <w:pPr>
              <w:spacing w:after="120"/>
              <w:jc w:val="center"/>
              <w:rPr>
                <w:i/>
                <w:noProof/>
                <w:szCs w:val="24"/>
              </w:rPr>
            </w:pPr>
            <w:r>
              <w:rPr>
                <w:i/>
                <w:noProof/>
                <w:szCs w:val="24"/>
              </w:rPr>
              <w:t>371</w:t>
            </w:r>
          </w:p>
        </w:tc>
        <w:tc>
          <w:tcPr>
            <w:tcW w:w="1050" w:type="pct"/>
            <w:noWrap/>
          </w:tcPr>
          <w:p w:rsidR="00B231CB" w:rsidRDefault="00C71431">
            <w:pPr>
              <w:spacing w:after="120"/>
              <w:jc w:val="center"/>
              <w:rPr>
                <w:i/>
                <w:noProof/>
                <w:szCs w:val="24"/>
              </w:rPr>
            </w:pPr>
            <w:r>
              <w:rPr>
                <w:i/>
                <w:noProof/>
                <w:szCs w:val="24"/>
              </w:rPr>
              <w:t>319</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TLC30 - 2025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143</w:t>
            </w:r>
          </w:p>
        </w:tc>
        <w:tc>
          <w:tcPr>
            <w:tcW w:w="1050" w:type="pct"/>
            <w:noWrap/>
          </w:tcPr>
          <w:p w:rsidR="00B231CB" w:rsidRDefault="00C71431">
            <w:pPr>
              <w:spacing w:after="120"/>
              <w:jc w:val="center"/>
              <w:rPr>
                <w:noProof/>
                <w:szCs w:val="24"/>
              </w:rPr>
            </w:pPr>
            <w:r>
              <w:rPr>
                <w:noProof/>
                <w:szCs w:val="24"/>
              </w:rPr>
              <w:t>-24</w:t>
            </w:r>
          </w:p>
        </w:tc>
        <w:tc>
          <w:tcPr>
            <w:tcW w:w="1049" w:type="pct"/>
            <w:noWrap/>
          </w:tcPr>
          <w:p w:rsidR="00B231CB" w:rsidRDefault="00C71431">
            <w:pPr>
              <w:spacing w:after="120"/>
              <w:jc w:val="center"/>
              <w:rPr>
                <w:noProof/>
                <w:szCs w:val="24"/>
              </w:rPr>
            </w:pPr>
            <w:r>
              <w:rPr>
                <w:noProof/>
                <w:szCs w:val="24"/>
              </w:rPr>
              <w:t>-27</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54</w:t>
            </w:r>
          </w:p>
        </w:tc>
        <w:tc>
          <w:tcPr>
            <w:tcW w:w="1050" w:type="pct"/>
            <w:noWrap/>
          </w:tcPr>
          <w:p w:rsidR="00B231CB" w:rsidRDefault="00C71431">
            <w:pPr>
              <w:spacing w:after="120"/>
              <w:jc w:val="center"/>
              <w:rPr>
                <w:noProof/>
                <w:szCs w:val="24"/>
              </w:rPr>
            </w:pPr>
            <w:r>
              <w:rPr>
                <w:noProof/>
                <w:szCs w:val="24"/>
              </w:rPr>
              <w:t>86</w:t>
            </w:r>
          </w:p>
        </w:tc>
        <w:tc>
          <w:tcPr>
            <w:tcW w:w="1049" w:type="pct"/>
            <w:noWrap/>
          </w:tcPr>
          <w:p w:rsidR="00B231CB" w:rsidRDefault="00C71431">
            <w:pPr>
              <w:spacing w:after="120"/>
              <w:jc w:val="center"/>
              <w:rPr>
                <w:noProof/>
                <w:szCs w:val="24"/>
              </w:rPr>
            </w:pPr>
            <w:r>
              <w:rPr>
                <w:noProof/>
                <w:szCs w:val="24"/>
              </w:rPr>
              <w:t>88</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527</w:t>
            </w:r>
          </w:p>
        </w:tc>
        <w:tc>
          <w:tcPr>
            <w:tcW w:w="1050" w:type="pct"/>
            <w:tcBorders>
              <w:bottom w:val="single" w:sz="24" w:space="0" w:color="auto"/>
            </w:tcBorders>
            <w:noWrap/>
          </w:tcPr>
          <w:p w:rsidR="00B231CB" w:rsidRDefault="00C71431">
            <w:pPr>
              <w:spacing w:after="120"/>
              <w:jc w:val="center"/>
              <w:rPr>
                <w:noProof/>
                <w:szCs w:val="24"/>
              </w:rPr>
            </w:pPr>
            <w:r>
              <w:rPr>
                <w:noProof/>
                <w:szCs w:val="24"/>
              </w:rPr>
              <w:t>334</w:t>
            </w:r>
          </w:p>
        </w:tc>
        <w:tc>
          <w:tcPr>
            <w:tcW w:w="1049" w:type="pct"/>
            <w:tcBorders>
              <w:bottom w:val="single" w:sz="24" w:space="0" w:color="auto"/>
            </w:tcBorders>
            <w:noWrap/>
          </w:tcPr>
          <w:p w:rsidR="00B231CB" w:rsidRDefault="00C71431">
            <w:pPr>
              <w:spacing w:after="120"/>
              <w:jc w:val="center"/>
              <w:rPr>
                <w:noProof/>
                <w:szCs w:val="24"/>
              </w:rPr>
            </w:pPr>
            <w:r>
              <w:rPr>
                <w:noProof/>
                <w:szCs w:val="24"/>
              </w:rPr>
              <w:t>286</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329</w:t>
            </w:r>
          </w:p>
        </w:tc>
        <w:tc>
          <w:tcPr>
            <w:tcW w:w="1050" w:type="pct"/>
            <w:noWrap/>
          </w:tcPr>
          <w:p w:rsidR="00B231CB" w:rsidRDefault="00C71431">
            <w:pPr>
              <w:spacing w:after="120"/>
              <w:jc w:val="center"/>
              <w:rPr>
                <w:i/>
                <w:noProof/>
                <w:szCs w:val="24"/>
              </w:rPr>
            </w:pPr>
            <w:r>
              <w:rPr>
                <w:i/>
                <w:noProof/>
                <w:szCs w:val="24"/>
              </w:rPr>
              <w:t>272</w:t>
            </w:r>
          </w:p>
        </w:tc>
        <w:tc>
          <w:tcPr>
            <w:tcW w:w="1049" w:type="pct"/>
            <w:noWrap/>
          </w:tcPr>
          <w:p w:rsidR="00B231CB" w:rsidRDefault="00C71431">
            <w:pPr>
              <w:spacing w:after="120"/>
              <w:jc w:val="center"/>
              <w:rPr>
                <w:i/>
                <w:noProof/>
                <w:szCs w:val="24"/>
              </w:rPr>
            </w:pPr>
            <w:r>
              <w:rPr>
                <w:i/>
                <w:noProof/>
                <w:szCs w:val="24"/>
              </w:rPr>
              <w:t>225</w:t>
            </w:r>
          </w:p>
        </w:tc>
      </w:tr>
    </w:tbl>
    <w:p w:rsidR="00B231CB" w:rsidRDefault="00B231CB">
      <w:pPr>
        <w:spacing w:before="240"/>
        <w:rPr>
          <w:b/>
          <w:noProof/>
          <w:szCs w:val="24"/>
          <w:u w:val="single"/>
        </w:rPr>
      </w:pPr>
    </w:p>
    <w:p w:rsidR="00B231CB" w:rsidRDefault="00C71431">
      <w:pPr>
        <w:rPr>
          <w:noProof/>
        </w:rPr>
      </w:pPr>
      <w:r>
        <w:rPr>
          <w:noProof/>
        </w:rPr>
        <w:br w:type="page"/>
      </w:r>
    </w:p>
    <w:p w:rsidR="00B231CB" w:rsidRDefault="00C71431">
      <w:pPr>
        <w:spacing w:before="240"/>
        <w:rPr>
          <w:b/>
          <w:noProof/>
          <w:color w:val="000000" w:themeColor="text1"/>
          <w:szCs w:val="24"/>
          <w:lang w:eastAsia="en-GB"/>
        </w:rPr>
      </w:pPr>
      <w:r>
        <w:rPr>
          <w:b/>
          <w:noProof/>
          <w:szCs w:val="24"/>
          <w:u w:val="single"/>
        </w:rPr>
        <w:t>TLC30 – 2030 (LEVD_25)</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TLC30 - 2030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1,020</w:t>
            </w:r>
          </w:p>
        </w:tc>
        <w:tc>
          <w:tcPr>
            <w:tcW w:w="1050" w:type="pct"/>
            <w:noWrap/>
          </w:tcPr>
          <w:p w:rsidR="00B231CB" w:rsidRDefault="00C71431">
            <w:pPr>
              <w:spacing w:after="120"/>
              <w:jc w:val="center"/>
              <w:rPr>
                <w:noProof/>
                <w:szCs w:val="24"/>
              </w:rPr>
            </w:pPr>
            <w:r>
              <w:rPr>
                <w:noProof/>
                <w:szCs w:val="24"/>
              </w:rPr>
              <w:t>203</w:t>
            </w:r>
          </w:p>
        </w:tc>
        <w:tc>
          <w:tcPr>
            <w:tcW w:w="1049" w:type="pct"/>
            <w:noWrap/>
          </w:tcPr>
          <w:p w:rsidR="00B231CB" w:rsidRDefault="00C71431">
            <w:pPr>
              <w:spacing w:after="120"/>
              <w:jc w:val="center"/>
              <w:rPr>
                <w:noProof/>
                <w:szCs w:val="24"/>
              </w:rPr>
            </w:pPr>
            <w:r>
              <w:rPr>
                <w:noProof/>
                <w:szCs w:val="24"/>
              </w:rPr>
              <w:t>147</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-96</w:t>
            </w:r>
          </w:p>
        </w:tc>
        <w:tc>
          <w:tcPr>
            <w:tcW w:w="1050" w:type="pct"/>
            <w:noWrap/>
          </w:tcPr>
          <w:p w:rsidR="00B231CB" w:rsidRDefault="00C71431">
            <w:pPr>
              <w:spacing w:after="120"/>
              <w:jc w:val="center"/>
              <w:rPr>
                <w:noProof/>
                <w:szCs w:val="24"/>
              </w:rPr>
            </w:pPr>
            <w:r>
              <w:rPr>
                <w:noProof/>
                <w:szCs w:val="24"/>
              </w:rPr>
              <w:t>-106</w:t>
            </w:r>
          </w:p>
        </w:tc>
        <w:tc>
          <w:tcPr>
            <w:tcW w:w="1049" w:type="pct"/>
            <w:noWrap/>
          </w:tcPr>
          <w:p w:rsidR="00B231CB" w:rsidRDefault="00C71431">
            <w:pPr>
              <w:spacing w:after="120"/>
              <w:jc w:val="center"/>
              <w:rPr>
                <w:noProof/>
                <w:szCs w:val="24"/>
              </w:rPr>
            </w:pPr>
            <w:r>
              <w:rPr>
                <w:noProof/>
                <w:szCs w:val="24"/>
              </w:rPr>
              <w:t>-25</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1,802</w:t>
            </w:r>
          </w:p>
        </w:tc>
        <w:tc>
          <w:tcPr>
            <w:tcW w:w="1050" w:type="pct"/>
            <w:tcBorders>
              <w:bottom w:val="single" w:sz="24" w:space="0" w:color="auto"/>
            </w:tcBorders>
            <w:noWrap/>
          </w:tcPr>
          <w:p w:rsidR="00B231CB" w:rsidRDefault="00C71431">
            <w:pPr>
              <w:spacing w:after="120"/>
              <w:jc w:val="center"/>
              <w:rPr>
                <w:noProof/>
                <w:szCs w:val="24"/>
              </w:rPr>
            </w:pPr>
            <w:r>
              <w:rPr>
                <w:noProof/>
                <w:szCs w:val="24"/>
              </w:rPr>
              <w:t>1,326</w:t>
            </w:r>
          </w:p>
        </w:tc>
        <w:tc>
          <w:tcPr>
            <w:tcW w:w="1049" w:type="pct"/>
            <w:tcBorders>
              <w:bottom w:val="single" w:sz="24" w:space="0" w:color="auto"/>
            </w:tcBorders>
            <w:noWrap/>
          </w:tcPr>
          <w:p w:rsidR="00B231CB" w:rsidRDefault="00C71431">
            <w:pPr>
              <w:spacing w:after="120"/>
              <w:jc w:val="center"/>
              <w:rPr>
                <w:noProof/>
                <w:szCs w:val="24"/>
              </w:rPr>
            </w:pPr>
            <w:r>
              <w:rPr>
                <w:noProof/>
                <w:szCs w:val="24"/>
              </w:rPr>
              <w:t>1,049</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878</w:t>
            </w:r>
          </w:p>
        </w:tc>
        <w:tc>
          <w:tcPr>
            <w:tcW w:w="1050" w:type="pct"/>
            <w:noWrap/>
          </w:tcPr>
          <w:p w:rsidR="00B231CB" w:rsidRDefault="00C71431">
            <w:pPr>
              <w:spacing w:after="120"/>
              <w:jc w:val="center"/>
              <w:rPr>
                <w:i/>
                <w:noProof/>
                <w:szCs w:val="24"/>
              </w:rPr>
            </w:pPr>
            <w:r>
              <w:rPr>
                <w:i/>
                <w:noProof/>
                <w:szCs w:val="24"/>
              </w:rPr>
              <w:t>1,229</w:t>
            </w:r>
          </w:p>
        </w:tc>
        <w:tc>
          <w:tcPr>
            <w:tcW w:w="1049" w:type="pct"/>
            <w:noWrap/>
          </w:tcPr>
          <w:p w:rsidR="00B231CB" w:rsidRDefault="00C71431">
            <w:pPr>
              <w:spacing w:after="120"/>
              <w:jc w:val="center"/>
              <w:rPr>
                <w:i/>
                <w:noProof/>
                <w:szCs w:val="24"/>
              </w:rPr>
            </w:pPr>
            <w:r>
              <w:rPr>
                <w:i/>
                <w:noProof/>
                <w:szCs w:val="24"/>
              </w:rPr>
              <w:t>927</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TLC30 - 2030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799</w:t>
            </w:r>
          </w:p>
        </w:tc>
        <w:tc>
          <w:tcPr>
            <w:tcW w:w="1050" w:type="pct"/>
            <w:noWrap/>
          </w:tcPr>
          <w:p w:rsidR="00B231CB" w:rsidRDefault="00C71431">
            <w:pPr>
              <w:spacing w:after="120"/>
              <w:jc w:val="center"/>
              <w:rPr>
                <w:noProof/>
                <w:szCs w:val="24"/>
              </w:rPr>
            </w:pPr>
            <w:r>
              <w:rPr>
                <w:noProof/>
                <w:szCs w:val="24"/>
              </w:rPr>
              <w:t>159</w:t>
            </w:r>
          </w:p>
        </w:tc>
        <w:tc>
          <w:tcPr>
            <w:tcW w:w="1049" w:type="pct"/>
            <w:noWrap/>
          </w:tcPr>
          <w:p w:rsidR="00B231CB" w:rsidRDefault="00C71431">
            <w:pPr>
              <w:spacing w:after="120"/>
              <w:jc w:val="center"/>
              <w:rPr>
                <w:noProof/>
                <w:szCs w:val="24"/>
              </w:rPr>
            </w:pPr>
            <w:r>
              <w:rPr>
                <w:noProof/>
                <w:szCs w:val="24"/>
              </w:rPr>
              <w:t>115</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-40</w:t>
            </w:r>
          </w:p>
        </w:tc>
        <w:tc>
          <w:tcPr>
            <w:tcW w:w="1050" w:type="pct"/>
            <w:noWrap/>
          </w:tcPr>
          <w:p w:rsidR="00B231CB" w:rsidRDefault="00C71431">
            <w:pPr>
              <w:spacing w:after="120"/>
              <w:jc w:val="center"/>
              <w:rPr>
                <w:noProof/>
                <w:szCs w:val="24"/>
              </w:rPr>
            </w:pPr>
            <w:r>
              <w:rPr>
                <w:noProof/>
                <w:szCs w:val="24"/>
              </w:rPr>
              <w:t>-44</w:t>
            </w:r>
          </w:p>
        </w:tc>
        <w:tc>
          <w:tcPr>
            <w:tcW w:w="1049" w:type="pct"/>
            <w:noWrap/>
          </w:tcPr>
          <w:p w:rsidR="00B231CB" w:rsidRDefault="00C71431">
            <w:pPr>
              <w:spacing w:after="120"/>
              <w:jc w:val="center"/>
              <w:rPr>
                <w:noProof/>
                <w:szCs w:val="24"/>
              </w:rPr>
            </w:pPr>
            <w:r>
              <w:rPr>
                <w:noProof/>
                <w:szCs w:val="24"/>
              </w:rPr>
              <w:t>-11</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1,576</w:t>
            </w:r>
          </w:p>
        </w:tc>
        <w:tc>
          <w:tcPr>
            <w:tcW w:w="1050" w:type="pct"/>
            <w:tcBorders>
              <w:bottom w:val="single" w:sz="24" w:space="0" w:color="auto"/>
            </w:tcBorders>
            <w:noWrap/>
          </w:tcPr>
          <w:p w:rsidR="00B231CB" w:rsidRDefault="00C71431">
            <w:pPr>
              <w:spacing w:after="120"/>
              <w:jc w:val="center"/>
              <w:rPr>
                <w:noProof/>
                <w:szCs w:val="24"/>
              </w:rPr>
            </w:pPr>
            <w:r>
              <w:rPr>
                <w:noProof/>
                <w:szCs w:val="24"/>
              </w:rPr>
              <w:t>1,309</w:t>
            </w:r>
          </w:p>
        </w:tc>
        <w:tc>
          <w:tcPr>
            <w:tcW w:w="1049" w:type="pct"/>
            <w:tcBorders>
              <w:bottom w:val="single" w:sz="24" w:space="0" w:color="auto"/>
            </w:tcBorders>
            <w:noWrap/>
          </w:tcPr>
          <w:p w:rsidR="00B231CB" w:rsidRDefault="00C71431">
            <w:pPr>
              <w:spacing w:after="120"/>
              <w:jc w:val="center"/>
              <w:rPr>
                <w:noProof/>
                <w:szCs w:val="24"/>
              </w:rPr>
            </w:pPr>
            <w:r>
              <w:rPr>
                <w:noProof/>
                <w:szCs w:val="24"/>
              </w:rPr>
              <w:t>1,137</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818</w:t>
            </w:r>
          </w:p>
        </w:tc>
        <w:tc>
          <w:tcPr>
            <w:tcW w:w="1050" w:type="pct"/>
            <w:noWrap/>
          </w:tcPr>
          <w:p w:rsidR="00B231CB" w:rsidRDefault="00C71431">
            <w:pPr>
              <w:spacing w:after="120"/>
              <w:jc w:val="center"/>
              <w:rPr>
                <w:i/>
                <w:noProof/>
                <w:szCs w:val="24"/>
              </w:rPr>
            </w:pPr>
            <w:r>
              <w:rPr>
                <w:i/>
                <w:noProof/>
                <w:szCs w:val="24"/>
              </w:rPr>
              <w:t>1,194</w:t>
            </w:r>
          </w:p>
        </w:tc>
        <w:tc>
          <w:tcPr>
            <w:tcW w:w="1049" w:type="pct"/>
            <w:noWrap/>
          </w:tcPr>
          <w:p w:rsidR="00B231CB" w:rsidRDefault="00C71431">
            <w:pPr>
              <w:spacing w:after="120"/>
              <w:jc w:val="center"/>
              <w:rPr>
                <w:i/>
                <w:noProof/>
                <w:szCs w:val="24"/>
              </w:rPr>
            </w:pPr>
            <w:r>
              <w:rPr>
                <w:i/>
                <w:noProof/>
                <w:szCs w:val="24"/>
              </w:rPr>
              <w:t>1,033</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TLC30 - 2030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385</w:t>
            </w:r>
          </w:p>
        </w:tc>
        <w:tc>
          <w:tcPr>
            <w:tcW w:w="1050" w:type="pct"/>
            <w:noWrap/>
          </w:tcPr>
          <w:p w:rsidR="00B231CB" w:rsidRDefault="00C71431">
            <w:pPr>
              <w:spacing w:after="120"/>
              <w:jc w:val="center"/>
              <w:rPr>
                <w:noProof/>
                <w:szCs w:val="24"/>
              </w:rPr>
            </w:pPr>
            <w:r>
              <w:rPr>
                <w:noProof/>
                <w:szCs w:val="24"/>
              </w:rPr>
              <w:t>77</w:t>
            </w:r>
          </w:p>
        </w:tc>
        <w:tc>
          <w:tcPr>
            <w:tcW w:w="1049" w:type="pct"/>
            <w:noWrap/>
          </w:tcPr>
          <w:p w:rsidR="00B231CB" w:rsidRDefault="00C71431">
            <w:pPr>
              <w:spacing w:after="120"/>
              <w:jc w:val="center"/>
              <w:rPr>
                <w:noProof/>
                <w:szCs w:val="24"/>
              </w:rPr>
            </w:pPr>
            <w:r>
              <w:rPr>
                <w:noProof/>
                <w:szCs w:val="24"/>
              </w:rPr>
              <w:t>55</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-40</w:t>
            </w:r>
          </w:p>
        </w:tc>
        <w:tc>
          <w:tcPr>
            <w:tcW w:w="1050" w:type="pct"/>
            <w:noWrap/>
          </w:tcPr>
          <w:p w:rsidR="00B231CB" w:rsidRDefault="00C71431">
            <w:pPr>
              <w:spacing w:after="120"/>
              <w:jc w:val="center"/>
              <w:rPr>
                <w:noProof/>
                <w:szCs w:val="24"/>
              </w:rPr>
            </w:pPr>
            <w:r>
              <w:rPr>
                <w:noProof/>
                <w:szCs w:val="24"/>
              </w:rPr>
              <w:t>-44</w:t>
            </w:r>
          </w:p>
        </w:tc>
        <w:tc>
          <w:tcPr>
            <w:tcW w:w="1049" w:type="pct"/>
            <w:noWrap/>
          </w:tcPr>
          <w:p w:rsidR="00B231CB" w:rsidRDefault="00C71431">
            <w:pPr>
              <w:spacing w:after="120"/>
              <w:jc w:val="center"/>
              <w:rPr>
                <w:noProof/>
                <w:szCs w:val="24"/>
              </w:rPr>
            </w:pPr>
            <w:r>
              <w:rPr>
                <w:noProof/>
                <w:szCs w:val="24"/>
              </w:rPr>
              <w:t>-11</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w:t>
            </w:r>
            <w:r>
              <w:rPr>
                <w:noProof/>
                <w:color w:val="000000" w:themeColor="text1"/>
                <w:szCs w:val="24"/>
              </w:rPr>
              <w:t xml:space="preserve">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1,292</w:t>
            </w:r>
          </w:p>
        </w:tc>
        <w:tc>
          <w:tcPr>
            <w:tcW w:w="1050" w:type="pct"/>
            <w:tcBorders>
              <w:bottom w:val="single" w:sz="24" w:space="0" w:color="auto"/>
            </w:tcBorders>
            <w:noWrap/>
          </w:tcPr>
          <w:p w:rsidR="00B231CB" w:rsidRDefault="00C71431">
            <w:pPr>
              <w:spacing w:after="120"/>
              <w:jc w:val="center"/>
              <w:rPr>
                <w:noProof/>
                <w:szCs w:val="24"/>
              </w:rPr>
            </w:pPr>
            <w:r>
              <w:rPr>
                <w:noProof/>
                <w:szCs w:val="24"/>
              </w:rPr>
              <w:t>1,069</w:t>
            </w:r>
          </w:p>
        </w:tc>
        <w:tc>
          <w:tcPr>
            <w:tcW w:w="1049" w:type="pct"/>
            <w:tcBorders>
              <w:bottom w:val="single" w:sz="24" w:space="0" w:color="auto"/>
            </w:tcBorders>
            <w:noWrap/>
          </w:tcPr>
          <w:p w:rsidR="00B231CB" w:rsidRDefault="00C71431">
            <w:pPr>
              <w:spacing w:after="120"/>
              <w:jc w:val="center"/>
              <w:rPr>
                <w:noProof/>
                <w:szCs w:val="24"/>
              </w:rPr>
            </w:pPr>
            <w:r>
              <w:rPr>
                <w:noProof/>
                <w:szCs w:val="24"/>
              </w:rPr>
              <w:t>934</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947</w:t>
            </w:r>
          </w:p>
        </w:tc>
        <w:tc>
          <w:tcPr>
            <w:tcW w:w="1050" w:type="pct"/>
            <w:noWrap/>
          </w:tcPr>
          <w:p w:rsidR="00B231CB" w:rsidRDefault="00C71431">
            <w:pPr>
              <w:spacing w:after="120"/>
              <w:jc w:val="center"/>
              <w:rPr>
                <w:i/>
                <w:noProof/>
                <w:szCs w:val="24"/>
              </w:rPr>
            </w:pPr>
            <w:r>
              <w:rPr>
                <w:i/>
                <w:noProof/>
                <w:szCs w:val="24"/>
              </w:rPr>
              <w:t>1,037</w:t>
            </w:r>
          </w:p>
        </w:tc>
        <w:tc>
          <w:tcPr>
            <w:tcW w:w="1049" w:type="pct"/>
            <w:noWrap/>
          </w:tcPr>
          <w:p w:rsidR="00B231CB" w:rsidRDefault="00C71431">
            <w:pPr>
              <w:spacing w:after="120"/>
              <w:jc w:val="center"/>
              <w:rPr>
                <w:i/>
                <w:noProof/>
                <w:szCs w:val="24"/>
              </w:rPr>
            </w:pPr>
            <w:r>
              <w:rPr>
                <w:i/>
                <w:noProof/>
                <w:szCs w:val="24"/>
              </w:rPr>
              <w:t>890</w:t>
            </w:r>
          </w:p>
        </w:tc>
      </w:tr>
    </w:tbl>
    <w:p w:rsidR="00B231CB" w:rsidRDefault="00C71431">
      <w:pPr>
        <w:spacing w:before="240"/>
        <w:rPr>
          <w:b/>
          <w:noProof/>
          <w:color w:val="000000" w:themeColor="text1"/>
          <w:szCs w:val="24"/>
          <w:lang w:eastAsia="en-GB"/>
        </w:rPr>
      </w:pPr>
      <w:r>
        <w:rPr>
          <w:b/>
          <w:noProof/>
          <w:szCs w:val="24"/>
          <w:u w:val="single"/>
        </w:rPr>
        <w:t>TLC40 – 2025 (LEVD_25)</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TLC40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747</w:t>
            </w:r>
          </w:p>
        </w:tc>
        <w:tc>
          <w:tcPr>
            <w:tcW w:w="1050" w:type="pct"/>
            <w:noWrap/>
          </w:tcPr>
          <w:p w:rsidR="00B231CB" w:rsidRDefault="00C71431">
            <w:pPr>
              <w:spacing w:after="120"/>
              <w:jc w:val="center"/>
              <w:rPr>
                <w:noProof/>
                <w:szCs w:val="24"/>
              </w:rPr>
            </w:pPr>
            <w:r>
              <w:rPr>
                <w:noProof/>
                <w:szCs w:val="24"/>
              </w:rPr>
              <w:t>160</w:t>
            </w:r>
          </w:p>
        </w:tc>
        <w:tc>
          <w:tcPr>
            <w:tcW w:w="1050" w:type="pct"/>
            <w:noWrap/>
          </w:tcPr>
          <w:p w:rsidR="00B231CB" w:rsidRDefault="00C71431">
            <w:pPr>
              <w:spacing w:after="120"/>
              <w:jc w:val="center"/>
              <w:rPr>
                <w:noProof/>
                <w:szCs w:val="24"/>
              </w:rPr>
            </w:pPr>
            <w:r>
              <w:rPr>
                <w:noProof/>
                <w:szCs w:val="24"/>
              </w:rPr>
              <w:t>85</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w:t>
            </w:r>
          </w:p>
        </w:tc>
        <w:tc>
          <w:tcPr>
            <w:tcW w:w="1050" w:type="pct"/>
            <w:noWrap/>
          </w:tcPr>
          <w:p w:rsidR="00B231CB" w:rsidRDefault="00C71431">
            <w:pPr>
              <w:spacing w:after="120"/>
              <w:jc w:val="center"/>
              <w:rPr>
                <w:noProof/>
                <w:szCs w:val="24"/>
              </w:rPr>
            </w:pPr>
            <w:r>
              <w:rPr>
                <w:noProof/>
                <w:szCs w:val="24"/>
              </w:rPr>
              <w:t>129</w:t>
            </w:r>
          </w:p>
        </w:tc>
        <w:tc>
          <w:tcPr>
            <w:tcW w:w="1050" w:type="pct"/>
            <w:noWrap/>
          </w:tcPr>
          <w:p w:rsidR="00B231CB" w:rsidRDefault="00C71431">
            <w:pPr>
              <w:spacing w:after="120"/>
              <w:jc w:val="center"/>
              <w:rPr>
                <w:noProof/>
                <w:szCs w:val="24"/>
              </w:rPr>
            </w:pPr>
            <w:r>
              <w:rPr>
                <w:noProof/>
                <w:szCs w:val="24"/>
              </w:rPr>
              <w:t>173</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 xml:space="preserve">Fuel cost savings </w:t>
            </w:r>
            <w:r>
              <w:rPr>
                <w:noProof/>
                <w:color w:val="000000" w:themeColor="text1"/>
                <w:szCs w:val="24"/>
              </w:rPr>
              <w:t>[3]</w:t>
            </w:r>
          </w:p>
        </w:tc>
        <w:tc>
          <w:tcPr>
            <w:tcW w:w="1050" w:type="pct"/>
            <w:tcBorders>
              <w:bottom w:val="single" w:sz="24" w:space="0" w:color="auto"/>
            </w:tcBorders>
            <w:noWrap/>
          </w:tcPr>
          <w:p w:rsidR="00B231CB" w:rsidRDefault="00C71431">
            <w:pPr>
              <w:spacing w:after="120"/>
              <w:jc w:val="center"/>
              <w:rPr>
                <w:noProof/>
                <w:szCs w:val="24"/>
              </w:rPr>
            </w:pPr>
            <w:r>
              <w:rPr>
                <w:noProof/>
                <w:szCs w:val="24"/>
              </w:rPr>
              <w:t>922</w:t>
            </w:r>
          </w:p>
        </w:tc>
        <w:tc>
          <w:tcPr>
            <w:tcW w:w="1050" w:type="pct"/>
            <w:tcBorders>
              <w:bottom w:val="single" w:sz="24" w:space="0" w:color="auto"/>
            </w:tcBorders>
            <w:noWrap/>
          </w:tcPr>
          <w:p w:rsidR="00B231CB" w:rsidRDefault="00C71431">
            <w:pPr>
              <w:spacing w:after="120"/>
              <w:jc w:val="center"/>
              <w:rPr>
                <w:noProof/>
                <w:szCs w:val="24"/>
              </w:rPr>
            </w:pPr>
            <w:r>
              <w:rPr>
                <w:noProof/>
                <w:szCs w:val="24"/>
              </w:rPr>
              <w:t>748</w:t>
            </w:r>
          </w:p>
        </w:tc>
        <w:tc>
          <w:tcPr>
            <w:tcW w:w="1050" w:type="pct"/>
            <w:tcBorders>
              <w:bottom w:val="single" w:sz="24" w:space="0" w:color="auto"/>
            </w:tcBorders>
            <w:noWrap/>
          </w:tcPr>
          <w:p w:rsidR="00B231CB" w:rsidRDefault="00C71431">
            <w:pPr>
              <w:spacing w:after="120"/>
              <w:jc w:val="center"/>
              <w:rPr>
                <w:noProof/>
                <w:szCs w:val="24"/>
              </w:rPr>
            </w:pPr>
            <w:r>
              <w:rPr>
                <w:noProof/>
                <w:szCs w:val="24"/>
              </w:rPr>
              <w:t>570</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78</w:t>
            </w:r>
          </w:p>
        </w:tc>
        <w:tc>
          <w:tcPr>
            <w:tcW w:w="1050" w:type="pct"/>
            <w:noWrap/>
          </w:tcPr>
          <w:p w:rsidR="00B231CB" w:rsidRDefault="00C71431">
            <w:pPr>
              <w:spacing w:after="120"/>
              <w:jc w:val="center"/>
              <w:rPr>
                <w:i/>
                <w:noProof/>
                <w:szCs w:val="24"/>
              </w:rPr>
            </w:pPr>
            <w:r>
              <w:rPr>
                <w:i/>
                <w:noProof/>
                <w:szCs w:val="24"/>
              </w:rPr>
              <w:t>460</w:t>
            </w:r>
          </w:p>
        </w:tc>
        <w:tc>
          <w:tcPr>
            <w:tcW w:w="1050" w:type="pct"/>
            <w:noWrap/>
          </w:tcPr>
          <w:p w:rsidR="00B231CB" w:rsidRDefault="00C71431">
            <w:pPr>
              <w:spacing w:after="120"/>
              <w:jc w:val="center"/>
              <w:rPr>
                <w:i/>
                <w:noProof/>
                <w:szCs w:val="24"/>
              </w:rPr>
            </w:pPr>
            <w:r>
              <w:rPr>
                <w:i/>
                <w:noProof/>
                <w:szCs w:val="24"/>
              </w:rPr>
              <w:t>312</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TLC40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585</w:t>
            </w:r>
          </w:p>
        </w:tc>
        <w:tc>
          <w:tcPr>
            <w:tcW w:w="1050" w:type="pct"/>
            <w:noWrap/>
          </w:tcPr>
          <w:p w:rsidR="00B231CB" w:rsidRDefault="00C71431">
            <w:pPr>
              <w:spacing w:after="120"/>
              <w:jc w:val="center"/>
              <w:rPr>
                <w:noProof/>
                <w:szCs w:val="24"/>
              </w:rPr>
            </w:pPr>
            <w:r>
              <w:rPr>
                <w:noProof/>
                <w:szCs w:val="24"/>
              </w:rPr>
              <w:t>125</w:t>
            </w:r>
          </w:p>
        </w:tc>
        <w:tc>
          <w:tcPr>
            <w:tcW w:w="1050" w:type="pct"/>
            <w:noWrap/>
          </w:tcPr>
          <w:p w:rsidR="00B231CB" w:rsidRDefault="00C71431">
            <w:pPr>
              <w:spacing w:after="120"/>
              <w:jc w:val="center"/>
              <w:rPr>
                <w:noProof/>
                <w:szCs w:val="24"/>
              </w:rPr>
            </w:pPr>
            <w:r>
              <w:rPr>
                <w:noProof/>
                <w:szCs w:val="24"/>
              </w:rPr>
              <w:t>66</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40</w:t>
            </w:r>
          </w:p>
        </w:tc>
        <w:tc>
          <w:tcPr>
            <w:tcW w:w="1050" w:type="pct"/>
            <w:noWrap/>
          </w:tcPr>
          <w:p w:rsidR="00B231CB" w:rsidRDefault="00C71431">
            <w:pPr>
              <w:spacing w:after="120"/>
              <w:jc w:val="center"/>
              <w:rPr>
                <w:noProof/>
                <w:szCs w:val="24"/>
              </w:rPr>
            </w:pPr>
            <w:r>
              <w:rPr>
                <w:noProof/>
                <w:szCs w:val="24"/>
              </w:rPr>
              <w:t>54</w:t>
            </w:r>
          </w:p>
        </w:tc>
        <w:tc>
          <w:tcPr>
            <w:tcW w:w="1050" w:type="pct"/>
            <w:noWrap/>
          </w:tcPr>
          <w:p w:rsidR="00B231CB" w:rsidRDefault="00C71431">
            <w:pPr>
              <w:spacing w:after="120"/>
              <w:jc w:val="center"/>
              <w:rPr>
                <w:noProof/>
                <w:szCs w:val="24"/>
              </w:rPr>
            </w:pPr>
            <w:r>
              <w:rPr>
                <w:noProof/>
                <w:szCs w:val="24"/>
              </w:rPr>
              <w:t>73</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866</w:t>
            </w:r>
          </w:p>
        </w:tc>
        <w:tc>
          <w:tcPr>
            <w:tcW w:w="1050" w:type="pct"/>
            <w:tcBorders>
              <w:bottom w:val="single" w:sz="24" w:space="0" w:color="auto"/>
            </w:tcBorders>
            <w:noWrap/>
          </w:tcPr>
          <w:p w:rsidR="00B231CB" w:rsidRDefault="00C71431">
            <w:pPr>
              <w:spacing w:after="120"/>
              <w:jc w:val="center"/>
              <w:rPr>
                <w:noProof/>
                <w:szCs w:val="24"/>
              </w:rPr>
            </w:pPr>
            <w:r>
              <w:rPr>
                <w:noProof/>
                <w:szCs w:val="24"/>
              </w:rPr>
              <w:t>773</w:t>
            </w:r>
          </w:p>
        </w:tc>
        <w:tc>
          <w:tcPr>
            <w:tcW w:w="1050" w:type="pct"/>
            <w:tcBorders>
              <w:bottom w:val="single" w:sz="24" w:space="0" w:color="auto"/>
            </w:tcBorders>
            <w:noWrap/>
          </w:tcPr>
          <w:p w:rsidR="00B231CB" w:rsidRDefault="00C71431">
            <w:pPr>
              <w:spacing w:after="120"/>
              <w:jc w:val="center"/>
              <w:rPr>
                <w:noProof/>
                <w:szCs w:val="24"/>
              </w:rPr>
            </w:pPr>
            <w:r>
              <w:rPr>
                <w:noProof/>
                <w:szCs w:val="24"/>
              </w:rPr>
              <w:t>670</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241</w:t>
            </w:r>
          </w:p>
        </w:tc>
        <w:tc>
          <w:tcPr>
            <w:tcW w:w="1050" w:type="pct"/>
            <w:noWrap/>
          </w:tcPr>
          <w:p w:rsidR="00B231CB" w:rsidRDefault="00C71431">
            <w:pPr>
              <w:spacing w:after="120"/>
              <w:jc w:val="center"/>
              <w:rPr>
                <w:i/>
                <w:noProof/>
                <w:szCs w:val="24"/>
              </w:rPr>
            </w:pPr>
            <w:r>
              <w:rPr>
                <w:i/>
                <w:noProof/>
                <w:szCs w:val="24"/>
              </w:rPr>
              <w:t>595</w:t>
            </w:r>
          </w:p>
        </w:tc>
        <w:tc>
          <w:tcPr>
            <w:tcW w:w="1050" w:type="pct"/>
            <w:noWrap/>
          </w:tcPr>
          <w:p w:rsidR="00B231CB" w:rsidRDefault="00C71431">
            <w:pPr>
              <w:spacing w:after="120"/>
              <w:jc w:val="center"/>
              <w:rPr>
                <w:i/>
                <w:noProof/>
                <w:szCs w:val="24"/>
              </w:rPr>
            </w:pPr>
            <w:r>
              <w:rPr>
                <w:i/>
                <w:noProof/>
                <w:szCs w:val="24"/>
              </w:rPr>
              <w:t>531</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TLC40 - 2025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282</w:t>
            </w:r>
          </w:p>
        </w:tc>
        <w:tc>
          <w:tcPr>
            <w:tcW w:w="1050" w:type="pct"/>
            <w:noWrap/>
          </w:tcPr>
          <w:p w:rsidR="00B231CB" w:rsidRDefault="00C71431">
            <w:pPr>
              <w:spacing w:after="120"/>
              <w:jc w:val="center"/>
              <w:rPr>
                <w:noProof/>
                <w:szCs w:val="24"/>
              </w:rPr>
            </w:pPr>
            <w:r>
              <w:rPr>
                <w:noProof/>
                <w:szCs w:val="24"/>
              </w:rPr>
              <w:t>60</w:t>
            </w:r>
          </w:p>
        </w:tc>
        <w:tc>
          <w:tcPr>
            <w:tcW w:w="1050" w:type="pct"/>
            <w:noWrap/>
          </w:tcPr>
          <w:p w:rsidR="00B231CB" w:rsidRDefault="00C71431">
            <w:pPr>
              <w:spacing w:after="120"/>
              <w:jc w:val="center"/>
              <w:rPr>
                <w:noProof/>
                <w:szCs w:val="24"/>
              </w:rPr>
            </w:pPr>
            <w:r>
              <w:rPr>
                <w:noProof/>
                <w:szCs w:val="24"/>
              </w:rPr>
              <w:t>32</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40</w:t>
            </w:r>
          </w:p>
        </w:tc>
        <w:tc>
          <w:tcPr>
            <w:tcW w:w="1050" w:type="pct"/>
            <w:noWrap/>
          </w:tcPr>
          <w:p w:rsidR="00B231CB" w:rsidRDefault="00C71431">
            <w:pPr>
              <w:spacing w:after="120"/>
              <w:jc w:val="center"/>
              <w:rPr>
                <w:noProof/>
                <w:szCs w:val="24"/>
              </w:rPr>
            </w:pPr>
            <w:r>
              <w:rPr>
                <w:noProof/>
                <w:szCs w:val="24"/>
              </w:rPr>
              <w:t>54</w:t>
            </w:r>
          </w:p>
        </w:tc>
        <w:tc>
          <w:tcPr>
            <w:tcW w:w="1050" w:type="pct"/>
            <w:noWrap/>
          </w:tcPr>
          <w:p w:rsidR="00B231CB" w:rsidRDefault="00C71431">
            <w:pPr>
              <w:spacing w:after="120"/>
              <w:jc w:val="center"/>
              <w:rPr>
                <w:noProof/>
                <w:szCs w:val="24"/>
              </w:rPr>
            </w:pPr>
            <w:r>
              <w:rPr>
                <w:noProof/>
                <w:szCs w:val="24"/>
              </w:rPr>
              <w:t>73</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742</w:t>
            </w:r>
          </w:p>
        </w:tc>
        <w:tc>
          <w:tcPr>
            <w:tcW w:w="1050" w:type="pct"/>
            <w:tcBorders>
              <w:bottom w:val="single" w:sz="24" w:space="0" w:color="auto"/>
            </w:tcBorders>
            <w:noWrap/>
          </w:tcPr>
          <w:p w:rsidR="00B231CB" w:rsidRDefault="00C71431">
            <w:pPr>
              <w:spacing w:after="120"/>
              <w:jc w:val="center"/>
              <w:rPr>
                <w:noProof/>
                <w:szCs w:val="24"/>
              </w:rPr>
            </w:pPr>
            <w:r>
              <w:rPr>
                <w:noProof/>
                <w:szCs w:val="24"/>
              </w:rPr>
              <w:t>645</w:t>
            </w:r>
          </w:p>
        </w:tc>
        <w:tc>
          <w:tcPr>
            <w:tcW w:w="1050" w:type="pct"/>
            <w:tcBorders>
              <w:bottom w:val="single" w:sz="24" w:space="0" w:color="auto"/>
            </w:tcBorders>
            <w:noWrap/>
          </w:tcPr>
          <w:p w:rsidR="00B231CB" w:rsidRDefault="00C71431">
            <w:pPr>
              <w:spacing w:after="120"/>
              <w:jc w:val="center"/>
              <w:rPr>
                <w:noProof/>
                <w:szCs w:val="24"/>
              </w:rPr>
            </w:pPr>
            <w:r>
              <w:rPr>
                <w:noProof/>
                <w:szCs w:val="24"/>
              </w:rPr>
              <w:t>551</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420</w:t>
            </w:r>
          </w:p>
        </w:tc>
        <w:tc>
          <w:tcPr>
            <w:tcW w:w="1050" w:type="pct"/>
            <w:noWrap/>
          </w:tcPr>
          <w:p w:rsidR="00B231CB" w:rsidRDefault="00C71431">
            <w:pPr>
              <w:spacing w:after="120"/>
              <w:jc w:val="center"/>
              <w:rPr>
                <w:i/>
                <w:noProof/>
                <w:szCs w:val="24"/>
              </w:rPr>
            </w:pPr>
            <w:r>
              <w:rPr>
                <w:i/>
                <w:noProof/>
                <w:szCs w:val="24"/>
              </w:rPr>
              <w:t>531</w:t>
            </w:r>
          </w:p>
        </w:tc>
        <w:tc>
          <w:tcPr>
            <w:tcW w:w="1050" w:type="pct"/>
            <w:noWrap/>
          </w:tcPr>
          <w:p w:rsidR="00B231CB" w:rsidRDefault="00C71431">
            <w:pPr>
              <w:spacing w:after="120"/>
              <w:jc w:val="center"/>
              <w:rPr>
                <w:i/>
                <w:noProof/>
                <w:szCs w:val="24"/>
              </w:rPr>
            </w:pPr>
            <w:r>
              <w:rPr>
                <w:i/>
                <w:noProof/>
                <w:szCs w:val="24"/>
              </w:rPr>
              <w:t>446</w:t>
            </w:r>
          </w:p>
        </w:tc>
      </w:tr>
    </w:tbl>
    <w:p w:rsidR="00B231CB" w:rsidRDefault="00C71431">
      <w:pPr>
        <w:spacing w:before="240"/>
        <w:rPr>
          <w:b/>
          <w:noProof/>
          <w:color w:val="000000" w:themeColor="text1"/>
          <w:szCs w:val="24"/>
          <w:lang w:eastAsia="en-GB"/>
        </w:rPr>
      </w:pPr>
      <w:r>
        <w:rPr>
          <w:b/>
          <w:noProof/>
          <w:szCs w:val="24"/>
          <w:u w:val="single"/>
        </w:rPr>
        <w:t>TLC40 – 2030 (LEVD_25)</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 xml:space="preserve">Net savings </w:t>
            </w:r>
            <w:r>
              <w:rPr>
                <w:b/>
                <w:i/>
                <w:noProof/>
                <w:color w:val="000000" w:themeColor="text1"/>
              </w:rPr>
              <w:t>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TLC40 - 2030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1,812</w:t>
            </w:r>
          </w:p>
        </w:tc>
        <w:tc>
          <w:tcPr>
            <w:tcW w:w="1050" w:type="pct"/>
            <w:noWrap/>
          </w:tcPr>
          <w:p w:rsidR="00B231CB" w:rsidRDefault="00C71431">
            <w:pPr>
              <w:spacing w:after="120"/>
              <w:jc w:val="center"/>
              <w:rPr>
                <w:noProof/>
                <w:szCs w:val="24"/>
              </w:rPr>
            </w:pPr>
            <w:r>
              <w:rPr>
                <w:noProof/>
                <w:szCs w:val="24"/>
              </w:rPr>
              <w:t>768</w:t>
            </w:r>
          </w:p>
        </w:tc>
        <w:tc>
          <w:tcPr>
            <w:tcW w:w="1049" w:type="pct"/>
            <w:noWrap/>
          </w:tcPr>
          <w:p w:rsidR="00B231CB" w:rsidRDefault="00C71431">
            <w:pPr>
              <w:spacing w:after="120"/>
              <w:jc w:val="center"/>
              <w:rPr>
                <w:noProof/>
                <w:szCs w:val="24"/>
              </w:rPr>
            </w:pPr>
            <w:r>
              <w:rPr>
                <w:noProof/>
                <w:szCs w:val="24"/>
              </w:rPr>
              <w:t>649</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-157</w:t>
            </w:r>
          </w:p>
        </w:tc>
        <w:tc>
          <w:tcPr>
            <w:tcW w:w="1050" w:type="pct"/>
            <w:noWrap/>
          </w:tcPr>
          <w:p w:rsidR="00B231CB" w:rsidRDefault="00C71431">
            <w:pPr>
              <w:spacing w:after="120"/>
              <w:jc w:val="center"/>
              <w:rPr>
                <w:noProof/>
                <w:szCs w:val="24"/>
              </w:rPr>
            </w:pPr>
            <w:r>
              <w:rPr>
                <w:noProof/>
                <w:szCs w:val="24"/>
              </w:rPr>
              <w:t>-172</w:t>
            </w:r>
          </w:p>
        </w:tc>
        <w:tc>
          <w:tcPr>
            <w:tcW w:w="1049" w:type="pct"/>
            <w:noWrap/>
          </w:tcPr>
          <w:p w:rsidR="00B231CB" w:rsidRDefault="00C71431">
            <w:pPr>
              <w:spacing w:after="120"/>
              <w:jc w:val="center"/>
              <w:rPr>
                <w:noProof/>
                <w:szCs w:val="24"/>
              </w:rPr>
            </w:pPr>
            <w:r>
              <w:rPr>
                <w:noProof/>
                <w:szCs w:val="24"/>
              </w:rPr>
              <w:t>-144</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2,220</w:t>
            </w:r>
          </w:p>
        </w:tc>
        <w:tc>
          <w:tcPr>
            <w:tcW w:w="1050" w:type="pct"/>
            <w:tcBorders>
              <w:bottom w:val="single" w:sz="24" w:space="0" w:color="auto"/>
            </w:tcBorders>
            <w:noWrap/>
          </w:tcPr>
          <w:p w:rsidR="00B231CB" w:rsidRDefault="00C71431">
            <w:pPr>
              <w:spacing w:after="120"/>
              <w:jc w:val="center"/>
              <w:rPr>
                <w:noProof/>
                <w:szCs w:val="24"/>
              </w:rPr>
            </w:pPr>
            <w:r>
              <w:rPr>
                <w:noProof/>
                <w:szCs w:val="24"/>
              </w:rPr>
              <w:t>2,026</w:t>
            </w:r>
          </w:p>
        </w:tc>
        <w:tc>
          <w:tcPr>
            <w:tcW w:w="1049" w:type="pct"/>
            <w:tcBorders>
              <w:bottom w:val="single" w:sz="24" w:space="0" w:color="auto"/>
            </w:tcBorders>
            <w:noWrap/>
          </w:tcPr>
          <w:p w:rsidR="00B231CB" w:rsidRDefault="00C71431">
            <w:pPr>
              <w:spacing w:after="120"/>
              <w:jc w:val="center"/>
              <w:rPr>
                <w:noProof/>
                <w:szCs w:val="24"/>
              </w:rPr>
            </w:pPr>
            <w:r>
              <w:rPr>
                <w:noProof/>
                <w:szCs w:val="24"/>
              </w:rPr>
              <w:t>1,896</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565</w:t>
            </w:r>
          </w:p>
        </w:tc>
        <w:tc>
          <w:tcPr>
            <w:tcW w:w="1050" w:type="pct"/>
            <w:noWrap/>
          </w:tcPr>
          <w:p w:rsidR="00B231CB" w:rsidRDefault="00C71431">
            <w:pPr>
              <w:spacing w:after="120"/>
              <w:jc w:val="center"/>
              <w:rPr>
                <w:i/>
                <w:noProof/>
                <w:szCs w:val="24"/>
              </w:rPr>
            </w:pPr>
            <w:r>
              <w:rPr>
                <w:i/>
                <w:noProof/>
                <w:szCs w:val="24"/>
              </w:rPr>
              <w:t>1,430</w:t>
            </w:r>
          </w:p>
        </w:tc>
        <w:tc>
          <w:tcPr>
            <w:tcW w:w="1049" w:type="pct"/>
            <w:noWrap/>
          </w:tcPr>
          <w:p w:rsidR="00B231CB" w:rsidRDefault="00C71431">
            <w:pPr>
              <w:spacing w:after="120"/>
              <w:jc w:val="center"/>
              <w:rPr>
                <w:i/>
                <w:noProof/>
                <w:szCs w:val="24"/>
              </w:rPr>
            </w:pPr>
            <w:r>
              <w:rPr>
                <w:i/>
                <w:noProof/>
                <w:szCs w:val="24"/>
              </w:rPr>
              <w:t>1,391</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 xml:space="preserve">TCO-first user (5 years) </w:t>
            </w:r>
            <w:r>
              <w:rPr>
                <w:b/>
                <w:i/>
                <w:noProof/>
                <w:color w:val="000000" w:themeColor="text1"/>
              </w:rPr>
              <w:t>(EUR/car)</w:t>
            </w:r>
          </w:p>
        </w:tc>
      </w:tr>
      <w:tr w:rsidR="00B231CB">
        <w:trPr>
          <w:trHeight w:val="255"/>
        </w:trPr>
        <w:tc>
          <w:tcPr>
            <w:tcW w:w="1851" w:type="pct"/>
            <w:noWrap/>
            <w:hideMark/>
          </w:tcPr>
          <w:p w:rsidR="00B231CB" w:rsidRDefault="00C71431">
            <w:pPr>
              <w:spacing w:after="120"/>
              <w:rPr>
                <w:b/>
                <w:noProof/>
                <w:szCs w:val="24"/>
              </w:rPr>
            </w:pPr>
            <w:r>
              <w:rPr>
                <w:b/>
                <w:noProof/>
                <w:szCs w:val="24"/>
              </w:rPr>
              <w:t>TLC40 - 2030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1,419</w:t>
            </w:r>
          </w:p>
        </w:tc>
        <w:tc>
          <w:tcPr>
            <w:tcW w:w="1050" w:type="pct"/>
            <w:noWrap/>
          </w:tcPr>
          <w:p w:rsidR="00B231CB" w:rsidRDefault="00C71431">
            <w:pPr>
              <w:spacing w:after="120"/>
              <w:jc w:val="center"/>
              <w:rPr>
                <w:noProof/>
                <w:szCs w:val="24"/>
              </w:rPr>
            </w:pPr>
            <w:r>
              <w:rPr>
                <w:noProof/>
                <w:szCs w:val="24"/>
              </w:rPr>
              <w:t>601</w:t>
            </w:r>
          </w:p>
        </w:tc>
        <w:tc>
          <w:tcPr>
            <w:tcW w:w="1049" w:type="pct"/>
            <w:noWrap/>
          </w:tcPr>
          <w:p w:rsidR="00B231CB" w:rsidRDefault="00C71431">
            <w:pPr>
              <w:spacing w:after="120"/>
              <w:jc w:val="center"/>
              <w:rPr>
                <w:noProof/>
                <w:szCs w:val="24"/>
              </w:rPr>
            </w:pPr>
            <w:r>
              <w:rPr>
                <w:noProof/>
                <w:szCs w:val="24"/>
              </w:rPr>
              <w:t>507</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-66</w:t>
            </w:r>
          </w:p>
        </w:tc>
        <w:tc>
          <w:tcPr>
            <w:tcW w:w="1050" w:type="pct"/>
            <w:noWrap/>
          </w:tcPr>
          <w:p w:rsidR="00B231CB" w:rsidRDefault="00C71431">
            <w:pPr>
              <w:spacing w:after="120"/>
              <w:jc w:val="center"/>
              <w:rPr>
                <w:noProof/>
                <w:szCs w:val="24"/>
              </w:rPr>
            </w:pPr>
            <w:r>
              <w:rPr>
                <w:noProof/>
                <w:szCs w:val="24"/>
              </w:rPr>
              <w:t>-72</w:t>
            </w:r>
          </w:p>
        </w:tc>
        <w:tc>
          <w:tcPr>
            <w:tcW w:w="1049" w:type="pct"/>
            <w:noWrap/>
          </w:tcPr>
          <w:p w:rsidR="00B231CB" w:rsidRDefault="00C71431">
            <w:pPr>
              <w:spacing w:after="120"/>
              <w:jc w:val="center"/>
              <w:rPr>
                <w:noProof/>
                <w:szCs w:val="24"/>
              </w:rPr>
            </w:pPr>
            <w:r>
              <w:rPr>
                <w:noProof/>
                <w:szCs w:val="24"/>
              </w:rPr>
              <w:t>-60</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1,992</w:t>
            </w:r>
          </w:p>
        </w:tc>
        <w:tc>
          <w:tcPr>
            <w:tcW w:w="1050" w:type="pct"/>
            <w:tcBorders>
              <w:bottom w:val="single" w:sz="24" w:space="0" w:color="auto"/>
            </w:tcBorders>
            <w:noWrap/>
          </w:tcPr>
          <w:p w:rsidR="00B231CB" w:rsidRDefault="00C71431">
            <w:pPr>
              <w:spacing w:after="120"/>
              <w:jc w:val="center"/>
              <w:rPr>
                <w:noProof/>
                <w:szCs w:val="24"/>
              </w:rPr>
            </w:pPr>
            <w:r>
              <w:rPr>
                <w:noProof/>
                <w:szCs w:val="24"/>
              </w:rPr>
              <w:t>1,896</w:t>
            </w:r>
          </w:p>
        </w:tc>
        <w:tc>
          <w:tcPr>
            <w:tcW w:w="1049" w:type="pct"/>
            <w:tcBorders>
              <w:bottom w:val="single" w:sz="24" w:space="0" w:color="auto"/>
            </w:tcBorders>
            <w:noWrap/>
          </w:tcPr>
          <w:p w:rsidR="00B231CB" w:rsidRDefault="00C71431">
            <w:pPr>
              <w:spacing w:after="120"/>
              <w:jc w:val="center"/>
              <w:rPr>
                <w:noProof/>
                <w:szCs w:val="24"/>
              </w:rPr>
            </w:pPr>
            <w:r>
              <w:rPr>
                <w:noProof/>
                <w:szCs w:val="24"/>
              </w:rPr>
              <w:t>1,825</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639</w:t>
            </w:r>
          </w:p>
        </w:tc>
        <w:tc>
          <w:tcPr>
            <w:tcW w:w="1050" w:type="pct"/>
            <w:noWrap/>
          </w:tcPr>
          <w:p w:rsidR="00B231CB" w:rsidRDefault="00C71431">
            <w:pPr>
              <w:spacing w:after="120"/>
              <w:jc w:val="center"/>
              <w:rPr>
                <w:i/>
                <w:noProof/>
                <w:szCs w:val="24"/>
              </w:rPr>
            </w:pPr>
            <w:r>
              <w:rPr>
                <w:i/>
                <w:noProof/>
                <w:szCs w:val="24"/>
              </w:rPr>
              <w:t>1,367</w:t>
            </w:r>
          </w:p>
        </w:tc>
        <w:tc>
          <w:tcPr>
            <w:tcW w:w="1049" w:type="pct"/>
            <w:noWrap/>
          </w:tcPr>
          <w:p w:rsidR="00B231CB" w:rsidRDefault="00C71431">
            <w:pPr>
              <w:spacing w:after="120"/>
              <w:jc w:val="center"/>
              <w:rPr>
                <w:i/>
                <w:noProof/>
                <w:szCs w:val="24"/>
              </w:rPr>
            </w:pPr>
            <w:r>
              <w:rPr>
                <w:i/>
                <w:noProof/>
                <w:szCs w:val="24"/>
              </w:rPr>
              <w:t>1,378</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TLC40 - 2030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684</w:t>
            </w:r>
          </w:p>
        </w:tc>
        <w:tc>
          <w:tcPr>
            <w:tcW w:w="1050" w:type="pct"/>
            <w:noWrap/>
          </w:tcPr>
          <w:p w:rsidR="00B231CB" w:rsidRDefault="00C71431">
            <w:pPr>
              <w:spacing w:after="120"/>
              <w:jc w:val="center"/>
              <w:rPr>
                <w:noProof/>
                <w:szCs w:val="24"/>
              </w:rPr>
            </w:pPr>
            <w:r>
              <w:rPr>
                <w:noProof/>
                <w:szCs w:val="24"/>
              </w:rPr>
              <w:t>290</w:t>
            </w:r>
          </w:p>
        </w:tc>
        <w:tc>
          <w:tcPr>
            <w:tcW w:w="1049" w:type="pct"/>
            <w:noWrap/>
          </w:tcPr>
          <w:p w:rsidR="00B231CB" w:rsidRDefault="00C71431">
            <w:pPr>
              <w:spacing w:after="120"/>
              <w:jc w:val="center"/>
              <w:rPr>
                <w:noProof/>
                <w:szCs w:val="24"/>
              </w:rPr>
            </w:pPr>
            <w:r>
              <w:rPr>
                <w:noProof/>
                <w:szCs w:val="24"/>
              </w:rPr>
              <w:t>245</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-66</w:t>
            </w:r>
          </w:p>
        </w:tc>
        <w:tc>
          <w:tcPr>
            <w:tcW w:w="1050" w:type="pct"/>
            <w:noWrap/>
          </w:tcPr>
          <w:p w:rsidR="00B231CB" w:rsidRDefault="00C71431">
            <w:pPr>
              <w:spacing w:after="120"/>
              <w:jc w:val="center"/>
              <w:rPr>
                <w:noProof/>
                <w:szCs w:val="24"/>
              </w:rPr>
            </w:pPr>
            <w:r>
              <w:rPr>
                <w:noProof/>
                <w:szCs w:val="24"/>
              </w:rPr>
              <w:t>-72</w:t>
            </w:r>
          </w:p>
        </w:tc>
        <w:tc>
          <w:tcPr>
            <w:tcW w:w="1049" w:type="pct"/>
            <w:noWrap/>
          </w:tcPr>
          <w:p w:rsidR="00B231CB" w:rsidRDefault="00C71431">
            <w:pPr>
              <w:spacing w:after="120"/>
              <w:jc w:val="center"/>
              <w:rPr>
                <w:noProof/>
                <w:szCs w:val="24"/>
              </w:rPr>
            </w:pPr>
            <w:r>
              <w:rPr>
                <w:noProof/>
                <w:szCs w:val="24"/>
              </w:rPr>
              <w:t>-60</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1,640</w:t>
            </w:r>
          </w:p>
        </w:tc>
        <w:tc>
          <w:tcPr>
            <w:tcW w:w="1050" w:type="pct"/>
            <w:tcBorders>
              <w:bottom w:val="single" w:sz="24" w:space="0" w:color="auto"/>
            </w:tcBorders>
            <w:noWrap/>
          </w:tcPr>
          <w:p w:rsidR="00B231CB" w:rsidRDefault="00C71431">
            <w:pPr>
              <w:spacing w:after="120"/>
              <w:jc w:val="center"/>
              <w:rPr>
                <w:noProof/>
                <w:szCs w:val="24"/>
              </w:rPr>
            </w:pPr>
            <w:r>
              <w:rPr>
                <w:noProof/>
                <w:szCs w:val="24"/>
              </w:rPr>
              <w:t>1,548</w:t>
            </w:r>
          </w:p>
        </w:tc>
        <w:tc>
          <w:tcPr>
            <w:tcW w:w="1049" w:type="pct"/>
            <w:tcBorders>
              <w:bottom w:val="single" w:sz="24" w:space="0" w:color="auto"/>
            </w:tcBorders>
            <w:noWrap/>
          </w:tcPr>
          <w:p w:rsidR="00B231CB" w:rsidRDefault="00C71431">
            <w:pPr>
              <w:spacing w:after="120"/>
              <w:jc w:val="center"/>
              <w:rPr>
                <w:noProof/>
                <w:szCs w:val="24"/>
              </w:rPr>
            </w:pPr>
            <w:r>
              <w:rPr>
                <w:noProof/>
                <w:szCs w:val="24"/>
              </w:rPr>
              <w:t>1,488</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1,022</w:t>
            </w:r>
          </w:p>
        </w:tc>
        <w:tc>
          <w:tcPr>
            <w:tcW w:w="1050" w:type="pct"/>
            <w:noWrap/>
          </w:tcPr>
          <w:p w:rsidR="00B231CB" w:rsidRDefault="00C71431">
            <w:pPr>
              <w:spacing w:after="120"/>
              <w:jc w:val="center"/>
              <w:rPr>
                <w:i/>
                <w:noProof/>
                <w:szCs w:val="24"/>
              </w:rPr>
            </w:pPr>
            <w:r>
              <w:rPr>
                <w:i/>
                <w:noProof/>
                <w:szCs w:val="24"/>
              </w:rPr>
              <w:t>1,331</w:t>
            </w:r>
          </w:p>
        </w:tc>
        <w:tc>
          <w:tcPr>
            <w:tcW w:w="1049" w:type="pct"/>
            <w:noWrap/>
          </w:tcPr>
          <w:p w:rsidR="00B231CB" w:rsidRDefault="00C71431">
            <w:pPr>
              <w:spacing w:after="120"/>
              <w:jc w:val="center"/>
              <w:rPr>
                <w:i/>
                <w:noProof/>
                <w:szCs w:val="24"/>
              </w:rPr>
            </w:pPr>
            <w:r>
              <w:rPr>
                <w:i/>
                <w:noProof/>
                <w:szCs w:val="24"/>
              </w:rPr>
              <w:t>1,303</w:t>
            </w:r>
          </w:p>
        </w:tc>
      </w:tr>
    </w:tbl>
    <w:p w:rsidR="00B231CB" w:rsidRDefault="00C71431">
      <w:pPr>
        <w:spacing w:before="240"/>
        <w:rPr>
          <w:b/>
          <w:noProof/>
          <w:color w:val="000000" w:themeColor="text1"/>
          <w:szCs w:val="24"/>
          <w:lang w:eastAsia="en-GB"/>
        </w:rPr>
      </w:pPr>
      <w:r>
        <w:rPr>
          <w:b/>
          <w:noProof/>
          <w:szCs w:val="24"/>
          <w:u w:val="single"/>
        </w:rPr>
        <w:t>TLC20 – 2025 (LEVD_50)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TLC20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rPr>
            </w:pPr>
            <w:r>
              <w:rPr>
                <w:noProof/>
              </w:rPr>
              <w:t>115</w:t>
            </w:r>
          </w:p>
        </w:tc>
        <w:tc>
          <w:tcPr>
            <w:tcW w:w="1050" w:type="pct"/>
            <w:noWrap/>
          </w:tcPr>
          <w:p w:rsidR="00B231CB" w:rsidRDefault="00C71431">
            <w:pPr>
              <w:spacing w:after="120"/>
              <w:jc w:val="center"/>
              <w:rPr>
                <w:noProof/>
              </w:rPr>
            </w:pPr>
            <w:r>
              <w:rPr>
                <w:noProof/>
              </w:rPr>
              <w:t>-230</w:t>
            </w:r>
          </w:p>
        </w:tc>
        <w:tc>
          <w:tcPr>
            <w:tcW w:w="1049" w:type="pct"/>
            <w:noWrap/>
          </w:tcPr>
          <w:p w:rsidR="00B231CB" w:rsidRDefault="00C71431">
            <w:pPr>
              <w:spacing w:after="120"/>
              <w:jc w:val="center"/>
              <w:rPr>
                <w:noProof/>
              </w:rPr>
            </w:pPr>
            <w:r>
              <w:rPr>
                <w:noProof/>
              </w:rPr>
              <w:t>-231</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rPr>
            </w:pPr>
            <w:r>
              <w:rPr>
                <w:noProof/>
              </w:rPr>
              <w:t>1</w:t>
            </w:r>
          </w:p>
        </w:tc>
        <w:tc>
          <w:tcPr>
            <w:tcW w:w="1050" w:type="pct"/>
            <w:noWrap/>
          </w:tcPr>
          <w:p w:rsidR="00B231CB" w:rsidRDefault="00C71431">
            <w:pPr>
              <w:spacing w:after="120"/>
              <w:jc w:val="center"/>
              <w:rPr>
                <w:noProof/>
              </w:rPr>
            </w:pPr>
            <w:r>
              <w:rPr>
                <w:noProof/>
              </w:rPr>
              <w:t>178</w:t>
            </w:r>
          </w:p>
        </w:tc>
        <w:tc>
          <w:tcPr>
            <w:tcW w:w="1049" w:type="pct"/>
            <w:noWrap/>
          </w:tcPr>
          <w:p w:rsidR="00B231CB" w:rsidRDefault="00C71431">
            <w:pPr>
              <w:spacing w:after="120"/>
              <w:jc w:val="center"/>
              <w:rPr>
                <w:noProof/>
              </w:rPr>
            </w:pPr>
            <w:r>
              <w:rPr>
                <w:noProof/>
              </w:rPr>
              <w:t>255</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rPr>
            </w:pPr>
            <w:r>
              <w:rPr>
                <w:noProof/>
              </w:rPr>
              <w:t>354</w:t>
            </w:r>
          </w:p>
        </w:tc>
        <w:tc>
          <w:tcPr>
            <w:tcW w:w="1050" w:type="pct"/>
            <w:tcBorders>
              <w:bottom w:val="single" w:sz="24" w:space="0" w:color="auto"/>
            </w:tcBorders>
            <w:noWrap/>
          </w:tcPr>
          <w:p w:rsidR="00B231CB" w:rsidRDefault="00C71431">
            <w:pPr>
              <w:spacing w:after="120"/>
              <w:jc w:val="center"/>
              <w:rPr>
                <w:noProof/>
              </w:rPr>
            </w:pPr>
            <w:r>
              <w:rPr>
                <w:noProof/>
              </w:rPr>
              <w:t>-50</w:t>
            </w:r>
          </w:p>
        </w:tc>
        <w:tc>
          <w:tcPr>
            <w:tcW w:w="1049" w:type="pct"/>
            <w:tcBorders>
              <w:bottom w:val="single" w:sz="24" w:space="0" w:color="auto"/>
            </w:tcBorders>
            <w:noWrap/>
          </w:tcPr>
          <w:p w:rsidR="00B231CB" w:rsidRDefault="00C71431">
            <w:pPr>
              <w:spacing w:after="120"/>
              <w:jc w:val="center"/>
              <w:rPr>
                <w:noProof/>
              </w:rPr>
            </w:pPr>
            <w:r>
              <w:rPr>
                <w:noProof/>
              </w:rPr>
              <w:t>-334</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rPr>
            </w:pPr>
            <w:r>
              <w:rPr>
                <w:i/>
                <w:noProof/>
              </w:rPr>
              <w:t>100</w:t>
            </w:r>
          </w:p>
        </w:tc>
        <w:tc>
          <w:tcPr>
            <w:tcW w:w="1050" w:type="pct"/>
            <w:noWrap/>
          </w:tcPr>
          <w:p w:rsidR="00B231CB" w:rsidRDefault="00C71431">
            <w:pPr>
              <w:spacing w:after="120"/>
              <w:jc w:val="center"/>
              <w:rPr>
                <w:i/>
                <w:noProof/>
              </w:rPr>
            </w:pPr>
            <w:r>
              <w:rPr>
                <w:i/>
                <w:noProof/>
              </w:rPr>
              <w:t>3</w:t>
            </w:r>
          </w:p>
        </w:tc>
        <w:tc>
          <w:tcPr>
            <w:tcW w:w="1049" w:type="pct"/>
            <w:noWrap/>
          </w:tcPr>
          <w:p w:rsidR="00B231CB" w:rsidRDefault="00C71431">
            <w:pPr>
              <w:spacing w:after="120"/>
              <w:jc w:val="center"/>
              <w:rPr>
                <w:i/>
                <w:noProof/>
              </w:rPr>
            </w:pPr>
            <w:r>
              <w:rPr>
                <w:i/>
                <w:noProof/>
              </w:rPr>
              <w:t>-358</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TLC20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rPr>
            </w:pPr>
            <w:r>
              <w:rPr>
                <w:noProof/>
              </w:rPr>
              <w:t>90</w:t>
            </w:r>
          </w:p>
        </w:tc>
        <w:tc>
          <w:tcPr>
            <w:tcW w:w="1050" w:type="pct"/>
            <w:noWrap/>
          </w:tcPr>
          <w:p w:rsidR="00B231CB" w:rsidRDefault="00C71431">
            <w:pPr>
              <w:spacing w:after="120"/>
              <w:jc w:val="center"/>
              <w:rPr>
                <w:noProof/>
              </w:rPr>
            </w:pPr>
            <w:r>
              <w:rPr>
                <w:noProof/>
              </w:rPr>
              <w:t>-180</w:t>
            </w:r>
          </w:p>
        </w:tc>
        <w:tc>
          <w:tcPr>
            <w:tcW w:w="1050" w:type="pct"/>
            <w:noWrap/>
          </w:tcPr>
          <w:p w:rsidR="00B231CB" w:rsidRDefault="00C71431">
            <w:pPr>
              <w:spacing w:after="120"/>
              <w:jc w:val="center"/>
              <w:rPr>
                <w:noProof/>
              </w:rPr>
            </w:pPr>
            <w:r>
              <w:rPr>
                <w:noProof/>
              </w:rPr>
              <w:t>-181</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O&amp;</w:t>
            </w:r>
            <w:r>
              <w:rPr>
                <w:noProof/>
                <w:color w:val="000000" w:themeColor="text1"/>
                <w:szCs w:val="24"/>
              </w:rPr>
              <w:t xml:space="preserve">M cost [2] </w:t>
            </w:r>
          </w:p>
        </w:tc>
        <w:tc>
          <w:tcPr>
            <w:tcW w:w="1050" w:type="pct"/>
            <w:noWrap/>
          </w:tcPr>
          <w:p w:rsidR="00B231CB" w:rsidRDefault="00C71431">
            <w:pPr>
              <w:spacing w:after="120"/>
              <w:jc w:val="center"/>
              <w:rPr>
                <w:noProof/>
              </w:rPr>
            </w:pPr>
            <w:r>
              <w:rPr>
                <w:noProof/>
              </w:rPr>
              <w:t>58</w:t>
            </w:r>
          </w:p>
        </w:tc>
        <w:tc>
          <w:tcPr>
            <w:tcW w:w="1050" w:type="pct"/>
            <w:noWrap/>
          </w:tcPr>
          <w:p w:rsidR="00B231CB" w:rsidRDefault="00C71431">
            <w:pPr>
              <w:spacing w:after="120"/>
              <w:jc w:val="center"/>
              <w:rPr>
                <w:noProof/>
              </w:rPr>
            </w:pPr>
            <w:r>
              <w:rPr>
                <w:noProof/>
              </w:rPr>
              <w:t>74</w:t>
            </w:r>
          </w:p>
        </w:tc>
        <w:tc>
          <w:tcPr>
            <w:tcW w:w="1050" w:type="pct"/>
            <w:noWrap/>
          </w:tcPr>
          <w:p w:rsidR="00B231CB" w:rsidRDefault="00C71431">
            <w:pPr>
              <w:spacing w:after="120"/>
              <w:jc w:val="center"/>
              <w:rPr>
                <w:noProof/>
              </w:rPr>
            </w:pPr>
            <w:r>
              <w:rPr>
                <w:noProof/>
              </w:rPr>
              <w:t>107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rPr>
            </w:pPr>
            <w:r>
              <w:rPr>
                <w:noProof/>
              </w:rPr>
              <w:t>348</w:t>
            </w:r>
          </w:p>
        </w:tc>
        <w:tc>
          <w:tcPr>
            <w:tcW w:w="1050" w:type="pct"/>
            <w:tcBorders>
              <w:bottom w:val="single" w:sz="24" w:space="0" w:color="auto"/>
            </w:tcBorders>
            <w:noWrap/>
          </w:tcPr>
          <w:p w:rsidR="00B231CB" w:rsidRDefault="00C71431">
            <w:pPr>
              <w:spacing w:after="120"/>
              <w:jc w:val="center"/>
              <w:rPr>
                <w:noProof/>
              </w:rPr>
            </w:pPr>
            <w:r>
              <w:rPr>
                <w:noProof/>
              </w:rPr>
              <w:t>103</w:t>
            </w:r>
          </w:p>
        </w:tc>
        <w:tc>
          <w:tcPr>
            <w:tcW w:w="1050" w:type="pct"/>
            <w:tcBorders>
              <w:bottom w:val="single" w:sz="24" w:space="0" w:color="auto"/>
            </w:tcBorders>
            <w:noWrap/>
          </w:tcPr>
          <w:p w:rsidR="00B231CB" w:rsidRDefault="00C71431">
            <w:pPr>
              <w:spacing w:after="120"/>
              <w:jc w:val="center"/>
              <w:rPr>
                <w:noProof/>
              </w:rPr>
            </w:pPr>
            <w:r>
              <w:rPr>
                <w:noProof/>
              </w:rPr>
              <w:t>-70</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rPr>
            </w:pPr>
            <w:r>
              <w:rPr>
                <w:i/>
                <w:noProof/>
              </w:rPr>
              <w:t>200</w:t>
            </w:r>
          </w:p>
        </w:tc>
        <w:tc>
          <w:tcPr>
            <w:tcW w:w="1050" w:type="pct"/>
            <w:noWrap/>
          </w:tcPr>
          <w:p w:rsidR="00B231CB" w:rsidRDefault="00C71431">
            <w:pPr>
              <w:spacing w:after="120"/>
              <w:jc w:val="center"/>
              <w:rPr>
                <w:i/>
                <w:noProof/>
              </w:rPr>
            </w:pPr>
            <w:r>
              <w:rPr>
                <w:i/>
                <w:noProof/>
              </w:rPr>
              <w:t>209</w:t>
            </w:r>
          </w:p>
        </w:tc>
        <w:tc>
          <w:tcPr>
            <w:tcW w:w="1050" w:type="pct"/>
            <w:noWrap/>
          </w:tcPr>
          <w:p w:rsidR="00B231CB" w:rsidRDefault="00C71431">
            <w:pPr>
              <w:spacing w:after="120"/>
              <w:jc w:val="center"/>
              <w:rPr>
                <w:i/>
                <w:noProof/>
              </w:rPr>
            </w:pPr>
            <w:r>
              <w:rPr>
                <w:i/>
                <w:noProof/>
              </w:rPr>
              <w:t>5</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TLC20 - 2025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rPr>
            </w:pPr>
            <w:r>
              <w:rPr>
                <w:noProof/>
              </w:rPr>
              <w:t>43</w:t>
            </w:r>
          </w:p>
        </w:tc>
        <w:tc>
          <w:tcPr>
            <w:tcW w:w="1050" w:type="pct"/>
            <w:noWrap/>
          </w:tcPr>
          <w:p w:rsidR="00B231CB" w:rsidRDefault="00C71431">
            <w:pPr>
              <w:spacing w:after="120"/>
              <w:jc w:val="center"/>
              <w:rPr>
                <w:noProof/>
              </w:rPr>
            </w:pPr>
            <w:r>
              <w:rPr>
                <w:noProof/>
              </w:rPr>
              <w:t>-87</w:t>
            </w:r>
          </w:p>
        </w:tc>
        <w:tc>
          <w:tcPr>
            <w:tcW w:w="1050" w:type="pct"/>
            <w:noWrap/>
          </w:tcPr>
          <w:p w:rsidR="00B231CB" w:rsidRDefault="00C71431">
            <w:pPr>
              <w:spacing w:after="120"/>
              <w:jc w:val="center"/>
              <w:rPr>
                <w:noProof/>
              </w:rPr>
            </w:pPr>
            <w:r>
              <w:rPr>
                <w:noProof/>
              </w:rPr>
              <w:t>-87</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rPr>
            </w:pPr>
            <w:r>
              <w:rPr>
                <w:noProof/>
              </w:rPr>
              <w:t>58</w:t>
            </w:r>
          </w:p>
        </w:tc>
        <w:tc>
          <w:tcPr>
            <w:tcW w:w="1050" w:type="pct"/>
            <w:noWrap/>
          </w:tcPr>
          <w:p w:rsidR="00B231CB" w:rsidRDefault="00C71431">
            <w:pPr>
              <w:spacing w:after="120"/>
              <w:jc w:val="center"/>
              <w:rPr>
                <w:noProof/>
              </w:rPr>
            </w:pPr>
            <w:r>
              <w:rPr>
                <w:noProof/>
              </w:rPr>
              <w:t>74</w:t>
            </w:r>
          </w:p>
        </w:tc>
        <w:tc>
          <w:tcPr>
            <w:tcW w:w="1050" w:type="pct"/>
            <w:noWrap/>
          </w:tcPr>
          <w:p w:rsidR="00B231CB" w:rsidRDefault="00C71431">
            <w:pPr>
              <w:spacing w:after="120"/>
              <w:jc w:val="center"/>
              <w:rPr>
                <w:noProof/>
              </w:rPr>
            </w:pPr>
            <w:r>
              <w:rPr>
                <w:noProof/>
              </w:rPr>
              <w:t>107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rPr>
            </w:pPr>
            <w:r>
              <w:rPr>
                <w:noProof/>
              </w:rPr>
              <w:t>302</w:t>
            </w:r>
          </w:p>
        </w:tc>
        <w:tc>
          <w:tcPr>
            <w:tcW w:w="1050" w:type="pct"/>
            <w:tcBorders>
              <w:bottom w:val="single" w:sz="24" w:space="0" w:color="auto"/>
            </w:tcBorders>
            <w:noWrap/>
          </w:tcPr>
          <w:p w:rsidR="00B231CB" w:rsidRDefault="00C71431">
            <w:pPr>
              <w:spacing w:after="120"/>
              <w:jc w:val="center"/>
              <w:rPr>
                <w:noProof/>
              </w:rPr>
            </w:pPr>
            <w:r>
              <w:rPr>
                <w:noProof/>
              </w:rPr>
              <w:t>94</w:t>
            </w:r>
          </w:p>
        </w:tc>
        <w:tc>
          <w:tcPr>
            <w:tcW w:w="1050" w:type="pct"/>
            <w:tcBorders>
              <w:bottom w:val="single" w:sz="24" w:space="0" w:color="auto"/>
            </w:tcBorders>
            <w:noWrap/>
          </w:tcPr>
          <w:p w:rsidR="00B231CB" w:rsidRDefault="00C71431">
            <w:pPr>
              <w:spacing w:after="120"/>
              <w:jc w:val="center"/>
              <w:rPr>
                <w:noProof/>
              </w:rPr>
            </w:pPr>
            <w:r>
              <w:rPr>
                <w:noProof/>
              </w:rPr>
              <w:t>-54</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rPr>
            </w:pPr>
            <w:r>
              <w:rPr>
                <w:i/>
                <w:noProof/>
              </w:rPr>
              <w:t>201</w:t>
            </w:r>
          </w:p>
        </w:tc>
        <w:tc>
          <w:tcPr>
            <w:tcW w:w="1050" w:type="pct"/>
            <w:noWrap/>
          </w:tcPr>
          <w:p w:rsidR="00B231CB" w:rsidRDefault="00C71431">
            <w:pPr>
              <w:spacing w:after="120"/>
              <w:jc w:val="center"/>
              <w:rPr>
                <w:i/>
                <w:noProof/>
              </w:rPr>
            </w:pPr>
            <w:r>
              <w:rPr>
                <w:i/>
                <w:noProof/>
              </w:rPr>
              <w:t>107</w:t>
            </w:r>
          </w:p>
        </w:tc>
        <w:tc>
          <w:tcPr>
            <w:tcW w:w="1050" w:type="pct"/>
            <w:noWrap/>
          </w:tcPr>
          <w:p w:rsidR="00B231CB" w:rsidRDefault="00C71431">
            <w:pPr>
              <w:spacing w:after="120"/>
              <w:jc w:val="center"/>
              <w:rPr>
                <w:i/>
                <w:noProof/>
              </w:rPr>
            </w:pPr>
            <w:r>
              <w:rPr>
                <w:i/>
                <w:noProof/>
              </w:rPr>
              <w:t>-73</w:t>
            </w:r>
          </w:p>
        </w:tc>
      </w:tr>
    </w:tbl>
    <w:p w:rsidR="00B231CB" w:rsidRDefault="00B231CB">
      <w:pPr>
        <w:spacing w:before="240"/>
        <w:rPr>
          <w:b/>
          <w:noProof/>
          <w:szCs w:val="24"/>
          <w:u w:val="single"/>
        </w:rPr>
      </w:pPr>
    </w:p>
    <w:p w:rsidR="00B231CB" w:rsidRDefault="00C71431">
      <w:pPr>
        <w:rPr>
          <w:noProof/>
        </w:rPr>
      </w:pPr>
      <w:r>
        <w:rPr>
          <w:noProof/>
        </w:rPr>
        <w:br w:type="page"/>
      </w:r>
    </w:p>
    <w:p w:rsidR="00B231CB" w:rsidRDefault="00C71431">
      <w:pPr>
        <w:spacing w:before="240"/>
        <w:rPr>
          <w:b/>
          <w:noProof/>
          <w:color w:val="000000" w:themeColor="text1"/>
          <w:szCs w:val="24"/>
          <w:lang w:eastAsia="en-GB"/>
        </w:rPr>
      </w:pPr>
      <w:r>
        <w:rPr>
          <w:b/>
          <w:noProof/>
          <w:szCs w:val="24"/>
          <w:u w:val="single"/>
        </w:rPr>
        <w:t>TLC20 – 2030 (LEVD_50)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TLC20 - 2030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rPr>
            </w:pPr>
            <w:r>
              <w:rPr>
                <w:noProof/>
              </w:rPr>
              <w:t>419</w:t>
            </w:r>
          </w:p>
        </w:tc>
        <w:tc>
          <w:tcPr>
            <w:tcW w:w="1050" w:type="pct"/>
            <w:noWrap/>
          </w:tcPr>
          <w:p w:rsidR="00B231CB" w:rsidRDefault="00C71431">
            <w:pPr>
              <w:spacing w:after="120"/>
              <w:jc w:val="center"/>
              <w:rPr>
                <w:noProof/>
              </w:rPr>
            </w:pPr>
            <w:r>
              <w:rPr>
                <w:noProof/>
              </w:rPr>
              <w:t>-117</w:t>
            </w:r>
          </w:p>
        </w:tc>
        <w:tc>
          <w:tcPr>
            <w:tcW w:w="1049" w:type="pct"/>
            <w:noWrap/>
          </w:tcPr>
          <w:p w:rsidR="00B231CB" w:rsidRDefault="00C71431">
            <w:pPr>
              <w:spacing w:after="120"/>
              <w:jc w:val="center"/>
              <w:rPr>
                <w:noProof/>
              </w:rPr>
            </w:pPr>
            <w:r>
              <w:rPr>
                <w:noProof/>
              </w:rPr>
              <w:t>-120</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rPr>
            </w:pPr>
            <w:r>
              <w:rPr>
                <w:noProof/>
              </w:rPr>
              <w:t>-62</w:t>
            </w:r>
          </w:p>
        </w:tc>
        <w:tc>
          <w:tcPr>
            <w:tcW w:w="1050" w:type="pct"/>
            <w:noWrap/>
          </w:tcPr>
          <w:p w:rsidR="00B231CB" w:rsidRDefault="00C71431">
            <w:pPr>
              <w:spacing w:after="120"/>
              <w:jc w:val="center"/>
              <w:rPr>
                <w:noProof/>
              </w:rPr>
            </w:pPr>
            <w:r>
              <w:rPr>
                <w:noProof/>
              </w:rPr>
              <w:t>-66</w:t>
            </w:r>
          </w:p>
        </w:tc>
        <w:tc>
          <w:tcPr>
            <w:tcW w:w="1049" w:type="pct"/>
            <w:noWrap/>
          </w:tcPr>
          <w:p w:rsidR="00B231CB" w:rsidRDefault="00C71431">
            <w:pPr>
              <w:spacing w:after="120"/>
              <w:jc w:val="center"/>
              <w:rPr>
                <w:noProof/>
              </w:rPr>
            </w:pPr>
            <w:r>
              <w:rPr>
                <w:noProof/>
              </w:rPr>
              <w:t>40</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rPr>
            </w:pPr>
            <w:r>
              <w:rPr>
                <w:noProof/>
              </w:rPr>
              <w:t>1,159</w:t>
            </w:r>
          </w:p>
        </w:tc>
        <w:tc>
          <w:tcPr>
            <w:tcW w:w="1050" w:type="pct"/>
            <w:tcBorders>
              <w:bottom w:val="single" w:sz="24" w:space="0" w:color="auto"/>
            </w:tcBorders>
            <w:noWrap/>
          </w:tcPr>
          <w:p w:rsidR="00B231CB" w:rsidRDefault="00C71431">
            <w:pPr>
              <w:spacing w:after="120"/>
              <w:jc w:val="center"/>
              <w:rPr>
                <w:noProof/>
              </w:rPr>
            </w:pPr>
            <w:r>
              <w:rPr>
                <w:noProof/>
              </w:rPr>
              <w:t>463</w:t>
            </w:r>
          </w:p>
        </w:tc>
        <w:tc>
          <w:tcPr>
            <w:tcW w:w="1049" w:type="pct"/>
            <w:tcBorders>
              <w:bottom w:val="single" w:sz="24" w:space="0" w:color="auto"/>
            </w:tcBorders>
            <w:noWrap/>
          </w:tcPr>
          <w:p w:rsidR="00B231CB" w:rsidRDefault="00C71431">
            <w:pPr>
              <w:spacing w:after="120"/>
              <w:jc w:val="center"/>
              <w:rPr>
                <w:noProof/>
              </w:rPr>
            </w:pPr>
            <w:r>
              <w:rPr>
                <w:noProof/>
              </w:rPr>
              <w:t>115</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rPr>
            </w:pPr>
            <w:r>
              <w:rPr>
                <w:i/>
                <w:noProof/>
              </w:rPr>
              <w:t>802</w:t>
            </w:r>
          </w:p>
        </w:tc>
        <w:tc>
          <w:tcPr>
            <w:tcW w:w="1050" w:type="pct"/>
            <w:noWrap/>
          </w:tcPr>
          <w:p w:rsidR="00B231CB" w:rsidRDefault="00C71431">
            <w:pPr>
              <w:spacing w:after="120"/>
              <w:jc w:val="center"/>
              <w:rPr>
                <w:i/>
                <w:noProof/>
              </w:rPr>
            </w:pPr>
            <w:r>
              <w:rPr>
                <w:i/>
                <w:noProof/>
              </w:rPr>
              <w:t>645</w:t>
            </w:r>
          </w:p>
        </w:tc>
        <w:tc>
          <w:tcPr>
            <w:tcW w:w="1049" w:type="pct"/>
            <w:noWrap/>
          </w:tcPr>
          <w:p w:rsidR="00B231CB" w:rsidRDefault="00C71431">
            <w:pPr>
              <w:spacing w:after="120"/>
              <w:jc w:val="center"/>
              <w:rPr>
                <w:i/>
                <w:noProof/>
              </w:rPr>
            </w:pPr>
            <w:r>
              <w:rPr>
                <w:i/>
                <w:noProof/>
              </w:rPr>
              <w:t>195</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TLC20 - 2030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rPr>
            </w:pPr>
            <w:r>
              <w:rPr>
                <w:noProof/>
              </w:rPr>
              <w:t>328</w:t>
            </w:r>
          </w:p>
        </w:tc>
        <w:tc>
          <w:tcPr>
            <w:tcW w:w="1050" w:type="pct"/>
            <w:noWrap/>
          </w:tcPr>
          <w:p w:rsidR="00B231CB" w:rsidRDefault="00C71431">
            <w:pPr>
              <w:spacing w:after="120"/>
              <w:jc w:val="center"/>
              <w:rPr>
                <w:noProof/>
              </w:rPr>
            </w:pPr>
            <w:r>
              <w:rPr>
                <w:noProof/>
              </w:rPr>
              <w:t>-92</w:t>
            </w:r>
          </w:p>
        </w:tc>
        <w:tc>
          <w:tcPr>
            <w:tcW w:w="1049" w:type="pct"/>
            <w:noWrap/>
          </w:tcPr>
          <w:p w:rsidR="00B231CB" w:rsidRDefault="00C71431">
            <w:pPr>
              <w:spacing w:after="120"/>
              <w:jc w:val="center"/>
              <w:rPr>
                <w:noProof/>
              </w:rPr>
            </w:pPr>
            <w:r>
              <w:rPr>
                <w:noProof/>
              </w:rPr>
              <w:t>-94</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rPr>
            </w:pPr>
            <w:r>
              <w:rPr>
                <w:noProof/>
              </w:rPr>
              <w:t>-26</w:t>
            </w:r>
          </w:p>
        </w:tc>
        <w:tc>
          <w:tcPr>
            <w:tcW w:w="1050" w:type="pct"/>
            <w:noWrap/>
          </w:tcPr>
          <w:p w:rsidR="00B231CB" w:rsidRDefault="00C71431">
            <w:pPr>
              <w:spacing w:after="120"/>
              <w:jc w:val="center"/>
              <w:rPr>
                <w:noProof/>
              </w:rPr>
            </w:pPr>
            <w:r>
              <w:rPr>
                <w:noProof/>
              </w:rPr>
              <w:t>-27</w:t>
            </w:r>
          </w:p>
        </w:tc>
        <w:tc>
          <w:tcPr>
            <w:tcW w:w="1049" w:type="pct"/>
            <w:noWrap/>
          </w:tcPr>
          <w:p w:rsidR="00B231CB" w:rsidRDefault="00C71431">
            <w:pPr>
              <w:spacing w:after="120"/>
              <w:jc w:val="center"/>
              <w:rPr>
                <w:noProof/>
              </w:rPr>
            </w:pPr>
            <w:r>
              <w:rPr>
                <w:noProof/>
              </w:rPr>
              <w:t>17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rPr>
            </w:pPr>
            <w:r>
              <w:rPr>
                <w:noProof/>
              </w:rPr>
              <w:t>1,025</w:t>
            </w:r>
          </w:p>
        </w:tc>
        <w:tc>
          <w:tcPr>
            <w:tcW w:w="1050" w:type="pct"/>
            <w:tcBorders>
              <w:bottom w:val="single" w:sz="24" w:space="0" w:color="auto"/>
            </w:tcBorders>
            <w:noWrap/>
          </w:tcPr>
          <w:p w:rsidR="00B231CB" w:rsidRDefault="00C71431">
            <w:pPr>
              <w:spacing w:after="120"/>
              <w:jc w:val="center"/>
              <w:rPr>
                <w:noProof/>
              </w:rPr>
            </w:pPr>
            <w:r>
              <w:rPr>
                <w:noProof/>
              </w:rPr>
              <w:t>622</w:t>
            </w:r>
          </w:p>
        </w:tc>
        <w:tc>
          <w:tcPr>
            <w:tcW w:w="1049" w:type="pct"/>
            <w:tcBorders>
              <w:bottom w:val="single" w:sz="24" w:space="0" w:color="auto"/>
            </w:tcBorders>
            <w:noWrap/>
          </w:tcPr>
          <w:p w:rsidR="00B231CB" w:rsidRDefault="00C71431">
            <w:pPr>
              <w:spacing w:after="120"/>
              <w:jc w:val="center"/>
              <w:rPr>
                <w:noProof/>
              </w:rPr>
            </w:pPr>
            <w:r>
              <w:rPr>
                <w:noProof/>
              </w:rPr>
              <w:t>410</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rPr>
            </w:pPr>
            <w:r>
              <w:rPr>
                <w:i/>
                <w:noProof/>
              </w:rPr>
              <w:t>723</w:t>
            </w:r>
          </w:p>
        </w:tc>
        <w:tc>
          <w:tcPr>
            <w:tcW w:w="1050" w:type="pct"/>
            <w:noWrap/>
          </w:tcPr>
          <w:p w:rsidR="00B231CB" w:rsidRDefault="00C71431">
            <w:pPr>
              <w:spacing w:after="120"/>
              <w:jc w:val="center"/>
              <w:rPr>
                <w:i/>
                <w:noProof/>
              </w:rPr>
            </w:pPr>
            <w:r>
              <w:rPr>
                <w:i/>
                <w:noProof/>
              </w:rPr>
              <w:t>741</w:t>
            </w:r>
          </w:p>
        </w:tc>
        <w:tc>
          <w:tcPr>
            <w:tcW w:w="1049" w:type="pct"/>
            <w:noWrap/>
          </w:tcPr>
          <w:p w:rsidR="00B231CB" w:rsidRDefault="00C71431">
            <w:pPr>
              <w:spacing w:after="120"/>
              <w:jc w:val="center"/>
              <w:rPr>
                <w:i/>
                <w:noProof/>
              </w:rPr>
            </w:pPr>
            <w:r>
              <w:rPr>
                <w:i/>
                <w:noProof/>
              </w:rPr>
              <w:t>487</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TLC20 - 2030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rPr>
            </w:pPr>
            <w:r>
              <w:rPr>
                <w:noProof/>
              </w:rPr>
              <w:t>158</w:t>
            </w:r>
          </w:p>
        </w:tc>
        <w:tc>
          <w:tcPr>
            <w:tcW w:w="1050" w:type="pct"/>
            <w:noWrap/>
          </w:tcPr>
          <w:p w:rsidR="00B231CB" w:rsidRDefault="00C71431">
            <w:pPr>
              <w:spacing w:after="120"/>
              <w:jc w:val="center"/>
              <w:rPr>
                <w:noProof/>
              </w:rPr>
            </w:pPr>
            <w:r>
              <w:rPr>
                <w:noProof/>
              </w:rPr>
              <w:t>-44</w:t>
            </w:r>
          </w:p>
        </w:tc>
        <w:tc>
          <w:tcPr>
            <w:tcW w:w="1049" w:type="pct"/>
            <w:noWrap/>
          </w:tcPr>
          <w:p w:rsidR="00B231CB" w:rsidRDefault="00C71431">
            <w:pPr>
              <w:spacing w:after="120"/>
              <w:jc w:val="center"/>
              <w:rPr>
                <w:noProof/>
              </w:rPr>
            </w:pPr>
            <w:r>
              <w:rPr>
                <w:noProof/>
              </w:rPr>
              <w:t>-45</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rPr>
            </w:pPr>
            <w:r>
              <w:rPr>
                <w:noProof/>
              </w:rPr>
              <w:t>-26</w:t>
            </w:r>
          </w:p>
        </w:tc>
        <w:tc>
          <w:tcPr>
            <w:tcW w:w="1050" w:type="pct"/>
            <w:noWrap/>
          </w:tcPr>
          <w:p w:rsidR="00B231CB" w:rsidRDefault="00C71431">
            <w:pPr>
              <w:spacing w:after="120"/>
              <w:jc w:val="center"/>
              <w:rPr>
                <w:noProof/>
              </w:rPr>
            </w:pPr>
            <w:r>
              <w:rPr>
                <w:noProof/>
              </w:rPr>
              <w:t>-27</w:t>
            </w:r>
          </w:p>
        </w:tc>
        <w:tc>
          <w:tcPr>
            <w:tcW w:w="1049" w:type="pct"/>
            <w:noWrap/>
          </w:tcPr>
          <w:p w:rsidR="00B231CB" w:rsidRDefault="00C71431">
            <w:pPr>
              <w:spacing w:after="120"/>
              <w:jc w:val="center"/>
              <w:rPr>
                <w:noProof/>
              </w:rPr>
            </w:pPr>
            <w:r>
              <w:rPr>
                <w:noProof/>
              </w:rPr>
              <w:t>17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rPr>
            </w:pPr>
            <w:r>
              <w:rPr>
                <w:noProof/>
              </w:rPr>
              <w:t>841</w:t>
            </w:r>
          </w:p>
        </w:tc>
        <w:tc>
          <w:tcPr>
            <w:tcW w:w="1050" w:type="pct"/>
            <w:tcBorders>
              <w:bottom w:val="single" w:sz="24" w:space="0" w:color="auto"/>
            </w:tcBorders>
            <w:noWrap/>
          </w:tcPr>
          <w:p w:rsidR="00B231CB" w:rsidRDefault="00C71431">
            <w:pPr>
              <w:spacing w:after="120"/>
              <w:jc w:val="center"/>
              <w:rPr>
                <w:noProof/>
              </w:rPr>
            </w:pPr>
            <w:r>
              <w:rPr>
                <w:noProof/>
              </w:rPr>
              <w:t>518</w:t>
            </w:r>
          </w:p>
        </w:tc>
        <w:tc>
          <w:tcPr>
            <w:tcW w:w="1049" w:type="pct"/>
            <w:tcBorders>
              <w:bottom w:val="single" w:sz="24" w:space="0" w:color="auto"/>
            </w:tcBorders>
            <w:noWrap/>
          </w:tcPr>
          <w:p w:rsidR="00B231CB" w:rsidRDefault="00C71431">
            <w:pPr>
              <w:spacing w:after="120"/>
              <w:jc w:val="center"/>
              <w:rPr>
                <w:noProof/>
              </w:rPr>
            </w:pPr>
            <w:r>
              <w:rPr>
                <w:noProof/>
              </w:rPr>
              <w:t>348</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rPr>
            </w:pPr>
            <w:r>
              <w:rPr>
                <w:i/>
                <w:noProof/>
              </w:rPr>
              <w:t>708</w:t>
            </w:r>
          </w:p>
        </w:tc>
        <w:tc>
          <w:tcPr>
            <w:tcW w:w="1050" w:type="pct"/>
            <w:noWrap/>
          </w:tcPr>
          <w:p w:rsidR="00B231CB" w:rsidRDefault="00C71431">
            <w:pPr>
              <w:spacing w:after="120"/>
              <w:jc w:val="center"/>
              <w:rPr>
                <w:i/>
                <w:noProof/>
              </w:rPr>
            </w:pPr>
            <w:r>
              <w:rPr>
                <w:i/>
                <w:noProof/>
              </w:rPr>
              <w:t>589</w:t>
            </w:r>
          </w:p>
        </w:tc>
        <w:tc>
          <w:tcPr>
            <w:tcW w:w="1049" w:type="pct"/>
            <w:noWrap/>
          </w:tcPr>
          <w:p w:rsidR="00B231CB" w:rsidRDefault="00C71431">
            <w:pPr>
              <w:spacing w:after="120"/>
              <w:jc w:val="center"/>
              <w:rPr>
                <w:i/>
                <w:noProof/>
              </w:rPr>
            </w:pPr>
            <w:r>
              <w:rPr>
                <w:i/>
                <w:noProof/>
              </w:rPr>
              <w:t>377</w:t>
            </w:r>
          </w:p>
        </w:tc>
      </w:tr>
    </w:tbl>
    <w:p w:rsidR="00B231CB" w:rsidRDefault="00B231CB">
      <w:pPr>
        <w:spacing w:before="240"/>
        <w:rPr>
          <w:b/>
          <w:noProof/>
          <w:szCs w:val="24"/>
          <w:u w:val="single"/>
        </w:rPr>
      </w:pPr>
    </w:p>
    <w:p w:rsidR="00B231CB" w:rsidRDefault="00C71431">
      <w:pPr>
        <w:spacing w:before="240"/>
        <w:rPr>
          <w:b/>
          <w:noProof/>
          <w:color w:val="000000" w:themeColor="text1"/>
          <w:szCs w:val="24"/>
          <w:lang w:eastAsia="en-GB"/>
        </w:rPr>
      </w:pPr>
      <w:r>
        <w:rPr>
          <w:b/>
          <w:noProof/>
          <w:szCs w:val="24"/>
          <w:u w:val="single"/>
        </w:rPr>
        <w:t>TLC25 – 2025 (LEVD_50)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 xml:space="preserve">Net savings from a </w:t>
            </w:r>
            <w:r>
              <w:rPr>
                <w:b/>
                <w:i/>
                <w:noProof/>
                <w:color w:val="000000" w:themeColor="text1"/>
              </w:rPr>
              <w:t>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TLC25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229</w:t>
            </w:r>
          </w:p>
        </w:tc>
        <w:tc>
          <w:tcPr>
            <w:tcW w:w="1050" w:type="pct"/>
            <w:noWrap/>
          </w:tcPr>
          <w:p w:rsidR="00B231CB" w:rsidRDefault="00C71431">
            <w:pPr>
              <w:spacing w:after="120"/>
              <w:jc w:val="center"/>
              <w:rPr>
                <w:noProof/>
                <w:szCs w:val="24"/>
              </w:rPr>
            </w:pPr>
            <w:r>
              <w:rPr>
                <w:noProof/>
                <w:szCs w:val="24"/>
              </w:rPr>
              <w:t>-150</w:t>
            </w:r>
          </w:p>
        </w:tc>
        <w:tc>
          <w:tcPr>
            <w:tcW w:w="1049" w:type="pct"/>
            <w:noWrap/>
          </w:tcPr>
          <w:p w:rsidR="00B231CB" w:rsidRDefault="00C71431">
            <w:pPr>
              <w:spacing w:after="120"/>
              <w:jc w:val="center"/>
              <w:rPr>
                <w:noProof/>
                <w:szCs w:val="24"/>
              </w:rPr>
            </w:pPr>
            <w:r>
              <w:rPr>
                <w:noProof/>
                <w:szCs w:val="24"/>
              </w:rPr>
              <w:t>-168</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w:t>
            </w:r>
          </w:p>
        </w:tc>
        <w:tc>
          <w:tcPr>
            <w:tcW w:w="1050" w:type="pct"/>
            <w:noWrap/>
          </w:tcPr>
          <w:p w:rsidR="00B231CB" w:rsidRDefault="00C71431">
            <w:pPr>
              <w:spacing w:after="120"/>
              <w:jc w:val="center"/>
              <w:rPr>
                <w:noProof/>
                <w:szCs w:val="24"/>
              </w:rPr>
            </w:pPr>
            <w:r>
              <w:rPr>
                <w:noProof/>
                <w:szCs w:val="24"/>
              </w:rPr>
              <w:t>183</w:t>
            </w:r>
          </w:p>
        </w:tc>
        <w:tc>
          <w:tcPr>
            <w:tcW w:w="1049" w:type="pct"/>
            <w:noWrap/>
          </w:tcPr>
          <w:p w:rsidR="00B231CB" w:rsidRDefault="00C71431">
            <w:pPr>
              <w:spacing w:after="120"/>
              <w:jc w:val="center"/>
              <w:rPr>
                <w:noProof/>
                <w:szCs w:val="24"/>
              </w:rPr>
            </w:pPr>
            <w:r>
              <w:rPr>
                <w:noProof/>
                <w:szCs w:val="24"/>
              </w:rPr>
              <w:t>239</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514</w:t>
            </w:r>
          </w:p>
        </w:tc>
        <w:tc>
          <w:tcPr>
            <w:tcW w:w="1050" w:type="pct"/>
            <w:tcBorders>
              <w:bottom w:val="single" w:sz="24" w:space="0" w:color="auto"/>
            </w:tcBorders>
            <w:noWrap/>
          </w:tcPr>
          <w:p w:rsidR="00B231CB" w:rsidRDefault="00C71431">
            <w:pPr>
              <w:spacing w:after="120"/>
              <w:jc w:val="center"/>
              <w:rPr>
                <w:noProof/>
                <w:szCs w:val="24"/>
              </w:rPr>
            </w:pPr>
            <w:r>
              <w:rPr>
                <w:noProof/>
                <w:szCs w:val="24"/>
              </w:rPr>
              <w:t>128</w:t>
            </w:r>
          </w:p>
        </w:tc>
        <w:tc>
          <w:tcPr>
            <w:tcW w:w="1049" w:type="pct"/>
            <w:tcBorders>
              <w:bottom w:val="single" w:sz="24" w:space="0" w:color="auto"/>
            </w:tcBorders>
            <w:noWrap/>
          </w:tcPr>
          <w:p w:rsidR="00B231CB" w:rsidRDefault="00C71431">
            <w:pPr>
              <w:spacing w:after="120"/>
              <w:jc w:val="center"/>
              <w:rPr>
                <w:noProof/>
                <w:szCs w:val="24"/>
              </w:rPr>
            </w:pPr>
            <w:r>
              <w:rPr>
                <w:noProof/>
                <w:szCs w:val="24"/>
              </w:rPr>
              <w:t>-156</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149</w:t>
            </w:r>
          </w:p>
        </w:tc>
        <w:tc>
          <w:tcPr>
            <w:tcW w:w="1050" w:type="pct"/>
            <w:noWrap/>
          </w:tcPr>
          <w:p w:rsidR="00B231CB" w:rsidRDefault="00C71431">
            <w:pPr>
              <w:spacing w:after="120"/>
              <w:jc w:val="center"/>
              <w:rPr>
                <w:i/>
                <w:noProof/>
                <w:szCs w:val="24"/>
              </w:rPr>
            </w:pPr>
            <w:r>
              <w:rPr>
                <w:i/>
                <w:noProof/>
                <w:szCs w:val="24"/>
              </w:rPr>
              <w:t>96</w:t>
            </w:r>
          </w:p>
        </w:tc>
        <w:tc>
          <w:tcPr>
            <w:tcW w:w="1049" w:type="pct"/>
            <w:noWrap/>
          </w:tcPr>
          <w:p w:rsidR="00B231CB" w:rsidRDefault="00C71431">
            <w:pPr>
              <w:spacing w:after="120"/>
              <w:jc w:val="center"/>
              <w:rPr>
                <w:i/>
                <w:noProof/>
                <w:szCs w:val="24"/>
              </w:rPr>
            </w:pPr>
            <w:r>
              <w:rPr>
                <w:i/>
                <w:noProof/>
                <w:szCs w:val="24"/>
              </w:rPr>
              <w:t>-227</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TLC25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179</w:t>
            </w:r>
          </w:p>
        </w:tc>
        <w:tc>
          <w:tcPr>
            <w:tcW w:w="1050" w:type="pct"/>
            <w:noWrap/>
          </w:tcPr>
          <w:p w:rsidR="00B231CB" w:rsidRDefault="00C71431">
            <w:pPr>
              <w:spacing w:after="120"/>
              <w:jc w:val="center"/>
              <w:rPr>
                <w:noProof/>
                <w:szCs w:val="24"/>
              </w:rPr>
            </w:pPr>
            <w:r>
              <w:rPr>
                <w:noProof/>
                <w:szCs w:val="24"/>
              </w:rPr>
              <w:t>-118</w:t>
            </w:r>
          </w:p>
        </w:tc>
        <w:tc>
          <w:tcPr>
            <w:tcW w:w="1050" w:type="pct"/>
            <w:noWrap/>
          </w:tcPr>
          <w:p w:rsidR="00B231CB" w:rsidRDefault="00C71431">
            <w:pPr>
              <w:spacing w:after="120"/>
              <w:jc w:val="center"/>
              <w:rPr>
                <w:noProof/>
                <w:szCs w:val="24"/>
              </w:rPr>
            </w:pPr>
            <w:r>
              <w:rPr>
                <w:noProof/>
                <w:szCs w:val="24"/>
              </w:rPr>
              <w:t>-131</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58</w:t>
            </w:r>
          </w:p>
        </w:tc>
        <w:tc>
          <w:tcPr>
            <w:tcW w:w="1050" w:type="pct"/>
            <w:noWrap/>
          </w:tcPr>
          <w:p w:rsidR="00B231CB" w:rsidRDefault="00C71431">
            <w:pPr>
              <w:spacing w:after="120"/>
              <w:jc w:val="center"/>
              <w:rPr>
                <w:noProof/>
                <w:szCs w:val="24"/>
              </w:rPr>
            </w:pPr>
            <w:r>
              <w:rPr>
                <w:noProof/>
                <w:szCs w:val="24"/>
              </w:rPr>
              <w:t>78</w:t>
            </w:r>
          </w:p>
        </w:tc>
        <w:tc>
          <w:tcPr>
            <w:tcW w:w="1050" w:type="pct"/>
            <w:noWrap/>
          </w:tcPr>
          <w:p w:rsidR="00B231CB" w:rsidRDefault="00C71431">
            <w:pPr>
              <w:spacing w:after="120"/>
              <w:jc w:val="center"/>
              <w:rPr>
                <w:noProof/>
                <w:szCs w:val="24"/>
              </w:rPr>
            </w:pPr>
            <w:r>
              <w:rPr>
                <w:noProof/>
                <w:szCs w:val="24"/>
              </w:rPr>
              <w:t>102</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482</w:t>
            </w:r>
          </w:p>
        </w:tc>
        <w:tc>
          <w:tcPr>
            <w:tcW w:w="1050" w:type="pct"/>
            <w:tcBorders>
              <w:bottom w:val="single" w:sz="24" w:space="0" w:color="auto"/>
            </w:tcBorders>
            <w:noWrap/>
          </w:tcPr>
          <w:p w:rsidR="00B231CB" w:rsidRDefault="00C71431">
            <w:pPr>
              <w:spacing w:after="120"/>
              <w:jc w:val="center"/>
              <w:rPr>
                <w:noProof/>
                <w:szCs w:val="24"/>
              </w:rPr>
            </w:pPr>
            <w:r>
              <w:rPr>
                <w:noProof/>
                <w:szCs w:val="24"/>
              </w:rPr>
              <w:t>252</w:t>
            </w:r>
          </w:p>
        </w:tc>
        <w:tc>
          <w:tcPr>
            <w:tcW w:w="1050" w:type="pct"/>
            <w:tcBorders>
              <w:bottom w:val="single" w:sz="24" w:space="0" w:color="auto"/>
            </w:tcBorders>
            <w:noWrap/>
          </w:tcPr>
          <w:p w:rsidR="00B231CB" w:rsidRDefault="00C71431">
            <w:pPr>
              <w:spacing w:after="120"/>
              <w:jc w:val="center"/>
              <w:rPr>
                <w:noProof/>
                <w:szCs w:val="24"/>
              </w:rPr>
            </w:pPr>
            <w:r>
              <w:rPr>
                <w:noProof/>
                <w:szCs w:val="24"/>
              </w:rPr>
              <w:t>80</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245</w:t>
            </w:r>
          </w:p>
        </w:tc>
        <w:tc>
          <w:tcPr>
            <w:tcW w:w="1050" w:type="pct"/>
            <w:noWrap/>
          </w:tcPr>
          <w:p w:rsidR="00B231CB" w:rsidRDefault="00C71431">
            <w:pPr>
              <w:spacing w:after="120"/>
              <w:jc w:val="center"/>
              <w:rPr>
                <w:i/>
                <w:noProof/>
                <w:szCs w:val="24"/>
              </w:rPr>
            </w:pPr>
            <w:r>
              <w:rPr>
                <w:i/>
                <w:noProof/>
                <w:szCs w:val="24"/>
              </w:rPr>
              <w:t>292</w:t>
            </w:r>
          </w:p>
        </w:tc>
        <w:tc>
          <w:tcPr>
            <w:tcW w:w="1050" w:type="pct"/>
            <w:noWrap/>
          </w:tcPr>
          <w:p w:rsidR="00B231CB" w:rsidRDefault="00C71431">
            <w:pPr>
              <w:spacing w:after="120"/>
              <w:jc w:val="center"/>
              <w:rPr>
                <w:i/>
                <w:noProof/>
                <w:szCs w:val="24"/>
              </w:rPr>
            </w:pPr>
            <w:r>
              <w:rPr>
                <w:i/>
                <w:noProof/>
                <w:szCs w:val="24"/>
              </w:rPr>
              <w:t>110</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TLC25 - 2025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86</w:t>
            </w:r>
          </w:p>
        </w:tc>
        <w:tc>
          <w:tcPr>
            <w:tcW w:w="1050" w:type="pct"/>
            <w:noWrap/>
          </w:tcPr>
          <w:p w:rsidR="00B231CB" w:rsidRDefault="00C71431">
            <w:pPr>
              <w:spacing w:after="120"/>
              <w:jc w:val="center"/>
              <w:rPr>
                <w:noProof/>
                <w:szCs w:val="24"/>
              </w:rPr>
            </w:pPr>
            <w:r>
              <w:rPr>
                <w:noProof/>
                <w:szCs w:val="24"/>
              </w:rPr>
              <w:t>-57</w:t>
            </w:r>
          </w:p>
        </w:tc>
        <w:tc>
          <w:tcPr>
            <w:tcW w:w="1050" w:type="pct"/>
            <w:noWrap/>
          </w:tcPr>
          <w:p w:rsidR="00B231CB" w:rsidRDefault="00C71431">
            <w:pPr>
              <w:spacing w:after="120"/>
              <w:jc w:val="center"/>
              <w:rPr>
                <w:noProof/>
                <w:szCs w:val="24"/>
              </w:rPr>
            </w:pPr>
            <w:r>
              <w:rPr>
                <w:noProof/>
                <w:szCs w:val="24"/>
              </w:rPr>
              <w:t>-63</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58</w:t>
            </w:r>
          </w:p>
        </w:tc>
        <w:tc>
          <w:tcPr>
            <w:tcW w:w="1050" w:type="pct"/>
            <w:noWrap/>
          </w:tcPr>
          <w:p w:rsidR="00B231CB" w:rsidRDefault="00C71431">
            <w:pPr>
              <w:spacing w:after="120"/>
              <w:jc w:val="center"/>
              <w:rPr>
                <w:noProof/>
                <w:szCs w:val="24"/>
              </w:rPr>
            </w:pPr>
            <w:r>
              <w:rPr>
                <w:noProof/>
                <w:szCs w:val="24"/>
              </w:rPr>
              <w:t>78</w:t>
            </w:r>
          </w:p>
        </w:tc>
        <w:tc>
          <w:tcPr>
            <w:tcW w:w="1050" w:type="pct"/>
            <w:noWrap/>
          </w:tcPr>
          <w:p w:rsidR="00B231CB" w:rsidRDefault="00C71431">
            <w:pPr>
              <w:spacing w:after="120"/>
              <w:jc w:val="center"/>
              <w:rPr>
                <w:noProof/>
                <w:szCs w:val="24"/>
              </w:rPr>
            </w:pPr>
            <w:r>
              <w:rPr>
                <w:noProof/>
                <w:szCs w:val="24"/>
              </w:rPr>
              <w:t>102</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416</w:t>
            </w:r>
          </w:p>
        </w:tc>
        <w:tc>
          <w:tcPr>
            <w:tcW w:w="1050" w:type="pct"/>
            <w:tcBorders>
              <w:bottom w:val="single" w:sz="24" w:space="0" w:color="auto"/>
            </w:tcBorders>
            <w:noWrap/>
          </w:tcPr>
          <w:p w:rsidR="00B231CB" w:rsidRDefault="00C71431">
            <w:pPr>
              <w:spacing w:after="120"/>
              <w:jc w:val="center"/>
              <w:rPr>
                <w:noProof/>
                <w:szCs w:val="24"/>
              </w:rPr>
            </w:pPr>
            <w:r>
              <w:rPr>
                <w:noProof/>
                <w:szCs w:val="24"/>
              </w:rPr>
              <w:t>218</w:t>
            </w:r>
          </w:p>
        </w:tc>
        <w:tc>
          <w:tcPr>
            <w:tcW w:w="1050" w:type="pct"/>
            <w:tcBorders>
              <w:bottom w:val="single" w:sz="24" w:space="0" w:color="auto"/>
            </w:tcBorders>
            <w:noWrap/>
          </w:tcPr>
          <w:p w:rsidR="00B231CB" w:rsidRDefault="00C71431">
            <w:pPr>
              <w:spacing w:after="120"/>
              <w:jc w:val="center"/>
              <w:rPr>
                <w:noProof/>
                <w:szCs w:val="24"/>
              </w:rPr>
            </w:pPr>
            <w:r>
              <w:rPr>
                <w:noProof/>
                <w:szCs w:val="24"/>
              </w:rPr>
              <w:t>70</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272</w:t>
            </w:r>
          </w:p>
        </w:tc>
        <w:tc>
          <w:tcPr>
            <w:tcW w:w="1050" w:type="pct"/>
            <w:noWrap/>
          </w:tcPr>
          <w:p w:rsidR="00B231CB" w:rsidRDefault="00C71431">
            <w:pPr>
              <w:spacing w:after="120"/>
              <w:jc w:val="center"/>
              <w:rPr>
                <w:i/>
                <w:noProof/>
                <w:szCs w:val="24"/>
              </w:rPr>
            </w:pPr>
            <w:r>
              <w:rPr>
                <w:i/>
                <w:noProof/>
                <w:szCs w:val="24"/>
              </w:rPr>
              <w:t>197</w:t>
            </w:r>
          </w:p>
        </w:tc>
        <w:tc>
          <w:tcPr>
            <w:tcW w:w="1050" w:type="pct"/>
            <w:noWrap/>
          </w:tcPr>
          <w:p w:rsidR="00B231CB" w:rsidRDefault="00C71431">
            <w:pPr>
              <w:spacing w:after="120"/>
              <w:jc w:val="center"/>
              <w:rPr>
                <w:i/>
                <w:noProof/>
                <w:szCs w:val="24"/>
              </w:rPr>
            </w:pPr>
            <w:r>
              <w:rPr>
                <w:i/>
                <w:noProof/>
                <w:szCs w:val="24"/>
              </w:rPr>
              <w:t>32</w:t>
            </w:r>
          </w:p>
        </w:tc>
      </w:tr>
    </w:tbl>
    <w:p w:rsidR="00B231CB" w:rsidRDefault="00B231CB">
      <w:pPr>
        <w:spacing w:before="240"/>
        <w:rPr>
          <w:b/>
          <w:noProof/>
          <w:szCs w:val="24"/>
          <w:u w:val="single"/>
        </w:rPr>
      </w:pPr>
    </w:p>
    <w:p w:rsidR="00B231CB" w:rsidRDefault="00C71431">
      <w:pPr>
        <w:spacing w:before="240"/>
        <w:rPr>
          <w:b/>
          <w:noProof/>
          <w:color w:val="000000" w:themeColor="text1"/>
          <w:szCs w:val="24"/>
          <w:lang w:eastAsia="en-GB"/>
        </w:rPr>
      </w:pPr>
      <w:r>
        <w:rPr>
          <w:b/>
          <w:noProof/>
          <w:szCs w:val="24"/>
          <w:u w:val="single"/>
        </w:rPr>
        <w:t>TLC25 – 2030 (LEVD_50)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TLC25 - 2030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682</w:t>
            </w:r>
          </w:p>
        </w:tc>
        <w:tc>
          <w:tcPr>
            <w:tcW w:w="1050" w:type="pct"/>
            <w:noWrap/>
          </w:tcPr>
          <w:p w:rsidR="00B231CB" w:rsidRDefault="00C71431">
            <w:pPr>
              <w:spacing w:after="120"/>
              <w:jc w:val="center"/>
              <w:rPr>
                <w:noProof/>
                <w:szCs w:val="24"/>
              </w:rPr>
            </w:pPr>
            <w:r>
              <w:rPr>
                <w:noProof/>
                <w:szCs w:val="24"/>
              </w:rPr>
              <w:t>5</w:t>
            </w:r>
          </w:p>
        </w:tc>
        <w:tc>
          <w:tcPr>
            <w:tcW w:w="1049" w:type="pct"/>
            <w:noWrap/>
          </w:tcPr>
          <w:p w:rsidR="00B231CB" w:rsidRDefault="00C71431">
            <w:pPr>
              <w:spacing w:after="120"/>
              <w:jc w:val="center"/>
              <w:rPr>
                <w:noProof/>
                <w:szCs w:val="24"/>
              </w:rPr>
            </w:pPr>
            <w:r>
              <w:rPr>
                <w:noProof/>
                <w:szCs w:val="24"/>
              </w:rPr>
              <w:t>-26</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O&amp;</w:t>
            </w:r>
            <w:r>
              <w:rPr>
                <w:noProof/>
                <w:color w:val="000000" w:themeColor="text1"/>
                <w:szCs w:val="24"/>
              </w:rPr>
              <w:t xml:space="preserve">M cost [2] </w:t>
            </w:r>
          </w:p>
        </w:tc>
        <w:tc>
          <w:tcPr>
            <w:tcW w:w="1050" w:type="pct"/>
            <w:noWrap/>
          </w:tcPr>
          <w:p w:rsidR="00B231CB" w:rsidRDefault="00C71431">
            <w:pPr>
              <w:spacing w:after="120"/>
              <w:jc w:val="center"/>
              <w:rPr>
                <w:noProof/>
                <w:szCs w:val="24"/>
              </w:rPr>
            </w:pPr>
            <w:r>
              <w:rPr>
                <w:noProof/>
                <w:szCs w:val="24"/>
              </w:rPr>
              <w:t>-60</w:t>
            </w:r>
          </w:p>
        </w:tc>
        <w:tc>
          <w:tcPr>
            <w:tcW w:w="1050" w:type="pct"/>
            <w:noWrap/>
          </w:tcPr>
          <w:p w:rsidR="00B231CB" w:rsidRDefault="00C71431">
            <w:pPr>
              <w:spacing w:after="120"/>
              <w:jc w:val="center"/>
              <w:rPr>
                <w:noProof/>
                <w:szCs w:val="24"/>
              </w:rPr>
            </w:pPr>
            <w:r>
              <w:rPr>
                <w:noProof/>
                <w:szCs w:val="24"/>
              </w:rPr>
              <w:t>-87</w:t>
            </w:r>
          </w:p>
        </w:tc>
        <w:tc>
          <w:tcPr>
            <w:tcW w:w="1049" w:type="pct"/>
            <w:noWrap/>
          </w:tcPr>
          <w:p w:rsidR="00B231CB" w:rsidRDefault="00C71431">
            <w:pPr>
              <w:spacing w:after="120"/>
              <w:jc w:val="center"/>
              <w:rPr>
                <w:noProof/>
                <w:szCs w:val="24"/>
              </w:rPr>
            </w:pPr>
            <w:r>
              <w:rPr>
                <w:noProof/>
                <w:szCs w:val="24"/>
              </w:rPr>
              <w:t>15</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1,521</w:t>
            </w:r>
          </w:p>
        </w:tc>
        <w:tc>
          <w:tcPr>
            <w:tcW w:w="1050" w:type="pct"/>
            <w:tcBorders>
              <w:bottom w:val="single" w:sz="24" w:space="0" w:color="auto"/>
            </w:tcBorders>
            <w:noWrap/>
          </w:tcPr>
          <w:p w:rsidR="00B231CB" w:rsidRDefault="00C71431">
            <w:pPr>
              <w:spacing w:after="120"/>
              <w:jc w:val="center"/>
              <w:rPr>
                <w:noProof/>
                <w:szCs w:val="24"/>
              </w:rPr>
            </w:pPr>
            <w:r>
              <w:rPr>
                <w:noProof/>
                <w:szCs w:val="24"/>
              </w:rPr>
              <w:t>832</w:t>
            </w:r>
          </w:p>
        </w:tc>
        <w:tc>
          <w:tcPr>
            <w:tcW w:w="1049" w:type="pct"/>
            <w:tcBorders>
              <w:bottom w:val="single" w:sz="24" w:space="0" w:color="auto"/>
            </w:tcBorders>
            <w:noWrap/>
          </w:tcPr>
          <w:p w:rsidR="00B231CB" w:rsidRDefault="00C71431">
            <w:pPr>
              <w:spacing w:after="120"/>
              <w:jc w:val="center"/>
              <w:rPr>
                <w:noProof/>
                <w:szCs w:val="24"/>
              </w:rPr>
            </w:pPr>
            <w:r>
              <w:rPr>
                <w:noProof/>
                <w:szCs w:val="24"/>
              </w:rPr>
              <w:t>484</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899</w:t>
            </w:r>
          </w:p>
        </w:tc>
        <w:tc>
          <w:tcPr>
            <w:tcW w:w="1050" w:type="pct"/>
            <w:noWrap/>
          </w:tcPr>
          <w:p w:rsidR="00B231CB" w:rsidRDefault="00C71431">
            <w:pPr>
              <w:spacing w:after="120"/>
              <w:jc w:val="center"/>
              <w:rPr>
                <w:i/>
                <w:noProof/>
                <w:szCs w:val="24"/>
              </w:rPr>
            </w:pPr>
            <w:r>
              <w:rPr>
                <w:i/>
                <w:noProof/>
                <w:szCs w:val="24"/>
              </w:rPr>
              <w:t>914</w:t>
            </w:r>
          </w:p>
        </w:tc>
        <w:tc>
          <w:tcPr>
            <w:tcW w:w="1049" w:type="pct"/>
            <w:noWrap/>
          </w:tcPr>
          <w:p w:rsidR="00B231CB" w:rsidRDefault="00C71431">
            <w:pPr>
              <w:spacing w:after="120"/>
              <w:jc w:val="center"/>
              <w:rPr>
                <w:i/>
                <w:noProof/>
                <w:szCs w:val="24"/>
              </w:rPr>
            </w:pPr>
            <w:r>
              <w:rPr>
                <w:i/>
                <w:noProof/>
                <w:szCs w:val="24"/>
              </w:rPr>
              <w:t>494</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TLC25 - 2030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533</w:t>
            </w:r>
          </w:p>
        </w:tc>
        <w:tc>
          <w:tcPr>
            <w:tcW w:w="1050" w:type="pct"/>
            <w:noWrap/>
          </w:tcPr>
          <w:p w:rsidR="00B231CB" w:rsidRDefault="00C71431">
            <w:pPr>
              <w:spacing w:after="120"/>
              <w:jc w:val="center"/>
              <w:rPr>
                <w:noProof/>
                <w:szCs w:val="24"/>
              </w:rPr>
            </w:pPr>
            <w:r>
              <w:rPr>
                <w:noProof/>
                <w:szCs w:val="24"/>
              </w:rPr>
              <w:t>4</w:t>
            </w:r>
          </w:p>
        </w:tc>
        <w:tc>
          <w:tcPr>
            <w:tcW w:w="1049" w:type="pct"/>
            <w:noWrap/>
          </w:tcPr>
          <w:p w:rsidR="00B231CB" w:rsidRDefault="00C71431">
            <w:pPr>
              <w:spacing w:after="120"/>
              <w:jc w:val="center"/>
              <w:rPr>
                <w:noProof/>
                <w:szCs w:val="24"/>
              </w:rPr>
            </w:pPr>
            <w:r>
              <w:rPr>
                <w:noProof/>
                <w:szCs w:val="24"/>
              </w:rPr>
              <w:t>-20</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-26</w:t>
            </w:r>
          </w:p>
        </w:tc>
        <w:tc>
          <w:tcPr>
            <w:tcW w:w="1050" w:type="pct"/>
            <w:noWrap/>
          </w:tcPr>
          <w:p w:rsidR="00B231CB" w:rsidRDefault="00C71431">
            <w:pPr>
              <w:spacing w:after="120"/>
              <w:jc w:val="center"/>
              <w:rPr>
                <w:noProof/>
                <w:szCs w:val="24"/>
              </w:rPr>
            </w:pPr>
            <w:r>
              <w:rPr>
                <w:noProof/>
                <w:szCs w:val="24"/>
              </w:rPr>
              <w:t>-37</w:t>
            </w:r>
          </w:p>
        </w:tc>
        <w:tc>
          <w:tcPr>
            <w:tcW w:w="1049" w:type="pct"/>
            <w:noWrap/>
          </w:tcPr>
          <w:p w:rsidR="00B231CB" w:rsidRDefault="00C71431">
            <w:pPr>
              <w:spacing w:after="120"/>
              <w:jc w:val="center"/>
              <w:rPr>
                <w:noProof/>
                <w:szCs w:val="24"/>
              </w:rPr>
            </w:pPr>
            <w:r>
              <w:rPr>
                <w:noProof/>
                <w:szCs w:val="24"/>
              </w:rPr>
              <w:t>6</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1,325</w:t>
            </w:r>
          </w:p>
        </w:tc>
        <w:tc>
          <w:tcPr>
            <w:tcW w:w="1050" w:type="pct"/>
            <w:tcBorders>
              <w:bottom w:val="single" w:sz="24" w:space="0" w:color="auto"/>
            </w:tcBorders>
            <w:noWrap/>
          </w:tcPr>
          <w:p w:rsidR="00B231CB" w:rsidRDefault="00C71431">
            <w:pPr>
              <w:spacing w:after="120"/>
              <w:jc w:val="center"/>
              <w:rPr>
                <w:noProof/>
                <w:szCs w:val="24"/>
              </w:rPr>
            </w:pPr>
            <w:r>
              <w:rPr>
                <w:noProof/>
                <w:szCs w:val="24"/>
              </w:rPr>
              <w:t>927</w:t>
            </w:r>
          </w:p>
        </w:tc>
        <w:tc>
          <w:tcPr>
            <w:tcW w:w="1049" w:type="pct"/>
            <w:tcBorders>
              <w:bottom w:val="single" w:sz="24" w:space="0" w:color="auto"/>
            </w:tcBorders>
            <w:noWrap/>
          </w:tcPr>
          <w:p w:rsidR="00B231CB" w:rsidRDefault="00C71431">
            <w:pPr>
              <w:spacing w:after="120"/>
              <w:jc w:val="center"/>
              <w:rPr>
                <w:noProof/>
                <w:szCs w:val="24"/>
              </w:rPr>
            </w:pPr>
            <w:r>
              <w:rPr>
                <w:noProof/>
                <w:szCs w:val="24"/>
              </w:rPr>
              <w:t>715</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817</w:t>
            </w:r>
          </w:p>
        </w:tc>
        <w:tc>
          <w:tcPr>
            <w:tcW w:w="1050" w:type="pct"/>
            <w:noWrap/>
          </w:tcPr>
          <w:p w:rsidR="00B231CB" w:rsidRDefault="00C71431">
            <w:pPr>
              <w:spacing w:after="120"/>
              <w:jc w:val="center"/>
              <w:rPr>
                <w:i/>
                <w:noProof/>
                <w:szCs w:val="24"/>
              </w:rPr>
            </w:pPr>
            <w:r>
              <w:rPr>
                <w:i/>
                <w:noProof/>
                <w:szCs w:val="24"/>
              </w:rPr>
              <w:t>959</w:t>
            </w:r>
          </w:p>
        </w:tc>
        <w:tc>
          <w:tcPr>
            <w:tcW w:w="1049" w:type="pct"/>
            <w:noWrap/>
          </w:tcPr>
          <w:p w:rsidR="00B231CB" w:rsidRDefault="00C71431">
            <w:pPr>
              <w:spacing w:after="120"/>
              <w:jc w:val="center"/>
              <w:rPr>
                <w:i/>
                <w:noProof/>
                <w:szCs w:val="24"/>
              </w:rPr>
            </w:pPr>
            <w:r>
              <w:rPr>
                <w:i/>
                <w:noProof/>
                <w:szCs w:val="24"/>
              </w:rPr>
              <w:t>728</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TLC25 - 2030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257</w:t>
            </w:r>
          </w:p>
        </w:tc>
        <w:tc>
          <w:tcPr>
            <w:tcW w:w="1050" w:type="pct"/>
            <w:noWrap/>
          </w:tcPr>
          <w:p w:rsidR="00B231CB" w:rsidRDefault="00C71431">
            <w:pPr>
              <w:spacing w:after="120"/>
              <w:jc w:val="center"/>
              <w:rPr>
                <w:noProof/>
                <w:szCs w:val="24"/>
              </w:rPr>
            </w:pPr>
            <w:r>
              <w:rPr>
                <w:noProof/>
                <w:szCs w:val="24"/>
              </w:rPr>
              <w:t>2</w:t>
            </w:r>
          </w:p>
        </w:tc>
        <w:tc>
          <w:tcPr>
            <w:tcW w:w="1049" w:type="pct"/>
            <w:noWrap/>
          </w:tcPr>
          <w:p w:rsidR="00B231CB" w:rsidRDefault="00C71431">
            <w:pPr>
              <w:spacing w:after="120"/>
              <w:jc w:val="center"/>
              <w:rPr>
                <w:noProof/>
                <w:szCs w:val="24"/>
              </w:rPr>
            </w:pPr>
            <w:r>
              <w:rPr>
                <w:noProof/>
                <w:szCs w:val="24"/>
              </w:rPr>
              <w:t>-10</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-26</w:t>
            </w:r>
          </w:p>
        </w:tc>
        <w:tc>
          <w:tcPr>
            <w:tcW w:w="1050" w:type="pct"/>
            <w:noWrap/>
          </w:tcPr>
          <w:p w:rsidR="00B231CB" w:rsidRDefault="00C71431">
            <w:pPr>
              <w:spacing w:after="120"/>
              <w:jc w:val="center"/>
              <w:rPr>
                <w:noProof/>
                <w:szCs w:val="24"/>
              </w:rPr>
            </w:pPr>
            <w:r>
              <w:rPr>
                <w:noProof/>
                <w:szCs w:val="24"/>
              </w:rPr>
              <w:t>-37</w:t>
            </w:r>
          </w:p>
        </w:tc>
        <w:tc>
          <w:tcPr>
            <w:tcW w:w="1049" w:type="pct"/>
            <w:noWrap/>
          </w:tcPr>
          <w:p w:rsidR="00B231CB" w:rsidRDefault="00C71431">
            <w:pPr>
              <w:spacing w:after="120"/>
              <w:jc w:val="center"/>
              <w:rPr>
                <w:noProof/>
                <w:szCs w:val="24"/>
              </w:rPr>
            </w:pPr>
            <w:r>
              <w:rPr>
                <w:noProof/>
                <w:szCs w:val="24"/>
              </w:rPr>
              <w:t>6</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1,084</w:t>
            </w:r>
          </w:p>
        </w:tc>
        <w:tc>
          <w:tcPr>
            <w:tcW w:w="1050" w:type="pct"/>
            <w:tcBorders>
              <w:bottom w:val="single" w:sz="24" w:space="0" w:color="auto"/>
            </w:tcBorders>
            <w:noWrap/>
          </w:tcPr>
          <w:p w:rsidR="00B231CB" w:rsidRDefault="00C71431">
            <w:pPr>
              <w:spacing w:after="120"/>
              <w:jc w:val="center"/>
              <w:rPr>
                <w:noProof/>
                <w:szCs w:val="24"/>
              </w:rPr>
            </w:pPr>
            <w:r>
              <w:rPr>
                <w:noProof/>
                <w:szCs w:val="24"/>
              </w:rPr>
              <w:t>765</w:t>
            </w:r>
          </w:p>
        </w:tc>
        <w:tc>
          <w:tcPr>
            <w:tcW w:w="1049" w:type="pct"/>
            <w:tcBorders>
              <w:bottom w:val="single" w:sz="24" w:space="0" w:color="auto"/>
            </w:tcBorders>
            <w:noWrap/>
          </w:tcPr>
          <w:p w:rsidR="00B231CB" w:rsidRDefault="00C71431">
            <w:pPr>
              <w:spacing w:after="120"/>
              <w:jc w:val="center"/>
              <w:rPr>
                <w:noProof/>
                <w:szCs w:val="24"/>
              </w:rPr>
            </w:pPr>
            <w:r>
              <w:rPr>
                <w:noProof/>
                <w:szCs w:val="24"/>
              </w:rPr>
              <w:t>596</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853</w:t>
            </w:r>
          </w:p>
        </w:tc>
        <w:tc>
          <w:tcPr>
            <w:tcW w:w="1050" w:type="pct"/>
            <w:noWrap/>
          </w:tcPr>
          <w:p w:rsidR="00B231CB" w:rsidRDefault="00C71431">
            <w:pPr>
              <w:spacing w:after="120"/>
              <w:jc w:val="center"/>
              <w:rPr>
                <w:i/>
                <w:noProof/>
                <w:szCs w:val="24"/>
              </w:rPr>
            </w:pPr>
            <w:r>
              <w:rPr>
                <w:i/>
                <w:noProof/>
                <w:szCs w:val="24"/>
              </w:rPr>
              <w:t>800</w:t>
            </w:r>
          </w:p>
        </w:tc>
        <w:tc>
          <w:tcPr>
            <w:tcW w:w="1049" w:type="pct"/>
            <w:noWrap/>
          </w:tcPr>
          <w:p w:rsidR="00B231CB" w:rsidRDefault="00C71431">
            <w:pPr>
              <w:spacing w:after="120"/>
              <w:jc w:val="center"/>
              <w:rPr>
                <w:i/>
                <w:noProof/>
                <w:szCs w:val="24"/>
              </w:rPr>
            </w:pPr>
            <w:r>
              <w:rPr>
                <w:i/>
                <w:noProof/>
                <w:szCs w:val="24"/>
              </w:rPr>
              <w:t>600</w:t>
            </w:r>
          </w:p>
        </w:tc>
      </w:tr>
    </w:tbl>
    <w:p w:rsidR="00B231CB" w:rsidRDefault="00C71431">
      <w:pPr>
        <w:spacing w:before="240"/>
        <w:rPr>
          <w:b/>
          <w:noProof/>
          <w:color w:val="000000" w:themeColor="text1"/>
          <w:szCs w:val="24"/>
          <w:lang w:eastAsia="en-GB"/>
        </w:rPr>
      </w:pPr>
      <w:r>
        <w:rPr>
          <w:b/>
          <w:noProof/>
          <w:szCs w:val="24"/>
          <w:u w:val="single"/>
        </w:rPr>
        <w:t>TLC30 – 2025 (LEVD_50)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TLC30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380</w:t>
            </w:r>
          </w:p>
        </w:tc>
        <w:tc>
          <w:tcPr>
            <w:tcW w:w="1050" w:type="pct"/>
            <w:noWrap/>
          </w:tcPr>
          <w:p w:rsidR="00B231CB" w:rsidRDefault="00C71431">
            <w:pPr>
              <w:spacing w:after="120"/>
              <w:jc w:val="center"/>
              <w:rPr>
                <w:noProof/>
                <w:szCs w:val="24"/>
              </w:rPr>
            </w:pPr>
            <w:r>
              <w:rPr>
                <w:noProof/>
                <w:szCs w:val="24"/>
              </w:rPr>
              <w:t>-62</w:t>
            </w:r>
          </w:p>
        </w:tc>
        <w:tc>
          <w:tcPr>
            <w:tcW w:w="1050" w:type="pct"/>
            <w:noWrap/>
          </w:tcPr>
          <w:p w:rsidR="00B231CB" w:rsidRDefault="00C71431">
            <w:pPr>
              <w:spacing w:after="120"/>
              <w:jc w:val="center"/>
              <w:rPr>
                <w:noProof/>
                <w:szCs w:val="24"/>
              </w:rPr>
            </w:pPr>
            <w:r>
              <w:rPr>
                <w:noProof/>
                <w:szCs w:val="24"/>
              </w:rPr>
              <w:t>-91</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w:t>
            </w:r>
          </w:p>
        </w:tc>
        <w:tc>
          <w:tcPr>
            <w:tcW w:w="1050" w:type="pct"/>
            <w:noWrap/>
          </w:tcPr>
          <w:p w:rsidR="00B231CB" w:rsidRDefault="00C71431">
            <w:pPr>
              <w:spacing w:after="120"/>
              <w:jc w:val="center"/>
              <w:rPr>
                <w:noProof/>
                <w:szCs w:val="24"/>
              </w:rPr>
            </w:pPr>
            <w:r>
              <w:rPr>
                <w:noProof/>
                <w:szCs w:val="24"/>
              </w:rPr>
              <w:t>186</w:t>
            </w:r>
          </w:p>
        </w:tc>
        <w:tc>
          <w:tcPr>
            <w:tcW w:w="1050" w:type="pct"/>
            <w:noWrap/>
          </w:tcPr>
          <w:p w:rsidR="00B231CB" w:rsidRDefault="00C71431">
            <w:pPr>
              <w:spacing w:after="120"/>
              <w:jc w:val="center"/>
              <w:rPr>
                <w:noProof/>
                <w:szCs w:val="24"/>
              </w:rPr>
            </w:pPr>
            <w:r>
              <w:rPr>
                <w:noProof/>
                <w:szCs w:val="24"/>
              </w:rPr>
              <w:t>243</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661</w:t>
            </w:r>
          </w:p>
        </w:tc>
        <w:tc>
          <w:tcPr>
            <w:tcW w:w="1050" w:type="pct"/>
            <w:tcBorders>
              <w:bottom w:val="single" w:sz="24" w:space="0" w:color="auto"/>
            </w:tcBorders>
            <w:noWrap/>
          </w:tcPr>
          <w:p w:rsidR="00B231CB" w:rsidRDefault="00C71431">
            <w:pPr>
              <w:spacing w:after="120"/>
              <w:jc w:val="center"/>
              <w:rPr>
                <w:noProof/>
                <w:szCs w:val="24"/>
              </w:rPr>
            </w:pPr>
            <w:r>
              <w:rPr>
                <w:noProof/>
                <w:szCs w:val="24"/>
              </w:rPr>
              <w:t>290</w:t>
            </w:r>
          </w:p>
        </w:tc>
        <w:tc>
          <w:tcPr>
            <w:tcW w:w="1050" w:type="pct"/>
            <w:tcBorders>
              <w:bottom w:val="single" w:sz="24" w:space="0" w:color="auto"/>
            </w:tcBorders>
            <w:noWrap/>
          </w:tcPr>
          <w:p w:rsidR="00B231CB" w:rsidRDefault="00C71431">
            <w:pPr>
              <w:spacing w:after="120"/>
              <w:jc w:val="center"/>
              <w:rPr>
                <w:noProof/>
                <w:szCs w:val="24"/>
              </w:rPr>
            </w:pPr>
            <w:r>
              <w:rPr>
                <w:noProof/>
                <w:szCs w:val="24"/>
              </w:rPr>
              <w:t>27</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152</w:t>
            </w:r>
          </w:p>
        </w:tc>
        <w:tc>
          <w:tcPr>
            <w:tcW w:w="1050" w:type="pct"/>
            <w:noWrap/>
          </w:tcPr>
          <w:p w:rsidR="00B231CB" w:rsidRDefault="00C71431">
            <w:pPr>
              <w:spacing w:after="120"/>
              <w:jc w:val="center"/>
              <w:rPr>
                <w:i/>
                <w:noProof/>
                <w:szCs w:val="24"/>
              </w:rPr>
            </w:pPr>
            <w:r>
              <w:rPr>
                <w:i/>
                <w:noProof/>
                <w:szCs w:val="24"/>
              </w:rPr>
              <w:t>165</w:t>
            </w:r>
          </w:p>
        </w:tc>
        <w:tc>
          <w:tcPr>
            <w:tcW w:w="1050" w:type="pct"/>
            <w:noWrap/>
          </w:tcPr>
          <w:p w:rsidR="00B231CB" w:rsidRDefault="00C71431">
            <w:pPr>
              <w:spacing w:after="120"/>
              <w:jc w:val="center"/>
              <w:rPr>
                <w:i/>
                <w:noProof/>
                <w:szCs w:val="24"/>
              </w:rPr>
            </w:pPr>
            <w:r>
              <w:rPr>
                <w:i/>
                <w:noProof/>
                <w:szCs w:val="24"/>
              </w:rPr>
              <w:t>-125</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TLC30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297</w:t>
            </w:r>
          </w:p>
        </w:tc>
        <w:tc>
          <w:tcPr>
            <w:tcW w:w="1050" w:type="pct"/>
            <w:noWrap/>
          </w:tcPr>
          <w:p w:rsidR="00B231CB" w:rsidRDefault="00C71431">
            <w:pPr>
              <w:spacing w:after="120"/>
              <w:jc w:val="center"/>
              <w:rPr>
                <w:noProof/>
                <w:szCs w:val="24"/>
              </w:rPr>
            </w:pPr>
            <w:r>
              <w:rPr>
                <w:noProof/>
                <w:szCs w:val="24"/>
              </w:rPr>
              <w:t>-49</w:t>
            </w:r>
          </w:p>
        </w:tc>
        <w:tc>
          <w:tcPr>
            <w:tcW w:w="1050" w:type="pct"/>
            <w:noWrap/>
          </w:tcPr>
          <w:p w:rsidR="00B231CB" w:rsidRDefault="00C71431">
            <w:pPr>
              <w:spacing w:after="120"/>
              <w:jc w:val="center"/>
              <w:rPr>
                <w:noProof/>
                <w:szCs w:val="24"/>
              </w:rPr>
            </w:pPr>
            <w:r>
              <w:rPr>
                <w:noProof/>
                <w:szCs w:val="24"/>
              </w:rPr>
              <w:t>-71</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54</w:t>
            </w:r>
          </w:p>
        </w:tc>
        <w:tc>
          <w:tcPr>
            <w:tcW w:w="1050" w:type="pct"/>
            <w:noWrap/>
          </w:tcPr>
          <w:p w:rsidR="00B231CB" w:rsidRDefault="00C71431">
            <w:pPr>
              <w:spacing w:after="120"/>
              <w:jc w:val="center"/>
              <w:rPr>
                <w:noProof/>
                <w:szCs w:val="24"/>
              </w:rPr>
            </w:pPr>
            <w:r>
              <w:rPr>
                <w:noProof/>
                <w:szCs w:val="24"/>
              </w:rPr>
              <w:t>78</w:t>
            </w:r>
          </w:p>
        </w:tc>
        <w:tc>
          <w:tcPr>
            <w:tcW w:w="1050" w:type="pct"/>
            <w:noWrap/>
          </w:tcPr>
          <w:p w:rsidR="00B231CB" w:rsidRDefault="00C71431">
            <w:pPr>
              <w:spacing w:after="120"/>
              <w:jc w:val="center"/>
              <w:rPr>
                <w:noProof/>
                <w:szCs w:val="24"/>
              </w:rPr>
            </w:pPr>
            <w:r>
              <w:rPr>
                <w:noProof/>
                <w:szCs w:val="24"/>
              </w:rPr>
              <w:t>102</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614</w:t>
            </w:r>
          </w:p>
        </w:tc>
        <w:tc>
          <w:tcPr>
            <w:tcW w:w="1050" w:type="pct"/>
            <w:tcBorders>
              <w:bottom w:val="single" w:sz="24" w:space="0" w:color="auto"/>
            </w:tcBorders>
            <w:noWrap/>
          </w:tcPr>
          <w:p w:rsidR="00B231CB" w:rsidRDefault="00C71431">
            <w:pPr>
              <w:spacing w:after="120"/>
              <w:jc w:val="center"/>
              <w:rPr>
                <w:noProof/>
                <w:szCs w:val="24"/>
              </w:rPr>
            </w:pPr>
            <w:r>
              <w:rPr>
                <w:noProof/>
                <w:szCs w:val="24"/>
              </w:rPr>
              <w:t>392</w:t>
            </w:r>
          </w:p>
        </w:tc>
        <w:tc>
          <w:tcPr>
            <w:tcW w:w="1050" w:type="pct"/>
            <w:tcBorders>
              <w:bottom w:val="single" w:sz="24" w:space="0" w:color="auto"/>
            </w:tcBorders>
            <w:noWrap/>
          </w:tcPr>
          <w:p w:rsidR="00B231CB" w:rsidRDefault="00C71431">
            <w:pPr>
              <w:spacing w:after="120"/>
              <w:jc w:val="center"/>
              <w:rPr>
                <w:noProof/>
                <w:szCs w:val="24"/>
              </w:rPr>
            </w:pPr>
            <w:r>
              <w:rPr>
                <w:noProof/>
                <w:szCs w:val="24"/>
              </w:rPr>
              <w:t>234</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263</w:t>
            </w:r>
          </w:p>
        </w:tc>
        <w:tc>
          <w:tcPr>
            <w:tcW w:w="1050" w:type="pct"/>
            <w:noWrap/>
          </w:tcPr>
          <w:p w:rsidR="00B231CB" w:rsidRDefault="00C71431">
            <w:pPr>
              <w:spacing w:after="120"/>
              <w:jc w:val="center"/>
              <w:rPr>
                <w:i/>
                <w:noProof/>
                <w:szCs w:val="24"/>
              </w:rPr>
            </w:pPr>
            <w:r>
              <w:rPr>
                <w:i/>
                <w:noProof/>
                <w:szCs w:val="24"/>
              </w:rPr>
              <w:t>363</w:t>
            </w:r>
          </w:p>
        </w:tc>
        <w:tc>
          <w:tcPr>
            <w:tcW w:w="1050" w:type="pct"/>
            <w:noWrap/>
          </w:tcPr>
          <w:p w:rsidR="00B231CB" w:rsidRDefault="00C71431">
            <w:pPr>
              <w:spacing w:after="120"/>
              <w:jc w:val="center"/>
              <w:rPr>
                <w:i/>
                <w:noProof/>
                <w:szCs w:val="24"/>
              </w:rPr>
            </w:pPr>
            <w:r>
              <w:rPr>
                <w:i/>
                <w:noProof/>
                <w:szCs w:val="24"/>
              </w:rPr>
              <w:t>204</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 xml:space="preserve">TLC30 - </w:t>
            </w:r>
            <w:r>
              <w:rPr>
                <w:b/>
                <w:noProof/>
                <w:szCs w:val="24"/>
              </w:rPr>
              <w:t>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143</w:t>
            </w:r>
          </w:p>
        </w:tc>
        <w:tc>
          <w:tcPr>
            <w:tcW w:w="1050" w:type="pct"/>
            <w:noWrap/>
          </w:tcPr>
          <w:p w:rsidR="00B231CB" w:rsidRDefault="00C71431">
            <w:pPr>
              <w:spacing w:after="120"/>
              <w:jc w:val="center"/>
              <w:rPr>
                <w:noProof/>
                <w:szCs w:val="24"/>
              </w:rPr>
            </w:pPr>
            <w:r>
              <w:rPr>
                <w:noProof/>
                <w:szCs w:val="24"/>
              </w:rPr>
              <w:t>-24</w:t>
            </w:r>
          </w:p>
        </w:tc>
        <w:tc>
          <w:tcPr>
            <w:tcW w:w="1050" w:type="pct"/>
            <w:noWrap/>
          </w:tcPr>
          <w:p w:rsidR="00B231CB" w:rsidRDefault="00C71431">
            <w:pPr>
              <w:spacing w:after="120"/>
              <w:jc w:val="center"/>
              <w:rPr>
                <w:noProof/>
                <w:szCs w:val="24"/>
              </w:rPr>
            </w:pPr>
            <w:r>
              <w:rPr>
                <w:noProof/>
                <w:szCs w:val="24"/>
              </w:rPr>
              <w:t>-34</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54</w:t>
            </w:r>
          </w:p>
        </w:tc>
        <w:tc>
          <w:tcPr>
            <w:tcW w:w="1050" w:type="pct"/>
            <w:noWrap/>
          </w:tcPr>
          <w:p w:rsidR="00B231CB" w:rsidRDefault="00C71431">
            <w:pPr>
              <w:spacing w:after="120"/>
              <w:jc w:val="center"/>
              <w:rPr>
                <w:noProof/>
                <w:szCs w:val="24"/>
              </w:rPr>
            </w:pPr>
            <w:r>
              <w:rPr>
                <w:noProof/>
                <w:szCs w:val="24"/>
              </w:rPr>
              <w:t>78</w:t>
            </w:r>
          </w:p>
        </w:tc>
        <w:tc>
          <w:tcPr>
            <w:tcW w:w="1050" w:type="pct"/>
            <w:noWrap/>
          </w:tcPr>
          <w:p w:rsidR="00B231CB" w:rsidRDefault="00C71431">
            <w:pPr>
              <w:spacing w:after="120"/>
              <w:jc w:val="center"/>
              <w:rPr>
                <w:noProof/>
                <w:szCs w:val="24"/>
              </w:rPr>
            </w:pPr>
            <w:r>
              <w:rPr>
                <w:noProof/>
                <w:szCs w:val="24"/>
              </w:rPr>
              <w:t>102</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527</w:t>
            </w:r>
          </w:p>
        </w:tc>
        <w:tc>
          <w:tcPr>
            <w:tcW w:w="1050" w:type="pct"/>
            <w:tcBorders>
              <w:bottom w:val="single" w:sz="24" w:space="0" w:color="auto"/>
            </w:tcBorders>
            <w:noWrap/>
          </w:tcPr>
          <w:p w:rsidR="00B231CB" w:rsidRDefault="00C71431">
            <w:pPr>
              <w:spacing w:after="120"/>
              <w:jc w:val="center"/>
              <w:rPr>
                <w:noProof/>
                <w:szCs w:val="24"/>
              </w:rPr>
            </w:pPr>
            <w:r>
              <w:rPr>
                <w:noProof/>
                <w:szCs w:val="24"/>
              </w:rPr>
              <w:t>333</w:t>
            </w:r>
          </w:p>
        </w:tc>
        <w:tc>
          <w:tcPr>
            <w:tcW w:w="1050" w:type="pct"/>
            <w:tcBorders>
              <w:bottom w:val="single" w:sz="24" w:space="0" w:color="auto"/>
            </w:tcBorders>
            <w:noWrap/>
          </w:tcPr>
          <w:p w:rsidR="00B231CB" w:rsidRDefault="00C71431">
            <w:pPr>
              <w:spacing w:after="120"/>
              <w:jc w:val="center"/>
              <w:rPr>
                <w:noProof/>
                <w:szCs w:val="24"/>
              </w:rPr>
            </w:pPr>
            <w:r>
              <w:rPr>
                <w:noProof/>
                <w:szCs w:val="24"/>
              </w:rPr>
              <w:t>199</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329</w:t>
            </w:r>
          </w:p>
        </w:tc>
        <w:tc>
          <w:tcPr>
            <w:tcW w:w="1050" w:type="pct"/>
            <w:noWrap/>
          </w:tcPr>
          <w:p w:rsidR="00B231CB" w:rsidRDefault="00C71431">
            <w:pPr>
              <w:spacing w:after="120"/>
              <w:jc w:val="center"/>
              <w:rPr>
                <w:i/>
                <w:noProof/>
                <w:szCs w:val="24"/>
              </w:rPr>
            </w:pPr>
            <w:r>
              <w:rPr>
                <w:i/>
                <w:noProof/>
                <w:szCs w:val="24"/>
              </w:rPr>
              <w:t>278</w:t>
            </w:r>
          </w:p>
        </w:tc>
        <w:tc>
          <w:tcPr>
            <w:tcW w:w="1050" w:type="pct"/>
            <w:noWrap/>
          </w:tcPr>
          <w:p w:rsidR="00B231CB" w:rsidRDefault="00C71431">
            <w:pPr>
              <w:spacing w:after="120"/>
              <w:jc w:val="center"/>
              <w:rPr>
                <w:i/>
                <w:noProof/>
                <w:szCs w:val="24"/>
              </w:rPr>
            </w:pPr>
            <w:r>
              <w:rPr>
                <w:i/>
                <w:noProof/>
                <w:szCs w:val="24"/>
              </w:rPr>
              <w:t>132</w:t>
            </w:r>
          </w:p>
        </w:tc>
      </w:tr>
    </w:tbl>
    <w:p w:rsidR="00B231CB" w:rsidRDefault="00B231CB">
      <w:pPr>
        <w:spacing w:before="240"/>
        <w:rPr>
          <w:b/>
          <w:noProof/>
          <w:szCs w:val="24"/>
          <w:u w:val="single"/>
        </w:rPr>
      </w:pPr>
    </w:p>
    <w:p w:rsidR="00B231CB" w:rsidRDefault="00C71431">
      <w:pPr>
        <w:rPr>
          <w:noProof/>
        </w:rPr>
      </w:pPr>
      <w:r>
        <w:rPr>
          <w:noProof/>
        </w:rPr>
        <w:br w:type="page"/>
      </w:r>
    </w:p>
    <w:p w:rsidR="00B231CB" w:rsidRDefault="00C71431">
      <w:pPr>
        <w:spacing w:before="240"/>
        <w:rPr>
          <w:b/>
          <w:noProof/>
          <w:color w:val="000000" w:themeColor="text1"/>
          <w:szCs w:val="24"/>
          <w:lang w:eastAsia="en-GB"/>
        </w:rPr>
      </w:pPr>
      <w:r>
        <w:rPr>
          <w:b/>
          <w:noProof/>
          <w:szCs w:val="24"/>
          <w:u w:val="single"/>
        </w:rPr>
        <w:t>TLC30 – 2030 (LEVD_50)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TLC30 - 2030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1,020</w:t>
            </w:r>
          </w:p>
        </w:tc>
        <w:tc>
          <w:tcPr>
            <w:tcW w:w="1050" w:type="pct"/>
            <w:noWrap/>
          </w:tcPr>
          <w:p w:rsidR="00B231CB" w:rsidRDefault="00C71431">
            <w:pPr>
              <w:spacing w:after="120"/>
              <w:jc w:val="center"/>
              <w:rPr>
                <w:noProof/>
                <w:szCs w:val="24"/>
              </w:rPr>
            </w:pPr>
            <w:r>
              <w:rPr>
                <w:noProof/>
                <w:szCs w:val="24"/>
              </w:rPr>
              <w:t>171</w:t>
            </w:r>
          </w:p>
        </w:tc>
        <w:tc>
          <w:tcPr>
            <w:tcW w:w="1049" w:type="pct"/>
            <w:noWrap/>
          </w:tcPr>
          <w:p w:rsidR="00B231CB" w:rsidRDefault="00C71431">
            <w:pPr>
              <w:spacing w:after="120"/>
              <w:jc w:val="center"/>
              <w:rPr>
                <w:noProof/>
                <w:szCs w:val="24"/>
              </w:rPr>
            </w:pPr>
            <w:r>
              <w:rPr>
                <w:noProof/>
                <w:szCs w:val="24"/>
              </w:rPr>
              <w:t>106</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-96</w:t>
            </w:r>
          </w:p>
        </w:tc>
        <w:tc>
          <w:tcPr>
            <w:tcW w:w="1050" w:type="pct"/>
            <w:noWrap/>
          </w:tcPr>
          <w:p w:rsidR="00B231CB" w:rsidRDefault="00C71431">
            <w:pPr>
              <w:spacing w:after="120"/>
              <w:jc w:val="center"/>
              <w:rPr>
                <w:noProof/>
                <w:szCs w:val="24"/>
              </w:rPr>
            </w:pPr>
            <w:r>
              <w:rPr>
                <w:noProof/>
                <w:szCs w:val="24"/>
              </w:rPr>
              <w:t>-88</w:t>
            </w:r>
          </w:p>
        </w:tc>
        <w:tc>
          <w:tcPr>
            <w:tcW w:w="1049" w:type="pct"/>
            <w:noWrap/>
          </w:tcPr>
          <w:p w:rsidR="00B231CB" w:rsidRDefault="00C71431">
            <w:pPr>
              <w:spacing w:after="120"/>
              <w:jc w:val="center"/>
              <w:rPr>
                <w:noProof/>
                <w:szCs w:val="24"/>
              </w:rPr>
            </w:pPr>
            <w:r>
              <w:rPr>
                <w:noProof/>
                <w:szCs w:val="24"/>
              </w:rPr>
              <w:t>16</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1,802</w:t>
            </w:r>
          </w:p>
        </w:tc>
        <w:tc>
          <w:tcPr>
            <w:tcW w:w="1050" w:type="pct"/>
            <w:tcBorders>
              <w:bottom w:val="single" w:sz="24" w:space="0" w:color="auto"/>
            </w:tcBorders>
            <w:noWrap/>
          </w:tcPr>
          <w:p w:rsidR="00B231CB" w:rsidRDefault="00C71431">
            <w:pPr>
              <w:spacing w:after="120"/>
              <w:jc w:val="center"/>
              <w:rPr>
                <w:noProof/>
                <w:szCs w:val="24"/>
              </w:rPr>
            </w:pPr>
            <w:r>
              <w:rPr>
                <w:noProof/>
                <w:szCs w:val="24"/>
              </w:rPr>
              <w:t>1,197</w:t>
            </w:r>
          </w:p>
        </w:tc>
        <w:tc>
          <w:tcPr>
            <w:tcW w:w="1049" w:type="pct"/>
            <w:tcBorders>
              <w:bottom w:val="single" w:sz="24" w:space="0" w:color="auto"/>
            </w:tcBorders>
            <w:noWrap/>
          </w:tcPr>
          <w:p w:rsidR="00B231CB" w:rsidRDefault="00C71431">
            <w:pPr>
              <w:spacing w:after="120"/>
              <w:jc w:val="center"/>
              <w:rPr>
                <w:noProof/>
                <w:szCs w:val="24"/>
              </w:rPr>
            </w:pPr>
            <w:r>
              <w:rPr>
                <w:noProof/>
                <w:szCs w:val="24"/>
              </w:rPr>
              <w:t>863</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878</w:t>
            </w:r>
          </w:p>
        </w:tc>
        <w:tc>
          <w:tcPr>
            <w:tcW w:w="1050" w:type="pct"/>
            <w:noWrap/>
          </w:tcPr>
          <w:p w:rsidR="00B231CB" w:rsidRDefault="00C71431">
            <w:pPr>
              <w:spacing w:after="120"/>
              <w:jc w:val="center"/>
              <w:rPr>
                <w:i/>
                <w:noProof/>
                <w:szCs w:val="24"/>
              </w:rPr>
            </w:pPr>
            <w:r>
              <w:rPr>
                <w:i/>
                <w:noProof/>
                <w:szCs w:val="24"/>
              </w:rPr>
              <w:t>1,115</w:t>
            </w:r>
          </w:p>
        </w:tc>
        <w:tc>
          <w:tcPr>
            <w:tcW w:w="1049" w:type="pct"/>
            <w:noWrap/>
          </w:tcPr>
          <w:p w:rsidR="00B231CB" w:rsidRDefault="00C71431">
            <w:pPr>
              <w:spacing w:after="120"/>
              <w:jc w:val="center"/>
              <w:rPr>
                <w:i/>
                <w:noProof/>
                <w:szCs w:val="24"/>
              </w:rPr>
            </w:pPr>
            <w:r>
              <w:rPr>
                <w:i/>
                <w:noProof/>
                <w:szCs w:val="24"/>
              </w:rPr>
              <w:t>741</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TLC30 - 2030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799</w:t>
            </w:r>
          </w:p>
        </w:tc>
        <w:tc>
          <w:tcPr>
            <w:tcW w:w="1050" w:type="pct"/>
            <w:noWrap/>
          </w:tcPr>
          <w:p w:rsidR="00B231CB" w:rsidRDefault="00C71431">
            <w:pPr>
              <w:spacing w:after="120"/>
              <w:jc w:val="center"/>
              <w:rPr>
                <w:noProof/>
                <w:szCs w:val="24"/>
              </w:rPr>
            </w:pPr>
            <w:r>
              <w:rPr>
                <w:noProof/>
                <w:szCs w:val="24"/>
              </w:rPr>
              <w:t>133</w:t>
            </w:r>
          </w:p>
        </w:tc>
        <w:tc>
          <w:tcPr>
            <w:tcW w:w="1049" w:type="pct"/>
            <w:noWrap/>
          </w:tcPr>
          <w:p w:rsidR="00B231CB" w:rsidRDefault="00C71431">
            <w:pPr>
              <w:spacing w:after="120"/>
              <w:jc w:val="center"/>
              <w:rPr>
                <w:noProof/>
                <w:szCs w:val="24"/>
              </w:rPr>
            </w:pPr>
            <w:r>
              <w:rPr>
                <w:noProof/>
                <w:szCs w:val="24"/>
              </w:rPr>
              <w:t>83</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-40</w:t>
            </w:r>
          </w:p>
        </w:tc>
        <w:tc>
          <w:tcPr>
            <w:tcW w:w="1050" w:type="pct"/>
            <w:noWrap/>
          </w:tcPr>
          <w:p w:rsidR="00B231CB" w:rsidRDefault="00C71431">
            <w:pPr>
              <w:spacing w:after="120"/>
              <w:jc w:val="center"/>
              <w:rPr>
                <w:noProof/>
                <w:szCs w:val="24"/>
              </w:rPr>
            </w:pPr>
            <w:r>
              <w:rPr>
                <w:noProof/>
                <w:szCs w:val="24"/>
              </w:rPr>
              <w:t>-37</w:t>
            </w:r>
          </w:p>
        </w:tc>
        <w:tc>
          <w:tcPr>
            <w:tcW w:w="1049" w:type="pct"/>
            <w:noWrap/>
          </w:tcPr>
          <w:p w:rsidR="00B231CB" w:rsidRDefault="00C71431">
            <w:pPr>
              <w:spacing w:after="120"/>
              <w:jc w:val="center"/>
              <w:rPr>
                <w:noProof/>
                <w:szCs w:val="24"/>
              </w:rPr>
            </w:pPr>
            <w:r>
              <w:rPr>
                <w:noProof/>
                <w:szCs w:val="24"/>
              </w:rPr>
              <w:t>6</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1,576</w:t>
            </w:r>
          </w:p>
        </w:tc>
        <w:tc>
          <w:tcPr>
            <w:tcW w:w="1050" w:type="pct"/>
            <w:tcBorders>
              <w:bottom w:val="single" w:sz="24" w:space="0" w:color="auto"/>
            </w:tcBorders>
            <w:noWrap/>
          </w:tcPr>
          <w:p w:rsidR="00B231CB" w:rsidRDefault="00C71431">
            <w:pPr>
              <w:spacing w:after="120"/>
              <w:jc w:val="center"/>
              <w:rPr>
                <w:noProof/>
                <w:szCs w:val="24"/>
              </w:rPr>
            </w:pPr>
            <w:r>
              <w:rPr>
                <w:noProof/>
                <w:szCs w:val="24"/>
              </w:rPr>
              <w:t>1,228</w:t>
            </w:r>
          </w:p>
        </w:tc>
        <w:tc>
          <w:tcPr>
            <w:tcW w:w="1049" w:type="pct"/>
            <w:tcBorders>
              <w:bottom w:val="single" w:sz="24" w:space="0" w:color="auto"/>
            </w:tcBorders>
            <w:noWrap/>
          </w:tcPr>
          <w:p w:rsidR="00B231CB" w:rsidRDefault="00C71431">
            <w:pPr>
              <w:spacing w:after="120"/>
              <w:jc w:val="center"/>
              <w:rPr>
                <w:noProof/>
                <w:szCs w:val="24"/>
              </w:rPr>
            </w:pPr>
            <w:r>
              <w:rPr>
                <w:noProof/>
                <w:szCs w:val="24"/>
              </w:rPr>
              <w:t>1,029</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818</w:t>
            </w:r>
          </w:p>
        </w:tc>
        <w:tc>
          <w:tcPr>
            <w:tcW w:w="1050" w:type="pct"/>
            <w:noWrap/>
          </w:tcPr>
          <w:p w:rsidR="00B231CB" w:rsidRDefault="00C71431">
            <w:pPr>
              <w:spacing w:after="120"/>
              <w:jc w:val="center"/>
              <w:rPr>
                <w:i/>
                <w:noProof/>
                <w:szCs w:val="24"/>
              </w:rPr>
            </w:pPr>
            <w:r>
              <w:rPr>
                <w:i/>
                <w:noProof/>
                <w:szCs w:val="24"/>
              </w:rPr>
              <w:t>1,132</w:t>
            </w:r>
          </w:p>
        </w:tc>
        <w:tc>
          <w:tcPr>
            <w:tcW w:w="1049" w:type="pct"/>
            <w:noWrap/>
          </w:tcPr>
          <w:p w:rsidR="00B231CB" w:rsidRDefault="00C71431">
            <w:pPr>
              <w:spacing w:after="120"/>
              <w:jc w:val="center"/>
              <w:rPr>
                <w:i/>
                <w:noProof/>
                <w:szCs w:val="24"/>
              </w:rPr>
            </w:pPr>
            <w:r>
              <w:rPr>
                <w:i/>
                <w:noProof/>
                <w:szCs w:val="24"/>
              </w:rPr>
              <w:t>939</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TLC30 - 2030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385</w:t>
            </w:r>
          </w:p>
        </w:tc>
        <w:tc>
          <w:tcPr>
            <w:tcW w:w="1050" w:type="pct"/>
            <w:noWrap/>
          </w:tcPr>
          <w:p w:rsidR="00B231CB" w:rsidRDefault="00C71431">
            <w:pPr>
              <w:spacing w:after="120"/>
              <w:jc w:val="center"/>
              <w:rPr>
                <w:noProof/>
                <w:szCs w:val="24"/>
              </w:rPr>
            </w:pPr>
            <w:r>
              <w:rPr>
                <w:noProof/>
                <w:szCs w:val="24"/>
              </w:rPr>
              <w:t>64</w:t>
            </w:r>
          </w:p>
        </w:tc>
        <w:tc>
          <w:tcPr>
            <w:tcW w:w="1049" w:type="pct"/>
            <w:noWrap/>
          </w:tcPr>
          <w:p w:rsidR="00B231CB" w:rsidRDefault="00C71431">
            <w:pPr>
              <w:spacing w:after="120"/>
              <w:jc w:val="center"/>
              <w:rPr>
                <w:noProof/>
                <w:szCs w:val="24"/>
              </w:rPr>
            </w:pPr>
            <w:r>
              <w:rPr>
                <w:noProof/>
                <w:szCs w:val="24"/>
              </w:rPr>
              <w:t>40</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-40</w:t>
            </w:r>
          </w:p>
        </w:tc>
        <w:tc>
          <w:tcPr>
            <w:tcW w:w="1050" w:type="pct"/>
            <w:noWrap/>
          </w:tcPr>
          <w:p w:rsidR="00B231CB" w:rsidRDefault="00C71431">
            <w:pPr>
              <w:spacing w:after="120"/>
              <w:jc w:val="center"/>
              <w:rPr>
                <w:noProof/>
                <w:szCs w:val="24"/>
              </w:rPr>
            </w:pPr>
            <w:r>
              <w:rPr>
                <w:noProof/>
                <w:szCs w:val="24"/>
              </w:rPr>
              <w:t>-37</w:t>
            </w:r>
          </w:p>
        </w:tc>
        <w:tc>
          <w:tcPr>
            <w:tcW w:w="1049" w:type="pct"/>
            <w:noWrap/>
          </w:tcPr>
          <w:p w:rsidR="00B231CB" w:rsidRDefault="00C71431">
            <w:pPr>
              <w:spacing w:after="120"/>
              <w:jc w:val="center"/>
              <w:rPr>
                <w:noProof/>
                <w:szCs w:val="24"/>
              </w:rPr>
            </w:pPr>
            <w:r>
              <w:rPr>
                <w:noProof/>
                <w:szCs w:val="24"/>
              </w:rPr>
              <w:t>6</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 xml:space="preserve">Fuel cost </w:t>
            </w:r>
            <w:r>
              <w:rPr>
                <w:noProof/>
                <w:color w:val="000000" w:themeColor="text1"/>
                <w:szCs w:val="24"/>
              </w:rPr>
              <w:t>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1,292</w:t>
            </w:r>
          </w:p>
        </w:tc>
        <w:tc>
          <w:tcPr>
            <w:tcW w:w="1050" w:type="pct"/>
            <w:tcBorders>
              <w:bottom w:val="single" w:sz="24" w:space="0" w:color="auto"/>
            </w:tcBorders>
            <w:noWrap/>
          </w:tcPr>
          <w:p w:rsidR="00B231CB" w:rsidRDefault="00C71431">
            <w:pPr>
              <w:spacing w:after="120"/>
              <w:jc w:val="center"/>
              <w:rPr>
                <w:noProof/>
                <w:szCs w:val="24"/>
              </w:rPr>
            </w:pPr>
            <w:r>
              <w:rPr>
                <w:noProof/>
                <w:szCs w:val="24"/>
              </w:rPr>
              <w:t>1,011</w:t>
            </w:r>
          </w:p>
        </w:tc>
        <w:tc>
          <w:tcPr>
            <w:tcW w:w="1049" w:type="pct"/>
            <w:tcBorders>
              <w:bottom w:val="single" w:sz="24" w:space="0" w:color="auto"/>
            </w:tcBorders>
            <w:noWrap/>
          </w:tcPr>
          <w:p w:rsidR="00B231CB" w:rsidRDefault="00C71431">
            <w:pPr>
              <w:spacing w:after="120"/>
              <w:jc w:val="center"/>
              <w:rPr>
                <w:noProof/>
                <w:szCs w:val="24"/>
              </w:rPr>
            </w:pPr>
            <w:r>
              <w:rPr>
                <w:noProof/>
                <w:szCs w:val="24"/>
              </w:rPr>
              <w:t>853</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947</w:t>
            </w:r>
          </w:p>
        </w:tc>
        <w:tc>
          <w:tcPr>
            <w:tcW w:w="1050" w:type="pct"/>
            <w:noWrap/>
          </w:tcPr>
          <w:p w:rsidR="00B231CB" w:rsidRDefault="00C71431">
            <w:pPr>
              <w:spacing w:after="120"/>
              <w:jc w:val="center"/>
              <w:rPr>
                <w:i/>
                <w:noProof/>
                <w:szCs w:val="24"/>
              </w:rPr>
            </w:pPr>
            <w:r>
              <w:rPr>
                <w:i/>
                <w:noProof/>
                <w:szCs w:val="24"/>
              </w:rPr>
              <w:t>984</w:t>
            </w:r>
          </w:p>
        </w:tc>
        <w:tc>
          <w:tcPr>
            <w:tcW w:w="1049" w:type="pct"/>
            <w:noWrap/>
          </w:tcPr>
          <w:p w:rsidR="00B231CB" w:rsidRDefault="00C71431">
            <w:pPr>
              <w:spacing w:after="120"/>
              <w:jc w:val="center"/>
              <w:rPr>
                <w:i/>
                <w:noProof/>
                <w:szCs w:val="24"/>
              </w:rPr>
            </w:pPr>
            <w:r>
              <w:rPr>
                <w:i/>
                <w:noProof/>
                <w:szCs w:val="24"/>
              </w:rPr>
              <w:t>806</w:t>
            </w:r>
          </w:p>
        </w:tc>
      </w:tr>
    </w:tbl>
    <w:p w:rsidR="00B231CB" w:rsidRDefault="00C71431">
      <w:pPr>
        <w:spacing w:before="240"/>
        <w:rPr>
          <w:b/>
          <w:noProof/>
          <w:color w:val="000000" w:themeColor="text1"/>
          <w:szCs w:val="24"/>
          <w:lang w:eastAsia="en-GB"/>
        </w:rPr>
      </w:pPr>
      <w:r>
        <w:rPr>
          <w:b/>
          <w:noProof/>
          <w:szCs w:val="24"/>
          <w:u w:val="single"/>
        </w:rPr>
        <w:t>TLC40 – 2025 (LEVD_50)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TLC40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747</w:t>
            </w:r>
          </w:p>
        </w:tc>
        <w:tc>
          <w:tcPr>
            <w:tcW w:w="1050" w:type="pct"/>
            <w:noWrap/>
          </w:tcPr>
          <w:p w:rsidR="00B231CB" w:rsidRDefault="00C71431">
            <w:pPr>
              <w:spacing w:after="120"/>
              <w:jc w:val="center"/>
              <w:rPr>
                <w:noProof/>
                <w:szCs w:val="24"/>
              </w:rPr>
            </w:pPr>
            <w:r>
              <w:rPr>
                <w:noProof/>
                <w:szCs w:val="24"/>
              </w:rPr>
              <w:t>157</w:t>
            </w:r>
          </w:p>
        </w:tc>
        <w:tc>
          <w:tcPr>
            <w:tcW w:w="1050" w:type="pct"/>
            <w:noWrap/>
          </w:tcPr>
          <w:p w:rsidR="00B231CB" w:rsidRDefault="00C71431">
            <w:pPr>
              <w:spacing w:after="120"/>
              <w:jc w:val="center"/>
              <w:rPr>
                <w:noProof/>
                <w:szCs w:val="24"/>
              </w:rPr>
            </w:pPr>
            <w:r>
              <w:rPr>
                <w:noProof/>
                <w:szCs w:val="24"/>
              </w:rPr>
              <w:t>73</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w:t>
            </w:r>
          </w:p>
        </w:tc>
        <w:tc>
          <w:tcPr>
            <w:tcW w:w="1050" w:type="pct"/>
            <w:noWrap/>
          </w:tcPr>
          <w:p w:rsidR="00B231CB" w:rsidRDefault="00C71431">
            <w:pPr>
              <w:spacing w:after="120"/>
              <w:jc w:val="center"/>
              <w:rPr>
                <w:noProof/>
                <w:szCs w:val="24"/>
              </w:rPr>
            </w:pPr>
            <w:r>
              <w:rPr>
                <w:noProof/>
                <w:szCs w:val="24"/>
              </w:rPr>
              <w:t>133</w:t>
            </w:r>
          </w:p>
        </w:tc>
        <w:tc>
          <w:tcPr>
            <w:tcW w:w="1050" w:type="pct"/>
            <w:noWrap/>
          </w:tcPr>
          <w:p w:rsidR="00B231CB" w:rsidRDefault="00C71431">
            <w:pPr>
              <w:spacing w:after="120"/>
              <w:jc w:val="center"/>
              <w:rPr>
                <w:noProof/>
                <w:szCs w:val="24"/>
              </w:rPr>
            </w:pPr>
            <w:r>
              <w:rPr>
                <w:noProof/>
                <w:szCs w:val="24"/>
              </w:rPr>
              <w:t>161</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922</w:t>
            </w:r>
          </w:p>
        </w:tc>
        <w:tc>
          <w:tcPr>
            <w:tcW w:w="1050" w:type="pct"/>
            <w:tcBorders>
              <w:bottom w:val="single" w:sz="24" w:space="0" w:color="auto"/>
            </w:tcBorders>
            <w:noWrap/>
          </w:tcPr>
          <w:p w:rsidR="00B231CB" w:rsidRDefault="00C71431">
            <w:pPr>
              <w:spacing w:after="120"/>
              <w:jc w:val="center"/>
              <w:rPr>
                <w:noProof/>
                <w:szCs w:val="24"/>
              </w:rPr>
            </w:pPr>
            <w:r>
              <w:rPr>
                <w:noProof/>
                <w:szCs w:val="24"/>
              </w:rPr>
              <w:t>728</w:t>
            </w:r>
          </w:p>
        </w:tc>
        <w:tc>
          <w:tcPr>
            <w:tcW w:w="1050" w:type="pct"/>
            <w:tcBorders>
              <w:bottom w:val="single" w:sz="24" w:space="0" w:color="auto"/>
            </w:tcBorders>
            <w:noWrap/>
          </w:tcPr>
          <w:p w:rsidR="00B231CB" w:rsidRDefault="00C71431">
            <w:pPr>
              <w:spacing w:after="120"/>
              <w:jc w:val="center"/>
              <w:rPr>
                <w:noProof/>
                <w:szCs w:val="24"/>
              </w:rPr>
            </w:pPr>
            <w:r>
              <w:rPr>
                <w:noProof/>
                <w:szCs w:val="24"/>
              </w:rPr>
              <w:t>513</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78</w:t>
            </w:r>
          </w:p>
        </w:tc>
        <w:tc>
          <w:tcPr>
            <w:tcW w:w="1050" w:type="pct"/>
            <w:noWrap/>
          </w:tcPr>
          <w:p w:rsidR="00B231CB" w:rsidRDefault="00C71431">
            <w:pPr>
              <w:spacing w:after="120"/>
              <w:jc w:val="center"/>
              <w:rPr>
                <w:i/>
                <w:noProof/>
                <w:szCs w:val="24"/>
              </w:rPr>
            </w:pPr>
            <w:r>
              <w:rPr>
                <w:i/>
                <w:noProof/>
                <w:szCs w:val="24"/>
              </w:rPr>
              <w:t>438</w:t>
            </w:r>
          </w:p>
        </w:tc>
        <w:tc>
          <w:tcPr>
            <w:tcW w:w="1050" w:type="pct"/>
            <w:noWrap/>
          </w:tcPr>
          <w:p w:rsidR="00B231CB" w:rsidRDefault="00C71431">
            <w:pPr>
              <w:spacing w:after="120"/>
              <w:jc w:val="center"/>
              <w:rPr>
                <w:i/>
                <w:noProof/>
                <w:szCs w:val="24"/>
              </w:rPr>
            </w:pPr>
            <w:r>
              <w:rPr>
                <w:i/>
                <w:noProof/>
                <w:szCs w:val="24"/>
              </w:rPr>
              <w:t>279</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TLC40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585</w:t>
            </w:r>
          </w:p>
        </w:tc>
        <w:tc>
          <w:tcPr>
            <w:tcW w:w="1050" w:type="pct"/>
            <w:noWrap/>
          </w:tcPr>
          <w:p w:rsidR="00B231CB" w:rsidRDefault="00C71431">
            <w:pPr>
              <w:spacing w:after="120"/>
              <w:jc w:val="center"/>
              <w:rPr>
                <w:noProof/>
                <w:szCs w:val="24"/>
              </w:rPr>
            </w:pPr>
            <w:r>
              <w:rPr>
                <w:noProof/>
                <w:szCs w:val="24"/>
              </w:rPr>
              <w:t>122</w:t>
            </w:r>
          </w:p>
        </w:tc>
        <w:tc>
          <w:tcPr>
            <w:tcW w:w="1050" w:type="pct"/>
            <w:noWrap/>
          </w:tcPr>
          <w:p w:rsidR="00B231CB" w:rsidRDefault="00C71431">
            <w:pPr>
              <w:spacing w:after="120"/>
              <w:jc w:val="center"/>
              <w:rPr>
                <w:noProof/>
                <w:szCs w:val="24"/>
              </w:rPr>
            </w:pPr>
            <w:r>
              <w:rPr>
                <w:noProof/>
                <w:szCs w:val="24"/>
              </w:rPr>
              <w:t>57</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40</w:t>
            </w:r>
          </w:p>
        </w:tc>
        <w:tc>
          <w:tcPr>
            <w:tcW w:w="1050" w:type="pct"/>
            <w:noWrap/>
          </w:tcPr>
          <w:p w:rsidR="00B231CB" w:rsidRDefault="00C71431">
            <w:pPr>
              <w:spacing w:after="120"/>
              <w:jc w:val="center"/>
              <w:rPr>
                <w:noProof/>
                <w:szCs w:val="24"/>
              </w:rPr>
            </w:pPr>
            <w:r>
              <w:rPr>
                <w:noProof/>
                <w:szCs w:val="24"/>
              </w:rPr>
              <w:t>56</w:t>
            </w:r>
          </w:p>
        </w:tc>
        <w:tc>
          <w:tcPr>
            <w:tcW w:w="1050" w:type="pct"/>
            <w:noWrap/>
          </w:tcPr>
          <w:p w:rsidR="00B231CB" w:rsidRDefault="00C71431">
            <w:pPr>
              <w:spacing w:after="120"/>
              <w:jc w:val="center"/>
              <w:rPr>
                <w:noProof/>
                <w:szCs w:val="24"/>
              </w:rPr>
            </w:pPr>
            <w:r>
              <w:rPr>
                <w:noProof/>
                <w:szCs w:val="24"/>
              </w:rPr>
              <w:t>67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866</w:t>
            </w:r>
          </w:p>
        </w:tc>
        <w:tc>
          <w:tcPr>
            <w:tcW w:w="1050" w:type="pct"/>
            <w:tcBorders>
              <w:bottom w:val="single" w:sz="24" w:space="0" w:color="auto"/>
            </w:tcBorders>
            <w:noWrap/>
          </w:tcPr>
          <w:p w:rsidR="00B231CB" w:rsidRDefault="00C71431">
            <w:pPr>
              <w:spacing w:after="120"/>
              <w:jc w:val="center"/>
              <w:rPr>
                <w:noProof/>
                <w:szCs w:val="24"/>
              </w:rPr>
            </w:pPr>
            <w:r>
              <w:rPr>
                <w:noProof/>
                <w:szCs w:val="24"/>
              </w:rPr>
              <w:t>756</w:t>
            </w:r>
          </w:p>
        </w:tc>
        <w:tc>
          <w:tcPr>
            <w:tcW w:w="1050" w:type="pct"/>
            <w:tcBorders>
              <w:bottom w:val="single" w:sz="24" w:space="0" w:color="auto"/>
            </w:tcBorders>
            <w:noWrap/>
          </w:tcPr>
          <w:p w:rsidR="00B231CB" w:rsidRDefault="00C71431">
            <w:pPr>
              <w:spacing w:after="120"/>
              <w:jc w:val="center"/>
              <w:rPr>
                <w:noProof/>
                <w:szCs w:val="24"/>
              </w:rPr>
            </w:pPr>
            <w:r>
              <w:rPr>
                <w:noProof/>
                <w:szCs w:val="24"/>
              </w:rPr>
              <w:t>632</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241</w:t>
            </w:r>
          </w:p>
        </w:tc>
        <w:tc>
          <w:tcPr>
            <w:tcW w:w="1050" w:type="pct"/>
            <w:noWrap/>
          </w:tcPr>
          <w:p w:rsidR="00B231CB" w:rsidRDefault="00C71431">
            <w:pPr>
              <w:spacing w:after="120"/>
              <w:jc w:val="center"/>
              <w:rPr>
                <w:i/>
                <w:noProof/>
                <w:szCs w:val="24"/>
              </w:rPr>
            </w:pPr>
            <w:r>
              <w:rPr>
                <w:i/>
                <w:noProof/>
                <w:szCs w:val="24"/>
              </w:rPr>
              <w:t>578</w:t>
            </w:r>
          </w:p>
        </w:tc>
        <w:tc>
          <w:tcPr>
            <w:tcW w:w="1050" w:type="pct"/>
            <w:noWrap/>
          </w:tcPr>
          <w:p w:rsidR="00B231CB" w:rsidRDefault="00C71431">
            <w:pPr>
              <w:spacing w:after="120"/>
              <w:jc w:val="center"/>
              <w:rPr>
                <w:i/>
                <w:noProof/>
                <w:szCs w:val="24"/>
              </w:rPr>
            </w:pPr>
            <w:r>
              <w:rPr>
                <w:i/>
                <w:noProof/>
                <w:szCs w:val="24"/>
              </w:rPr>
              <w:t>507</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TLC40 - 2025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282</w:t>
            </w:r>
          </w:p>
        </w:tc>
        <w:tc>
          <w:tcPr>
            <w:tcW w:w="1050" w:type="pct"/>
            <w:noWrap/>
          </w:tcPr>
          <w:p w:rsidR="00B231CB" w:rsidRDefault="00C71431">
            <w:pPr>
              <w:spacing w:after="120"/>
              <w:jc w:val="center"/>
              <w:rPr>
                <w:noProof/>
                <w:szCs w:val="24"/>
              </w:rPr>
            </w:pPr>
            <w:r>
              <w:rPr>
                <w:noProof/>
                <w:szCs w:val="24"/>
              </w:rPr>
              <w:t>59</w:t>
            </w:r>
          </w:p>
        </w:tc>
        <w:tc>
          <w:tcPr>
            <w:tcW w:w="1050" w:type="pct"/>
            <w:noWrap/>
          </w:tcPr>
          <w:p w:rsidR="00B231CB" w:rsidRDefault="00C71431">
            <w:pPr>
              <w:spacing w:after="120"/>
              <w:jc w:val="center"/>
              <w:rPr>
                <w:noProof/>
                <w:szCs w:val="24"/>
              </w:rPr>
            </w:pPr>
            <w:r>
              <w:rPr>
                <w:noProof/>
                <w:szCs w:val="24"/>
              </w:rPr>
              <w:t>27</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40</w:t>
            </w:r>
          </w:p>
        </w:tc>
        <w:tc>
          <w:tcPr>
            <w:tcW w:w="1050" w:type="pct"/>
            <w:noWrap/>
          </w:tcPr>
          <w:p w:rsidR="00B231CB" w:rsidRDefault="00C71431">
            <w:pPr>
              <w:spacing w:after="120"/>
              <w:jc w:val="center"/>
              <w:rPr>
                <w:noProof/>
                <w:szCs w:val="24"/>
              </w:rPr>
            </w:pPr>
            <w:r>
              <w:rPr>
                <w:noProof/>
                <w:szCs w:val="24"/>
              </w:rPr>
              <w:t>56</w:t>
            </w:r>
          </w:p>
        </w:tc>
        <w:tc>
          <w:tcPr>
            <w:tcW w:w="1050" w:type="pct"/>
            <w:noWrap/>
          </w:tcPr>
          <w:p w:rsidR="00B231CB" w:rsidRDefault="00C71431">
            <w:pPr>
              <w:spacing w:after="120"/>
              <w:jc w:val="center"/>
              <w:rPr>
                <w:noProof/>
                <w:szCs w:val="24"/>
              </w:rPr>
            </w:pPr>
            <w:r>
              <w:rPr>
                <w:noProof/>
                <w:szCs w:val="24"/>
              </w:rPr>
              <w:t>67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742</w:t>
            </w:r>
          </w:p>
        </w:tc>
        <w:tc>
          <w:tcPr>
            <w:tcW w:w="1050" w:type="pct"/>
            <w:tcBorders>
              <w:bottom w:val="single" w:sz="24" w:space="0" w:color="auto"/>
            </w:tcBorders>
            <w:noWrap/>
          </w:tcPr>
          <w:p w:rsidR="00B231CB" w:rsidRDefault="00C71431">
            <w:pPr>
              <w:spacing w:after="120"/>
              <w:jc w:val="center"/>
              <w:rPr>
                <w:noProof/>
                <w:szCs w:val="24"/>
              </w:rPr>
            </w:pPr>
            <w:r>
              <w:rPr>
                <w:noProof/>
                <w:szCs w:val="24"/>
              </w:rPr>
              <w:t>636</w:t>
            </w:r>
          </w:p>
        </w:tc>
        <w:tc>
          <w:tcPr>
            <w:tcW w:w="1050" w:type="pct"/>
            <w:tcBorders>
              <w:bottom w:val="single" w:sz="24" w:space="0" w:color="auto"/>
            </w:tcBorders>
            <w:noWrap/>
          </w:tcPr>
          <w:p w:rsidR="00B231CB" w:rsidRDefault="00C71431">
            <w:pPr>
              <w:spacing w:after="120"/>
              <w:jc w:val="center"/>
              <w:rPr>
                <w:noProof/>
                <w:szCs w:val="24"/>
              </w:rPr>
            </w:pPr>
            <w:r>
              <w:rPr>
                <w:noProof/>
                <w:szCs w:val="24"/>
              </w:rPr>
              <w:t>529</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420</w:t>
            </w:r>
          </w:p>
        </w:tc>
        <w:tc>
          <w:tcPr>
            <w:tcW w:w="1050" w:type="pct"/>
            <w:noWrap/>
          </w:tcPr>
          <w:p w:rsidR="00B231CB" w:rsidRDefault="00C71431">
            <w:pPr>
              <w:spacing w:after="120"/>
              <w:jc w:val="center"/>
              <w:rPr>
                <w:i/>
                <w:noProof/>
                <w:szCs w:val="24"/>
              </w:rPr>
            </w:pPr>
            <w:r>
              <w:rPr>
                <w:i/>
                <w:noProof/>
                <w:szCs w:val="24"/>
              </w:rPr>
              <w:t>522</w:t>
            </w:r>
          </w:p>
        </w:tc>
        <w:tc>
          <w:tcPr>
            <w:tcW w:w="1050" w:type="pct"/>
            <w:noWrap/>
          </w:tcPr>
          <w:p w:rsidR="00B231CB" w:rsidRDefault="00C71431">
            <w:pPr>
              <w:spacing w:after="120"/>
              <w:jc w:val="center"/>
              <w:rPr>
                <w:i/>
                <w:noProof/>
                <w:szCs w:val="24"/>
              </w:rPr>
            </w:pPr>
            <w:r>
              <w:rPr>
                <w:i/>
                <w:noProof/>
                <w:szCs w:val="24"/>
              </w:rPr>
              <w:t>434</w:t>
            </w:r>
          </w:p>
        </w:tc>
      </w:tr>
    </w:tbl>
    <w:p w:rsidR="00B231CB" w:rsidRDefault="00C71431">
      <w:pPr>
        <w:spacing w:before="240"/>
        <w:rPr>
          <w:b/>
          <w:noProof/>
          <w:color w:val="000000" w:themeColor="text1"/>
          <w:szCs w:val="24"/>
          <w:lang w:eastAsia="en-GB"/>
        </w:rPr>
      </w:pPr>
      <w:r>
        <w:rPr>
          <w:b/>
          <w:noProof/>
          <w:szCs w:val="24"/>
          <w:u w:val="single"/>
        </w:rPr>
        <w:t>TLC40 – 2030 (LEVD_50)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 xml:space="preserve">Net savings from a </w:t>
            </w:r>
            <w:r>
              <w:rPr>
                <w:b/>
                <w:i/>
                <w:noProof/>
                <w:color w:val="000000" w:themeColor="text1"/>
              </w:rPr>
              <w:t>societal perspective (EUR/car)</w:t>
            </w:r>
          </w:p>
        </w:tc>
      </w:tr>
      <w:tr w:rsidR="00B231CB">
        <w:trPr>
          <w:trHeight w:val="255"/>
        </w:trPr>
        <w:tc>
          <w:tcPr>
            <w:tcW w:w="1851" w:type="pct"/>
            <w:noWrap/>
            <w:hideMark/>
          </w:tcPr>
          <w:p w:rsidR="00B231CB" w:rsidRDefault="00C71431">
            <w:pPr>
              <w:spacing w:after="120"/>
              <w:rPr>
                <w:b/>
                <w:noProof/>
                <w:szCs w:val="24"/>
              </w:rPr>
            </w:pPr>
            <w:r>
              <w:rPr>
                <w:b/>
                <w:noProof/>
                <w:szCs w:val="24"/>
              </w:rPr>
              <w:t>TLC40 - 2030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1,812</w:t>
            </w:r>
          </w:p>
        </w:tc>
        <w:tc>
          <w:tcPr>
            <w:tcW w:w="1050" w:type="pct"/>
            <w:noWrap/>
          </w:tcPr>
          <w:p w:rsidR="00B231CB" w:rsidRDefault="00C71431">
            <w:pPr>
              <w:spacing w:after="120"/>
              <w:jc w:val="center"/>
              <w:rPr>
                <w:noProof/>
                <w:szCs w:val="24"/>
              </w:rPr>
            </w:pPr>
            <w:r>
              <w:rPr>
                <w:noProof/>
                <w:szCs w:val="24"/>
              </w:rPr>
              <w:t>785</w:t>
            </w:r>
          </w:p>
        </w:tc>
        <w:tc>
          <w:tcPr>
            <w:tcW w:w="1049" w:type="pct"/>
            <w:noWrap/>
          </w:tcPr>
          <w:p w:rsidR="00B231CB" w:rsidRDefault="00C71431">
            <w:pPr>
              <w:spacing w:after="120"/>
              <w:jc w:val="center"/>
              <w:rPr>
                <w:noProof/>
                <w:szCs w:val="24"/>
              </w:rPr>
            </w:pPr>
            <w:r>
              <w:rPr>
                <w:noProof/>
                <w:szCs w:val="24"/>
              </w:rPr>
              <w:t>547</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-157</w:t>
            </w:r>
          </w:p>
        </w:tc>
        <w:tc>
          <w:tcPr>
            <w:tcW w:w="1050" w:type="pct"/>
            <w:noWrap/>
          </w:tcPr>
          <w:p w:rsidR="00B231CB" w:rsidRDefault="00C71431">
            <w:pPr>
              <w:spacing w:after="120"/>
              <w:jc w:val="center"/>
              <w:rPr>
                <w:noProof/>
                <w:szCs w:val="24"/>
              </w:rPr>
            </w:pPr>
            <w:r>
              <w:rPr>
                <w:noProof/>
                <w:szCs w:val="24"/>
              </w:rPr>
              <w:t>-176</w:t>
            </w:r>
          </w:p>
        </w:tc>
        <w:tc>
          <w:tcPr>
            <w:tcW w:w="1049" w:type="pct"/>
            <w:noWrap/>
          </w:tcPr>
          <w:p w:rsidR="00B231CB" w:rsidRDefault="00C71431">
            <w:pPr>
              <w:spacing w:after="120"/>
              <w:jc w:val="center"/>
              <w:rPr>
                <w:noProof/>
                <w:szCs w:val="24"/>
              </w:rPr>
            </w:pPr>
            <w:r>
              <w:rPr>
                <w:noProof/>
                <w:szCs w:val="24"/>
              </w:rPr>
              <w:t>-117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2,220</w:t>
            </w:r>
          </w:p>
        </w:tc>
        <w:tc>
          <w:tcPr>
            <w:tcW w:w="1050" w:type="pct"/>
            <w:tcBorders>
              <w:bottom w:val="single" w:sz="24" w:space="0" w:color="auto"/>
            </w:tcBorders>
            <w:noWrap/>
          </w:tcPr>
          <w:p w:rsidR="00B231CB" w:rsidRDefault="00C71431">
            <w:pPr>
              <w:spacing w:after="120"/>
              <w:jc w:val="center"/>
              <w:rPr>
                <w:noProof/>
                <w:szCs w:val="24"/>
              </w:rPr>
            </w:pPr>
            <w:r>
              <w:rPr>
                <w:noProof/>
                <w:szCs w:val="24"/>
              </w:rPr>
              <w:t>2,040</w:t>
            </w:r>
          </w:p>
        </w:tc>
        <w:tc>
          <w:tcPr>
            <w:tcW w:w="1049" w:type="pct"/>
            <w:tcBorders>
              <w:bottom w:val="single" w:sz="24" w:space="0" w:color="auto"/>
            </w:tcBorders>
            <w:noWrap/>
          </w:tcPr>
          <w:p w:rsidR="00B231CB" w:rsidRDefault="00C71431">
            <w:pPr>
              <w:spacing w:after="120"/>
              <w:jc w:val="center"/>
              <w:rPr>
                <w:noProof/>
                <w:szCs w:val="24"/>
              </w:rPr>
            </w:pPr>
            <w:r>
              <w:rPr>
                <w:noProof/>
                <w:szCs w:val="24"/>
              </w:rPr>
              <w:t>1,748</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565</w:t>
            </w:r>
          </w:p>
        </w:tc>
        <w:tc>
          <w:tcPr>
            <w:tcW w:w="1050" w:type="pct"/>
            <w:noWrap/>
          </w:tcPr>
          <w:p w:rsidR="00B231CB" w:rsidRDefault="00C71431">
            <w:pPr>
              <w:spacing w:after="120"/>
              <w:jc w:val="center"/>
              <w:rPr>
                <w:i/>
                <w:noProof/>
                <w:szCs w:val="24"/>
              </w:rPr>
            </w:pPr>
            <w:r>
              <w:rPr>
                <w:i/>
                <w:noProof/>
                <w:szCs w:val="24"/>
              </w:rPr>
              <w:t>1,432</w:t>
            </w:r>
          </w:p>
        </w:tc>
        <w:tc>
          <w:tcPr>
            <w:tcW w:w="1049" w:type="pct"/>
            <w:noWrap/>
          </w:tcPr>
          <w:p w:rsidR="00B231CB" w:rsidRDefault="00C71431">
            <w:pPr>
              <w:spacing w:after="120"/>
              <w:jc w:val="center"/>
              <w:rPr>
                <w:i/>
                <w:noProof/>
                <w:szCs w:val="24"/>
              </w:rPr>
            </w:pPr>
            <w:r>
              <w:rPr>
                <w:i/>
                <w:noProof/>
                <w:szCs w:val="24"/>
              </w:rPr>
              <w:t>1,318</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(EUR/car)</w:t>
            </w:r>
          </w:p>
        </w:tc>
      </w:tr>
      <w:tr w:rsidR="00B231CB">
        <w:trPr>
          <w:trHeight w:val="255"/>
        </w:trPr>
        <w:tc>
          <w:tcPr>
            <w:tcW w:w="1851" w:type="pct"/>
            <w:noWrap/>
            <w:hideMark/>
          </w:tcPr>
          <w:p w:rsidR="00B231CB" w:rsidRDefault="00C71431">
            <w:pPr>
              <w:spacing w:after="120"/>
              <w:rPr>
                <w:b/>
                <w:noProof/>
                <w:szCs w:val="24"/>
              </w:rPr>
            </w:pPr>
            <w:r>
              <w:rPr>
                <w:b/>
                <w:noProof/>
                <w:szCs w:val="24"/>
              </w:rPr>
              <w:t>TLC40 - 2030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1,419</w:t>
            </w:r>
          </w:p>
        </w:tc>
        <w:tc>
          <w:tcPr>
            <w:tcW w:w="1050" w:type="pct"/>
            <w:noWrap/>
          </w:tcPr>
          <w:p w:rsidR="00B231CB" w:rsidRDefault="00C71431">
            <w:pPr>
              <w:spacing w:after="120"/>
              <w:jc w:val="center"/>
              <w:rPr>
                <w:noProof/>
                <w:szCs w:val="24"/>
              </w:rPr>
            </w:pPr>
            <w:r>
              <w:rPr>
                <w:noProof/>
                <w:szCs w:val="24"/>
              </w:rPr>
              <w:t>614</w:t>
            </w:r>
          </w:p>
        </w:tc>
        <w:tc>
          <w:tcPr>
            <w:tcW w:w="1049" w:type="pct"/>
            <w:noWrap/>
          </w:tcPr>
          <w:p w:rsidR="00B231CB" w:rsidRDefault="00C71431">
            <w:pPr>
              <w:spacing w:after="120"/>
              <w:jc w:val="center"/>
              <w:rPr>
                <w:noProof/>
                <w:szCs w:val="24"/>
              </w:rPr>
            </w:pPr>
            <w:r>
              <w:rPr>
                <w:noProof/>
                <w:szCs w:val="24"/>
              </w:rPr>
              <w:t>428</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-66</w:t>
            </w:r>
          </w:p>
        </w:tc>
        <w:tc>
          <w:tcPr>
            <w:tcW w:w="1050" w:type="pct"/>
            <w:noWrap/>
          </w:tcPr>
          <w:p w:rsidR="00B231CB" w:rsidRDefault="00C71431">
            <w:pPr>
              <w:spacing w:after="120"/>
              <w:jc w:val="center"/>
              <w:rPr>
                <w:noProof/>
                <w:szCs w:val="24"/>
              </w:rPr>
            </w:pPr>
            <w:r>
              <w:rPr>
                <w:noProof/>
                <w:szCs w:val="24"/>
              </w:rPr>
              <w:t>-74</w:t>
            </w:r>
          </w:p>
        </w:tc>
        <w:tc>
          <w:tcPr>
            <w:tcW w:w="1049" w:type="pct"/>
            <w:noWrap/>
          </w:tcPr>
          <w:p w:rsidR="00B231CB" w:rsidRDefault="00C71431">
            <w:pPr>
              <w:spacing w:after="120"/>
              <w:jc w:val="center"/>
              <w:rPr>
                <w:noProof/>
                <w:szCs w:val="24"/>
              </w:rPr>
            </w:pPr>
            <w:r>
              <w:rPr>
                <w:noProof/>
                <w:szCs w:val="24"/>
              </w:rPr>
              <w:t>-49</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1,992</w:t>
            </w:r>
          </w:p>
        </w:tc>
        <w:tc>
          <w:tcPr>
            <w:tcW w:w="1050" w:type="pct"/>
            <w:tcBorders>
              <w:bottom w:val="single" w:sz="24" w:space="0" w:color="auto"/>
            </w:tcBorders>
            <w:noWrap/>
          </w:tcPr>
          <w:p w:rsidR="00B231CB" w:rsidRDefault="00C71431">
            <w:pPr>
              <w:spacing w:after="120"/>
              <w:jc w:val="center"/>
              <w:rPr>
                <w:noProof/>
                <w:szCs w:val="24"/>
              </w:rPr>
            </w:pPr>
            <w:r>
              <w:rPr>
                <w:noProof/>
                <w:szCs w:val="24"/>
              </w:rPr>
              <w:t>1,904</w:t>
            </w:r>
          </w:p>
        </w:tc>
        <w:tc>
          <w:tcPr>
            <w:tcW w:w="1049" w:type="pct"/>
            <w:tcBorders>
              <w:bottom w:val="single" w:sz="24" w:space="0" w:color="auto"/>
            </w:tcBorders>
            <w:noWrap/>
          </w:tcPr>
          <w:p w:rsidR="00B231CB" w:rsidRDefault="00C71431">
            <w:pPr>
              <w:spacing w:after="120"/>
              <w:jc w:val="center"/>
              <w:rPr>
                <w:noProof/>
                <w:szCs w:val="24"/>
              </w:rPr>
            </w:pPr>
            <w:r>
              <w:rPr>
                <w:noProof/>
                <w:szCs w:val="24"/>
              </w:rPr>
              <w:t>1,739</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639</w:t>
            </w:r>
          </w:p>
        </w:tc>
        <w:tc>
          <w:tcPr>
            <w:tcW w:w="1050" w:type="pct"/>
            <w:noWrap/>
          </w:tcPr>
          <w:p w:rsidR="00B231CB" w:rsidRDefault="00C71431">
            <w:pPr>
              <w:spacing w:after="120"/>
              <w:jc w:val="center"/>
              <w:rPr>
                <w:i/>
                <w:noProof/>
                <w:szCs w:val="24"/>
              </w:rPr>
            </w:pPr>
            <w:r>
              <w:rPr>
                <w:i/>
                <w:noProof/>
                <w:szCs w:val="24"/>
              </w:rPr>
              <w:t>1,363</w:t>
            </w:r>
          </w:p>
        </w:tc>
        <w:tc>
          <w:tcPr>
            <w:tcW w:w="1049" w:type="pct"/>
            <w:noWrap/>
          </w:tcPr>
          <w:p w:rsidR="00B231CB" w:rsidRDefault="00C71431">
            <w:pPr>
              <w:spacing w:after="120"/>
              <w:jc w:val="center"/>
              <w:rPr>
                <w:i/>
                <w:noProof/>
                <w:szCs w:val="24"/>
              </w:rPr>
            </w:pPr>
            <w:r>
              <w:rPr>
                <w:i/>
                <w:noProof/>
                <w:szCs w:val="24"/>
              </w:rPr>
              <w:t>1,360</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(EUR/car)</w:t>
            </w:r>
          </w:p>
        </w:tc>
      </w:tr>
      <w:tr w:rsidR="00B231CB">
        <w:trPr>
          <w:trHeight w:val="255"/>
        </w:trPr>
        <w:tc>
          <w:tcPr>
            <w:tcW w:w="1851" w:type="pct"/>
            <w:noWrap/>
            <w:hideMark/>
          </w:tcPr>
          <w:p w:rsidR="00B231CB" w:rsidRDefault="00C71431">
            <w:pPr>
              <w:spacing w:after="120"/>
              <w:rPr>
                <w:b/>
                <w:noProof/>
                <w:szCs w:val="24"/>
              </w:rPr>
            </w:pPr>
            <w:r>
              <w:rPr>
                <w:b/>
                <w:noProof/>
                <w:szCs w:val="24"/>
              </w:rPr>
              <w:t>TLC40 - 2030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684</w:t>
            </w:r>
          </w:p>
        </w:tc>
        <w:tc>
          <w:tcPr>
            <w:tcW w:w="1050" w:type="pct"/>
            <w:noWrap/>
          </w:tcPr>
          <w:p w:rsidR="00B231CB" w:rsidRDefault="00C71431">
            <w:pPr>
              <w:spacing w:after="120"/>
              <w:jc w:val="center"/>
              <w:rPr>
                <w:noProof/>
                <w:szCs w:val="24"/>
              </w:rPr>
            </w:pPr>
            <w:r>
              <w:rPr>
                <w:noProof/>
                <w:szCs w:val="24"/>
              </w:rPr>
              <w:t>296</w:t>
            </w:r>
          </w:p>
        </w:tc>
        <w:tc>
          <w:tcPr>
            <w:tcW w:w="1049" w:type="pct"/>
            <w:noWrap/>
          </w:tcPr>
          <w:p w:rsidR="00B231CB" w:rsidRDefault="00C71431">
            <w:pPr>
              <w:spacing w:after="120"/>
              <w:jc w:val="center"/>
              <w:rPr>
                <w:noProof/>
                <w:szCs w:val="24"/>
              </w:rPr>
            </w:pPr>
            <w:r>
              <w:rPr>
                <w:noProof/>
                <w:szCs w:val="24"/>
              </w:rPr>
              <w:t>206</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-66</w:t>
            </w:r>
          </w:p>
        </w:tc>
        <w:tc>
          <w:tcPr>
            <w:tcW w:w="1050" w:type="pct"/>
            <w:noWrap/>
          </w:tcPr>
          <w:p w:rsidR="00B231CB" w:rsidRDefault="00C71431">
            <w:pPr>
              <w:spacing w:after="120"/>
              <w:jc w:val="center"/>
              <w:rPr>
                <w:noProof/>
                <w:szCs w:val="24"/>
              </w:rPr>
            </w:pPr>
            <w:r>
              <w:rPr>
                <w:noProof/>
                <w:szCs w:val="24"/>
              </w:rPr>
              <w:t>-74</w:t>
            </w:r>
          </w:p>
        </w:tc>
        <w:tc>
          <w:tcPr>
            <w:tcW w:w="1049" w:type="pct"/>
            <w:noWrap/>
          </w:tcPr>
          <w:p w:rsidR="00B231CB" w:rsidRDefault="00C71431">
            <w:pPr>
              <w:spacing w:after="120"/>
              <w:jc w:val="center"/>
              <w:rPr>
                <w:noProof/>
                <w:szCs w:val="24"/>
              </w:rPr>
            </w:pPr>
            <w:r>
              <w:rPr>
                <w:noProof/>
                <w:szCs w:val="24"/>
              </w:rPr>
              <w:t>-49</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1,640</w:t>
            </w:r>
          </w:p>
        </w:tc>
        <w:tc>
          <w:tcPr>
            <w:tcW w:w="1050" w:type="pct"/>
            <w:tcBorders>
              <w:bottom w:val="single" w:sz="24" w:space="0" w:color="auto"/>
            </w:tcBorders>
            <w:noWrap/>
          </w:tcPr>
          <w:p w:rsidR="00B231CB" w:rsidRDefault="00C71431">
            <w:pPr>
              <w:spacing w:after="120"/>
              <w:jc w:val="center"/>
              <w:rPr>
                <w:noProof/>
                <w:szCs w:val="24"/>
              </w:rPr>
            </w:pPr>
            <w:r>
              <w:rPr>
                <w:noProof/>
                <w:szCs w:val="24"/>
              </w:rPr>
              <w:t>1,555</w:t>
            </w:r>
          </w:p>
        </w:tc>
        <w:tc>
          <w:tcPr>
            <w:tcW w:w="1049" w:type="pct"/>
            <w:tcBorders>
              <w:bottom w:val="single" w:sz="24" w:space="0" w:color="auto"/>
            </w:tcBorders>
            <w:noWrap/>
          </w:tcPr>
          <w:p w:rsidR="00B231CB" w:rsidRDefault="00C71431">
            <w:pPr>
              <w:spacing w:after="120"/>
              <w:jc w:val="center"/>
              <w:rPr>
                <w:noProof/>
                <w:szCs w:val="24"/>
              </w:rPr>
            </w:pPr>
            <w:r>
              <w:rPr>
                <w:noProof/>
                <w:szCs w:val="24"/>
              </w:rPr>
              <w:t>1,420</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1,022</w:t>
            </w:r>
          </w:p>
        </w:tc>
        <w:tc>
          <w:tcPr>
            <w:tcW w:w="1050" w:type="pct"/>
            <w:noWrap/>
          </w:tcPr>
          <w:p w:rsidR="00B231CB" w:rsidRDefault="00C71431">
            <w:pPr>
              <w:spacing w:after="120"/>
              <w:jc w:val="center"/>
              <w:rPr>
                <w:i/>
                <w:noProof/>
                <w:szCs w:val="24"/>
              </w:rPr>
            </w:pPr>
            <w:r>
              <w:rPr>
                <w:i/>
                <w:noProof/>
                <w:szCs w:val="24"/>
              </w:rPr>
              <w:t>1,333</w:t>
            </w:r>
          </w:p>
        </w:tc>
        <w:tc>
          <w:tcPr>
            <w:tcW w:w="1049" w:type="pct"/>
            <w:noWrap/>
          </w:tcPr>
          <w:p w:rsidR="00B231CB" w:rsidRDefault="00C71431">
            <w:pPr>
              <w:spacing w:after="120"/>
              <w:jc w:val="center"/>
              <w:rPr>
                <w:i/>
                <w:noProof/>
                <w:szCs w:val="24"/>
              </w:rPr>
            </w:pPr>
            <w:r>
              <w:rPr>
                <w:i/>
                <w:noProof/>
                <w:szCs w:val="24"/>
              </w:rPr>
              <w:t>1,263</w:t>
            </w:r>
          </w:p>
        </w:tc>
      </w:tr>
    </w:tbl>
    <w:p w:rsidR="00B231CB" w:rsidRDefault="00B231CB">
      <w:pPr>
        <w:spacing w:before="120" w:after="120"/>
        <w:rPr>
          <w:i/>
          <w:noProof/>
        </w:rPr>
      </w:pPr>
      <w:bookmarkStart w:id="399" w:name="_Toc493689262"/>
      <w:bookmarkStart w:id="400" w:name="_Toc493689372"/>
      <w:bookmarkStart w:id="401" w:name="_Toc493689484"/>
      <w:bookmarkStart w:id="402" w:name="_Toc493873347"/>
      <w:bookmarkEnd w:id="399"/>
      <w:bookmarkEnd w:id="400"/>
      <w:bookmarkEnd w:id="401"/>
    </w:p>
    <w:p w:rsidR="00B231CB" w:rsidRDefault="00C71431">
      <w:pPr>
        <w:spacing w:before="120" w:after="120"/>
        <w:rPr>
          <w:noProof/>
        </w:rPr>
      </w:pPr>
      <w:r>
        <w:rPr>
          <w:i/>
          <w:noProof/>
        </w:rPr>
        <w:t>Sensitivity – economic impacts under varying cost assumptions for the battery</w:t>
      </w:r>
    </w:p>
    <w:p w:rsidR="00B231CB" w:rsidRDefault="00C71431">
      <w:pPr>
        <w:spacing w:after="120"/>
        <w:rPr>
          <w:noProof/>
          <w:szCs w:val="24"/>
        </w:rPr>
      </w:pPr>
      <w:r>
        <w:rPr>
          <w:noProof/>
        </w:rPr>
        <w:t xml:space="preserve">As explained in Section </w:t>
      </w:r>
      <w:r>
        <w:rPr>
          <w:noProof/>
        </w:rPr>
        <w:t>6.5.1 of the impact assessment report, to assess the impacts of the options setting a LEV mandate/benchmark, the following technology costs were used: battery pack costs of around 100 EUR/kWh in 2025 and 65 EUR/kWh in 2030.</w:t>
      </w:r>
      <w:r>
        <w:rPr>
          <w:noProof/>
          <w:szCs w:val="24"/>
        </w:rPr>
        <w:t xml:space="preserve"> </w:t>
      </w:r>
    </w:p>
    <w:p w:rsidR="00B231CB" w:rsidRDefault="00C71431">
      <w:pPr>
        <w:spacing w:after="120"/>
        <w:rPr>
          <w:noProof/>
          <w:szCs w:val="24"/>
        </w:rPr>
      </w:pPr>
      <w:r>
        <w:rPr>
          <w:noProof/>
          <w:szCs w:val="24"/>
        </w:rPr>
        <w:t>For the purpose of analysing th</w:t>
      </w:r>
      <w:r>
        <w:rPr>
          <w:noProof/>
          <w:szCs w:val="24"/>
        </w:rPr>
        <w:t xml:space="preserve">e sensitivity of the battery cost assumptions, a different evolution is considered, corresponding to </w:t>
      </w:r>
      <w:r>
        <w:rPr>
          <w:noProof/>
        </w:rPr>
        <w:t xml:space="preserve">battery pack costs of </w:t>
      </w:r>
      <w:r>
        <w:rPr>
          <w:noProof/>
          <w:szCs w:val="24"/>
        </w:rPr>
        <w:t xml:space="preserve">around 130 </w:t>
      </w:r>
      <w:r>
        <w:rPr>
          <w:noProof/>
        </w:rPr>
        <w:t>EUR/kWh in 2025 and 100 EUR/kWh in 2030</w:t>
      </w:r>
      <w:r>
        <w:rPr>
          <w:noProof/>
          <w:szCs w:val="24"/>
        </w:rPr>
        <w:t xml:space="preserve">, in line with the "Low" costs in Section 8.2.1.1.4 of the </w:t>
      </w:r>
      <w:r>
        <w:rPr>
          <w:noProof/>
        </w:rPr>
        <w:t>impact assessment</w:t>
      </w:r>
      <w:r>
        <w:rPr>
          <w:noProof/>
          <w:szCs w:val="24"/>
        </w:rPr>
        <w:t xml:space="preserve"> report</w:t>
      </w:r>
      <w:r>
        <w:rPr>
          <w:noProof/>
          <w:szCs w:val="24"/>
        </w:rPr>
        <w:t>.</w:t>
      </w:r>
    </w:p>
    <w:p w:rsidR="00B231CB" w:rsidRDefault="00C71431">
      <w:pPr>
        <w:spacing w:after="120"/>
        <w:rPr>
          <w:noProof/>
          <w:color w:val="000000" w:themeColor="text1"/>
        </w:rPr>
      </w:pPr>
      <w:r>
        <w:rPr>
          <w:noProof/>
          <w:color w:val="000000" w:themeColor="text1"/>
        </w:rPr>
        <w:fldChar w:fldCharType="begin"/>
      </w:r>
      <w:r>
        <w:rPr>
          <w:noProof/>
          <w:color w:val="000000" w:themeColor="text1"/>
        </w:rPr>
        <w:instrText xml:space="preserve"> REF _Ref496621453 \h </w:instrText>
      </w:r>
      <w:r>
        <w:rPr>
          <w:noProof/>
          <w:color w:val="000000" w:themeColor="text1"/>
        </w:rPr>
      </w:r>
      <w:r>
        <w:rPr>
          <w:noProof/>
          <w:color w:val="000000" w:themeColor="text1"/>
        </w:rPr>
        <w:fldChar w:fldCharType="separate"/>
      </w:r>
      <w:r>
        <w:rPr>
          <w:noProof/>
        </w:rPr>
        <w:t>Table 31</w:t>
      </w:r>
      <w:r>
        <w:rPr>
          <w:noProof/>
          <w:color w:val="000000" w:themeColor="text1"/>
        </w:rPr>
        <w:fldChar w:fldCharType="end"/>
      </w:r>
      <w:r>
        <w:rPr>
          <w:noProof/>
          <w:color w:val="000000" w:themeColor="text1"/>
        </w:rPr>
        <w:t xml:space="preserve"> documents how the net savings vary with the differing battery cost assumptions for the option LEV%_A. </w:t>
      </w:r>
    </w:p>
    <w:p w:rsidR="00B231CB" w:rsidRDefault="00C71431">
      <w:pPr>
        <w:spacing w:after="120"/>
        <w:rPr>
          <w:noProof/>
          <w:color w:val="000000" w:themeColor="text1"/>
        </w:rPr>
      </w:pPr>
      <w:r>
        <w:rPr>
          <w:noProof/>
          <w:color w:val="000000" w:themeColor="text1"/>
        </w:rPr>
        <w:t>Results are presented for the savings over a vehicle lifetime (TCO-15-years) from an end</w:t>
      </w:r>
      <w:r>
        <w:rPr>
          <w:noProof/>
          <w:color w:val="000000" w:themeColor="text1"/>
        </w:rPr>
        <w:t xml:space="preserve">-user perspective. </w:t>
      </w:r>
    </w:p>
    <w:p w:rsidR="00B231CB" w:rsidRDefault="00C71431">
      <w:pPr>
        <w:pStyle w:val="Caption"/>
        <w:keepNext/>
        <w:jc w:val="both"/>
        <w:rPr>
          <w:noProof/>
          <w:color w:val="000000" w:themeColor="text1"/>
        </w:rPr>
      </w:pPr>
      <w:bookmarkStart w:id="403" w:name="_Ref496621453"/>
      <w:r>
        <w:rPr>
          <w:noProof/>
        </w:rPr>
        <w:t xml:space="preserve">Table </w:t>
      </w:r>
      <w:r>
        <w:rPr>
          <w:noProof/>
        </w:rPr>
        <w:fldChar w:fldCharType="begin"/>
      </w:r>
      <w:r>
        <w:rPr>
          <w:noProof/>
        </w:rPr>
        <w:instrText xml:space="preserve"> SEQ Table \* ARABIC </w:instrText>
      </w:r>
      <w:r>
        <w:rPr>
          <w:noProof/>
        </w:rPr>
        <w:fldChar w:fldCharType="separate"/>
      </w:r>
      <w:r>
        <w:rPr>
          <w:noProof/>
        </w:rPr>
        <w:t>31</w:t>
      </w:r>
      <w:r>
        <w:rPr>
          <w:noProof/>
        </w:rPr>
        <w:fldChar w:fldCharType="end"/>
      </w:r>
      <w:bookmarkEnd w:id="403"/>
      <w:r>
        <w:rPr>
          <w:noProof/>
        </w:rPr>
        <w:t>: Detailed overview of the net savings (TCO-15 years) in EUR/car under different options for the EU-wide fleet CO</w:t>
      </w:r>
      <w:r>
        <w:rPr>
          <w:noProof/>
          <w:vertAlign w:val="subscript"/>
        </w:rPr>
        <w:t>2</w:t>
      </w:r>
      <w:r>
        <w:rPr>
          <w:noProof/>
        </w:rPr>
        <w:t xml:space="preserve"> target (TLC) combined with a LEV incentive (LEV mandate/benchmark as in option LEV%_A and different LEV definitions LEVD) for 2025 and 2030 passenger cars with varying battery costs ("Low" and "Very Low")</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TCO-15 years (EUR/car)</w:t>
            </w:r>
          </w:p>
        </w:tc>
      </w:tr>
      <w:tr w:rsidR="00B231CB">
        <w:trPr>
          <w:trHeight w:val="255"/>
        </w:trPr>
        <w:tc>
          <w:tcPr>
            <w:tcW w:w="1851" w:type="pct"/>
            <w:noWrap/>
            <w:hideMark/>
          </w:tcPr>
          <w:p w:rsidR="00B231CB" w:rsidRDefault="00C71431">
            <w:pPr>
              <w:spacing w:after="120"/>
              <w:rPr>
                <w:b/>
                <w:noProof/>
                <w:szCs w:val="24"/>
              </w:rPr>
            </w:pPr>
            <w:r>
              <w:rPr>
                <w:b/>
                <w:noProof/>
                <w:szCs w:val="24"/>
              </w:rPr>
              <w:t>2025</w:t>
            </w:r>
          </w:p>
        </w:tc>
        <w:tc>
          <w:tcPr>
            <w:tcW w:w="1050" w:type="pct"/>
            <w:noWrap/>
          </w:tcPr>
          <w:p w:rsidR="00B231CB" w:rsidRDefault="00C71431">
            <w:pPr>
              <w:spacing w:after="120"/>
              <w:jc w:val="center"/>
              <w:rPr>
                <w:b/>
                <w:i/>
                <w:noProof/>
                <w:color w:val="000000" w:themeColor="text1"/>
              </w:rPr>
            </w:pPr>
            <w:r>
              <w:rPr>
                <w:b/>
                <w:i/>
                <w:noProof/>
                <w:color w:val="000000" w:themeColor="text1"/>
              </w:rPr>
              <w:t>TLC20</w:t>
            </w:r>
          </w:p>
        </w:tc>
        <w:tc>
          <w:tcPr>
            <w:tcW w:w="1050" w:type="pct"/>
            <w:noWrap/>
          </w:tcPr>
          <w:p w:rsidR="00B231CB" w:rsidRDefault="00C71431">
            <w:pPr>
              <w:spacing w:after="120"/>
              <w:jc w:val="center"/>
              <w:rPr>
                <w:b/>
                <w:i/>
                <w:noProof/>
                <w:color w:val="000000" w:themeColor="text1"/>
              </w:rPr>
            </w:pPr>
            <w:r>
              <w:rPr>
                <w:b/>
                <w:i/>
                <w:noProof/>
                <w:color w:val="000000" w:themeColor="text1"/>
              </w:rPr>
              <w:t>TLC30</w:t>
            </w:r>
          </w:p>
        </w:tc>
        <w:tc>
          <w:tcPr>
            <w:tcW w:w="1049" w:type="pct"/>
            <w:noWrap/>
          </w:tcPr>
          <w:p w:rsidR="00B231CB" w:rsidRDefault="00C71431">
            <w:pPr>
              <w:spacing w:after="120"/>
              <w:jc w:val="center"/>
              <w:rPr>
                <w:b/>
                <w:i/>
                <w:noProof/>
                <w:color w:val="000000" w:themeColor="text1"/>
              </w:rPr>
            </w:pPr>
            <w:r>
              <w:rPr>
                <w:b/>
                <w:i/>
                <w:noProof/>
                <w:color w:val="000000" w:themeColor="text1"/>
              </w:rPr>
              <w:t>TLC40</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Battery cost "Low"</w:t>
            </w:r>
          </w:p>
        </w:tc>
        <w:tc>
          <w:tcPr>
            <w:tcW w:w="1050" w:type="pct"/>
            <w:noWrap/>
            <w:vAlign w:val="bottom"/>
          </w:tcPr>
          <w:p w:rsidR="00B231CB" w:rsidRDefault="00C71431">
            <w:pPr>
              <w:spacing w:after="120"/>
              <w:jc w:val="center"/>
              <w:rPr>
                <w:noProof/>
                <w:szCs w:val="24"/>
              </w:rPr>
            </w:pPr>
            <w:r>
              <w:rPr>
                <w:noProof/>
                <w:szCs w:val="24"/>
              </w:rPr>
              <w:t>383</w:t>
            </w:r>
          </w:p>
        </w:tc>
        <w:tc>
          <w:tcPr>
            <w:tcW w:w="1050" w:type="pct"/>
            <w:noWrap/>
            <w:vAlign w:val="bottom"/>
          </w:tcPr>
          <w:p w:rsidR="00B231CB" w:rsidRDefault="00C71431">
            <w:pPr>
              <w:spacing w:after="120"/>
              <w:jc w:val="center"/>
              <w:rPr>
                <w:noProof/>
                <w:szCs w:val="24"/>
              </w:rPr>
            </w:pPr>
            <w:r>
              <w:rPr>
                <w:noProof/>
                <w:szCs w:val="24"/>
              </w:rPr>
              <w:t>583</w:t>
            </w:r>
          </w:p>
        </w:tc>
        <w:tc>
          <w:tcPr>
            <w:tcW w:w="1049" w:type="pct"/>
            <w:noWrap/>
            <w:vAlign w:val="bottom"/>
          </w:tcPr>
          <w:p w:rsidR="00B231CB" w:rsidRDefault="00C71431">
            <w:pPr>
              <w:spacing w:after="120"/>
              <w:jc w:val="center"/>
              <w:rPr>
                <w:noProof/>
                <w:szCs w:val="24"/>
              </w:rPr>
            </w:pPr>
            <w:r>
              <w:rPr>
                <w:noProof/>
                <w:szCs w:val="24"/>
              </w:rPr>
              <w:t>703</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Battery cost "Very Low"</w:t>
            </w:r>
          </w:p>
        </w:tc>
        <w:tc>
          <w:tcPr>
            <w:tcW w:w="1050" w:type="pct"/>
            <w:noWrap/>
            <w:vAlign w:val="bottom"/>
          </w:tcPr>
          <w:p w:rsidR="00B231CB" w:rsidRDefault="00C71431">
            <w:pPr>
              <w:spacing w:after="120"/>
              <w:jc w:val="center"/>
              <w:rPr>
                <w:noProof/>
                <w:szCs w:val="24"/>
              </w:rPr>
            </w:pPr>
            <w:r>
              <w:rPr>
                <w:noProof/>
                <w:szCs w:val="24"/>
              </w:rPr>
              <w:t>620</w:t>
            </w:r>
          </w:p>
        </w:tc>
        <w:tc>
          <w:tcPr>
            <w:tcW w:w="1050" w:type="pct"/>
            <w:noWrap/>
            <w:vAlign w:val="bottom"/>
          </w:tcPr>
          <w:p w:rsidR="00B231CB" w:rsidRDefault="00C71431">
            <w:pPr>
              <w:spacing w:after="120"/>
              <w:jc w:val="center"/>
              <w:rPr>
                <w:noProof/>
                <w:szCs w:val="24"/>
              </w:rPr>
            </w:pPr>
            <w:r>
              <w:rPr>
                <w:noProof/>
                <w:szCs w:val="24"/>
              </w:rPr>
              <w:t>820</w:t>
            </w:r>
          </w:p>
        </w:tc>
        <w:tc>
          <w:tcPr>
            <w:tcW w:w="1049" w:type="pct"/>
            <w:noWrap/>
            <w:vAlign w:val="bottom"/>
          </w:tcPr>
          <w:p w:rsidR="00B231CB" w:rsidRDefault="00C71431">
            <w:pPr>
              <w:spacing w:after="120"/>
              <w:jc w:val="center"/>
              <w:rPr>
                <w:noProof/>
                <w:szCs w:val="24"/>
              </w:rPr>
            </w:pPr>
            <w:r>
              <w:rPr>
                <w:noProof/>
                <w:szCs w:val="24"/>
              </w:rPr>
              <w:t>1,055</w:t>
            </w:r>
          </w:p>
        </w:tc>
      </w:tr>
    </w:tbl>
    <w:p w:rsidR="00B231CB" w:rsidRDefault="00B231CB">
      <w:pPr>
        <w:spacing w:after="0"/>
        <w:rPr>
          <w:noProof/>
          <w:color w:val="000000" w:themeColor="text1"/>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TCO-15 years (EUR/car)</w:t>
            </w:r>
          </w:p>
        </w:tc>
      </w:tr>
      <w:tr w:rsidR="00B231CB">
        <w:trPr>
          <w:trHeight w:val="255"/>
        </w:trPr>
        <w:tc>
          <w:tcPr>
            <w:tcW w:w="1851" w:type="pct"/>
            <w:noWrap/>
            <w:hideMark/>
          </w:tcPr>
          <w:p w:rsidR="00B231CB" w:rsidRDefault="00C71431">
            <w:pPr>
              <w:spacing w:after="120"/>
              <w:rPr>
                <w:b/>
                <w:noProof/>
                <w:szCs w:val="24"/>
              </w:rPr>
            </w:pPr>
            <w:r>
              <w:rPr>
                <w:b/>
                <w:noProof/>
                <w:szCs w:val="24"/>
              </w:rPr>
              <w:t>2030</w:t>
            </w:r>
          </w:p>
        </w:tc>
        <w:tc>
          <w:tcPr>
            <w:tcW w:w="1050" w:type="pct"/>
            <w:noWrap/>
          </w:tcPr>
          <w:p w:rsidR="00B231CB" w:rsidRDefault="00C71431">
            <w:pPr>
              <w:spacing w:after="120"/>
              <w:jc w:val="center"/>
              <w:rPr>
                <w:b/>
                <w:i/>
                <w:noProof/>
                <w:color w:val="000000" w:themeColor="text1"/>
              </w:rPr>
            </w:pPr>
            <w:r>
              <w:rPr>
                <w:b/>
                <w:i/>
                <w:noProof/>
                <w:color w:val="000000" w:themeColor="text1"/>
              </w:rPr>
              <w:t>TLC20</w:t>
            </w:r>
          </w:p>
        </w:tc>
        <w:tc>
          <w:tcPr>
            <w:tcW w:w="1050" w:type="pct"/>
            <w:noWrap/>
          </w:tcPr>
          <w:p w:rsidR="00B231CB" w:rsidRDefault="00C71431">
            <w:pPr>
              <w:spacing w:after="120"/>
              <w:jc w:val="center"/>
              <w:rPr>
                <w:b/>
                <w:i/>
                <w:noProof/>
                <w:color w:val="000000" w:themeColor="text1"/>
              </w:rPr>
            </w:pPr>
            <w:r>
              <w:rPr>
                <w:b/>
                <w:i/>
                <w:noProof/>
                <w:color w:val="000000" w:themeColor="text1"/>
              </w:rPr>
              <w:t>TLC30</w:t>
            </w:r>
          </w:p>
        </w:tc>
        <w:tc>
          <w:tcPr>
            <w:tcW w:w="1049" w:type="pct"/>
            <w:noWrap/>
          </w:tcPr>
          <w:p w:rsidR="00B231CB" w:rsidRDefault="00C71431">
            <w:pPr>
              <w:spacing w:after="120"/>
              <w:jc w:val="center"/>
              <w:rPr>
                <w:b/>
                <w:i/>
                <w:noProof/>
                <w:color w:val="000000" w:themeColor="text1"/>
              </w:rPr>
            </w:pPr>
            <w:r>
              <w:rPr>
                <w:b/>
                <w:i/>
                <w:noProof/>
                <w:color w:val="000000" w:themeColor="text1"/>
              </w:rPr>
              <w:t>TLC40</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Battery cost "Low"</w:t>
            </w:r>
          </w:p>
        </w:tc>
        <w:tc>
          <w:tcPr>
            <w:tcW w:w="1050" w:type="pct"/>
            <w:noWrap/>
            <w:vAlign w:val="bottom"/>
          </w:tcPr>
          <w:p w:rsidR="00B231CB" w:rsidRDefault="00C71431">
            <w:pPr>
              <w:spacing w:after="120"/>
              <w:jc w:val="center"/>
              <w:rPr>
                <w:noProof/>
                <w:szCs w:val="24"/>
              </w:rPr>
            </w:pPr>
            <w:r>
              <w:rPr>
                <w:noProof/>
                <w:szCs w:val="24"/>
              </w:rPr>
              <w:t>1,349</w:t>
            </w:r>
          </w:p>
        </w:tc>
        <w:tc>
          <w:tcPr>
            <w:tcW w:w="1050" w:type="pct"/>
            <w:noWrap/>
            <w:vAlign w:val="bottom"/>
          </w:tcPr>
          <w:p w:rsidR="00B231CB" w:rsidRDefault="00C71431">
            <w:pPr>
              <w:spacing w:after="120"/>
              <w:jc w:val="center"/>
              <w:rPr>
                <w:noProof/>
                <w:szCs w:val="24"/>
              </w:rPr>
            </w:pPr>
            <w:r>
              <w:rPr>
                <w:noProof/>
                <w:szCs w:val="24"/>
              </w:rPr>
              <w:t>1,760</w:t>
            </w:r>
          </w:p>
        </w:tc>
        <w:tc>
          <w:tcPr>
            <w:tcW w:w="1049" w:type="pct"/>
            <w:noWrap/>
            <w:vAlign w:val="bottom"/>
          </w:tcPr>
          <w:p w:rsidR="00B231CB" w:rsidRDefault="00C71431">
            <w:pPr>
              <w:spacing w:after="120"/>
              <w:jc w:val="center"/>
              <w:rPr>
                <w:noProof/>
                <w:szCs w:val="24"/>
              </w:rPr>
            </w:pPr>
            <w:r>
              <w:rPr>
                <w:noProof/>
                <w:szCs w:val="24"/>
              </w:rPr>
              <w:t>1,670</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Battery cost "Very Low"</w:t>
            </w:r>
          </w:p>
        </w:tc>
        <w:tc>
          <w:tcPr>
            <w:tcW w:w="1050" w:type="pct"/>
            <w:noWrap/>
            <w:vAlign w:val="bottom"/>
          </w:tcPr>
          <w:p w:rsidR="00B231CB" w:rsidRDefault="00C71431">
            <w:pPr>
              <w:spacing w:after="120"/>
              <w:jc w:val="center"/>
              <w:rPr>
                <w:noProof/>
                <w:szCs w:val="24"/>
              </w:rPr>
            </w:pPr>
            <w:r>
              <w:rPr>
                <w:noProof/>
                <w:szCs w:val="24"/>
              </w:rPr>
              <w:t>1,623</w:t>
            </w:r>
          </w:p>
        </w:tc>
        <w:tc>
          <w:tcPr>
            <w:tcW w:w="1050" w:type="pct"/>
            <w:noWrap/>
            <w:vAlign w:val="bottom"/>
          </w:tcPr>
          <w:p w:rsidR="00B231CB" w:rsidRDefault="00C71431">
            <w:pPr>
              <w:spacing w:after="120"/>
              <w:jc w:val="center"/>
              <w:rPr>
                <w:noProof/>
                <w:szCs w:val="24"/>
              </w:rPr>
            </w:pPr>
            <w:r>
              <w:rPr>
                <w:noProof/>
                <w:szCs w:val="24"/>
              </w:rPr>
              <w:t>2,155</w:t>
            </w:r>
          </w:p>
        </w:tc>
        <w:tc>
          <w:tcPr>
            <w:tcW w:w="1049" w:type="pct"/>
            <w:noWrap/>
            <w:vAlign w:val="bottom"/>
          </w:tcPr>
          <w:p w:rsidR="00B231CB" w:rsidRDefault="00C71431">
            <w:pPr>
              <w:spacing w:after="120"/>
              <w:jc w:val="center"/>
              <w:rPr>
                <w:noProof/>
                <w:szCs w:val="24"/>
              </w:rPr>
            </w:pPr>
            <w:r>
              <w:rPr>
                <w:noProof/>
                <w:szCs w:val="24"/>
              </w:rPr>
              <w:t>2,303</w:t>
            </w:r>
          </w:p>
        </w:tc>
      </w:tr>
    </w:tbl>
    <w:p w:rsidR="00B231CB" w:rsidRDefault="00B231CB">
      <w:pPr>
        <w:spacing w:after="0"/>
        <w:rPr>
          <w:noProof/>
          <w:color w:val="000000" w:themeColor="text1"/>
        </w:rPr>
      </w:pPr>
    </w:p>
    <w:p w:rsidR="00B231CB" w:rsidRDefault="00C71431">
      <w:pPr>
        <w:rPr>
          <w:noProof/>
        </w:rPr>
      </w:pPr>
      <w:r>
        <w:rPr>
          <w:noProof/>
        </w:rPr>
        <w:br w:type="page"/>
      </w:r>
    </w:p>
    <w:p w:rsidR="00B231CB" w:rsidRDefault="00B231CB">
      <w:pPr>
        <w:spacing w:after="0"/>
        <w:rPr>
          <w:noProof/>
          <w:color w:val="000000" w:themeColor="text1"/>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TCO-15 years (EUR/car)</w:t>
            </w:r>
          </w:p>
        </w:tc>
      </w:tr>
      <w:tr w:rsidR="00B231CB">
        <w:trPr>
          <w:trHeight w:val="255"/>
        </w:trPr>
        <w:tc>
          <w:tcPr>
            <w:tcW w:w="1851" w:type="pct"/>
            <w:noWrap/>
            <w:hideMark/>
          </w:tcPr>
          <w:p w:rsidR="00B231CB" w:rsidRDefault="00C71431">
            <w:pPr>
              <w:spacing w:after="120"/>
              <w:rPr>
                <w:b/>
                <w:noProof/>
                <w:szCs w:val="24"/>
              </w:rPr>
            </w:pPr>
            <w:r>
              <w:rPr>
                <w:b/>
                <w:noProof/>
                <w:szCs w:val="24"/>
              </w:rPr>
              <w:t>2025</w:t>
            </w:r>
          </w:p>
        </w:tc>
        <w:tc>
          <w:tcPr>
            <w:tcW w:w="1050" w:type="pct"/>
            <w:noWrap/>
          </w:tcPr>
          <w:p w:rsidR="00B231CB" w:rsidRDefault="00C71431">
            <w:pPr>
              <w:spacing w:after="120"/>
              <w:jc w:val="center"/>
              <w:rPr>
                <w:b/>
                <w:i/>
                <w:noProof/>
                <w:color w:val="000000" w:themeColor="text1"/>
              </w:rPr>
            </w:pPr>
            <w:r>
              <w:rPr>
                <w:b/>
                <w:i/>
                <w:noProof/>
                <w:color w:val="000000" w:themeColor="text1"/>
              </w:rPr>
              <w:t>TLC20</w:t>
            </w:r>
          </w:p>
        </w:tc>
        <w:tc>
          <w:tcPr>
            <w:tcW w:w="1050" w:type="pct"/>
            <w:noWrap/>
          </w:tcPr>
          <w:p w:rsidR="00B231CB" w:rsidRDefault="00C71431">
            <w:pPr>
              <w:spacing w:after="120"/>
              <w:jc w:val="center"/>
              <w:rPr>
                <w:b/>
                <w:i/>
                <w:noProof/>
                <w:color w:val="000000" w:themeColor="text1"/>
              </w:rPr>
            </w:pPr>
            <w:r>
              <w:rPr>
                <w:b/>
                <w:i/>
                <w:noProof/>
                <w:color w:val="000000" w:themeColor="text1"/>
              </w:rPr>
              <w:t>TLC30</w:t>
            </w:r>
          </w:p>
        </w:tc>
        <w:tc>
          <w:tcPr>
            <w:tcW w:w="1049" w:type="pct"/>
            <w:noWrap/>
          </w:tcPr>
          <w:p w:rsidR="00B231CB" w:rsidRDefault="00C71431">
            <w:pPr>
              <w:spacing w:after="120"/>
              <w:jc w:val="center"/>
              <w:rPr>
                <w:b/>
                <w:i/>
                <w:noProof/>
                <w:color w:val="000000" w:themeColor="text1"/>
              </w:rPr>
            </w:pPr>
            <w:r>
              <w:rPr>
                <w:b/>
                <w:i/>
                <w:noProof/>
                <w:color w:val="000000" w:themeColor="text1"/>
              </w:rPr>
              <w:t>TLC40</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Battery cost "Low"</w:t>
            </w:r>
          </w:p>
        </w:tc>
        <w:tc>
          <w:tcPr>
            <w:tcW w:w="1050" w:type="pct"/>
            <w:noWrap/>
            <w:vAlign w:val="bottom"/>
          </w:tcPr>
          <w:p w:rsidR="00B231CB" w:rsidRDefault="00C71431">
            <w:pPr>
              <w:spacing w:after="120"/>
              <w:jc w:val="center"/>
              <w:rPr>
                <w:noProof/>
                <w:szCs w:val="24"/>
              </w:rPr>
            </w:pPr>
            <w:r>
              <w:rPr>
                <w:noProof/>
                <w:szCs w:val="24"/>
              </w:rPr>
              <w:t>279</w:t>
            </w:r>
          </w:p>
        </w:tc>
        <w:tc>
          <w:tcPr>
            <w:tcW w:w="1050" w:type="pct"/>
            <w:noWrap/>
            <w:vAlign w:val="bottom"/>
          </w:tcPr>
          <w:p w:rsidR="00B231CB" w:rsidRDefault="00C71431">
            <w:pPr>
              <w:spacing w:after="120"/>
              <w:jc w:val="center"/>
              <w:rPr>
                <w:noProof/>
                <w:szCs w:val="24"/>
              </w:rPr>
            </w:pPr>
            <w:r>
              <w:rPr>
                <w:noProof/>
                <w:szCs w:val="24"/>
              </w:rPr>
              <w:t>382</w:t>
            </w:r>
          </w:p>
        </w:tc>
        <w:tc>
          <w:tcPr>
            <w:tcW w:w="1049" w:type="pct"/>
            <w:noWrap/>
            <w:vAlign w:val="bottom"/>
          </w:tcPr>
          <w:p w:rsidR="00B231CB" w:rsidRDefault="00C71431">
            <w:pPr>
              <w:spacing w:after="120"/>
              <w:jc w:val="center"/>
              <w:rPr>
                <w:noProof/>
                <w:szCs w:val="24"/>
              </w:rPr>
            </w:pPr>
            <w:r>
              <w:rPr>
                <w:noProof/>
                <w:szCs w:val="24"/>
              </w:rPr>
              <w:t>646</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Battery cost "Very Low"</w:t>
            </w:r>
          </w:p>
        </w:tc>
        <w:tc>
          <w:tcPr>
            <w:tcW w:w="1050" w:type="pct"/>
            <w:noWrap/>
            <w:vAlign w:val="bottom"/>
          </w:tcPr>
          <w:p w:rsidR="00B231CB" w:rsidRDefault="00C71431">
            <w:pPr>
              <w:spacing w:after="120"/>
              <w:jc w:val="center"/>
              <w:rPr>
                <w:noProof/>
                <w:szCs w:val="24"/>
              </w:rPr>
            </w:pPr>
            <w:r>
              <w:rPr>
                <w:noProof/>
                <w:szCs w:val="24"/>
              </w:rPr>
              <w:t>462</w:t>
            </w:r>
          </w:p>
        </w:tc>
        <w:tc>
          <w:tcPr>
            <w:tcW w:w="1050" w:type="pct"/>
            <w:noWrap/>
            <w:vAlign w:val="bottom"/>
          </w:tcPr>
          <w:p w:rsidR="00B231CB" w:rsidRDefault="00C71431">
            <w:pPr>
              <w:spacing w:after="120"/>
              <w:jc w:val="center"/>
              <w:rPr>
                <w:noProof/>
                <w:szCs w:val="24"/>
              </w:rPr>
            </w:pPr>
            <w:r>
              <w:rPr>
                <w:noProof/>
                <w:szCs w:val="24"/>
              </w:rPr>
              <w:t>608</w:t>
            </w:r>
          </w:p>
        </w:tc>
        <w:tc>
          <w:tcPr>
            <w:tcW w:w="1049" w:type="pct"/>
            <w:noWrap/>
            <w:vAlign w:val="bottom"/>
          </w:tcPr>
          <w:p w:rsidR="00B231CB" w:rsidRDefault="00C71431">
            <w:pPr>
              <w:spacing w:after="120"/>
              <w:jc w:val="center"/>
              <w:rPr>
                <w:noProof/>
                <w:szCs w:val="24"/>
              </w:rPr>
            </w:pPr>
            <w:r>
              <w:rPr>
                <w:noProof/>
                <w:szCs w:val="24"/>
              </w:rPr>
              <w:t>1,002</w:t>
            </w:r>
          </w:p>
        </w:tc>
      </w:tr>
    </w:tbl>
    <w:p w:rsidR="00B231CB" w:rsidRDefault="00B231CB">
      <w:pPr>
        <w:spacing w:after="0"/>
        <w:rPr>
          <w:noProof/>
          <w:color w:val="000000" w:themeColor="text1"/>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LEVD_25</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TCO-15 years (EUR/car)</w:t>
            </w:r>
          </w:p>
        </w:tc>
      </w:tr>
      <w:tr w:rsidR="00B231CB">
        <w:trPr>
          <w:trHeight w:val="255"/>
        </w:trPr>
        <w:tc>
          <w:tcPr>
            <w:tcW w:w="1851" w:type="pct"/>
            <w:noWrap/>
            <w:hideMark/>
          </w:tcPr>
          <w:p w:rsidR="00B231CB" w:rsidRDefault="00C71431">
            <w:pPr>
              <w:spacing w:after="120"/>
              <w:rPr>
                <w:b/>
                <w:noProof/>
                <w:szCs w:val="24"/>
              </w:rPr>
            </w:pPr>
            <w:r>
              <w:rPr>
                <w:b/>
                <w:noProof/>
                <w:szCs w:val="24"/>
              </w:rPr>
              <w:t>2030</w:t>
            </w:r>
          </w:p>
        </w:tc>
        <w:tc>
          <w:tcPr>
            <w:tcW w:w="1050" w:type="pct"/>
            <w:noWrap/>
          </w:tcPr>
          <w:p w:rsidR="00B231CB" w:rsidRDefault="00C71431">
            <w:pPr>
              <w:spacing w:after="120"/>
              <w:jc w:val="center"/>
              <w:rPr>
                <w:b/>
                <w:i/>
                <w:noProof/>
                <w:color w:val="000000" w:themeColor="text1"/>
              </w:rPr>
            </w:pPr>
            <w:r>
              <w:rPr>
                <w:b/>
                <w:i/>
                <w:noProof/>
                <w:color w:val="000000" w:themeColor="text1"/>
              </w:rPr>
              <w:t>TLC20</w:t>
            </w:r>
          </w:p>
        </w:tc>
        <w:tc>
          <w:tcPr>
            <w:tcW w:w="1050" w:type="pct"/>
            <w:noWrap/>
          </w:tcPr>
          <w:p w:rsidR="00B231CB" w:rsidRDefault="00C71431">
            <w:pPr>
              <w:spacing w:after="120"/>
              <w:jc w:val="center"/>
              <w:rPr>
                <w:b/>
                <w:i/>
                <w:noProof/>
                <w:color w:val="000000" w:themeColor="text1"/>
              </w:rPr>
            </w:pPr>
            <w:r>
              <w:rPr>
                <w:b/>
                <w:i/>
                <w:noProof/>
                <w:color w:val="000000" w:themeColor="text1"/>
              </w:rPr>
              <w:t>TLC30</w:t>
            </w:r>
          </w:p>
        </w:tc>
        <w:tc>
          <w:tcPr>
            <w:tcW w:w="1049" w:type="pct"/>
            <w:noWrap/>
          </w:tcPr>
          <w:p w:rsidR="00B231CB" w:rsidRDefault="00C71431">
            <w:pPr>
              <w:spacing w:after="120"/>
              <w:jc w:val="center"/>
              <w:rPr>
                <w:b/>
                <w:i/>
                <w:noProof/>
                <w:color w:val="000000" w:themeColor="text1"/>
              </w:rPr>
            </w:pPr>
            <w:r>
              <w:rPr>
                <w:b/>
                <w:i/>
                <w:noProof/>
                <w:color w:val="000000" w:themeColor="text1"/>
              </w:rPr>
              <w:t>TLC40</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Battery cost "Low"</w:t>
            </w:r>
          </w:p>
        </w:tc>
        <w:tc>
          <w:tcPr>
            <w:tcW w:w="1050" w:type="pct"/>
            <w:noWrap/>
            <w:vAlign w:val="bottom"/>
          </w:tcPr>
          <w:p w:rsidR="00B231CB" w:rsidRDefault="00C71431">
            <w:pPr>
              <w:spacing w:after="120"/>
              <w:jc w:val="center"/>
              <w:rPr>
                <w:noProof/>
                <w:szCs w:val="24"/>
              </w:rPr>
            </w:pPr>
            <w:r>
              <w:rPr>
                <w:noProof/>
                <w:szCs w:val="24"/>
              </w:rPr>
              <w:t>866</w:t>
            </w:r>
          </w:p>
        </w:tc>
        <w:tc>
          <w:tcPr>
            <w:tcW w:w="1050" w:type="pct"/>
            <w:noWrap/>
            <w:vAlign w:val="bottom"/>
          </w:tcPr>
          <w:p w:rsidR="00B231CB" w:rsidRDefault="00C71431">
            <w:pPr>
              <w:spacing w:after="120"/>
              <w:jc w:val="center"/>
              <w:rPr>
                <w:noProof/>
                <w:szCs w:val="24"/>
              </w:rPr>
            </w:pPr>
            <w:r>
              <w:rPr>
                <w:noProof/>
                <w:szCs w:val="24"/>
              </w:rPr>
              <w:t>1,478</w:t>
            </w:r>
          </w:p>
        </w:tc>
        <w:tc>
          <w:tcPr>
            <w:tcW w:w="1049" w:type="pct"/>
            <w:noWrap/>
            <w:vAlign w:val="bottom"/>
          </w:tcPr>
          <w:p w:rsidR="00B231CB" w:rsidRDefault="00C71431">
            <w:pPr>
              <w:spacing w:after="120"/>
              <w:jc w:val="center"/>
              <w:rPr>
                <w:noProof/>
                <w:szCs w:val="24"/>
              </w:rPr>
            </w:pPr>
            <w:r>
              <w:rPr>
                <w:noProof/>
                <w:szCs w:val="24"/>
              </w:rPr>
              <w:t>1,685</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Battery cost "Very Low"</w:t>
            </w:r>
          </w:p>
        </w:tc>
        <w:tc>
          <w:tcPr>
            <w:tcW w:w="1050" w:type="pct"/>
            <w:noWrap/>
            <w:vAlign w:val="bottom"/>
          </w:tcPr>
          <w:p w:rsidR="00B231CB" w:rsidRDefault="00C71431">
            <w:pPr>
              <w:spacing w:after="120"/>
              <w:jc w:val="center"/>
              <w:rPr>
                <w:noProof/>
                <w:szCs w:val="24"/>
              </w:rPr>
            </w:pPr>
            <w:r>
              <w:rPr>
                <w:noProof/>
                <w:szCs w:val="24"/>
              </w:rPr>
              <w:t>1,449</w:t>
            </w:r>
          </w:p>
        </w:tc>
        <w:tc>
          <w:tcPr>
            <w:tcW w:w="1050" w:type="pct"/>
            <w:noWrap/>
            <w:vAlign w:val="bottom"/>
          </w:tcPr>
          <w:p w:rsidR="00B231CB" w:rsidRDefault="00C71431">
            <w:pPr>
              <w:spacing w:after="120"/>
              <w:jc w:val="center"/>
              <w:rPr>
                <w:noProof/>
                <w:szCs w:val="24"/>
              </w:rPr>
            </w:pPr>
            <w:r>
              <w:rPr>
                <w:noProof/>
                <w:szCs w:val="24"/>
              </w:rPr>
              <w:t>2,048</w:t>
            </w:r>
          </w:p>
        </w:tc>
        <w:tc>
          <w:tcPr>
            <w:tcW w:w="1049" w:type="pct"/>
            <w:noWrap/>
            <w:vAlign w:val="bottom"/>
          </w:tcPr>
          <w:p w:rsidR="00B231CB" w:rsidRDefault="00C71431">
            <w:pPr>
              <w:spacing w:after="120"/>
              <w:jc w:val="center"/>
              <w:rPr>
                <w:noProof/>
                <w:szCs w:val="24"/>
              </w:rPr>
            </w:pPr>
            <w:r>
              <w:rPr>
                <w:noProof/>
                <w:szCs w:val="24"/>
              </w:rPr>
              <w:t>2,325</w:t>
            </w:r>
          </w:p>
        </w:tc>
      </w:tr>
    </w:tbl>
    <w:p w:rsidR="00B231CB" w:rsidRDefault="00B231CB">
      <w:pPr>
        <w:spacing w:after="0"/>
        <w:rPr>
          <w:noProof/>
          <w:color w:val="000000" w:themeColor="text1"/>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 xml:space="preserve">TCO-15 years </w:t>
            </w:r>
            <w:r>
              <w:rPr>
                <w:b/>
                <w:i/>
                <w:noProof/>
                <w:color w:val="000000" w:themeColor="text1"/>
              </w:rPr>
              <w:t>(EUR/car)</w:t>
            </w:r>
          </w:p>
        </w:tc>
      </w:tr>
      <w:tr w:rsidR="00B231CB">
        <w:trPr>
          <w:trHeight w:val="255"/>
        </w:trPr>
        <w:tc>
          <w:tcPr>
            <w:tcW w:w="1851" w:type="pct"/>
            <w:noWrap/>
            <w:hideMark/>
          </w:tcPr>
          <w:p w:rsidR="00B231CB" w:rsidRDefault="00C71431">
            <w:pPr>
              <w:spacing w:after="120"/>
              <w:rPr>
                <w:b/>
                <w:noProof/>
                <w:szCs w:val="24"/>
              </w:rPr>
            </w:pPr>
            <w:r>
              <w:rPr>
                <w:b/>
                <w:noProof/>
                <w:szCs w:val="24"/>
              </w:rPr>
              <w:t>2025</w:t>
            </w:r>
          </w:p>
        </w:tc>
        <w:tc>
          <w:tcPr>
            <w:tcW w:w="1050" w:type="pct"/>
            <w:noWrap/>
          </w:tcPr>
          <w:p w:rsidR="00B231CB" w:rsidRDefault="00C71431">
            <w:pPr>
              <w:spacing w:after="120"/>
              <w:jc w:val="center"/>
              <w:rPr>
                <w:b/>
                <w:i/>
                <w:noProof/>
                <w:color w:val="000000" w:themeColor="text1"/>
              </w:rPr>
            </w:pPr>
            <w:r>
              <w:rPr>
                <w:b/>
                <w:i/>
                <w:noProof/>
                <w:color w:val="000000" w:themeColor="text1"/>
              </w:rPr>
              <w:t>TLC20</w:t>
            </w:r>
          </w:p>
        </w:tc>
        <w:tc>
          <w:tcPr>
            <w:tcW w:w="1050" w:type="pct"/>
            <w:noWrap/>
          </w:tcPr>
          <w:p w:rsidR="00B231CB" w:rsidRDefault="00C71431">
            <w:pPr>
              <w:spacing w:after="120"/>
              <w:jc w:val="center"/>
              <w:rPr>
                <w:b/>
                <w:i/>
                <w:noProof/>
                <w:color w:val="000000" w:themeColor="text1"/>
              </w:rPr>
            </w:pPr>
            <w:r>
              <w:rPr>
                <w:b/>
                <w:i/>
                <w:noProof/>
                <w:color w:val="000000" w:themeColor="text1"/>
              </w:rPr>
              <w:t>TLC30</w:t>
            </w:r>
          </w:p>
        </w:tc>
        <w:tc>
          <w:tcPr>
            <w:tcW w:w="1049" w:type="pct"/>
            <w:noWrap/>
          </w:tcPr>
          <w:p w:rsidR="00B231CB" w:rsidRDefault="00C71431">
            <w:pPr>
              <w:spacing w:after="120"/>
              <w:jc w:val="center"/>
              <w:rPr>
                <w:b/>
                <w:i/>
                <w:noProof/>
                <w:color w:val="000000" w:themeColor="text1"/>
              </w:rPr>
            </w:pPr>
            <w:r>
              <w:rPr>
                <w:b/>
                <w:i/>
                <w:noProof/>
                <w:color w:val="000000" w:themeColor="text1"/>
              </w:rPr>
              <w:t>TLC40</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Battery cost "Low"</w:t>
            </w:r>
          </w:p>
        </w:tc>
        <w:tc>
          <w:tcPr>
            <w:tcW w:w="1050" w:type="pct"/>
            <w:noWrap/>
            <w:vAlign w:val="bottom"/>
          </w:tcPr>
          <w:p w:rsidR="00B231CB" w:rsidRDefault="00C71431">
            <w:pPr>
              <w:spacing w:after="120"/>
              <w:jc w:val="center"/>
              <w:rPr>
                <w:noProof/>
                <w:szCs w:val="24"/>
              </w:rPr>
            </w:pPr>
            <w:r>
              <w:rPr>
                <w:noProof/>
                <w:szCs w:val="24"/>
              </w:rPr>
              <w:t>-4</w:t>
            </w:r>
          </w:p>
        </w:tc>
        <w:tc>
          <w:tcPr>
            <w:tcW w:w="1050" w:type="pct"/>
            <w:noWrap/>
            <w:vAlign w:val="bottom"/>
          </w:tcPr>
          <w:p w:rsidR="00B231CB" w:rsidRDefault="00C71431">
            <w:pPr>
              <w:spacing w:after="120"/>
              <w:jc w:val="center"/>
              <w:rPr>
                <w:noProof/>
                <w:szCs w:val="24"/>
              </w:rPr>
            </w:pPr>
            <w:r>
              <w:rPr>
                <w:noProof/>
                <w:szCs w:val="24"/>
              </w:rPr>
              <w:t>283</w:t>
            </w:r>
          </w:p>
        </w:tc>
        <w:tc>
          <w:tcPr>
            <w:tcW w:w="1049" w:type="pct"/>
            <w:noWrap/>
            <w:vAlign w:val="bottom"/>
          </w:tcPr>
          <w:p w:rsidR="00B231CB" w:rsidRDefault="00C71431">
            <w:pPr>
              <w:spacing w:after="120"/>
              <w:jc w:val="center"/>
              <w:rPr>
                <w:noProof/>
                <w:szCs w:val="24"/>
              </w:rPr>
            </w:pPr>
            <w:r>
              <w:rPr>
                <w:noProof/>
                <w:szCs w:val="24"/>
              </w:rPr>
              <w:t>493</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Battery cost "Very Low"</w:t>
            </w:r>
          </w:p>
        </w:tc>
        <w:tc>
          <w:tcPr>
            <w:tcW w:w="1050" w:type="pct"/>
            <w:noWrap/>
            <w:vAlign w:val="bottom"/>
          </w:tcPr>
          <w:p w:rsidR="00B231CB" w:rsidRDefault="00C71431">
            <w:pPr>
              <w:spacing w:after="120"/>
              <w:jc w:val="center"/>
              <w:rPr>
                <w:noProof/>
                <w:szCs w:val="24"/>
              </w:rPr>
            </w:pPr>
            <w:r>
              <w:rPr>
                <w:noProof/>
                <w:szCs w:val="24"/>
              </w:rPr>
              <w:t>352</w:t>
            </w:r>
          </w:p>
        </w:tc>
        <w:tc>
          <w:tcPr>
            <w:tcW w:w="1050" w:type="pct"/>
            <w:noWrap/>
            <w:vAlign w:val="bottom"/>
          </w:tcPr>
          <w:p w:rsidR="00B231CB" w:rsidRDefault="00C71431">
            <w:pPr>
              <w:spacing w:after="120"/>
              <w:jc w:val="center"/>
              <w:rPr>
                <w:noProof/>
                <w:szCs w:val="24"/>
              </w:rPr>
            </w:pPr>
            <w:r>
              <w:rPr>
                <w:noProof/>
                <w:szCs w:val="24"/>
              </w:rPr>
              <w:t>607</w:t>
            </w:r>
          </w:p>
        </w:tc>
        <w:tc>
          <w:tcPr>
            <w:tcW w:w="1049" w:type="pct"/>
            <w:noWrap/>
            <w:vAlign w:val="bottom"/>
          </w:tcPr>
          <w:p w:rsidR="00B231CB" w:rsidRDefault="00C71431">
            <w:pPr>
              <w:spacing w:after="120"/>
              <w:jc w:val="center"/>
              <w:rPr>
                <w:noProof/>
                <w:szCs w:val="24"/>
              </w:rPr>
            </w:pPr>
            <w:r>
              <w:rPr>
                <w:noProof/>
                <w:szCs w:val="24"/>
              </w:rPr>
              <w:t>978</w:t>
            </w:r>
          </w:p>
        </w:tc>
      </w:tr>
    </w:tbl>
    <w:p w:rsidR="00B231CB" w:rsidRDefault="00B231CB">
      <w:pPr>
        <w:spacing w:after="0"/>
        <w:rPr>
          <w:noProof/>
          <w:color w:val="000000" w:themeColor="text1"/>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TCO-15 years (EUR/car)</w:t>
            </w:r>
          </w:p>
        </w:tc>
      </w:tr>
      <w:tr w:rsidR="00B231CB">
        <w:trPr>
          <w:trHeight w:val="255"/>
        </w:trPr>
        <w:tc>
          <w:tcPr>
            <w:tcW w:w="1851" w:type="pct"/>
            <w:noWrap/>
            <w:hideMark/>
          </w:tcPr>
          <w:p w:rsidR="00B231CB" w:rsidRDefault="00C71431">
            <w:pPr>
              <w:spacing w:after="120"/>
              <w:rPr>
                <w:b/>
                <w:noProof/>
                <w:szCs w:val="24"/>
              </w:rPr>
            </w:pPr>
            <w:r>
              <w:rPr>
                <w:b/>
                <w:noProof/>
                <w:szCs w:val="24"/>
              </w:rPr>
              <w:t>2030</w:t>
            </w:r>
          </w:p>
        </w:tc>
        <w:tc>
          <w:tcPr>
            <w:tcW w:w="1050" w:type="pct"/>
            <w:noWrap/>
          </w:tcPr>
          <w:p w:rsidR="00B231CB" w:rsidRDefault="00C71431">
            <w:pPr>
              <w:spacing w:after="120"/>
              <w:jc w:val="center"/>
              <w:rPr>
                <w:b/>
                <w:i/>
                <w:noProof/>
                <w:color w:val="000000" w:themeColor="text1"/>
              </w:rPr>
            </w:pPr>
            <w:r>
              <w:rPr>
                <w:b/>
                <w:i/>
                <w:noProof/>
                <w:color w:val="000000" w:themeColor="text1"/>
              </w:rPr>
              <w:t>TLC20</w:t>
            </w:r>
          </w:p>
        </w:tc>
        <w:tc>
          <w:tcPr>
            <w:tcW w:w="1050" w:type="pct"/>
            <w:noWrap/>
          </w:tcPr>
          <w:p w:rsidR="00B231CB" w:rsidRDefault="00C71431">
            <w:pPr>
              <w:spacing w:after="120"/>
              <w:jc w:val="center"/>
              <w:rPr>
                <w:b/>
                <w:i/>
                <w:noProof/>
                <w:color w:val="000000" w:themeColor="text1"/>
              </w:rPr>
            </w:pPr>
            <w:r>
              <w:rPr>
                <w:b/>
                <w:i/>
                <w:noProof/>
                <w:color w:val="000000" w:themeColor="text1"/>
              </w:rPr>
              <w:t>TLC30</w:t>
            </w:r>
          </w:p>
        </w:tc>
        <w:tc>
          <w:tcPr>
            <w:tcW w:w="1049" w:type="pct"/>
            <w:noWrap/>
          </w:tcPr>
          <w:p w:rsidR="00B231CB" w:rsidRDefault="00C71431">
            <w:pPr>
              <w:spacing w:after="120"/>
              <w:jc w:val="center"/>
              <w:rPr>
                <w:b/>
                <w:i/>
                <w:noProof/>
                <w:color w:val="000000" w:themeColor="text1"/>
              </w:rPr>
            </w:pPr>
            <w:r>
              <w:rPr>
                <w:b/>
                <w:i/>
                <w:noProof/>
                <w:color w:val="000000" w:themeColor="text1"/>
              </w:rPr>
              <w:t>TLC40</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Battery cost "Low"</w:t>
            </w:r>
          </w:p>
        </w:tc>
        <w:tc>
          <w:tcPr>
            <w:tcW w:w="1050" w:type="pct"/>
            <w:noWrap/>
            <w:vAlign w:val="bottom"/>
          </w:tcPr>
          <w:p w:rsidR="00B231CB" w:rsidRDefault="00C71431">
            <w:pPr>
              <w:spacing w:after="120"/>
              <w:jc w:val="center"/>
              <w:rPr>
                <w:noProof/>
                <w:szCs w:val="24"/>
              </w:rPr>
            </w:pPr>
            <w:r>
              <w:rPr>
                <w:noProof/>
                <w:szCs w:val="24"/>
              </w:rPr>
              <w:t>597</w:t>
            </w:r>
          </w:p>
        </w:tc>
        <w:tc>
          <w:tcPr>
            <w:tcW w:w="1050" w:type="pct"/>
            <w:noWrap/>
            <w:vAlign w:val="bottom"/>
          </w:tcPr>
          <w:p w:rsidR="00B231CB" w:rsidRDefault="00C71431">
            <w:pPr>
              <w:spacing w:after="120"/>
              <w:jc w:val="center"/>
              <w:rPr>
                <w:noProof/>
                <w:szCs w:val="24"/>
              </w:rPr>
            </w:pPr>
            <w:r>
              <w:rPr>
                <w:noProof/>
                <w:szCs w:val="24"/>
              </w:rPr>
              <w:t>1,297</w:t>
            </w:r>
          </w:p>
        </w:tc>
        <w:tc>
          <w:tcPr>
            <w:tcW w:w="1049" w:type="pct"/>
            <w:noWrap/>
            <w:vAlign w:val="bottom"/>
          </w:tcPr>
          <w:p w:rsidR="00B231CB" w:rsidRDefault="00C71431">
            <w:pPr>
              <w:spacing w:after="120"/>
              <w:jc w:val="center"/>
              <w:rPr>
                <w:noProof/>
                <w:szCs w:val="24"/>
              </w:rPr>
            </w:pPr>
            <w:r>
              <w:rPr>
                <w:noProof/>
                <w:szCs w:val="24"/>
              </w:rPr>
              <w:t>1,707</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Battery cost "Very Low"</w:t>
            </w:r>
          </w:p>
        </w:tc>
        <w:tc>
          <w:tcPr>
            <w:tcW w:w="1050" w:type="pct"/>
            <w:noWrap/>
            <w:vAlign w:val="bottom"/>
          </w:tcPr>
          <w:p w:rsidR="00B231CB" w:rsidRDefault="00C71431">
            <w:pPr>
              <w:spacing w:after="120"/>
              <w:jc w:val="center"/>
              <w:rPr>
                <w:noProof/>
                <w:szCs w:val="24"/>
              </w:rPr>
            </w:pPr>
            <w:r>
              <w:rPr>
                <w:noProof/>
                <w:szCs w:val="24"/>
              </w:rPr>
              <w:t>1,289</w:t>
            </w:r>
          </w:p>
        </w:tc>
        <w:tc>
          <w:tcPr>
            <w:tcW w:w="1050" w:type="pct"/>
            <w:noWrap/>
            <w:vAlign w:val="bottom"/>
          </w:tcPr>
          <w:p w:rsidR="00B231CB" w:rsidRDefault="00C71431">
            <w:pPr>
              <w:spacing w:after="120"/>
              <w:jc w:val="center"/>
              <w:rPr>
                <w:noProof/>
                <w:szCs w:val="24"/>
              </w:rPr>
            </w:pPr>
            <w:r>
              <w:rPr>
                <w:noProof/>
                <w:szCs w:val="24"/>
              </w:rPr>
              <w:t>1,947</w:t>
            </w:r>
          </w:p>
        </w:tc>
        <w:tc>
          <w:tcPr>
            <w:tcW w:w="1049" w:type="pct"/>
            <w:noWrap/>
            <w:vAlign w:val="bottom"/>
          </w:tcPr>
          <w:p w:rsidR="00B231CB" w:rsidRDefault="00C71431">
            <w:pPr>
              <w:spacing w:after="120"/>
              <w:jc w:val="center"/>
              <w:rPr>
                <w:noProof/>
                <w:szCs w:val="24"/>
              </w:rPr>
            </w:pPr>
            <w:r>
              <w:rPr>
                <w:noProof/>
                <w:szCs w:val="24"/>
              </w:rPr>
              <w:t>2,317</w:t>
            </w:r>
          </w:p>
        </w:tc>
      </w:tr>
    </w:tbl>
    <w:p w:rsidR="00B231CB" w:rsidRDefault="00C71431">
      <w:pPr>
        <w:spacing w:before="120" w:after="120"/>
        <w:rPr>
          <w:noProof/>
        </w:rPr>
      </w:pPr>
      <w:r>
        <w:rPr>
          <w:noProof/>
          <w:color w:val="000000" w:themeColor="text1"/>
        </w:rPr>
        <w:t xml:space="preserve">Net savings are </w:t>
      </w:r>
      <w:r>
        <w:rPr>
          <w:noProof/>
          <w:color w:val="000000" w:themeColor="text1"/>
        </w:rPr>
        <w:t>lower when battery costs are at the "Low" levels. However the impacts under different battery cost assumptions remain generally positive, with higher capital costs with respect to the baseline compensated by higher fuel savings.</w:t>
      </w:r>
    </w:p>
    <w:p w:rsidR="00B231CB" w:rsidRDefault="00C71431">
      <w:pPr>
        <w:pStyle w:val="Heading3"/>
        <w:rPr>
          <w:noProof/>
        </w:rPr>
      </w:pPr>
      <w:bookmarkStart w:id="404" w:name="_Toc496688645"/>
      <w:r>
        <w:rPr>
          <w:noProof/>
        </w:rPr>
        <w:t xml:space="preserve">Vans: </w:t>
      </w:r>
      <w:bookmarkStart w:id="405" w:name="_Toc493623292"/>
      <w:bookmarkStart w:id="406" w:name="_Toc493623293"/>
      <w:bookmarkStart w:id="407" w:name="_Toc493689264"/>
      <w:bookmarkStart w:id="408" w:name="_Toc493689374"/>
      <w:bookmarkStart w:id="409" w:name="_Toc493689486"/>
      <w:bookmarkEnd w:id="405"/>
      <w:bookmarkEnd w:id="406"/>
      <w:bookmarkEnd w:id="407"/>
      <w:bookmarkEnd w:id="408"/>
      <w:bookmarkEnd w:id="409"/>
      <w:r>
        <w:rPr>
          <w:noProof/>
        </w:rPr>
        <w:t>assessment of options</w:t>
      </w:r>
      <w:r>
        <w:rPr>
          <w:noProof/>
        </w:rPr>
        <w:t xml:space="preserve"> with additional incentives for low-emission vehicles</w:t>
      </w:r>
      <w:bookmarkStart w:id="410" w:name="_Toc493623295"/>
      <w:bookmarkStart w:id="411" w:name="_Toc493689266"/>
      <w:bookmarkStart w:id="412" w:name="_Toc493689376"/>
      <w:bookmarkStart w:id="413" w:name="_Toc493689488"/>
      <w:bookmarkStart w:id="414" w:name="_Toc493873348"/>
      <w:bookmarkEnd w:id="402"/>
      <w:bookmarkEnd w:id="410"/>
      <w:bookmarkEnd w:id="411"/>
      <w:bookmarkEnd w:id="412"/>
      <w:bookmarkEnd w:id="413"/>
      <w:r>
        <w:rPr>
          <w:noProof/>
        </w:rPr>
        <w:t>: economic and social impacts</w:t>
      </w:r>
      <w:bookmarkEnd w:id="414"/>
      <w:bookmarkEnd w:id="404"/>
    </w:p>
    <w:p w:rsidR="00B231CB" w:rsidRDefault="00C71431">
      <w:pPr>
        <w:spacing w:after="200" w:line="276" w:lineRule="auto"/>
        <w:jc w:val="left"/>
        <w:rPr>
          <w:rFonts w:eastAsiaTheme="minorHAnsi"/>
          <w:b/>
          <w:bCs/>
          <w:noProof/>
          <w:szCs w:val="18"/>
        </w:rPr>
      </w:pPr>
      <w:r>
        <w:rPr>
          <w:noProof/>
          <w:szCs w:val="24"/>
        </w:rPr>
        <w:fldChar w:fldCharType="begin"/>
      </w:r>
      <w:r>
        <w:rPr>
          <w:noProof/>
          <w:szCs w:val="24"/>
        </w:rPr>
        <w:instrText xml:space="preserve"> REF _Ref494115418 \h </w:instrText>
      </w:r>
      <w:r>
        <w:rPr>
          <w:noProof/>
          <w:szCs w:val="24"/>
        </w:rPr>
      </w:r>
      <w:r>
        <w:rPr>
          <w:noProof/>
          <w:szCs w:val="24"/>
        </w:rPr>
        <w:fldChar w:fldCharType="separate"/>
      </w:r>
      <w:r>
        <w:rPr>
          <w:noProof/>
        </w:rPr>
        <w:br w:type="page"/>
      </w:r>
    </w:p>
    <w:p w:rsidR="00B231CB" w:rsidRDefault="00C71431">
      <w:pPr>
        <w:spacing w:after="120"/>
        <w:rPr>
          <w:noProof/>
          <w:szCs w:val="24"/>
        </w:rPr>
      </w:pPr>
      <w:r>
        <w:rPr>
          <w:noProof/>
        </w:rPr>
        <w:t>Table 32</w:t>
      </w:r>
      <w:r>
        <w:rPr>
          <w:noProof/>
          <w:szCs w:val="24"/>
        </w:rPr>
        <w:fldChar w:fldCharType="end"/>
      </w:r>
      <w:r>
        <w:rPr>
          <w:noProof/>
          <w:szCs w:val="24"/>
        </w:rPr>
        <w:t xml:space="preserve"> provides a detailed overview of the net savings achieved under the differ</w:t>
      </w:r>
      <w:r>
        <w:rPr>
          <w:noProof/>
          <w:szCs w:val="24"/>
        </w:rPr>
        <w:t xml:space="preserve">ent LEV incentives options using the different indicators used in the economic and social analysis. </w:t>
      </w:r>
    </w:p>
    <w:p w:rsidR="00B231CB" w:rsidRDefault="00C71431">
      <w:pPr>
        <w:spacing w:after="200" w:line="276" w:lineRule="auto"/>
        <w:jc w:val="left"/>
        <w:rPr>
          <w:rFonts w:eastAsiaTheme="minorHAnsi"/>
          <w:b/>
          <w:bCs/>
          <w:noProof/>
          <w:szCs w:val="18"/>
        </w:rPr>
      </w:pPr>
      <w:bookmarkStart w:id="415" w:name="_Ref494115418"/>
      <w:r>
        <w:rPr>
          <w:noProof/>
        </w:rPr>
        <w:br w:type="page"/>
      </w:r>
    </w:p>
    <w:p w:rsidR="00B231CB" w:rsidRDefault="00C71431">
      <w:pPr>
        <w:pStyle w:val="Caption"/>
        <w:keepNext/>
        <w:spacing w:before="240" w:after="240"/>
        <w:jc w:val="both"/>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32</w:t>
      </w:r>
      <w:r>
        <w:rPr>
          <w:noProof/>
        </w:rPr>
        <w:fldChar w:fldCharType="end"/>
      </w:r>
      <w:bookmarkEnd w:id="415"/>
      <w:r>
        <w:rPr>
          <w:noProof/>
        </w:rPr>
        <w:t>: Detailed overview of the net savings in EUR/van under different LEV incentive options (LEV definitions, CO</w:t>
      </w:r>
      <w:r>
        <w:rPr>
          <w:noProof/>
          <w:vertAlign w:val="subscript"/>
        </w:rPr>
        <w:t>2</w:t>
      </w:r>
      <w:r>
        <w:rPr>
          <w:noProof/>
        </w:rPr>
        <w:t xml:space="preserve"> targets and</w:t>
      </w:r>
      <w:r>
        <w:rPr>
          <w:noProof/>
        </w:rPr>
        <w:t xml:space="preserve"> LEV mandate/benchmark levels) for 2025 and 2030 vans using several economic (societal perspective, TCO-first user) and social (TCO-second user) impact indicators</w:t>
      </w:r>
    </w:p>
    <w:p w:rsidR="00B231CB" w:rsidRDefault="00C71431">
      <w:pPr>
        <w:spacing w:before="120"/>
        <w:rPr>
          <w:noProof/>
          <w:u w:val="single"/>
        </w:rPr>
      </w:pPr>
      <w:r>
        <w:rPr>
          <w:b/>
          <w:noProof/>
          <w:szCs w:val="24"/>
          <w:u w:val="single"/>
        </w:rPr>
        <w:t>TLV20 – 2025 (LEVD_ZEV)</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(EUR/van)</w:t>
            </w:r>
          </w:p>
        </w:tc>
      </w:tr>
      <w:tr w:rsidR="00B231CB">
        <w:trPr>
          <w:trHeight w:val="255"/>
        </w:trPr>
        <w:tc>
          <w:tcPr>
            <w:tcW w:w="1851" w:type="pct"/>
            <w:noWrap/>
            <w:hideMark/>
          </w:tcPr>
          <w:p w:rsidR="00B231CB" w:rsidRDefault="00C71431">
            <w:pPr>
              <w:spacing w:after="120"/>
              <w:rPr>
                <w:b/>
                <w:noProof/>
                <w:szCs w:val="24"/>
              </w:rPr>
            </w:pPr>
            <w:r>
              <w:rPr>
                <w:b/>
                <w:noProof/>
                <w:szCs w:val="24"/>
              </w:rPr>
              <w:t>TLV20 – 2</w:t>
            </w:r>
            <w:r>
              <w:rPr>
                <w:b/>
                <w:noProof/>
                <w:szCs w:val="24"/>
              </w:rPr>
              <w:t>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232</w:t>
            </w:r>
          </w:p>
        </w:tc>
        <w:tc>
          <w:tcPr>
            <w:tcW w:w="1050" w:type="pct"/>
            <w:noWrap/>
          </w:tcPr>
          <w:p w:rsidR="00B231CB" w:rsidRDefault="00C71431">
            <w:pPr>
              <w:spacing w:after="120"/>
              <w:jc w:val="center"/>
              <w:rPr>
                <w:noProof/>
                <w:szCs w:val="24"/>
              </w:rPr>
            </w:pPr>
            <w:r>
              <w:rPr>
                <w:noProof/>
                <w:szCs w:val="24"/>
              </w:rPr>
              <w:t>39</w:t>
            </w:r>
          </w:p>
        </w:tc>
        <w:tc>
          <w:tcPr>
            <w:tcW w:w="1049" w:type="pct"/>
            <w:noWrap/>
          </w:tcPr>
          <w:p w:rsidR="00B231CB" w:rsidRDefault="00C71431">
            <w:pPr>
              <w:spacing w:after="120"/>
              <w:jc w:val="center"/>
              <w:rPr>
                <w:noProof/>
                <w:szCs w:val="24"/>
              </w:rPr>
            </w:pPr>
            <w:r>
              <w:rPr>
                <w:noProof/>
                <w:szCs w:val="24"/>
              </w:rPr>
              <w:t>173</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w:t>
            </w:r>
          </w:p>
        </w:tc>
        <w:tc>
          <w:tcPr>
            <w:tcW w:w="1050" w:type="pct"/>
            <w:noWrap/>
          </w:tcPr>
          <w:p w:rsidR="00B231CB" w:rsidRDefault="00C71431">
            <w:pPr>
              <w:spacing w:after="120"/>
              <w:jc w:val="center"/>
              <w:rPr>
                <w:noProof/>
                <w:szCs w:val="24"/>
              </w:rPr>
            </w:pPr>
            <w:r>
              <w:rPr>
                <w:noProof/>
                <w:szCs w:val="24"/>
              </w:rPr>
              <w:t>-134</w:t>
            </w:r>
          </w:p>
        </w:tc>
        <w:tc>
          <w:tcPr>
            <w:tcW w:w="1049" w:type="pct"/>
            <w:noWrap/>
          </w:tcPr>
          <w:p w:rsidR="00B231CB" w:rsidRDefault="00C71431">
            <w:pPr>
              <w:spacing w:after="120"/>
              <w:jc w:val="center"/>
              <w:rPr>
                <w:noProof/>
                <w:szCs w:val="24"/>
              </w:rPr>
            </w:pPr>
            <w:r>
              <w:rPr>
                <w:noProof/>
                <w:szCs w:val="24"/>
              </w:rPr>
              <w:t>-237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1,002</w:t>
            </w:r>
          </w:p>
        </w:tc>
        <w:tc>
          <w:tcPr>
            <w:tcW w:w="1050" w:type="pct"/>
            <w:tcBorders>
              <w:bottom w:val="single" w:sz="24" w:space="0" w:color="auto"/>
            </w:tcBorders>
            <w:noWrap/>
          </w:tcPr>
          <w:p w:rsidR="00B231CB" w:rsidRDefault="00C71431">
            <w:pPr>
              <w:spacing w:after="120"/>
              <w:jc w:val="center"/>
              <w:rPr>
                <w:noProof/>
                <w:szCs w:val="24"/>
              </w:rPr>
            </w:pPr>
            <w:r>
              <w:rPr>
                <w:noProof/>
                <w:szCs w:val="24"/>
              </w:rPr>
              <w:t>253</w:t>
            </w:r>
          </w:p>
        </w:tc>
        <w:tc>
          <w:tcPr>
            <w:tcW w:w="1049" w:type="pct"/>
            <w:tcBorders>
              <w:bottom w:val="single" w:sz="24" w:space="0" w:color="auto"/>
            </w:tcBorders>
            <w:noWrap/>
          </w:tcPr>
          <w:p w:rsidR="00B231CB" w:rsidRDefault="00C71431">
            <w:pPr>
              <w:spacing w:after="120"/>
              <w:jc w:val="center"/>
              <w:rPr>
                <w:noProof/>
                <w:szCs w:val="24"/>
              </w:rPr>
            </w:pPr>
            <w:r>
              <w:rPr>
                <w:noProof/>
                <w:szCs w:val="24"/>
              </w:rPr>
              <w:t>-340</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810</w:t>
            </w:r>
          </w:p>
        </w:tc>
        <w:tc>
          <w:tcPr>
            <w:tcW w:w="1050" w:type="pct"/>
            <w:noWrap/>
          </w:tcPr>
          <w:p w:rsidR="00B231CB" w:rsidRDefault="00C71431">
            <w:pPr>
              <w:spacing w:after="120"/>
              <w:jc w:val="center"/>
              <w:rPr>
                <w:i/>
                <w:noProof/>
                <w:szCs w:val="24"/>
              </w:rPr>
            </w:pPr>
            <w:r>
              <w:rPr>
                <w:i/>
                <w:noProof/>
                <w:szCs w:val="24"/>
              </w:rPr>
              <w:t>349</w:t>
            </w:r>
          </w:p>
        </w:tc>
        <w:tc>
          <w:tcPr>
            <w:tcW w:w="1049" w:type="pct"/>
            <w:noWrap/>
          </w:tcPr>
          <w:p w:rsidR="00B231CB" w:rsidRDefault="00C71431">
            <w:pPr>
              <w:spacing w:after="120"/>
              <w:jc w:val="center"/>
              <w:rPr>
                <w:i/>
                <w:noProof/>
                <w:szCs w:val="24"/>
              </w:rPr>
            </w:pPr>
            <w:r>
              <w:rPr>
                <w:i/>
                <w:noProof/>
                <w:szCs w:val="24"/>
              </w:rPr>
              <w:t>-276</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(EUR/van)</w:t>
            </w:r>
          </w:p>
        </w:tc>
      </w:tr>
      <w:tr w:rsidR="00B231CB">
        <w:trPr>
          <w:trHeight w:val="255"/>
        </w:trPr>
        <w:tc>
          <w:tcPr>
            <w:tcW w:w="1851" w:type="pct"/>
            <w:noWrap/>
            <w:hideMark/>
          </w:tcPr>
          <w:p w:rsidR="00B231CB" w:rsidRDefault="00C71431">
            <w:pPr>
              <w:spacing w:after="120"/>
              <w:rPr>
                <w:b/>
                <w:noProof/>
                <w:szCs w:val="24"/>
              </w:rPr>
            </w:pPr>
            <w:r>
              <w:rPr>
                <w:b/>
                <w:noProof/>
                <w:szCs w:val="24"/>
              </w:rPr>
              <w:t>TLV20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144</w:t>
            </w:r>
          </w:p>
        </w:tc>
        <w:tc>
          <w:tcPr>
            <w:tcW w:w="1050" w:type="pct"/>
            <w:noWrap/>
          </w:tcPr>
          <w:p w:rsidR="00B231CB" w:rsidRDefault="00C71431">
            <w:pPr>
              <w:spacing w:after="120"/>
              <w:jc w:val="center"/>
              <w:rPr>
                <w:noProof/>
                <w:szCs w:val="24"/>
              </w:rPr>
            </w:pPr>
            <w:r>
              <w:rPr>
                <w:noProof/>
                <w:szCs w:val="24"/>
              </w:rPr>
              <w:t>24</w:t>
            </w:r>
          </w:p>
        </w:tc>
        <w:tc>
          <w:tcPr>
            <w:tcW w:w="1049" w:type="pct"/>
            <w:noWrap/>
          </w:tcPr>
          <w:p w:rsidR="00B231CB" w:rsidRDefault="00C71431">
            <w:pPr>
              <w:spacing w:after="120"/>
              <w:jc w:val="center"/>
              <w:rPr>
                <w:noProof/>
                <w:szCs w:val="24"/>
              </w:rPr>
            </w:pPr>
            <w:r>
              <w:rPr>
                <w:noProof/>
                <w:szCs w:val="24"/>
              </w:rPr>
              <w:t>107</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-17</w:t>
            </w:r>
          </w:p>
        </w:tc>
        <w:tc>
          <w:tcPr>
            <w:tcW w:w="1050" w:type="pct"/>
            <w:noWrap/>
          </w:tcPr>
          <w:p w:rsidR="00B231CB" w:rsidRDefault="00C71431">
            <w:pPr>
              <w:spacing w:after="120"/>
              <w:jc w:val="center"/>
              <w:rPr>
                <w:noProof/>
                <w:szCs w:val="24"/>
              </w:rPr>
            </w:pPr>
            <w:r>
              <w:rPr>
                <w:noProof/>
                <w:szCs w:val="24"/>
              </w:rPr>
              <w:t>-58</w:t>
            </w:r>
          </w:p>
        </w:tc>
        <w:tc>
          <w:tcPr>
            <w:tcW w:w="1049" w:type="pct"/>
            <w:noWrap/>
          </w:tcPr>
          <w:p w:rsidR="00B231CB" w:rsidRDefault="00C71431">
            <w:pPr>
              <w:spacing w:after="120"/>
              <w:jc w:val="center"/>
              <w:rPr>
                <w:noProof/>
                <w:szCs w:val="24"/>
              </w:rPr>
            </w:pPr>
            <w:r>
              <w:rPr>
                <w:noProof/>
                <w:szCs w:val="24"/>
              </w:rPr>
              <w:t>-102</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1,016</w:t>
            </w:r>
          </w:p>
        </w:tc>
        <w:tc>
          <w:tcPr>
            <w:tcW w:w="1050" w:type="pct"/>
            <w:tcBorders>
              <w:bottom w:val="single" w:sz="24" w:space="0" w:color="auto"/>
            </w:tcBorders>
            <w:noWrap/>
          </w:tcPr>
          <w:p w:rsidR="00B231CB" w:rsidRDefault="00C71431">
            <w:pPr>
              <w:spacing w:after="120"/>
              <w:jc w:val="center"/>
              <w:rPr>
                <w:noProof/>
                <w:szCs w:val="24"/>
              </w:rPr>
            </w:pPr>
            <w:r>
              <w:rPr>
                <w:noProof/>
                <w:szCs w:val="24"/>
              </w:rPr>
              <w:t>603</w:t>
            </w:r>
          </w:p>
        </w:tc>
        <w:tc>
          <w:tcPr>
            <w:tcW w:w="1049" w:type="pct"/>
            <w:tcBorders>
              <w:bottom w:val="single" w:sz="24" w:space="0" w:color="auto"/>
            </w:tcBorders>
            <w:noWrap/>
          </w:tcPr>
          <w:p w:rsidR="00B231CB" w:rsidRDefault="00C71431">
            <w:pPr>
              <w:spacing w:after="120"/>
              <w:jc w:val="center"/>
              <w:rPr>
                <w:noProof/>
                <w:szCs w:val="24"/>
              </w:rPr>
            </w:pPr>
            <w:r>
              <w:rPr>
                <w:noProof/>
                <w:szCs w:val="24"/>
              </w:rPr>
              <w:t>264</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889</w:t>
            </w:r>
          </w:p>
        </w:tc>
        <w:tc>
          <w:tcPr>
            <w:tcW w:w="1050" w:type="pct"/>
            <w:noWrap/>
          </w:tcPr>
          <w:p w:rsidR="00B231CB" w:rsidRDefault="00C71431">
            <w:pPr>
              <w:spacing w:after="120"/>
              <w:jc w:val="center"/>
              <w:rPr>
                <w:i/>
                <w:noProof/>
                <w:szCs w:val="24"/>
              </w:rPr>
            </w:pPr>
            <w:r>
              <w:rPr>
                <w:i/>
                <w:noProof/>
                <w:szCs w:val="24"/>
              </w:rPr>
              <w:t>637</w:t>
            </w:r>
          </w:p>
        </w:tc>
        <w:tc>
          <w:tcPr>
            <w:tcW w:w="1049" w:type="pct"/>
            <w:noWrap/>
          </w:tcPr>
          <w:p w:rsidR="00B231CB" w:rsidRDefault="00C71431">
            <w:pPr>
              <w:spacing w:after="120"/>
              <w:jc w:val="center"/>
              <w:rPr>
                <w:i/>
                <w:noProof/>
                <w:szCs w:val="24"/>
              </w:rPr>
            </w:pPr>
            <w:r>
              <w:rPr>
                <w:i/>
                <w:noProof/>
                <w:szCs w:val="24"/>
              </w:rPr>
              <w:t>259</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(EUR/van)</w:t>
            </w:r>
          </w:p>
        </w:tc>
      </w:tr>
      <w:tr w:rsidR="00B231CB">
        <w:trPr>
          <w:trHeight w:val="255"/>
        </w:trPr>
        <w:tc>
          <w:tcPr>
            <w:tcW w:w="1851" w:type="pct"/>
            <w:noWrap/>
            <w:hideMark/>
          </w:tcPr>
          <w:p w:rsidR="00B231CB" w:rsidRDefault="00C71431">
            <w:pPr>
              <w:spacing w:after="120"/>
              <w:rPr>
                <w:b/>
                <w:noProof/>
                <w:szCs w:val="24"/>
              </w:rPr>
            </w:pPr>
            <w:r>
              <w:rPr>
                <w:b/>
                <w:noProof/>
                <w:szCs w:val="24"/>
              </w:rPr>
              <w:t>TLV20 - 2025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69</w:t>
            </w:r>
          </w:p>
        </w:tc>
        <w:tc>
          <w:tcPr>
            <w:tcW w:w="1050" w:type="pct"/>
            <w:noWrap/>
          </w:tcPr>
          <w:p w:rsidR="00B231CB" w:rsidRDefault="00C71431">
            <w:pPr>
              <w:spacing w:after="120"/>
              <w:jc w:val="center"/>
              <w:rPr>
                <w:noProof/>
                <w:szCs w:val="24"/>
              </w:rPr>
            </w:pPr>
            <w:r>
              <w:rPr>
                <w:noProof/>
                <w:szCs w:val="24"/>
              </w:rPr>
              <w:t>12</w:t>
            </w:r>
          </w:p>
        </w:tc>
        <w:tc>
          <w:tcPr>
            <w:tcW w:w="1049" w:type="pct"/>
            <w:noWrap/>
          </w:tcPr>
          <w:p w:rsidR="00B231CB" w:rsidRDefault="00C71431">
            <w:pPr>
              <w:spacing w:after="120"/>
              <w:jc w:val="center"/>
              <w:rPr>
                <w:noProof/>
                <w:szCs w:val="24"/>
              </w:rPr>
            </w:pPr>
            <w:r>
              <w:rPr>
                <w:noProof/>
                <w:szCs w:val="24"/>
              </w:rPr>
              <w:t>52</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-17</w:t>
            </w:r>
          </w:p>
        </w:tc>
        <w:tc>
          <w:tcPr>
            <w:tcW w:w="1050" w:type="pct"/>
            <w:noWrap/>
          </w:tcPr>
          <w:p w:rsidR="00B231CB" w:rsidRDefault="00C71431">
            <w:pPr>
              <w:spacing w:after="120"/>
              <w:jc w:val="center"/>
              <w:rPr>
                <w:noProof/>
                <w:szCs w:val="24"/>
              </w:rPr>
            </w:pPr>
            <w:r>
              <w:rPr>
                <w:noProof/>
                <w:szCs w:val="24"/>
              </w:rPr>
              <w:t>-58</w:t>
            </w:r>
          </w:p>
        </w:tc>
        <w:tc>
          <w:tcPr>
            <w:tcW w:w="1049" w:type="pct"/>
            <w:noWrap/>
          </w:tcPr>
          <w:p w:rsidR="00B231CB" w:rsidRDefault="00C71431">
            <w:pPr>
              <w:spacing w:after="120"/>
              <w:jc w:val="center"/>
              <w:rPr>
                <w:noProof/>
                <w:szCs w:val="24"/>
              </w:rPr>
            </w:pPr>
            <w:r>
              <w:rPr>
                <w:noProof/>
                <w:szCs w:val="24"/>
              </w:rPr>
              <w:t>-102</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 xml:space="preserve">Fuel </w:t>
            </w:r>
            <w:r>
              <w:rPr>
                <w:noProof/>
                <w:color w:val="000000" w:themeColor="text1"/>
                <w:szCs w:val="24"/>
              </w:rPr>
              <w:t>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707</w:t>
            </w:r>
          </w:p>
        </w:tc>
        <w:tc>
          <w:tcPr>
            <w:tcW w:w="1050" w:type="pct"/>
            <w:tcBorders>
              <w:bottom w:val="single" w:sz="24" w:space="0" w:color="auto"/>
            </w:tcBorders>
            <w:noWrap/>
          </w:tcPr>
          <w:p w:rsidR="00B231CB" w:rsidRDefault="00C71431">
            <w:pPr>
              <w:spacing w:after="120"/>
              <w:jc w:val="center"/>
              <w:rPr>
                <w:noProof/>
                <w:szCs w:val="24"/>
              </w:rPr>
            </w:pPr>
            <w:r>
              <w:rPr>
                <w:noProof/>
                <w:szCs w:val="24"/>
              </w:rPr>
              <w:t>436</w:t>
            </w:r>
          </w:p>
        </w:tc>
        <w:tc>
          <w:tcPr>
            <w:tcW w:w="1049" w:type="pct"/>
            <w:tcBorders>
              <w:bottom w:val="single" w:sz="24" w:space="0" w:color="auto"/>
            </w:tcBorders>
            <w:noWrap/>
          </w:tcPr>
          <w:p w:rsidR="00B231CB" w:rsidRDefault="00C71431">
            <w:pPr>
              <w:spacing w:after="120"/>
              <w:jc w:val="center"/>
              <w:rPr>
                <w:noProof/>
                <w:szCs w:val="24"/>
              </w:rPr>
            </w:pPr>
            <w:r>
              <w:rPr>
                <w:noProof/>
                <w:szCs w:val="24"/>
              </w:rPr>
              <w:t>212</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655</w:t>
            </w:r>
          </w:p>
        </w:tc>
        <w:tc>
          <w:tcPr>
            <w:tcW w:w="1050" w:type="pct"/>
            <w:noWrap/>
          </w:tcPr>
          <w:p w:rsidR="00B231CB" w:rsidRDefault="00C71431">
            <w:pPr>
              <w:spacing w:after="120"/>
              <w:jc w:val="center"/>
              <w:rPr>
                <w:i/>
                <w:noProof/>
                <w:szCs w:val="24"/>
              </w:rPr>
            </w:pPr>
            <w:r>
              <w:rPr>
                <w:i/>
                <w:noProof/>
                <w:szCs w:val="24"/>
              </w:rPr>
              <w:t>482</w:t>
            </w:r>
          </w:p>
        </w:tc>
        <w:tc>
          <w:tcPr>
            <w:tcW w:w="1049" w:type="pct"/>
            <w:noWrap/>
          </w:tcPr>
          <w:p w:rsidR="00B231CB" w:rsidRDefault="00C71431">
            <w:pPr>
              <w:spacing w:after="120"/>
              <w:jc w:val="center"/>
              <w:rPr>
                <w:i/>
                <w:noProof/>
                <w:szCs w:val="24"/>
              </w:rPr>
            </w:pPr>
            <w:r>
              <w:rPr>
                <w:i/>
                <w:noProof/>
                <w:szCs w:val="24"/>
              </w:rPr>
              <w:t>262</w:t>
            </w:r>
          </w:p>
        </w:tc>
      </w:tr>
    </w:tbl>
    <w:p w:rsidR="00B231CB" w:rsidRDefault="00C71431">
      <w:pPr>
        <w:spacing w:before="120"/>
        <w:rPr>
          <w:b/>
          <w:noProof/>
          <w:szCs w:val="24"/>
          <w:u w:val="single"/>
        </w:rPr>
      </w:pPr>
      <w:r>
        <w:rPr>
          <w:b/>
          <w:noProof/>
          <w:szCs w:val="24"/>
          <w:u w:val="single"/>
        </w:rPr>
        <w:t>TLV20 – 2030 (LEVD_ZEV)</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(EUR/van)</w:t>
            </w:r>
          </w:p>
        </w:tc>
      </w:tr>
      <w:tr w:rsidR="00B231CB">
        <w:trPr>
          <w:trHeight w:val="255"/>
        </w:trPr>
        <w:tc>
          <w:tcPr>
            <w:tcW w:w="1851" w:type="pct"/>
            <w:noWrap/>
            <w:hideMark/>
          </w:tcPr>
          <w:p w:rsidR="00B231CB" w:rsidRDefault="00C71431">
            <w:pPr>
              <w:spacing w:after="120"/>
              <w:rPr>
                <w:b/>
                <w:noProof/>
                <w:szCs w:val="24"/>
              </w:rPr>
            </w:pPr>
            <w:r>
              <w:rPr>
                <w:b/>
                <w:noProof/>
                <w:szCs w:val="24"/>
              </w:rPr>
              <w:t>TLV20 - 2030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426</w:t>
            </w:r>
          </w:p>
        </w:tc>
        <w:tc>
          <w:tcPr>
            <w:tcW w:w="1050" w:type="pct"/>
            <w:noWrap/>
          </w:tcPr>
          <w:p w:rsidR="00B231CB" w:rsidRDefault="00C71431">
            <w:pPr>
              <w:spacing w:after="120"/>
              <w:jc w:val="center"/>
              <w:rPr>
                <w:noProof/>
                <w:szCs w:val="24"/>
              </w:rPr>
            </w:pPr>
            <w:r>
              <w:rPr>
                <w:noProof/>
                <w:szCs w:val="24"/>
              </w:rPr>
              <w:t>90</w:t>
            </w:r>
          </w:p>
        </w:tc>
        <w:tc>
          <w:tcPr>
            <w:tcW w:w="1049" w:type="pct"/>
            <w:noWrap/>
          </w:tcPr>
          <w:p w:rsidR="00B231CB" w:rsidRDefault="00C71431">
            <w:pPr>
              <w:spacing w:after="120"/>
              <w:jc w:val="center"/>
              <w:rPr>
                <w:noProof/>
                <w:szCs w:val="24"/>
              </w:rPr>
            </w:pPr>
            <w:r>
              <w:rPr>
                <w:noProof/>
                <w:szCs w:val="24"/>
              </w:rPr>
              <w:t>140</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-51</w:t>
            </w:r>
          </w:p>
        </w:tc>
        <w:tc>
          <w:tcPr>
            <w:tcW w:w="1050" w:type="pct"/>
            <w:noWrap/>
          </w:tcPr>
          <w:p w:rsidR="00B231CB" w:rsidRDefault="00C71431">
            <w:pPr>
              <w:spacing w:after="120"/>
              <w:jc w:val="center"/>
              <w:rPr>
                <w:noProof/>
                <w:szCs w:val="24"/>
              </w:rPr>
            </w:pPr>
            <w:r>
              <w:rPr>
                <w:noProof/>
                <w:szCs w:val="24"/>
              </w:rPr>
              <w:t>-236</w:t>
            </w:r>
          </w:p>
        </w:tc>
        <w:tc>
          <w:tcPr>
            <w:tcW w:w="1049" w:type="pct"/>
            <w:noWrap/>
          </w:tcPr>
          <w:p w:rsidR="00B231CB" w:rsidRDefault="00C71431">
            <w:pPr>
              <w:spacing w:after="120"/>
              <w:jc w:val="center"/>
              <w:rPr>
                <w:noProof/>
                <w:szCs w:val="24"/>
              </w:rPr>
            </w:pPr>
            <w:r>
              <w:rPr>
                <w:noProof/>
                <w:szCs w:val="24"/>
              </w:rPr>
              <w:t>-317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 xml:space="preserve">Fuel cost </w:t>
            </w:r>
            <w:r>
              <w:rPr>
                <w:noProof/>
                <w:color w:val="000000" w:themeColor="text1"/>
                <w:szCs w:val="24"/>
              </w:rPr>
              <w:t>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2,063</w:t>
            </w:r>
          </w:p>
        </w:tc>
        <w:tc>
          <w:tcPr>
            <w:tcW w:w="1050" w:type="pct"/>
            <w:tcBorders>
              <w:bottom w:val="single" w:sz="24" w:space="0" w:color="auto"/>
            </w:tcBorders>
            <w:noWrap/>
          </w:tcPr>
          <w:p w:rsidR="00B231CB" w:rsidRDefault="00C71431">
            <w:pPr>
              <w:spacing w:after="120"/>
              <w:jc w:val="center"/>
              <w:rPr>
                <w:noProof/>
                <w:szCs w:val="24"/>
              </w:rPr>
            </w:pPr>
            <w:r>
              <w:rPr>
                <w:noProof/>
                <w:szCs w:val="24"/>
              </w:rPr>
              <w:t>905</w:t>
            </w:r>
          </w:p>
        </w:tc>
        <w:tc>
          <w:tcPr>
            <w:tcW w:w="1049" w:type="pct"/>
            <w:tcBorders>
              <w:bottom w:val="single" w:sz="24" w:space="0" w:color="auto"/>
            </w:tcBorders>
            <w:noWrap/>
          </w:tcPr>
          <w:p w:rsidR="00B231CB" w:rsidRDefault="00C71431">
            <w:pPr>
              <w:spacing w:after="120"/>
              <w:jc w:val="center"/>
              <w:rPr>
                <w:noProof/>
                <w:szCs w:val="24"/>
              </w:rPr>
            </w:pPr>
            <w:r>
              <w:rPr>
                <w:noProof/>
                <w:szCs w:val="24"/>
              </w:rPr>
              <w:t>505</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1,688</w:t>
            </w:r>
          </w:p>
        </w:tc>
        <w:tc>
          <w:tcPr>
            <w:tcW w:w="1050" w:type="pct"/>
            <w:noWrap/>
          </w:tcPr>
          <w:p w:rsidR="00B231CB" w:rsidRDefault="00C71431">
            <w:pPr>
              <w:spacing w:after="120"/>
              <w:jc w:val="center"/>
              <w:rPr>
                <w:i/>
                <w:noProof/>
                <w:szCs w:val="24"/>
              </w:rPr>
            </w:pPr>
            <w:r>
              <w:rPr>
                <w:i/>
                <w:noProof/>
                <w:szCs w:val="24"/>
              </w:rPr>
              <w:t>1,051</w:t>
            </w:r>
          </w:p>
        </w:tc>
        <w:tc>
          <w:tcPr>
            <w:tcW w:w="1049" w:type="pct"/>
            <w:noWrap/>
          </w:tcPr>
          <w:p w:rsidR="00B231CB" w:rsidRDefault="00C71431">
            <w:pPr>
              <w:spacing w:after="120"/>
              <w:jc w:val="center"/>
              <w:rPr>
                <w:i/>
                <w:noProof/>
                <w:szCs w:val="24"/>
              </w:rPr>
            </w:pPr>
            <w:r>
              <w:rPr>
                <w:i/>
                <w:noProof/>
                <w:szCs w:val="24"/>
              </w:rPr>
              <w:t>682</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(EUR/van)</w:t>
            </w:r>
          </w:p>
        </w:tc>
      </w:tr>
      <w:tr w:rsidR="00B231CB">
        <w:trPr>
          <w:trHeight w:val="255"/>
        </w:trPr>
        <w:tc>
          <w:tcPr>
            <w:tcW w:w="1851" w:type="pct"/>
            <w:noWrap/>
            <w:hideMark/>
          </w:tcPr>
          <w:p w:rsidR="00B231CB" w:rsidRDefault="00C71431">
            <w:pPr>
              <w:spacing w:after="120"/>
              <w:rPr>
                <w:b/>
                <w:noProof/>
                <w:szCs w:val="24"/>
              </w:rPr>
            </w:pPr>
            <w:r>
              <w:rPr>
                <w:b/>
                <w:noProof/>
                <w:szCs w:val="24"/>
              </w:rPr>
              <w:t>TLV20 - 2030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265</w:t>
            </w:r>
          </w:p>
        </w:tc>
        <w:tc>
          <w:tcPr>
            <w:tcW w:w="1050" w:type="pct"/>
            <w:noWrap/>
          </w:tcPr>
          <w:p w:rsidR="00B231CB" w:rsidRDefault="00C71431">
            <w:pPr>
              <w:spacing w:after="120"/>
              <w:jc w:val="center"/>
              <w:rPr>
                <w:noProof/>
                <w:szCs w:val="24"/>
              </w:rPr>
            </w:pPr>
            <w:r>
              <w:rPr>
                <w:noProof/>
                <w:szCs w:val="24"/>
              </w:rPr>
              <w:t>56</w:t>
            </w:r>
          </w:p>
        </w:tc>
        <w:tc>
          <w:tcPr>
            <w:tcW w:w="1049" w:type="pct"/>
            <w:noWrap/>
          </w:tcPr>
          <w:p w:rsidR="00B231CB" w:rsidRDefault="00C71431">
            <w:pPr>
              <w:spacing w:after="120"/>
              <w:jc w:val="center"/>
              <w:rPr>
                <w:noProof/>
                <w:szCs w:val="24"/>
              </w:rPr>
            </w:pPr>
            <w:r>
              <w:rPr>
                <w:noProof/>
                <w:szCs w:val="24"/>
              </w:rPr>
              <w:t>87</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-22</w:t>
            </w:r>
          </w:p>
        </w:tc>
        <w:tc>
          <w:tcPr>
            <w:tcW w:w="1050" w:type="pct"/>
            <w:noWrap/>
          </w:tcPr>
          <w:p w:rsidR="00B231CB" w:rsidRDefault="00C71431">
            <w:pPr>
              <w:spacing w:after="120"/>
              <w:jc w:val="center"/>
              <w:rPr>
                <w:noProof/>
                <w:szCs w:val="24"/>
              </w:rPr>
            </w:pPr>
            <w:r>
              <w:rPr>
                <w:noProof/>
                <w:szCs w:val="24"/>
              </w:rPr>
              <w:t>-101</w:t>
            </w:r>
          </w:p>
        </w:tc>
        <w:tc>
          <w:tcPr>
            <w:tcW w:w="1049" w:type="pct"/>
            <w:noWrap/>
          </w:tcPr>
          <w:p w:rsidR="00B231CB" w:rsidRDefault="00C71431">
            <w:pPr>
              <w:spacing w:after="120"/>
              <w:jc w:val="center"/>
              <w:rPr>
                <w:noProof/>
                <w:szCs w:val="24"/>
              </w:rPr>
            </w:pPr>
            <w:r>
              <w:rPr>
                <w:noProof/>
                <w:szCs w:val="24"/>
              </w:rPr>
              <w:t>-136</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2,026</w:t>
            </w:r>
          </w:p>
        </w:tc>
        <w:tc>
          <w:tcPr>
            <w:tcW w:w="1050" w:type="pct"/>
            <w:tcBorders>
              <w:bottom w:val="single" w:sz="24" w:space="0" w:color="auto"/>
            </w:tcBorders>
            <w:noWrap/>
          </w:tcPr>
          <w:p w:rsidR="00B231CB" w:rsidRDefault="00C71431">
            <w:pPr>
              <w:spacing w:after="120"/>
              <w:jc w:val="center"/>
              <w:rPr>
                <w:noProof/>
                <w:szCs w:val="24"/>
              </w:rPr>
            </w:pPr>
            <w:r>
              <w:rPr>
                <w:noProof/>
                <w:szCs w:val="24"/>
              </w:rPr>
              <w:t>1,301</w:t>
            </w:r>
          </w:p>
        </w:tc>
        <w:tc>
          <w:tcPr>
            <w:tcW w:w="1049" w:type="pct"/>
            <w:tcBorders>
              <w:bottom w:val="single" w:sz="24" w:space="0" w:color="auto"/>
            </w:tcBorders>
            <w:noWrap/>
          </w:tcPr>
          <w:p w:rsidR="00B231CB" w:rsidRDefault="00C71431">
            <w:pPr>
              <w:spacing w:after="120"/>
              <w:jc w:val="center"/>
              <w:rPr>
                <w:noProof/>
                <w:szCs w:val="24"/>
              </w:rPr>
            </w:pPr>
            <w:r>
              <w:rPr>
                <w:noProof/>
                <w:szCs w:val="24"/>
              </w:rPr>
              <w:t>1,062</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 xml:space="preserve">Net </w:t>
            </w:r>
            <w:r>
              <w:rPr>
                <w:i/>
                <w:noProof/>
                <w:color w:val="000000" w:themeColor="text1"/>
                <w:szCs w:val="24"/>
              </w:rPr>
              <w:t>savings [3]-[1]-[2]</w:t>
            </w:r>
          </w:p>
        </w:tc>
        <w:tc>
          <w:tcPr>
            <w:tcW w:w="1050" w:type="pct"/>
            <w:noWrap/>
          </w:tcPr>
          <w:p w:rsidR="00B231CB" w:rsidRDefault="00C71431">
            <w:pPr>
              <w:spacing w:after="120"/>
              <w:jc w:val="center"/>
              <w:rPr>
                <w:i/>
                <w:noProof/>
                <w:szCs w:val="24"/>
              </w:rPr>
            </w:pPr>
            <w:r>
              <w:rPr>
                <w:i/>
                <w:noProof/>
                <w:szCs w:val="24"/>
              </w:rPr>
              <w:t>1,783</w:t>
            </w:r>
          </w:p>
        </w:tc>
        <w:tc>
          <w:tcPr>
            <w:tcW w:w="1050" w:type="pct"/>
            <w:noWrap/>
          </w:tcPr>
          <w:p w:rsidR="00B231CB" w:rsidRDefault="00C71431">
            <w:pPr>
              <w:spacing w:after="120"/>
              <w:jc w:val="center"/>
              <w:rPr>
                <w:i/>
                <w:noProof/>
                <w:szCs w:val="24"/>
              </w:rPr>
            </w:pPr>
            <w:r>
              <w:rPr>
                <w:i/>
                <w:noProof/>
                <w:szCs w:val="24"/>
              </w:rPr>
              <w:t>1,346</w:t>
            </w:r>
          </w:p>
        </w:tc>
        <w:tc>
          <w:tcPr>
            <w:tcW w:w="1049" w:type="pct"/>
            <w:noWrap/>
          </w:tcPr>
          <w:p w:rsidR="00B231CB" w:rsidRDefault="00C71431">
            <w:pPr>
              <w:spacing w:after="120"/>
              <w:jc w:val="center"/>
              <w:rPr>
                <w:i/>
                <w:noProof/>
                <w:szCs w:val="24"/>
              </w:rPr>
            </w:pPr>
            <w:r>
              <w:rPr>
                <w:i/>
                <w:noProof/>
                <w:szCs w:val="24"/>
              </w:rPr>
              <w:t>1,111</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(EUR/van)</w:t>
            </w:r>
          </w:p>
        </w:tc>
      </w:tr>
      <w:tr w:rsidR="00B231CB">
        <w:trPr>
          <w:trHeight w:val="255"/>
        </w:trPr>
        <w:tc>
          <w:tcPr>
            <w:tcW w:w="1851" w:type="pct"/>
            <w:noWrap/>
            <w:hideMark/>
          </w:tcPr>
          <w:p w:rsidR="00B231CB" w:rsidRDefault="00C71431">
            <w:pPr>
              <w:spacing w:after="120"/>
              <w:rPr>
                <w:b/>
                <w:noProof/>
                <w:szCs w:val="24"/>
              </w:rPr>
            </w:pPr>
            <w:r>
              <w:rPr>
                <w:b/>
                <w:noProof/>
                <w:szCs w:val="24"/>
              </w:rPr>
              <w:t>TLV20 - 2030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128</w:t>
            </w:r>
          </w:p>
        </w:tc>
        <w:tc>
          <w:tcPr>
            <w:tcW w:w="1050" w:type="pct"/>
            <w:noWrap/>
          </w:tcPr>
          <w:p w:rsidR="00B231CB" w:rsidRDefault="00C71431">
            <w:pPr>
              <w:spacing w:after="120"/>
              <w:jc w:val="center"/>
              <w:rPr>
                <w:noProof/>
                <w:szCs w:val="24"/>
              </w:rPr>
            </w:pPr>
            <w:r>
              <w:rPr>
                <w:noProof/>
                <w:szCs w:val="24"/>
              </w:rPr>
              <w:t>27</w:t>
            </w:r>
          </w:p>
        </w:tc>
        <w:tc>
          <w:tcPr>
            <w:tcW w:w="1049" w:type="pct"/>
            <w:noWrap/>
          </w:tcPr>
          <w:p w:rsidR="00B231CB" w:rsidRDefault="00C71431">
            <w:pPr>
              <w:spacing w:after="120"/>
              <w:jc w:val="center"/>
              <w:rPr>
                <w:noProof/>
                <w:szCs w:val="24"/>
              </w:rPr>
            </w:pPr>
            <w:r>
              <w:rPr>
                <w:noProof/>
                <w:szCs w:val="24"/>
              </w:rPr>
              <w:t>42</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-22</w:t>
            </w:r>
          </w:p>
        </w:tc>
        <w:tc>
          <w:tcPr>
            <w:tcW w:w="1050" w:type="pct"/>
            <w:noWrap/>
          </w:tcPr>
          <w:p w:rsidR="00B231CB" w:rsidRDefault="00C71431">
            <w:pPr>
              <w:spacing w:after="120"/>
              <w:jc w:val="center"/>
              <w:rPr>
                <w:noProof/>
                <w:szCs w:val="24"/>
              </w:rPr>
            </w:pPr>
            <w:r>
              <w:rPr>
                <w:noProof/>
                <w:szCs w:val="24"/>
              </w:rPr>
              <w:t>-101</w:t>
            </w:r>
          </w:p>
        </w:tc>
        <w:tc>
          <w:tcPr>
            <w:tcW w:w="1049" w:type="pct"/>
            <w:noWrap/>
          </w:tcPr>
          <w:p w:rsidR="00B231CB" w:rsidRDefault="00C71431">
            <w:pPr>
              <w:spacing w:after="120"/>
              <w:jc w:val="center"/>
              <w:rPr>
                <w:noProof/>
                <w:szCs w:val="24"/>
              </w:rPr>
            </w:pPr>
            <w:r>
              <w:rPr>
                <w:noProof/>
                <w:szCs w:val="24"/>
              </w:rPr>
              <w:t>-136</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1,388</w:t>
            </w:r>
          </w:p>
        </w:tc>
        <w:tc>
          <w:tcPr>
            <w:tcW w:w="1050" w:type="pct"/>
            <w:tcBorders>
              <w:bottom w:val="single" w:sz="24" w:space="0" w:color="auto"/>
            </w:tcBorders>
            <w:noWrap/>
          </w:tcPr>
          <w:p w:rsidR="00B231CB" w:rsidRDefault="00C71431">
            <w:pPr>
              <w:spacing w:after="120"/>
              <w:jc w:val="center"/>
              <w:rPr>
                <w:noProof/>
                <w:szCs w:val="24"/>
              </w:rPr>
            </w:pPr>
            <w:r>
              <w:rPr>
                <w:noProof/>
                <w:szCs w:val="24"/>
              </w:rPr>
              <w:t>909</w:t>
            </w:r>
          </w:p>
        </w:tc>
        <w:tc>
          <w:tcPr>
            <w:tcW w:w="1049" w:type="pct"/>
            <w:tcBorders>
              <w:bottom w:val="single" w:sz="24" w:space="0" w:color="auto"/>
            </w:tcBorders>
            <w:noWrap/>
          </w:tcPr>
          <w:p w:rsidR="00B231CB" w:rsidRDefault="00C71431">
            <w:pPr>
              <w:spacing w:after="120"/>
              <w:jc w:val="center"/>
              <w:rPr>
                <w:noProof/>
                <w:szCs w:val="24"/>
              </w:rPr>
            </w:pPr>
            <w:r>
              <w:rPr>
                <w:noProof/>
                <w:szCs w:val="24"/>
              </w:rPr>
              <w:t>752</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1,282</w:t>
            </w:r>
          </w:p>
        </w:tc>
        <w:tc>
          <w:tcPr>
            <w:tcW w:w="1050" w:type="pct"/>
            <w:noWrap/>
          </w:tcPr>
          <w:p w:rsidR="00B231CB" w:rsidRDefault="00C71431">
            <w:pPr>
              <w:spacing w:after="120"/>
              <w:jc w:val="center"/>
              <w:rPr>
                <w:i/>
                <w:noProof/>
                <w:szCs w:val="24"/>
              </w:rPr>
            </w:pPr>
            <w:r>
              <w:rPr>
                <w:i/>
                <w:noProof/>
                <w:szCs w:val="24"/>
              </w:rPr>
              <w:t>983</w:t>
            </w:r>
          </w:p>
        </w:tc>
        <w:tc>
          <w:tcPr>
            <w:tcW w:w="1049" w:type="pct"/>
            <w:noWrap/>
          </w:tcPr>
          <w:p w:rsidR="00B231CB" w:rsidRDefault="00C71431">
            <w:pPr>
              <w:spacing w:after="120"/>
              <w:jc w:val="center"/>
              <w:rPr>
                <w:i/>
                <w:noProof/>
                <w:szCs w:val="24"/>
              </w:rPr>
            </w:pPr>
            <w:r>
              <w:rPr>
                <w:i/>
                <w:noProof/>
                <w:szCs w:val="24"/>
              </w:rPr>
              <w:t>846</w:t>
            </w:r>
          </w:p>
        </w:tc>
      </w:tr>
    </w:tbl>
    <w:p w:rsidR="00B231CB" w:rsidRDefault="00C71431">
      <w:pPr>
        <w:spacing w:before="120"/>
        <w:rPr>
          <w:b/>
          <w:noProof/>
          <w:szCs w:val="24"/>
          <w:u w:val="single"/>
        </w:rPr>
      </w:pPr>
      <w:r>
        <w:rPr>
          <w:b/>
          <w:noProof/>
          <w:szCs w:val="24"/>
          <w:u w:val="single"/>
        </w:rPr>
        <w:t>TLV25 – 2025 (LEVD_ZEV)</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(EUR/van)</w:t>
            </w:r>
          </w:p>
        </w:tc>
      </w:tr>
      <w:tr w:rsidR="00B231CB">
        <w:trPr>
          <w:trHeight w:val="255"/>
        </w:trPr>
        <w:tc>
          <w:tcPr>
            <w:tcW w:w="1851" w:type="pct"/>
            <w:noWrap/>
            <w:hideMark/>
          </w:tcPr>
          <w:p w:rsidR="00B231CB" w:rsidRDefault="00C71431">
            <w:pPr>
              <w:spacing w:after="120"/>
              <w:rPr>
                <w:b/>
                <w:noProof/>
                <w:szCs w:val="24"/>
              </w:rPr>
            </w:pPr>
            <w:r>
              <w:rPr>
                <w:b/>
                <w:noProof/>
                <w:szCs w:val="24"/>
              </w:rPr>
              <w:t>TLV25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355</w:t>
            </w:r>
          </w:p>
        </w:tc>
        <w:tc>
          <w:tcPr>
            <w:tcW w:w="1050" w:type="pct"/>
            <w:noWrap/>
          </w:tcPr>
          <w:p w:rsidR="00B231CB" w:rsidRDefault="00C71431">
            <w:pPr>
              <w:spacing w:after="120"/>
              <w:jc w:val="center"/>
              <w:rPr>
                <w:noProof/>
                <w:szCs w:val="24"/>
              </w:rPr>
            </w:pPr>
            <w:r>
              <w:rPr>
                <w:noProof/>
                <w:szCs w:val="24"/>
              </w:rPr>
              <w:t>115</w:t>
            </w:r>
          </w:p>
        </w:tc>
        <w:tc>
          <w:tcPr>
            <w:tcW w:w="1049" w:type="pct"/>
            <w:noWrap/>
          </w:tcPr>
          <w:p w:rsidR="00B231CB" w:rsidRDefault="00C71431">
            <w:pPr>
              <w:spacing w:after="120"/>
              <w:jc w:val="center"/>
              <w:rPr>
                <w:noProof/>
                <w:szCs w:val="24"/>
              </w:rPr>
            </w:pPr>
            <w:r>
              <w:rPr>
                <w:noProof/>
                <w:szCs w:val="24"/>
              </w:rPr>
              <w:t>226</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w:t>
            </w:r>
          </w:p>
        </w:tc>
        <w:tc>
          <w:tcPr>
            <w:tcW w:w="1050" w:type="pct"/>
            <w:noWrap/>
          </w:tcPr>
          <w:p w:rsidR="00B231CB" w:rsidRDefault="00C71431">
            <w:pPr>
              <w:spacing w:after="120"/>
              <w:jc w:val="center"/>
              <w:rPr>
                <w:noProof/>
                <w:szCs w:val="24"/>
              </w:rPr>
            </w:pPr>
            <w:r>
              <w:rPr>
                <w:noProof/>
                <w:szCs w:val="24"/>
              </w:rPr>
              <w:t>-136</w:t>
            </w:r>
          </w:p>
        </w:tc>
        <w:tc>
          <w:tcPr>
            <w:tcW w:w="1049" w:type="pct"/>
            <w:noWrap/>
          </w:tcPr>
          <w:p w:rsidR="00B231CB" w:rsidRDefault="00C71431">
            <w:pPr>
              <w:spacing w:after="120"/>
              <w:jc w:val="center"/>
              <w:rPr>
                <w:noProof/>
                <w:szCs w:val="24"/>
              </w:rPr>
            </w:pPr>
            <w:r>
              <w:rPr>
                <w:noProof/>
                <w:szCs w:val="24"/>
              </w:rPr>
              <w:t>-225</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1,265</w:t>
            </w:r>
          </w:p>
        </w:tc>
        <w:tc>
          <w:tcPr>
            <w:tcW w:w="1050" w:type="pct"/>
            <w:tcBorders>
              <w:bottom w:val="single" w:sz="24" w:space="0" w:color="auto"/>
            </w:tcBorders>
            <w:noWrap/>
          </w:tcPr>
          <w:p w:rsidR="00B231CB" w:rsidRDefault="00C71431">
            <w:pPr>
              <w:spacing w:after="120"/>
              <w:jc w:val="center"/>
              <w:rPr>
                <w:noProof/>
                <w:szCs w:val="24"/>
              </w:rPr>
            </w:pPr>
            <w:r>
              <w:rPr>
                <w:noProof/>
                <w:szCs w:val="24"/>
              </w:rPr>
              <w:t>557</w:t>
            </w:r>
          </w:p>
        </w:tc>
        <w:tc>
          <w:tcPr>
            <w:tcW w:w="1049" w:type="pct"/>
            <w:tcBorders>
              <w:bottom w:val="single" w:sz="24" w:space="0" w:color="auto"/>
            </w:tcBorders>
            <w:noWrap/>
          </w:tcPr>
          <w:p w:rsidR="00B231CB" w:rsidRDefault="00C71431">
            <w:pPr>
              <w:spacing w:after="120"/>
              <w:jc w:val="center"/>
              <w:rPr>
                <w:noProof/>
                <w:szCs w:val="24"/>
              </w:rPr>
            </w:pPr>
            <w:r>
              <w:rPr>
                <w:noProof/>
                <w:szCs w:val="24"/>
              </w:rPr>
              <w:t>36</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962</w:t>
            </w:r>
          </w:p>
        </w:tc>
        <w:tc>
          <w:tcPr>
            <w:tcW w:w="1050" w:type="pct"/>
            <w:noWrap/>
          </w:tcPr>
          <w:p w:rsidR="00B231CB" w:rsidRDefault="00C71431">
            <w:pPr>
              <w:spacing w:after="120"/>
              <w:jc w:val="center"/>
              <w:rPr>
                <w:i/>
                <w:noProof/>
                <w:szCs w:val="24"/>
              </w:rPr>
            </w:pPr>
            <w:r>
              <w:rPr>
                <w:i/>
                <w:noProof/>
                <w:szCs w:val="24"/>
              </w:rPr>
              <w:t>577</w:t>
            </w:r>
          </w:p>
        </w:tc>
        <w:tc>
          <w:tcPr>
            <w:tcW w:w="1049" w:type="pct"/>
            <w:noWrap/>
          </w:tcPr>
          <w:p w:rsidR="00B231CB" w:rsidRDefault="00C71431">
            <w:pPr>
              <w:spacing w:after="120"/>
              <w:jc w:val="center"/>
              <w:rPr>
                <w:i/>
                <w:noProof/>
                <w:szCs w:val="24"/>
              </w:rPr>
            </w:pPr>
            <w:r>
              <w:rPr>
                <w:i/>
                <w:noProof/>
                <w:szCs w:val="24"/>
              </w:rPr>
              <w:t>35</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(EUR/van)</w:t>
            </w:r>
          </w:p>
        </w:tc>
      </w:tr>
      <w:tr w:rsidR="00B231CB">
        <w:trPr>
          <w:trHeight w:val="255"/>
        </w:trPr>
        <w:tc>
          <w:tcPr>
            <w:tcW w:w="1851" w:type="pct"/>
            <w:noWrap/>
            <w:hideMark/>
          </w:tcPr>
          <w:p w:rsidR="00B231CB" w:rsidRDefault="00C71431">
            <w:pPr>
              <w:spacing w:after="120"/>
              <w:rPr>
                <w:b/>
                <w:noProof/>
                <w:szCs w:val="24"/>
              </w:rPr>
            </w:pPr>
            <w:r>
              <w:rPr>
                <w:b/>
                <w:noProof/>
                <w:szCs w:val="24"/>
              </w:rPr>
              <w:t>TLV25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221</w:t>
            </w:r>
          </w:p>
        </w:tc>
        <w:tc>
          <w:tcPr>
            <w:tcW w:w="1050" w:type="pct"/>
            <w:noWrap/>
          </w:tcPr>
          <w:p w:rsidR="00B231CB" w:rsidRDefault="00C71431">
            <w:pPr>
              <w:spacing w:after="120"/>
              <w:jc w:val="center"/>
              <w:rPr>
                <w:noProof/>
                <w:szCs w:val="24"/>
              </w:rPr>
            </w:pPr>
            <w:r>
              <w:rPr>
                <w:noProof/>
                <w:szCs w:val="24"/>
              </w:rPr>
              <w:t>71</w:t>
            </w:r>
          </w:p>
        </w:tc>
        <w:tc>
          <w:tcPr>
            <w:tcW w:w="1049" w:type="pct"/>
            <w:noWrap/>
          </w:tcPr>
          <w:p w:rsidR="00B231CB" w:rsidRDefault="00C71431">
            <w:pPr>
              <w:spacing w:after="120"/>
              <w:jc w:val="center"/>
              <w:rPr>
                <w:noProof/>
                <w:szCs w:val="24"/>
              </w:rPr>
            </w:pPr>
            <w:r>
              <w:rPr>
                <w:noProof/>
                <w:szCs w:val="24"/>
              </w:rPr>
              <w:t>141</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-23</w:t>
            </w:r>
          </w:p>
        </w:tc>
        <w:tc>
          <w:tcPr>
            <w:tcW w:w="1050" w:type="pct"/>
            <w:noWrap/>
          </w:tcPr>
          <w:p w:rsidR="00B231CB" w:rsidRDefault="00C71431">
            <w:pPr>
              <w:spacing w:after="120"/>
              <w:jc w:val="center"/>
              <w:rPr>
                <w:noProof/>
                <w:szCs w:val="24"/>
              </w:rPr>
            </w:pPr>
            <w:r>
              <w:rPr>
                <w:noProof/>
                <w:szCs w:val="24"/>
              </w:rPr>
              <w:t>-58</w:t>
            </w:r>
          </w:p>
        </w:tc>
        <w:tc>
          <w:tcPr>
            <w:tcW w:w="1049" w:type="pct"/>
            <w:noWrap/>
          </w:tcPr>
          <w:p w:rsidR="00B231CB" w:rsidRDefault="00C71431">
            <w:pPr>
              <w:spacing w:after="120"/>
              <w:jc w:val="center"/>
              <w:rPr>
                <w:noProof/>
                <w:szCs w:val="24"/>
              </w:rPr>
            </w:pPr>
            <w:r>
              <w:rPr>
                <w:noProof/>
                <w:szCs w:val="24"/>
              </w:rPr>
              <w:t>-96</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1,281</w:t>
            </w:r>
          </w:p>
        </w:tc>
        <w:tc>
          <w:tcPr>
            <w:tcW w:w="1050" w:type="pct"/>
            <w:tcBorders>
              <w:bottom w:val="single" w:sz="24" w:space="0" w:color="auto"/>
            </w:tcBorders>
            <w:noWrap/>
          </w:tcPr>
          <w:p w:rsidR="00B231CB" w:rsidRDefault="00C71431">
            <w:pPr>
              <w:spacing w:after="120"/>
              <w:jc w:val="center"/>
              <w:rPr>
                <w:noProof/>
                <w:szCs w:val="24"/>
              </w:rPr>
            </w:pPr>
            <w:r>
              <w:rPr>
                <w:noProof/>
                <w:szCs w:val="24"/>
              </w:rPr>
              <w:t>893</w:t>
            </w:r>
          </w:p>
        </w:tc>
        <w:tc>
          <w:tcPr>
            <w:tcW w:w="1049" w:type="pct"/>
            <w:tcBorders>
              <w:bottom w:val="single" w:sz="24" w:space="0" w:color="auto"/>
            </w:tcBorders>
            <w:noWrap/>
          </w:tcPr>
          <w:p w:rsidR="00B231CB" w:rsidRDefault="00C71431">
            <w:pPr>
              <w:spacing w:after="120"/>
              <w:jc w:val="center"/>
              <w:rPr>
                <w:noProof/>
                <w:szCs w:val="24"/>
              </w:rPr>
            </w:pPr>
            <w:r>
              <w:rPr>
                <w:noProof/>
                <w:szCs w:val="24"/>
              </w:rPr>
              <w:t>600</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1,083</w:t>
            </w:r>
          </w:p>
        </w:tc>
        <w:tc>
          <w:tcPr>
            <w:tcW w:w="1050" w:type="pct"/>
            <w:noWrap/>
          </w:tcPr>
          <w:p w:rsidR="00B231CB" w:rsidRDefault="00C71431">
            <w:pPr>
              <w:spacing w:after="120"/>
              <w:jc w:val="center"/>
              <w:rPr>
                <w:i/>
                <w:noProof/>
                <w:szCs w:val="24"/>
              </w:rPr>
            </w:pPr>
            <w:r>
              <w:rPr>
                <w:i/>
                <w:noProof/>
                <w:szCs w:val="24"/>
              </w:rPr>
              <w:t>880</w:t>
            </w:r>
          </w:p>
        </w:tc>
        <w:tc>
          <w:tcPr>
            <w:tcW w:w="1049" w:type="pct"/>
            <w:noWrap/>
          </w:tcPr>
          <w:p w:rsidR="00B231CB" w:rsidRDefault="00C71431">
            <w:pPr>
              <w:spacing w:after="120"/>
              <w:jc w:val="center"/>
              <w:rPr>
                <w:i/>
                <w:noProof/>
                <w:szCs w:val="24"/>
              </w:rPr>
            </w:pPr>
            <w:r>
              <w:rPr>
                <w:i/>
                <w:noProof/>
                <w:szCs w:val="24"/>
              </w:rPr>
              <w:t>556</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(EUR/van)</w:t>
            </w:r>
          </w:p>
        </w:tc>
      </w:tr>
      <w:tr w:rsidR="00B231CB">
        <w:trPr>
          <w:trHeight w:val="255"/>
        </w:trPr>
        <w:tc>
          <w:tcPr>
            <w:tcW w:w="1851" w:type="pct"/>
            <w:noWrap/>
            <w:hideMark/>
          </w:tcPr>
          <w:p w:rsidR="00B231CB" w:rsidRDefault="00C71431">
            <w:pPr>
              <w:spacing w:after="120"/>
              <w:rPr>
                <w:b/>
                <w:noProof/>
                <w:szCs w:val="24"/>
              </w:rPr>
            </w:pPr>
            <w:r>
              <w:rPr>
                <w:b/>
                <w:noProof/>
                <w:szCs w:val="24"/>
              </w:rPr>
              <w:t>TLV25 - 2025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106</w:t>
            </w:r>
          </w:p>
        </w:tc>
        <w:tc>
          <w:tcPr>
            <w:tcW w:w="1050" w:type="pct"/>
            <w:noWrap/>
          </w:tcPr>
          <w:p w:rsidR="00B231CB" w:rsidRDefault="00C71431">
            <w:pPr>
              <w:spacing w:after="120"/>
              <w:jc w:val="center"/>
              <w:rPr>
                <w:noProof/>
                <w:szCs w:val="24"/>
              </w:rPr>
            </w:pPr>
            <w:r>
              <w:rPr>
                <w:noProof/>
                <w:szCs w:val="24"/>
              </w:rPr>
              <w:t>34</w:t>
            </w:r>
          </w:p>
        </w:tc>
        <w:tc>
          <w:tcPr>
            <w:tcW w:w="1049" w:type="pct"/>
            <w:noWrap/>
          </w:tcPr>
          <w:p w:rsidR="00B231CB" w:rsidRDefault="00C71431">
            <w:pPr>
              <w:spacing w:after="120"/>
              <w:jc w:val="center"/>
              <w:rPr>
                <w:noProof/>
                <w:szCs w:val="24"/>
              </w:rPr>
            </w:pPr>
            <w:r>
              <w:rPr>
                <w:noProof/>
                <w:szCs w:val="24"/>
              </w:rPr>
              <w:t>68</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-23</w:t>
            </w:r>
          </w:p>
        </w:tc>
        <w:tc>
          <w:tcPr>
            <w:tcW w:w="1050" w:type="pct"/>
            <w:noWrap/>
          </w:tcPr>
          <w:p w:rsidR="00B231CB" w:rsidRDefault="00C71431">
            <w:pPr>
              <w:spacing w:after="120"/>
              <w:jc w:val="center"/>
              <w:rPr>
                <w:noProof/>
                <w:szCs w:val="24"/>
              </w:rPr>
            </w:pPr>
            <w:r>
              <w:rPr>
                <w:noProof/>
                <w:szCs w:val="24"/>
              </w:rPr>
              <w:t>-58</w:t>
            </w:r>
          </w:p>
        </w:tc>
        <w:tc>
          <w:tcPr>
            <w:tcW w:w="1049" w:type="pct"/>
            <w:noWrap/>
          </w:tcPr>
          <w:p w:rsidR="00B231CB" w:rsidRDefault="00C71431">
            <w:pPr>
              <w:spacing w:after="120"/>
              <w:jc w:val="center"/>
              <w:rPr>
                <w:noProof/>
                <w:szCs w:val="24"/>
              </w:rPr>
            </w:pPr>
            <w:r>
              <w:rPr>
                <w:noProof/>
                <w:szCs w:val="24"/>
              </w:rPr>
              <w:t>-96</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893</w:t>
            </w:r>
          </w:p>
        </w:tc>
        <w:tc>
          <w:tcPr>
            <w:tcW w:w="1050" w:type="pct"/>
            <w:tcBorders>
              <w:bottom w:val="single" w:sz="24" w:space="0" w:color="auto"/>
            </w:tcBorders>
            <w:noWrap/>
          </w:tcPr>
          <w:p w:rsidR="00B231CB" w:rsidRDefault="00C71431">
            <w:pPr>
              <w:spacing w:after="120"/>
              <w:jc w:val="center"/>
              <w:rPr>
                <w:noProof/>
                <w:szCs w:val="24"/>
              </w:rPr>
            </w:pPr>
            <w:r>
              <w:rPr>
                <w:noProof/>
                <w:szCs w:val="24"/>
              </w:rPr>
              <w:t>637</w:t>
            </w:r>
          </w:p>
        </w:tc>
        <w:tc>
          <w:tcPr>
            <w:tcW w:w="1049" w:type="pct"/>
            <w:tcBorders>
              <w:bottom w:val="single" w:sz="24" w:space="0" w:color="auto"/>
            </w:tcBorders>
            <w:noWrap/>
          </w:tcPr>
          <w:p w:rsidR="00B231CB" w:rsidRDefault="00C71431">
            <w:pPr>
              <w:spacing w:after="120"/>
              <w:jc w:val="center"/>
              <w:rPr>
                <w:noProof/>
                <w:szCs w:val="24"/>
              </w:rPr>
            </w:pPr>
            <w:r>
              <w:rPr>
                <w:noProof/>
                <w:szCs w:val="24"/>
              </w:rPr>
              <w:t>444</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809</w:t>
            </w:r>
          </w:p>
        </w:tc>
        <w:tc>
          <w:tcPr>
            <w:tcW w:w="1050" w:type="pct"/>
            <w:noWrap/>
          </w:tcPr>
          <w:p w:rsidR="00B231CB" w:rsidRDefault="00C71431">
            <w:pPr>
              <w:spacing w:after="120"/>
              <w:jc w:val="center"/>
              <w:rPr>
                <w:i/>
                <w:noProof/>
                <w:szCs w:val="24"/>
              </w:rPr>
            </w:pPr>
            <w:r>
              <w:rPr>
                <w:i/>
                <w:noProof/>
                <w:szCs w:val="24"/>
              </w:rPr>
              <w:t>661</w:t>
            </w:r>
          </w:p>
        </w:tc>
        <w:tc>
          <w:tcPr>
            <w:tcW w:w="1049" w:type="pct"/>
            <w:noWrap/>
          </w:tcPr>
          <w:p w:rsidR="00B231CB" w:rsidRDefault="00C71431">
            <w:pPr>
              <w:spacing w:after="120"/>
              <w:jc w:val="center"/>
              <w:rPr>
                <w:i/>
                <w:noProof/>
                <w:szCs w:val="24"/>
              </w:rPr>
            </w:pPr>
            <w:r>
              <w:rPr>
                <w:i/>
                <w:noProof/>
                <w:szCs w:val="24"/>
              </w:rPr>
              <w:t>473</w:t>
            </w:r>
          </w:p>
        </w:tc>
      </w:tr>
    </w:tbl>
    <w:p w:rsidR="00B231CB" w:rsidRDefault="00C71431">
      <w:pPr>
        <w:spacing w:before="120"/>
        <w:rPr>
          <w:b/>
          <w:noProof/>
          <w:szCs w:val="24"/>
          <w:u w:val="single"/>
        </w:rPr>
      </w:pPr>
      <w:r>
        <w:rPr>
          <w:b/>
          <w:noProof/>
          <w:szCs w:val="24"/>
          <w:u w:val="single"/>
        </w:rPr>
        <w:t>TLV25 – 2030 (LEVD_ZEV)</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(EUR/van)</w:t>
            </w:r>
          </w:p>
        </w:tc>
      </w:tr>
      <w:tr w:rsidR="00B231CB">
        <w:trPr>
          <w:trHeight w:val="255"/>
        </w:trPr>
        <w:tc>
          <w:tcPr>
            <w:tcW w:w="1851" w:type="pct"/>
            <w:noWrap/>
            <w:hideMark/>
          </w:tcPr>
          <w:p w:rsidR="00B231CB" w:rsidRDefault="00C71431">
            <w:pPr>
              <w:spacing w:after="120"/>
              <w:rPr>
                <w:b/>
                <w:noProof/>
                <w:szCs w:val="24"/>
              </w:rPr>
            </w:pPr>
            <w:r>
              <w:rPr>
                <w:b/>
                <w:noProof/>
                <w:szCs w:val="24"/>
              </w:rPr>
              <w:t>TLV25 - 2030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620</w:t>
            </w:r>
          </w:p>
        </w:tc>
        <w:tc>
          <w:tcPr>
            <w:tcW w:w="1050" w:type="pct"/>
            <w:noWrap/>
          </w:tcPr>
          <w:p w:rsidR="00B231CB" w:rsidRDefault="00C71431">
            <w:pPr>
              <w:spacing w:after="120"/>
              <w:jc w:val="center"/>
              <w:rPr>
                <w:noProof/>
                <w:szCs w:val="24"/>
              </w:rPr>
            </w:pPr>
            <w:r>
              <w:rPr>
                <w:noProof/>
                <w:szCs w:val="24"/>
              </w:rPr>
              <w:t>210</w:t>
            </w:r>
          </w:p>
        </w:tc>
        <w:tc>
          <w:tcPr>
            <w:tcW w:w="1049" w:type="pct"/>
            <w:noWrap/>
          </w:tcPr>
          <w:p w:rsidR="00B231CB" w:rsidRDefault="00C71431">
            <w:pPr>
              <w:spacing w:after="120"/>
              <w:jc w:val="center"/>
              <w:rPr>
                <w:noProof/>
                <w:szCs w:val="24"/>
              </w:rPr>
            </w:pPr>
            <w:r>
              <w:rPr>
                <w:noProof/>
                <w:szCs w:val="24"/>
              </w:rPr>
              <w:t>266</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-56</w:t>
            </w:r>
          </w:p>
        </w:tc>
        <w:tc>
          <w:tcPr>
            <w:tcW w:w="1050" w:type="pct"/>
            <w:noWrap/>
          </w:tcPr>
          <w:p w:rsidR="00B231CB" w:rsidRDefault="00C71431">
            <w:pPr>
              <w:spacing w:after="120"/>
              <w:jc w:val="center"/>
              <w:rPr>
                <w:noProof/>
                <w:szCs w:val="24"/>
              </w:rPr>
            </w:pPr>
            <w:r>
              <w:rPr>
                <w:noProof/>
                <w:szCs w:val="24"/>
              </w:rPr>
              <w:t>-239</w:t>
            </w:r>
          </w:p>
        </w:tc>
        <w:tc>
          <w:tcPr>
            <w:tcW w:w="1049" w:type="pct"/>
            <w:noWrap/>
          </w:tcPr>
          <w:p w:rsidR="00B231CB" w:rsidRDefault="00C71431">
            <w:pPr>
              <w:spacing w:after="120"/>
              <w:jc w:val="center"/>
              <w:rPr>
                <w:noProof/>
                <w:szCs w:val="24"/>
              </w:rPr>
            </w:pPr>
            <w:r>
              <w:rPr>
                <w:noProof/>
                <w:szCs w:val="24"/>
              </w:rPr>
              <w:t>-319</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2,600</w:t>
            </w:r>
          </w:p>
        </w:tc>
        <w:tc>
          <w:tcPr>
            <w:tcW w:w="1050" w:type="pct"/>
            <w:tcBorders>
              <w:bottom w:val="single" w:sz="24" w:space="0" w:color="auto"/>
            </w:tcBorders>
            <w:noWrap/>
          </w:tcPr>
          <w:p w:rsidR="00B231CB" w:rsidRDefault="00C71431">
            <w:pPr>
              <w:spacing w:after="120"/>
              <w:jc w:val="center"/>
              <w:rPr>
                <w:noProof/>
                <w:szCs w:val="24"/>
              </w:rPr>
            </w:pPr>
            <w:r>
              <w:rPr>
                <w:noProof/>
                <w:szCs w:val="24"/>
              </w:rPr>
              <w:t>1,473</w:t>
            </w:r>
          </w:p>
        </w:tc>
        <w:tc>
          <w:tcPr>
            <w:tcW w:w="1049" w:type="pct"/>
            <w:tcBorders>
              <w:bottom w:val="single" w:sz="24" w:space="0" w:color="auto"/>
            </w:tcBorders>
            <w:noWrap/>
          </w:tcPr>
          <w:p w:rsidR="00B231CB" w:rsidRDefault="00C71431">
            <w:pPr>
              <w:spacing w:after="120"/>
              <w:jc w:val="center"/>
              <w:rPr>
                <w:noProof/>
                <w:szCs w:val="24"/>
              </w:rPr>
            </w:pPr>
            <w:r>
              <w:rPr>
                <w:noProof/>
                <w:szCs w:val="24"/>
              </w:rPr>
              <w:t>1,051</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2,037</w:t>
            </w:r>
          </w:p>
        </w:tc>
        <w:tc>
          <w:tcPr>
            <w:tcW w:w="1050" w:type="pct"/>
            <w:noWrap/>
          </w:tcPr>
          <w:p w:rsidR="00B231CB" w:rsidRDefault="00C71431">
            <w:pPr>
              <w:spacing w:after="120"/>
              <w:jc w:val="center"/>
              <w:rPr>
                <w:i/>
                <w:noProof/>
                <w:szCs w:val="24"/>
              </w:rPr>
            </w:pPr>
            <w:r>
              <w:rPr>
                <w:i/>
                <w:noProof/>
                <w:szCs w:val="24"/>
              </w:rPr>
              <w:t>1,502</w:t>
            </w:r>
          </w:p>
        </w:tc>
        <w:tc>
          <w:tcPr>
            <w:tcW w:w="1049" w:type="pct"/>
            <w:noWrap/>
          </w:tcPr>
          <w:p w:rsidR="00B231CB" w:rsidRDefault="00C71431">
            <w:pPr>
              <w:spacing w:after="120"/>
              <w:jc w:val="center"/>
              <w:rPr>
                <w:i/>
                <w:noProof/>
                <w:szCs w:val="24"/>
              </w:rPr>
            </w:pPr>
            <w:r>
              <w:rPr>
                <w:i/>
                <w:noProof/>
                <w:szCs w:val="24"/>
              </w:rPr>
              <w:t>1,105</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(EUR/van)</w:t>
            </w:r>
          </w:p>
        </w:tc>
      </w:tr>
      <w:tr w:rsidR="00B231CB">
        <w:trPr>
          <w:trHeight w:val="255"/>
        </w:trPr>
        <w:tc>
          <w:tcPr>
            <w:tcW w:w="1851" w:type="pct"/>
            <w:noWrap/>
            <w:hideMark/>
          </w:tcPr>
          <w:p w:rsidR="00B231CB" w:rsidRDefault="00C71431">
            <w:pPr>
              <w:spacing w:after="120"/>
              <w:rPr>
                <w:b/>
                <w:noProof/>
                <w:szCs w:val="24"/>
              </w:rPr>
            </w:pPr>
            <w:r>
              <w:rPr>
                <w:b/>
                <w:noProof/>
                <w:szCs w:val="24"/>
              </w:rPr>
              <w:t>TLV25 - 2030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 xml:space="preserve">Capital cost </w:t>
            </w:r>
            <w:r>
              <w:rPr>
                <w:noProof/>
                <w:color w:val="000000" w:themeColor="text1"/>
                <w:szCs w:val="24"/>
              </w:rPr>
              <w:t>[1]</w:t>
            </w:r>
          </w:p>
        </w:tc>
        <w:tc>
          <w:tcPr>
            <w:tcW w:w="1050" w:type="pct"/>
            <w:noWrap/>
          </w:tcPr>
          <w:p w:rsidR="00B231CB" w:rsidRDefault="00C71431">
            <w:pPr>
              <w:spacing w:after="120"/>
              <w:jc w:val="center"/>
              <w:rPr>
                <w:noProof/>
                <w:szCs w:val="24"/>
              </w:rPr>
            </w:pPr>
            <w:r>
              <w:rPr>
                <w:noProof/>
                <w:szCs w:val="24"/>
              </w:rPr>
              <w:t>386</w:t>
            </w:r>
          </w:p>
        </w:tc>
        <w:tc>
          <w:tcPr>
            <w:tcW w:w="1050" w:type="pct"/>
            <w:noWrap/>
          </w:tcPr>
          <w:p w:rsidR="00B231CB" w:rsidRDefault="00C71431">
            <w:pPr>
              <w:spacing w:after="120"/>
              <w:jc w:val="center"/>
              <w:rPr>
                <w:noProof/>
                <w:szCs w:val="24"/>
              </w:rPr>
            </w:pPr>
            <w:r>
              <w:rPr>
                <w:noProof/>
                <w:szCs w:val="24"/>
              </w:rPr>
              <w:t>130</w:t>
            </w:r>
          </w:p>
        </w:tc>
        <w:tc>
          <w:tcPr>
            <w:tcW w:w="1049" w:type="pct"/>
            <w:noWrap/>
          </w:tcPr>
          <w:p w:rsidR="00B231CB" w:rsidRDefault="00C71431">
            <w:pPr>
              <w:spacing w:after="120"/>
              <w:jc w:val="center"/>
              <w:rPr>
                <w:noProof/>
                <w:szCs w:val="24"/>
              </w:rPr>
            </w:pPr>
            <w:r>
              <w:rPr>
                <w:noProof/>
                <w:szCs w:val="24"/>
              </w:rPr>
              <w:t>165</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-24</w:t>
            </w:r>
          </w:p>
        </w:tc>
        <w:tc>
          <w:tcPr>
            <w:tcW w:w="1050" w:type="pct"/>
            <w:noWrap/>
          </w:tcPr>
          <w:p w:rsidR="00B231CB" w:rsidRDefault="00C71431">
            <w:pPr>
              <w:spacing w:after="120"/>
              <w:jc w:val="center"/>
              <w:rPr>
                <w:noProof/>
                <w:szCs w:val="24"/>
              </w:rPr>
            </w:pPr>
            <w:r>
              <w:rPr>
                <w:noProof/>
                <w:szCs w:val="24"/>
              </w:rPr>
              <w:t>-102</w:t>
            </w:r>
          </w:p>
        </w:tc>
        <w:tc>
          <w:tcPr>
            <w:tcW w:w="1049" w:type="pct"/>
            <w:noWrap/>
          </w:tcPr>
          <w:p w:rsidR="00B231CB" w:rsidRDefault="00C71431">
            <w:pPr>
              <w:spacing w:after="120"/>
              <w:jc w:val="center"/>
              <w:rPr>
                <w:noProof/>
                <w:szCs w:val="24"/>
              </w:rPr>
            </w:pPr>
            <w:r>
              <w:rPr>
                <w:noProof/>
                <w:szCs w:val="24"/>
              </w:rPr>
              <w:t>-137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2,546</w:t>
            </w:r>
          </w:p>
        </w:tc>
        <w:tc>
          <w:tcPr>
            <w:tcW w:w="1050" w:type="pct"/>
            <w:tcBorders>
              <w:bottom w:val="single" w:sz="24" w:space="0" w:color="auto"/>
            </w:tcBorders>
            <w:noWrap/>
          </w:tcPr>
          <w:p w:rsidR="00B231CB" w:rsidRDefault="00C71431">
            <w:pPr>
              <w:spacing w:after="120"/>
              <w:jc w:val="center"/>
              <w:rPr>
                <w:noProof/>
                <w:szCs w:val="24"/>
              </w:rPr>
            </w:pPr>
            <w:r>
              <w:rPr>
                <w:noProof/>
                <w:szCs w:val="24"/>
              </w:rPr>
              <w:t>1,841</w:t>
            </w:r>
          </w:p>
        </w:tc>
        <w:tc>
          <w:tcPr>
            <w:tcW w:w="1049" w:type="pct"/>
            <w:tcBorders>
              <w:bottom w:val="single" w:sz="24" w:space="0" w:color="auto"/>
            </w:tcBorders>
            <w:noWrap/>
          </w:tcPr>
          <w:p w:rsidR="00B231CB" w:rsidRDefault="00C71431">
            <w:pPr>
              <w:spacing w:after="120"/>
              <w:jc w:val="center"/>
              <w:rPr>
                <w:noProof/>
                <w:szCs w:val="24"/>
              </w:rPr>
            </w:pPr>
            <w:r>
              <w:rPr>
                <w:noProof/>
                <w:szCs w:val="24"/>
              </w:rPr>
              <w:t>1,595</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2,184</w:t>
            </w:r>
          </w:p>
        </w:tc>
        <w:tc>
          <w:tcPr>
            <w:tcW w:w="1050" w:type="pct"/>
            <w:noWrap/>
          </w:tcPr>
          <w:p w:rsidR="00B231CB" w:rsidRDefault="00C71431">
            <w:pPr>
              <w:spacing w:after="120"/>
              <w:jc w:val="center"/>
              <w:rPr>
                <w:i/>
                <w:noProof/>
                <w:szCs w:val="24"/>
              </w:rPr>
            </w:pPr>
            <w:r>
              <w:rPr>
                <w:i/>
                <w:noProof/>
                <w:szCs w:val="24"/>
              </w:rPr>
              <w:t>1,813</w:t>
            </w:r>
          </w:p>
        </w:tc>
        <w:tc>
          <w:tcPr>
            <w:tcW w:w="1049" w:type="pct"/>
            <w:noWrap/>
          </w:tcPr>
          <w:p w:rsidR="00B231CB" w:rsidRDefault="00C71431">
            <w:pPr>
              <w:spacing w:after="120"/>
              <w:jc w:val="center"/>
              <w:rPr>
                <w:i/>
                <w:noProof/>
                <w:szCs w:val="24"/>
              </w:rPr>
            </w:pPr>
            <w:r>
              <w:rPr>
                <w:i/>
                <w:noProof/>
                <w:szCs w:val="24"/>
              </w:rPr>
              <w:t>1,567</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(EUR/van)</w:t>
            </w:r>
          </w:p>
        </w:tc>
      </w:tr>
      <w:tr w:rsidR="00B231CB">
        <w:trPr>
          <w:trHeight w:val="255"/>
        </w:trPr>
        <w:tc>
          <w:tcPr>
            <w:tcW w:w="1851" w:type="pct"/>
            <w:noWrap/>
            <w:hideMark/>
          </w:tcPr>
          <w:p w:rsidR="00B231CB" w:rsidRDefault="00C71431">
            <w:pPr>
              <w:spacing w:after="120"/>
              <w:rPr>
                <w:b/>
                <w:noProof/>
                <w:szCs w:val="24"/>
              </w:rPr>
            </w:pPr>
            <w:r>
              <w:rPr>
                <w:b/>
                <w:noProof/>
                <w:szCs w:val="24"/>
              </w:rPr>
              <w:t>TLV25 - 2030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186</w:t>
            </w:r>
          </w:p>
        </w:tc>
        <w:tc>
          <w:tcPr>
            <w:tcW w:w="1050" w:type="pct"/>
            <w:noWrap/>
          </w:tcPr>
          <w:p w:rsidR="00B231CB" w:rsidRDefault="00C71431">
            <w:pPr>
              <w:spacing w:after="120"/>
              <w:jc w:val="center"/>
              <w:rPr>
                <w:noProof/>
                <w:szCs w:val="24"/>
              </w:rPr>
            </w:pPr>
            <w:r>
              <w:rPr>
                <w:noProof/>
                <w:szCs w:val="24"/>
              </w:rPr>
              <w:t>63</w:t>
            </w:r>
          </w:p>
        </w:tc>
        <w:tc>
          <w:tcPr>
            <w:tcW w:w="1049" w:type="pct"/>
            <w:noWrap/>
          </w:tcPr>
          <w:p w:rsidR="00B231CB" w:rsidRDefault="00C71431">
            <w:pPr>
              <w:spacing w:after="120"/>
              <w:jc w:val="center"/>
              <w:rPr>
                <w:noProof/>
                <w:szCs w:val="24"/>
              </w:rPr>
            </w:pPr>
            <w:r>
              <w:rPr>
                <w:noProof/>
                <w:szCs w:val="24"/>
              </w:rPr>
              <w:t>80</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-24</w:t>
            </w:r>
          </w:p>
        </w:tc>
        <w:tc>
          <w:tcPr>
            <w:tcW w:w="1050" w:type="pct"/>
            <w:noWrap/>
          </w:tcPr>
          <w:p w:rsidR="00B231CB" w:rsidRDefault="00C71431">
            <w:pPr>
              <w:spacing w:after="120"/>
              <w:jc w:val="center"/>
              <w:rPr>
                <w:noProof/>
                <w:szCs w:val="24"/>
              </w:rPr>
            </w:pPr>
            <w:r>
              <w:rPr>
                <w:noProof/>
                <w:szCs w:val="24"/>
              </w:rPr>
              <w:t>-102</w:t>
            </w:r>
          </w:p>
        </w:tc>
        <w:tc>
          <w:tcPr>
            <w:tcW w:w="1049" w:type="pct"/>
            <w:noWrap/>
          </w:tcPr>
          <w:p w:rsidR="00B231CB" w:rsidRDefault="00C71431">
            <w:pPr>
              <w:spacing w:after="120"/>
              <w:jc w:val="center"/>
              <w:rPr>
                <w:noProof/>
                <w:szCs w:val="24"/>
              </w:rPr>
            </w:pPr>
            <w:r>
              <w:rPr>
                <w:noProof/>
                <w:szCs w:val="24"/>
              </w:rPr>
              <w:t>-137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1,743</w:t>
            </w:r>
          </w:p>
        </w:tc>
        <w:tc>
          <w:tcPr>
            <w:tcW w:w="1050" w:type="pct"/>
            <w:tcBorders>
              <w:bottom w:val="single" w:sz="24" w:space="0" w:color="auto"/>
            </w:tcBorders>
            <w:noWrap/>
          </w:tcPr>
          <w:p w:rsidR="00B231CB" w:rsidRDefault="00C71431">
            <w:pPr>
              <w:spacing w:after="120"/>
              <w:jc w:val="center"/>
              <w:rPr>
                <w:noProof/>
                <w:szCs w:val="24"/>
              </w:rPr>
            </w:pPr>
            <w:r>
              <w:rPr>
                <w:noProof/>
                <w:szCs w:val="24"/>
              </w:rPr>
              <w:t>1,278</w:t>
            </w:r>
          </w:p>
        </w:tc>
        <w:tc>
          <w:tcPr>
            <w:tcW w:w="1049" w:type="pct"/>
            <w:tcBorders>
              <w:bottom w:val="single" w:sz="24" w:space="0" w:color="auto"/>
            </w:tcBorders>
            <w:noWrap/>
          </w:tcPr>
          <w:p w:rsidR="00B231CB" w:rsidRDefault="00C71431">
            <w:pPr>
              <w:spacing w:after="120"/>
              <w:jc w:val="center"/>
              <w:rPr>
                <w:noProof/>
                <w:szCs w:val="24"/>
              </w:rPr>
            </w:pPr>
            <w:r>
              <w:rPr>
                <w:noProof/>
                <w:szCs w:val="24"/>
              </w:rPr>
              <w:t>1,117</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1,582</w:t>
            </w:r>
          </w:p>
        </w:tc>
        <w:tc>
          <w:tcPr>
            <w:tcW w:w="1050" w:type="pct"/>
            <w:noWrap/>
          </w:tcPr>
          <w:p w:rsidR="00B231CB" w:rsidRDefault="00C71431">
            <w:pPr>
              <w:spacing w:after="120"/>
              <w:jc w:val="center"/>
              <w:rPr>
                <w:i/>
                <w:noProof/>
                <w:szCs w:val="24"/>
              </w:rPr>
            </w:pPr>
            <w:r>
              <w:rPr>
                <w:i/>
                <w:noProof/>
                <w:szCs w:val="24"/>
              </w:rPr>
              <w:t>1,317</w:t>
            </w:r>
          </w:p>
        </w:tc>
        <w:tc>
          <w:tcPr>
            <w:tcW w:w="1049" w:type="pct"/>
            <w:noWrap/>
          </w:tcPr>
          <w:p w:rsidR="00B231CB" w:rsidRDefault="00C71431">
            <w:pPr>
              <w:spacing w:after="120"/>
              <w:jc w:val="center"/>
              <w:rPr>
                <w:i/>
                <w:noProof/>
                <w:szCs w:val="24"/>
              </w:rPr>
            </w:pPr>
            <w:r>
              <w:rPr>
                <w:i/>
                <w:noProof/>
                <w:szCs w:val="24"/>
              </w:rPr>
              <w:t>1,174</w:t>
            </w:r>
          </w:p>
        </w:tc>
      </w:tr>
    </w:tbl>
    <w:p w:rsidR="00B231CB" w:rsidRDefault="00B231CB">
      <w:pPr>
        <w:spacing w:before="120"/>
        <w:rPr>
          <w:b/>
          <w:noProof/>
          <w:szCs w:val="24"/>
          <w:u w:val="single"/>
        </w:rPr>
      </w:pPr>
    </w:p>
    <w:p w:rsidR="00B231CB" w:rsidRDefault="00C71431">
      <w:pPr>
        <w:rPr>
          <w:noProof/>
        </w:rPr>
      </w:pPr>
      <w:r>
        <w:rPr>
          <w:noProof/>
        </w:rPr>
        <w:br w:type="page"/>
      </w:r>
    </w:p>
    <w:p w:rsidR="00B231CB" w:rsidRDefault="00C71431">
      <w:pPr>
        <w:spacing w:before="120"/>
        <w:rPr>
          <w:b/>
          <w:noProof/>
          <w:szCs w:val="24"/>
          <w:u w:val="single"/>
        </w:rPr>
      </w:pPr>
      <w:r>
        <w:rPr>
          <w:b/>
          <w:noProof/>
          <w:szCs w:val="24"/>
          <w:u w:val="single"/>
        </w:rPr>
        <w:t>TLV40 – 2025 (LEVD_ZEV)</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(EUR/van)</w:t>
            </w:r>
          </w:p>
        </w:tc>
      </w:tr>
      <w:tr w:rsidR="00B231CB">
        <w:trPr>
          <w:trHeight w:val="255"/>
        </w:trPr>
        <w:tc>
          <w:tcPr>
            <w:tcW w:w="1851" w:type="pct"/>
            <w:noWrap/>
            <w:hideMark/>
          </w:tcPr>
          <w:p w:rsidR="00B231CB" w:rsidRDefault="00C71431">
            <w:pPr>
              <w:spacing w:after="120"/>
              <w:rPr>
                <w:b/>
                <w:noProof/>
                <w:szCs w:val="24"/>
              </w:rPr>
            </w:pPr>
            <w:r>
              <w:rPr>
                <w:b/>
                <w:noProof/>
                <w:szCs w:val="24"/>
              </w:rPr>
              <w:t>TLV40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877</w:t>
            </w:r>
          </w:p>
        </w:tc>
        <w:tc>
          <w:tcPr>
            <w:tcW w:w="1050" w:type="pct"/>
            <w:noWrap/>
          </w:tcPr>
          <w:p w:rsidR="00B231CB" w:rsidRDefault="00C71431">
            <w:pPr>
              <w:spacing w:after="120"/>
              <w:jc w:val="center"/>
              <w:rPr>
                <w:noProof/>
                <w:szCs w:val="24"/>
              </w:rPr>
            </w:pPr>
            <w:r>
              <w:rPr>
                <w:noProof/>
                <w:szCs w:val="24"/>
              </w:rPr>
              <w:t>406</w:t>
            </w:r>
          </w:p>
        </w:tc>
        <w:tc>
          <w:tcPr>
            <w:tcW w:w="1049" w:type="pct"/>
            <w:noWrap/>
          </w:tcPr>
          <w:p w:rsidR="00B231CB" w:rsidRDefault="00C71431">
            <w:pPr>
              <w:spacing w:after="120"/>
              <w:jc w:val="center"/>
              <w:rPr>
                <w:noProof/>
                <w:szCs w:val="24"/>
              </w:rPr>
            </w:pPr>
            <w:r>
              <w:rPr>
                <w:noProof/>
                <w:szCs w:val="24"/>
              </w:rPr>
              <w:t>459</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O&amp;</w:t>
            </w:r>
            <w:r>
              <w:rPr>
                <w:noProof/>
                <w:color w:val="000000" w:themeColor="text1"/>
                <w:szCs w:val="24"/>
              </w:rPr>
              <w:t xml:space="preserve">M cost [2] </w:t>
            </w:r>
          </w:p>
        </w:tc>
        <w:tc>
          <w:tcPr>
            <w:tcW w:w="1050" w:type="pct"/>
            <w:noWrap/>
          </w:tcPr>
          <w:p w:rsidR="00B231CB" w:rsidRDefault="00C71431">
            <w:pPr>
              <w:spacing w:after="120"/>
              <w:jc w:val="center"/>
              <w:rPr>
                <w:noProof/>
                <w:szCs w:val="24"/>
              </w:rPr>
            </w:pPr>
            <w:r>
              <w:rPr>
                <w:noProof/>
                <w:szCs w:val="24"/>
              </w:rPr>
              <w:t>1</w:t>
            </w:r>
          </w:p>
        </w:tc>
        <w:tc>
          <w:tcPr>
            <w:tcW w:w="1050" w:type="pct"/>
            <w:noWrap/>
          </w:tcPr>
          <w:p w:rsidR="00B231CB" w:rsidRDefault="00C71431">
            <w:pPr>
              <w:spacing w:after="120"/>
              <w:jc w:val="center"/>
              <w:rPr>
                <w:noProof/>
                <w:szCs w:val="24"/>
              </w:rPr>
            </w:pPr>
            <w:r>
              <w:rPr>
                <w:noProof/>
                <w:szCs w:val="24"/>
              </w:rPr>
              <w:t>-154</w:t>
            </w:r>
          </w:p>
        </w:tc>
        <w:tc>
          <w:tcPr>
            <w:tcW w:w="1049" w:type="pct"/>
            <w:noWrap/>
          </w:tcPr>
          <w:p w:rsidR="00B231CB" w:rsidRDefault="00C71431">
            <w:pPr>
              <w:spacing w:after="120"/>
              <w:jc w:val="center"/>
              <w:rPr>
                <w:noProof/>
                <w:szCs w:val="24"/>
              </w:rPr>
            </w:pPr>
            <w:r>
              <w:rPr>
                <w:noProof/>
                <w:szCs w:val="24"/>
              </w:rPr>
              <w:t>-249</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2,061</w:t>
            </w:r>
          </w:p>
        </w:tc>
        <w:tc>
          <w:tcPr>
            <w:tcW w:w="1050" w:type="pct"/>
            <w:tcBorders>
              <w:bottom w:val="single" w:sz="24" w:space="0" w:color="auto"/>
            </w:tcBorders>
            <w:noWrap/>
          </w:tcPr>
          <w:p w:rsidR="00B231CB" w:rsidRDefault="00C71431">
            <w:pPr>
              <w:spacing w:after="120"/>
              <w:jc w:val="center"/>
              <w:rPr>
                <w:noProof/>
                <w:szCs w:val="24"/>
              </w:rPr>
            </w:pPr>
            <w:r>
              <w:rPr>
                <w:noProof/>
                <w:szCs w:val="24"/>
              </w:rPr>
              <w:t>1,564</w:t>
            </w:r>
          </w:p>
        </w:tc>
        <w:tc>
          <w:tcPr>
            <w:tcW w:w="1049" w:type="pct"/>
            <w:tcBorders>
              <w:bottom w:val="single" w:sz="24" w:space="0" w:color="auto"/>
            </w:tcBorders>
            <w:noWrap/>
          </w:tcPr>
          <w:p w:rsidR="00B231CB" w:rsidRDefault="00C71431">
            <w:pPr>
              <w:spacing w:after="120"/>
              <w:jc w:val="center"/>
              <w:rPr>
                <w:noProof/>
                <w:szCs w:val="24"/>
              </w:rPr>
            </w:pPr>
            <w:r>
              <w:rPr>
                <w:noProof/>
                <w:szCs w:val="24"/>
              </w:rPr>
              <w:t>1,050</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1,291</w:t>
            </w:r>
          </w:p>
        </w:tc>
        <w:tc>
          <w:tcPr>
            <w:tcW w:w="1050" w:type="pct"/>
            <w:noWrap/>
          </w:tcPr>
          <w:p w:rsidR="00B231CB" w:rsidRDefault="00C71431">
            <w:pPr>
              <w:spacing w:after="120"/>
              <w:jc w:val="center"/>
              <w:rPr>
                <w:i/>
                <w:noProof/>
                <w:szCs w:val="24"/>
              </w:rPr>
            </w:pPr>
            <w:r>
              <w:rPr>
                <w:i/>
                <w:noProof/>
                <w:szCs w:val="24"/>
              </w:rPr>
              <w:t>1,312</w:t>
            </w:r>
          </w:p>
        </w:tc>
        <w:tc>
          <w:tcPr>
            <w:tcW w:w="1049" w:type="pct"/>
            <w:noWrap/>
          </w:tcPr>
          <w:p w:rsidR="00B231CB" w:rsidRDefault="00C71431">
            <w:pPr>
              <w:spacing w:after="120"/>
              <w:jc w:val="center"/>
              <w:rPr>
                <w:i/>
                <w:noProof/>
                <w:szCs w:val="24"/>
              </w:rPr>
            </w:pPr>
            <w:r>
              <w:rPr>
                <w:i/>
                <w:noProof/>
                <w:szCs w:val="24"/>
              </w:rPr>
              <w:t>840</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(EUR/van)</w:t>
            </w:r>
          </w:p>
        </w:tc>
      </w:tr>
      <w:tr w:rsidR="00B231CB">
        <w:trPr>
          <w:trHeight w:val="255"/>
        </w:trPr>
        <w:tc>
          <w:tcPr>
            <w:tcW w:w="1851" w:type="pct"/>
            <w:noWrap/>
            <w:hideMark/>
          </w:tcPr>
          <w:p w:rsidR="00B231CB" w:rsidRDefault="00C71431">
            <w:pPr>
              <w:spacing w:after="120"/>
              <w:rPr>
                <w:b/>
                <w:noProof/>
                <w:szCs w:val="24"/>
              </w:rPr>
            </w:pPr>
            <w:r>
              <w:rPr>
                <w:b/>
                <w:noProof/>
                <w:szCs w:val="24"/>
              </w:rPr>
              <w:t>TLV40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545</w:t>
            </w:r>
          </w:p>
        </w:tc>
        <w:tc>
          <w:tcPr>
            <w:tcW w:w="1050" w:type="pct"/>
            <w:noWrap/>
          </w:tcPr>
          <w:p w:rsidR="00B231CB" w:rsidRDefault="00C71431">
            <w:pPr>
              <w:spacing w:after="120"/>
              <w:jc w:val="center"/>
              <w:rPr>
                <w:noProof/>
                <w:szCs w:val="24"/>
              </w:rPr>
            </w:pPr>
            <w:r>
              <w:rPr>
                <w:noProof/>
                <w:szCs w:val="24"/>
              </w:rPr>
              <w:t>252</w:t>
            </w:r>
          </w:p>
        </w:tc>
        <w:tc>
          <w:tcPr>
            <w:tcW w:w="1050" w:type="pct"/>
            <w:noWrap/>
          </w:tcPr>
          <w:p w:rsidR="00B231CB" w:rsidRDefault="00C71431">
            <w:pPr>
              <w:spacing w:after="120"/>
              <w:jc w:val="center"/>
              <w:rPr>
                <w:noProof/>
                <w:szCs w:val="24"/>
              </w:rPr>
            </w:pPr>
            <w:r>
              <w:rPr>
                <w:noProof/>
                <w:szCs w:val="24"/>
              </w:rPr>
              <w:t>285</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-46</w:t>
            </w:r>
          </w:p>
        </w:tc>
        <w:tc>
          <w:tcPr>
            <w:tcW w:w="1050" w:type="pct"/>
            <w:noWrap/>
          </w:tcPr>
          <w:p w:rsidR="00B231CB" w:rsidRDefault="00C71431">
            <w:pPr>
              <w:spacing w:after="120"/>
              <w:jc w:val="center"/>
              <w:rPr>
                <w:noProof/>
                <w:szCs w:val="24"/>
              </w:rPr>
            </w:pPr>
            <w:r>
              <w:rPr>
                <w:noProof/>
                <w:szCs w:val="24"/>
              </w:rPr>
              <w:t>-66</w:t>
            </w:r>
          </w:p>
        </w:tc>
        <w:tc>
          <w:tcPr>
            <w:tcW w:w="1050" w:type="pct"/>
            <w:noWrap/>
          </w:tcPr>
          <w:p w:rsidR="00B231CB" w:rsidRDefault="00C71431">
            <w:pPr>
              <w:spacing w:after="120"/>
              <w:jc w:val="center"/>
              <w:rPr>
                <w:noProof/>
                <w:szCs w:val="24"/>
              </w:rPr>
            </w:pPr>
            <w:r>
              <w:rPr>
                <w:noProof/>
                <w:szCs w:val="24"/>
              </w:rPr>
              <w:t>-107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 xml:space="preserve">Fuel cost </w:t>
            </w:r>
            <w:r>
              <w:rPr>
                <w:noProof/>
                <w:color w:val="000000" w:themeColor="text1"/>
                <w:szCs w:val="24"/>
              </w:rPr>
              <w:t>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2,115</w:t>
            </w:r>
          </w:p>
        </w:tc>
        <w:tc>
          <w:tcPr>
            <w:tcW w:w="1050" w:type="pct"/>
            <w:tcBorders>
              <w:bottom w:val="single" w:sz="24" w:space="0" w:color="auto"/>
            </w:tcBorders>
            <w:noWrap/>
          </w:tcPr>
          <w:p w:rsidR="00B231CB" w:rsidRDefault="00C71431">
            <w:pPr>
              <w:spacing w:after="120"/>
              <w:jc w:val="center"/>
              <w:rPr>
                <w:noProof/>
                <w:szCs w:val="24"/>
              </w:rPr>
            </w:pPr>
            <w:r>
              <w:rPr>
                <w:noProof/>
                <w:szCs w:val="24"/>
              </w:rPr>
              <w:t>1,851</w:t>
            </w:r>
          </w:p>
        </w:tc>
        <w:tc>
          <w:tcPr>
            <w:tcW w:w="1050" w:type="pct"/>
            <w:tcBorders>
              <w:bottom w:val="single" w:sz="24" w:space="0" w:color="auto"/>
            </w:tcBorders>
            <w:noWrap/>
          </w:tcPr>
          <w:p w:rsidR="00B231CB" w:rsidRDefault="00C71431">
            <w:pPr>
              <w:spacing w:after="120"/>
              <w:jc w:val="center"/>
              <w:rPr>
                <w:noProof/>
                <w:szCs w:val="24"/>
              </w:rPr>
            </w:pPr>
            <w:r>
              <w:rPr>
                <w:noProof/>
                <w:szCs w:val="24"/>
              </w:rPr>
              <w:t>1,570</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1,616</w:t>
            </w:r>
          </w:p>
        </w:tc>
        <w:tc>
          <w:tcPr>
            <w:tcW w:w="1050" w:type="pct"/>
            <w:noWrap/>
          </w:tcPr>
          <w:p w:rsidR="00B231CB" w:rsidRDefault="00C71431">
            <w:pPr>
              <w:spacing w:after="120"/>
              <w:jc w:val="center"/>
              <w:rPr>
                <w:i/>
                <w:noProof/>
                <w:szCs w:val="24"/>
              </w:rPr>
            </w:pPr>
            <w:r>
              <w:rPr>
                <w:i/>
                <w:noProof/>
                <w:szCs w:val="24"/>
              </w:rPr>
              <w:t>1,665</w:t>
            </w:r>
          </w:p>
        </w:tc>
        <w:tc>
          <w:tcPr>
            <w:tcW w:w="1050" w:type="pct"/>
            <w:noWrap/>
          </w:tcPr>
          <w:p w:rsidR="00B231CB" w:rsidRDefault="00C71431">
            <w:pPr>
              <w:spacing w:after="120"/>
              <w:jc w:val="center"/>
              <w:rPr>
                <w:i/>
                <w:noProof/>
                <w:szCs w:val="24"/>
              </w:rPr>
            </w:pPr>
            <w:r>
              <w:rPr>
                <w:i/>
                <w:noProof/>
                <w:szCs w:val="24"/>
              </w:rPr>
              <w:t>1,392</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(EUR/van)</w:t>
            </w:r>
          </w:p>
        </w:tc>
      </w:tr>
      <w:tr w:rsidR="00B231CB">
        <w:trPr>
          <w:trHeight w:val="255"/>
        </w:trPr>
        <w:tc>
          <w:tcPr>
            <w:tcW w:w="1851" w:type="pct"/>
            <w:noWrap/>
            <w:hideMark/>
          </w:tcPr>
          <w:p w:rsidR="00B231CB" w:rsidRDefault="00C71431">
            <w:pPr>
              <w:spacing w:after="120"/>
              <w:rPr>
                <w:b/>
                <w:noProof/>
                <w:szCs w:val="24"/>
              </w:rPr>
            </w:pPr>
            <w:r>
              <w:rPr>
                <w:b/>
                <w:noProof/>
                <w:szCs w:val="24"/>
              </w:rPr>
              <w:t>TLV40 - 2025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263</w:t>
            </w:r>
          </w:p>
        </w:tc>
        <w:tc>
          <w:tcPr>
            <w:tcW w:w="1050" w:type="pct"/>
            <w:noWrap/>
          </w:tcPr>
          <w:p w:rsidR="00B231CB" w:rsidRDefault="00C71431">
            <w:pPr>
              <w:spacing w:after="120"/>
              <w:jc w:val="center"/>
              <w:rPr>
                <w:noProof/>
                <w:szCs w:val="24"/>
              </w:rPr>
            </w:pPr>
            <w:r>
              <w:rPr>
                <w:noProof/>
                <w:szCs w:val="24"/>
              </w:rPr>
              <w:t>122</w:t>
            </w:r>
          </w:p>
        </w:tc>
        <w:tc>
          <w:tcPr>
            <w:tcW w:w="1050" w:type="pct"/>
            <w:noWrap/>
          </w:tcPr>
          <w:p w:rsidR="00B231CB" w:rsidRDefault="00C71431">
            <w:pPr>
              <w:spacing w:after="120"/>
              <w:jc w:val="center"/>
              <w:rPr>
                <w:noProof/>
                <w:szCs w:val="24"/>
              </w:rPr>
            </w:pPr>
            <w:r>
              <w:rPr>
                <w:noProof/>
                <w:szCs w:val="24"/>
              </w:rPr>
              <w:t>138</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-46</w:t>
            </w:r>
          </w:p>
        </w:tc>
        <w:tc>
          <w:tcPr>
            <w:tcW w:w="1050" w:type="pct"/>
            <w:noWrap/>
          </w:tcPr>
          <w:p w:rsidR="00B231CB" w:rsidRDefault="00C71431">
            <w:pPr>
              <w:spacing w:after="120"/>
              <w:jc w:val="center"/>
              <w:rPr>
                <w:noProof/>
                <w:szCs w:val="24"/>
              </w:rPr>
            </w:pPr>
            <w:r>
              <w:rPr>
                <w:noProof/>
                <w:szCs w:val="24"/>
              </w:rPr>
              <w:t>-66</w:t>
            </w:r>
          </w:p>
        </w:tc>
        <w:tc>
          <w:tcPr>
            <w:tcW w:w="1050" w:type="pct"/>
            <w:noWrap/>
          </w:tcPr>
          <w:p w:rsidR="00B231CB" w:rsidRDefault="00C71431">
            <w:pPr>
              <w:spacing w:after="120"/>
              <w:jc w:val="center"/>
              <w:rPr>
                <w:noProof/>
                <w:szCs w:val="24"/>
              </w:rPr>
            </w:pPr>
            <w:r>
              <w:rPr>
                <w:noProof/>
                <w:szCs w:val="24"/>
              </w:rPr>
              <w:t>-107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1,475</w:t>
            </w:r>
          </w:p>
        </w:tc>
        <w:tc>
          <w:tcPr>
            <w:tcW w:w="1050" w:type="pct"/>
            <w:tcBorders>
              <w:bottom w:val="single" w:sz="24" w:space="0" w:color="auto"/>
            </w:tcBorders>
            <w:noWrap/>
          </w:tcPr>
          <w:p w:rsidR="00B231CB" w:rsidRDefault="00C71431">
            <w:pPr>
              <w:spacing w:after="120"/>
              <w:jc w:val="center"/>
              <w:rPr>
                <w:noProof/>
                <w:szCs w:val="24"/>
              </w:rPr>
            </w:pPr>
            <w:r>
              <w:rPr>
                <w:noProof/>
                <w:szCs w:val="24"/>
              </w:rPr>
              <w:t>1,302</w:t>
            </w:r>
          </w:p>
        </w:tc>
        <w:tc>
          <w:tcPr>
            <w:tcW w:w="1050" w:type="pct"/>
            <w:tcBorders>
              <w:bottom w:val="single" w:sz="24" w:space="0" w:color="auto"/>
            </w:tcBorders>
            <w:noWrap/>
          </w:tcPr>
          <w:p w:rsidR="00B231CB" w:rsidRDefault="00C71431">
            <w:pPr>
              <w:spacing w:after="120"/>
              <w:jc w:val="center"/>
              <w:rPr>
                <w:noProof/>
                <w:szCs w:val="24"/>
              </w:rPr>
            </w:pPr>
            <w:r>
              <w:rPr>
                <w:noProof/>
                <w:szCs w:val="24"/>
              </w:rPr>
              <w:t>1,117</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1,258</w:t>
            </w:r>
          </w:p>
        </w:tc>
        <w:tc>
          <w:tcPr>
            <w:tcW w:w="1050" w:type="pct"/>
            <w:noWrap/>
          </w:tcPr>
          <w:p w:rsidR="00B231CB" w:rsidRDefault="00C71431">
            <w:pPr>
              <w:spacing w:after="120"/>
              <w:jc w:val="center"/>
              <w:rPr>
                <w:i/>
                <w:noProof/>
                <w:szCs w:val="24"/>
              </w:rPr>
            </w:pPr>
            <w:r>
              <w:rPr>
                <w:i/>
                <w:noProof/>
                <w:szCs w:val="24"/>
              </w:rPr>
              <w:t>1,246</w:t>
            </w:r>
          </w:p>
        </w:tc>
        <w:tc>
          <w:tcPr>
            <w:tcW w:w="1050" w:type="pct"/>
            <w:noWrap/>
          </w:tcPr>
          <w:p w:rsidR="00B231CB" w:rsidRDefault="00C71431">
            <w:pPr>
              <w:spacing w:after="120"/>
              <w:jc w:val="center"/>
              <w:rPr>
                <w:i/>
                <w:noProof/>
                <w:szCs w:val="24"/>
              </w:rPr>
            </w:pPr>
            <w:r>
              <w:rPr>
                <w:i/>
                <w:noProof/>
                <w:szCs w:val="24"/>
              </w:rPr>
              <w:t>1,086</w:t>
            </w:r>
          </w:p>
        </w:tc>
      </w:tr>
    </w:tbl>
    <w:p w:rsidR="00B231CB" w:rsidRDefault="00C71431">
      <w:pPr>
        <w:spacing w:before="120"/>
        <w:rPr>
          <w:b/>
          <w:noProof/>
          <w:szCs w:val="24"/>
          <w:u w:val="single"/>
        </w:rPr>
      </w:pPr>
      <w:r>
        <w:rPr>
          <w:b/>
          <w:noProof/>
          <w:szCs w:val="24"/>
          <w:u w:val="single"/>
        </w:rPr>
        <w:t>TLV40 – 2030 (LEVD_ZEV)</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(EUR/van)</w:t>
            </w:r>
          </w:p>
        </w:tc>
      </w:tr>
      <w:tr w:rsidR="00B231CB">
        <w:trPr>
          <w:trHeight w:val="255"/>
        </w:trPr>
        <w:tc>
          <w:tcPr>
            <w:tcW w:w="1851" w:type="pct"/>
            <w:noWrap/>
            <w:hideMark/>
          </w:tcPr>
          <w:p w:rsidR="00B231CB" w:rsidRDefault="00C71431">
            <w:pPr>
              <w:spacing w:after="120"/>
              <w:rPr>
                <w:b/>
                <w:noProof/>
                <w:szCs w:val="24"/>
              </w:rPr>
            </w:pPr>
            <w:r>
              <w:rPr>
                <w:b/>
                <w:noProof/>
                <w:szCs w:val="24"/>
              </w:rPr>
              <w:t>TLV40 - 2030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1,582</w:t>
            </w:r>
          </w:p>
        </w:tc>
        <w:tc>
          <w:tcPr>
            <w:tcW w:w="1050" w:type="pct"/>
            <w:noWrap/>
          </w:tcPr>
          <w:p w:rsidR="00B231CB" w:rsidRDefault="00C71431">
            <w:pPr>
              <w:spacing w:after="120"/>
              <w:jc w:val="center"/>
              <w:rPr>
                <w:noProof/>
                <w:szCs w:val="24"/>
              </w:rPr>
            </w:pPr>
            <w:r>
              <w:rPr>
                <w:noProof/>
                <w:szCs w:val="24"/>
              </w:rPr>
              <w:t>696</w:t>
            </w:r>
          </w:p>
        </w:tc>
        <w:tc>
          <w:tcPr>
            <w:tcW w:w="1049" w:type="pct"/>
            <w:noWrap/>
          </w:tcPr>
          <w:p w:rsidR="00B231CB" w:rsidRDefault="00C71431">
            <w:pPr>
              <w:spacing w:after="120"/>
              <w:jc w:val="center"/>
              <w:rPr>
                <w:noProof/>
                <w:szCs w:val="24"/>
              </w:rPr>
            </w:pPr>
            <w:r>
              <w:rPr>
                <w:noProof/>
                <w:szCs w:val="24"/>
              </w:rPr>
              <w:t>718</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-145</w:t>
            </w:r>
          </w:p>
        </w:tc>
        <w:tc>
          <w:tcPr>
            <w:tcW w:w="1050" w:type="pct"/>
            <w:noWrap/>
          </w:tcPr>
          <w:p w:rsidR="00B231CB" w:rsidRDefault="00C71431">
            <w:pPr>
              <w:spacing w:after="120"/>
              <w:jc w:val="center"/>
              <w:rPr>
                <w:noProof/>
                <w:szCs w:val="24"/>
              </w:rPr>
            </w:pPr>
            <w:r>
              <w:rPr>
                <w:noProof/>
                <w:szCs w:val="24"/>
              </w:rPr>
              <w:t>-278</w:t>
            </w:r>
          </w:p>
        </w:tc>
        <w:tc>
          <w:tcPr>
            <w:tcW w:w="1049" w:type="pct"/>
            <w:noWrap/>
          </w:tcPr>
          <w:p w:rsidR="00B231CB" w:rsidRDefault="00C71431">
            <w:pPr>
              <w:spacing w:after="120"/>
              <w:jc w:val="center"/>
              <w:rPr>
                <w:noProof/>
                <w:szCs w:val="24"/>
              </w:rPr>
            </w:pPr>
            <w:r>
              <w:rPr>
                <w:noProof/>
                <w:szCs w:val="24"/>
              </w:rPr>
              <w:t>-362</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3,827</w:t>
            </w:r>
          </w:p>
        </w:tc>
        <w:tc>
          <w:tcPr>
            <w:tcW w:w="1050" w:type="pct"/>
            <w:tcBorders>
              <w:bottom w:val="single" w:sz="24" w:space="0" w:color="auto"/>
            </w:tcBorders>
            <w:noWrap/>
          </w:tcPr>
          <w:p w:rsidR="00B231CB" w:rsidRDefault="00C71431">
            <w:pPr>
              <w:spacing w:after="120"/>
              <w:jc w:val="center"/>
              <w:rPr>
                <w:noProof/>
                <w:szCs w:val="24"/>
              </w:rPr>
            </w:pPr>
            <w:r>
              <w:rPr>
                <w:noProof/>
                <w:szCs w:val="24"/>
              </w:rPr>
              <w:t>3,122</w:t>
            </w:r>
          </w:p>
        </w:tc>
        <w:tc>
          <w:tcPr>
            <w:tcW w:w="1049" w:type="pct"/>
            <w:tcBorders>
              <w:bottom w:val="single" w:sz="24" w:space="0" w:color="auto"/>
            </w:tcBorders>
            <w:noWrap/>
          </w:tcPr>
          <w:p w:rsidR="00B231CB" w:rsidRDefault="00C71431">
            <w:pPr>
              <w:spacing w:after="120"/>
              <w:jc w:val="center"/>
              <w:rPr>
                <w:noProof/>
                <w:szCs w:val="24"/>
              </w:rPr>
            </w:pPr>
            <w:r>
              <w:rPr>
                <w:noProof/>
                <w:szCs w:val="24"/>
              </w:rPr>
              <w:t>2,721</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2,389</w:t>
            </w:r>
          </w:p>
        </w:tc>
        <w:tc>
          <w:tcPr>
            <w:tcW w:w="1050" w:type="pct"/>
            <w:noWrap/>
          </w:tcPr>
          <w:p w:rsidR="00B231CB" w:rsidRDefault="00C71431">
            <w:pPr>
              <w:spacing w:after="120"/>
              <w:jc w:val="center"/>
              <w:rPr>
                <w:i/>
                <w:noProof/>
                <w:szCs w:val="24"/>
              </w:rPr>
            </w:pPr>
            <w:r>
              <w:rPr>
                <w:i/>
                <w:noProof/>
                <w:szCs w:val="24"/>
              </w:rPr>
              <w:t>2,704</w:t>
            </w:r>
          </w:p>
        </w:tc>
        <w:tc>
          <w:tcPr>
            <w:tcW w:w="1049" w:type="pct"/>
            <w:noWrap/>
          </w:tcPr>
          <w:p w:rsidR="00B231CB" w:rsidRDefault="00C71431">
            <w:pPr>
              <w:spacing w:after="120"/>
              <w:jc w:val="center"/>
              <w:rPr>
                <w:i/>
                <w:noProof/>
                <w:szCs w:val="24"/>
              </w:rPr>
            </w:pPr>
            <w:r>
              <w:rPr>
                <w:i/>
                <w:noProof/>
                <w:szCs w:val="24"/>
              </w:rPr>
              <w:t>2,365</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(EUR/van)</w:t>
            </w:r>
          </w:p>
        </w:tc>
      </w:tr>
      <w:tr w:rsidR="00B231CB">
        <w:trPr>
          <w:trHeight w:val="255"/>
        </w:trPr>
        <w:tc>
          <w:tcPr>
            <w:tcW w:w="1851" w:type="pct"/>
            <w:noWrap/>
            <w:hideMark/>
          </w:tcPr>
          <w:p w:rsidR="00B231CB" w:rsidRDefault="00C71431">
            <w:pPr>
              <w:spacing w:after="120"/>
              <w:rPr>
                <w:b/>
                <w:noProof/>
                <w:szCs w:val="24"/>
              </w:rPr>
            </w:pPr>
            <w:r>
              <w:rPr>
                <w:b/>
                <w:noProof/>
                <w:szCs w:val="24"/>
              </w:rPr>
              <w:t>TLV40 - 2030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984</w:t>
            </w:r>
          </w:p>
        </w:tc>
        <w:tc>
          <w:tcPr>
            <w:tcW w:w="1050" w:type="pct"/>
            <w:noWrap/>
          </w:tcPr>
          <w:p w:rsidR="00B231CB" w:rsidRDefault="00C71431">
            <w:pPr>
              <w:spacing w:after="120"/>
              <w:jc w:val="center"/>
              <w:rPr>
                <w:noProof/>
                <w:szCs w:val="24"/>
              </w:rPr>
            </w:pPr>
            <w:r>
              <w:rPr>
                <w:noProof/>
                <w:szCs w:val="24"/>
              </w:rPr>
              <w:t>433</w:t>
            </w:r>
          </w:p>
        </w:tc>
        <w:tc>
          <w:tcPr>
            <w:tcW w:w="1049" w:type="pct"/>
            <w:noWrap/>
          </w:tcPr>
          <w:p w:rsidR="00B231CB" w:rsidRDefault="00C71431">
            <w:pPr>
              <w:spacing w:after="120"/>
              <w:jc w:val="center"/>
              <w:rPr>
                <w:noProof/>
                <w:szCs w:val="24"/>
              </w:rPr>
            </w:pPr>
            <w:r>
              <w:rPr>
                <w:noProof/>
                <w:szCs w:val="24"/>
              </w:rPr>
              <w:t>446</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-62</w:t>
            </w:r>
          </w:p>
        </w:tc>
        <w:tc>
          <w:tcPr>
            <w:tcW w:w="1050" w:type="pct"/>
            <w:noWrap/>
          </w:tcPr>
          <w:p w:rsidR="00B231CB" w:rsidRDefault="00C71431">
            <w:pPr>
              <w:spacing w:after="120"/>
              <w:jc w:val="center"/>
              <w:rPr>
                <w:noProof/>
                <w:szCs w:val="24"/>
              </w:rPr>
            </w:pPr>
            <w:r>
              <w:rPr>
                <w:noProof/>
                <w:szCs w:val="24"/>
              </w:rPr>
              <w:t>-119</w:t>
            </w:r>
          </w:p>
        </w:tc>
        <w:tc>
          <w:tcPr>
            <w:tcW w:w="1049" w:type="pct"/>
            <w:noWrap/>
          </w:tcPr>
          <w:p w:rsidR="00B231CB" w:rsidRDefault="00C71431">
            <w:pPr>
              <w:spacing w:after="120"/>
              <w:jc w:val="center"/>
              <w:rPr>
                <w:noProof/>
                <w:szCs w:val="24"/>
              </w:rPr>
            </w:pPr>
            <w:r>
              <w:rPr>
                <w:noProof/>
                <w:szCs w:val="24"/>
              </w:rPr>
              <w:t>-155</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3,833</w:t>
            </w:r>
          </w:p>
        </w:tc>
        <w:tc>
          <w:tcPr>
            <w:tcW w:w="1050" w:type="pct"/>
            <w:tcBorders>
              <w:bottom w:val="single" w:sz="24" w:space="0" w:color="auto"/>
            </w:tcBorders>
            <w:noWrap/>
          </w:tcPr>
          <w:p w:rsidR="00B231CB" w:rsidRDefault="00C71431">
            <w:pPr>
              <w:spacing w:after="120"/>
              <w:jc w:val="center"/>
              <w:rPr>
                <w:noProof/>
                <w:szCs w:val="24"/>
              </w:rPr>
            </w:pPr>
            <w:r>
              <w:rPr>
                <w:noProof/>
                <w:szCs w:val="24"/>
              </w:rPr>
              <w:t>3,389</w:t>
            </w:r>
          </w:p>
        </w:tc>
        <w:tc>
          <w:tcPr>
            <w:tcW w:w="1049" w:type="pct"/>
            <w:tcBorders>
              <w:bottom w:val="single" w:sz="24" w:space="0" w:color="auto"/>
            </w:tcBorders>
            <w:noWrap/>
          </w:tcPr>
          <w:p w:rsidR="00B231CB" w:rsidRDefault="00C71431">
            <w:pPr>
              <w:spacing w:after="120"/>
              <w:jc w:val="center"/>
              <w:rPr>
                <w:noProof/>
                <w:szCs w:val="24"/>
              </w:rPr>
            </w:pPr>
            <w:r>
              <w:rPr>
                <w:noProof/>
                <w:szCs w:val="24"/>
              </w:rPr>
              <w:t>3,162</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2,912</w:t>
            </w:r>
          </w:p>
        </w:tc>
        <w:tc>
          <w:tcPr>
            <w:tcW w:w="1050" w:type="pct"/>
            <w:noWrap/>
          </w:tcPr>
          <w:p w:rsidR="00B231CB" w:rsidRDefault="00C71431">
            <w:pPr>
              <w:spacing w:after="120"/>
              <w:jc w:val="center"/>
              <w:rPr>
                <w:i/>
                <w:noProof/>
                <w:szCs w:val="24"/>
              </w:rPr>
            </w:pPr>
            <w:r>
              <w:rPr>
                <w:i/>
                <w:noProof/>
                <w:szCs w:val="24"/>
              </w:rPr>
              <w:t>3,076</w:t>
            </w:r>
          </w:p>
        </w:tc>
        <w:tc>
          <w:tcPr>
            <w:tcW w:w="1049" w:type="pct"/>
            <w:noWrap/>
          </w:tcPr>
          <w:p w:rsidR="00B231CB" w:rsidRDefault="00C71431">
            <w:pPr>
              <w:spacing w:after="120"/>
              <w:jc w:val="center"/>
              <w:rPr>
                <w:i/>
                <w:noProof/>
                <w:szCs w:val="24"/>
              </w:rPr>
            </w:pPr>
            <w:r>
              <w:rPr>
                <w:i/>
                <w:noProof/>
                <w:szCs w:val="24"/>
              </w:rPr>
              <w:t>2,871</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LEVD_ZEV</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(EUR/van)</w:t>
            </w:r>
          </w:p>
        </w:tc>
      </w:tr>
      <w:tr w:rsidR="00B231CB">
        <w:trPr>
          <w:trHeight w:val="255"/>
        </w:trPr>
        <w:tc>
          <w:tcPr>
            <w:tcW w:w="1851" w:type="pct"/>
            <w:noWrap/>
            <w:hideMark/>
          </w:tcPr>
          <w:p w:rsidR="00B231CB" w:rsidRDefault="00C71431">
            <w:pPr>
              <w:spacing w:after="120"/>
              <w:rPr>
                <w:b/>
                <w:noProof/>
                <w:szCs w:val="24"/>
              </w:rPr>
            </w:pPr>
            <w:r>
              <w:rPr>
                <w:b/>
                <w:noProof/>
                <w:szCs w:val="24"/>
              </w:rPr>
              <w:t>TLV40 - 2030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474</w:t>
            </w:r>
          </w:p>
        </w:tc>
        <w:tc>
          <w:tcPr>
            <w:tcW w:w="1050" w:type="pct"/>
            <w:noWrap/>
          </w:tcPr>
          <w:p w:rsidR="00B231CB" w:rsidRDefault="00C71431">
            <w:pPr>
              <w:spacing w:after="120"/>
              <w:jc w:val="center"/>
              <w:rPr>
                <w:noProof/>
                <w:szCs w:val="24"/>
              </w:rPr>
            </w:pPr>
            <w:r>
              <w:rPr>
                <w:noProof/>
                <w:szCs w:val="24"/>
              </w:rPr>
              <w:t>209</w:t>
            </w:r>
          </w:p>
        </w:tc>
        <w:tc>
          <w:tcPr>
            <w:tcW w:w="1049" w:type="pct"/>
            <w:noWrap/>
          </w:tcPr>
          <w:p w:rsidR="00B231CB" w:rsidRDefault="00C71431">
            <w:pPr>
              <w:spacing w:after="120"/>
              <w:jc w:val="center"/>
              <w:rPr>
                <w:noProof/>
                <w:szCs w:val="24"/>
              </w:rPr>
            </w:pPr>
            <w:r>
              <w:rPr>
                <w:noProof/>
                <w:szCs w:val="24"/>
              </w:rPr>
              <w:t>215</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-62</w:t>
            </w:r>
          </w:p>
        </w:tc>
        <w:tc>
          <w:tcPr>
            <w:tcW w:w="1050" w:type="pct"/>
            <w:noWrap/>
          </w:tcPr>
          <w:p w:rsidR="00B231CB" w:rsidRDefault="00C71431">
            <w:pPr>
              <w:spacing w:after="120"/>
              <w:jc w:val="center"/>
              <w:rPr>
                <w:noProof/>
                <w:szCs w:val="24"/>
              </w:rPr>
            </w:pPr>
            <w:r>
              <w:rPr>
                <w:noProof/>
                <w:szCs w:val="24"/>
              </w:rPr>
              <w:t>-119</w:t>
            </w:r>
          </w:p>
        </w:tc>
        <w:tc>
          <w:tcPr>
            <w:tcW w:w="1049" w:type="pct"/>
            <w:noWrap/>
          </w:tcPr>
          <w:p w:rsidR="00B231CB" w:rsidRDefault="00C71431">
            <w:pPr>
              <w:spacing w:after="120"/>
              <w:jc w:val="center"/>
              <w:rPr>
                <w:noProof/>
                <w:szCs w:val="24"/>
              </w:rPr>
            </w:pPr>
            <w:r>
              <w:rPr>
                <w:noProof/>
                <w:szCs w:val="24"/>
              </w:rPr>
              <w:t>-155</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2,629</w:t>
            </w:r>
          </w:p>
        </w:tc>
        <w:tc>
          <w:tcPr>
            <w:tcW w:w="1050" w:type="pct"/>
            <w:tcBorders>
              <w:bottom w:val="single" w:sz="24" w:space="0" w:color="auto"/>
            </w:tcBorders>
            <w:noWrap/>
          </w:tcPr>
          <w:p w:rsidR="00B231CB" w:rsidRDefault="00C71431">
            <w:pPr>
              <w:spacing w:after="120"/>
              <w:jc w:val="center"/>
              <w:rPr>
                <w:noProof/>
                <w:szCs w:val="24"/>
              </w:rPr>
            </w:pPr>
            <w:r>
              <w:rPr>
                <w:noProof/>
                <w:szCs w:val="24"/>
              </w:rPr>
              <w:t>2,334</w:t>
            </w:r>
          </w:p>
        </w:tc>
        <w:tc>
          <w:tcPr>
            <w:tcW w:w="1049" w:type="pct"/>
            <w:tcBorders>
              <w:bottom w:val="single" w:sz="24" w:space="0" w:color="auto"/>
            </w:tcBorders>
            <w:noWrap/>
          </w:tcPr>
          <w:p w:rsidR="00B231CB" w:rsidRDefault="00C71431">
            <w:pPr>
              <w:spacing w:after="120"/>
              <w:jc w:val="center"/>
              <w:rPr>
                <w:noProof/>
                <w:szCs w:val="24"/>
              </w:rPr>
            </w:pPr>
            <w:r>
              <w:rPr>
                <w:noProof/>
                <w:szCs w:val="24"/>
              </w:rPr>
              <w:t>2,186</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2,217</w:t>
            </w:r>
          </w:p>
        </w:tc>
        <w:tc>
          <w:tcPr>
            <w:tcW w:w="1050" w:type="pct"/>
            <w:noWrap/>
          </w:tcPr>
          <w:p w:rsidR="00B231CB" w:rsidRDefault="00C71431">
            <w:pPr>
              <w:spacing w:after="120"/>
              <w:jc w:val="center"/>
              <w:rPr>
                <w:i/>
                <w:noProof/>
                <w:szCs w:val="24"/>
              </w:rPr>
            </w:pPr>
            <w:r>
              <w:rPr>
                <w:i/>
                <w:noProof/>
                <w:szCs w:val="24"/>
              </w:rPr>
              <w:t>2,245</w:t>
            </w:r>
          </w:p>
        </w:tc>
        <w:tc>
          <w:tcPr>
            <w:tcW w:w="1049" w:type="pct"/>
            <w:noWrap/>
          </w:tcPr>
          <w:p w:rsidR="00B231CB" w:rsidRDefault="00C71431">
            <w:pPr>
              <w:spacing w:after="120"/>
              <w:jc w:val="center"/>
              <w:rPr>
                <w:i/>
                <w:noProof/>
                <w:szCs w:val="24"/>
              </w:rPr>
            </w:pPr>
            <w:r>
              <w:rPr>
                <w:i/>
                <w:noProof/>
                <w:szCs w:val="24"/>
              </w:rPr>
              <w:t>2,126</w:t>
            </w:r>
          </w:p>
        </w:tc>
      </w:tr>
    </w:tbl>
    <w:p w:rsidR="00B231CB" w:rsidRDefault="00C71431">
      <w:pPr>
        <w:spacing w:before="120"/>
        <w:rPr>
          <w:b/>
          <w:noProof/>
          <w:szCs w:val="24"/>
          <w:u w:val="single"/>
        </w:rPr>
      </w:pPr>
      <w:r>
        <w:rPr>
          <w:b/>
          <w:noProof/>
          <w:szCs w:val="24"/>
          <w:u w:val="single"/>
        </w:rPr>
        <w:t xml:space="preserve">TLV20 – </w:t>
      </w:r>
      <w:r>
        <w:rPr>
          <w:b/>
          <w:noProof/>
          <w:szCs w:val="24"/>
          <w:u w:val="single"/>
        </w:rPr>
        <w:t>2025 (LEVD_40)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LEVD_40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(EUR/van)</w:t>
            </w:r>
          </w:p>
        </w:tc>
      </w:tr>
      <w:tr w:rsidR="00B231CB">
        <w:trPr>
          <w:trHeight w:val="255"/>
        </w:trPr>
        <w:tc>
          <w:tcPr>
            <w:tcW w:w="1851" w:type="pct"/>
            <w:noWrap/>
            <w:hideMark/>
          </w:tcPr>
          <w:p w:rsidR="00B231CB" w:rsidRDefault="00C71431">
            <w:pPr>
              <w:spacing w:after="120"/>
              <w:rPr>
                <w:b/>
                <w:noProof/>
                <w:szCs w:val="24"/>
              </w:rPr>
            </w:pPr>
            <w:r>
              <w:rPr>
                <w:b/>
                <w:noProof/>
                <w:szCs w:val="24"/>
              </w:rPr>
              <w:t>TLV20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232</w:t>
            </w:r>
          </w:p>
        </w:tc>
        <w:tc>
          <w:tcPr>
            <w:tcW w:w="1050" w:type="pct"/>
            <w:noWrap/>
          </w:tcPr>
          <w:p w:rsidR="00B231CB" w:rsidRDefault="00C71431">
            <w:pPr>
              <w:spacing w:after="120"/>
              <w:jc w:val="center"/>
              <w:rPr>
                <w:noProof/>
                <w:szCs w:val="24"/>
              </w:rPr>
            </w:pPr>
            <w:r>
              <w:rPr>
                <w:noProof/>
                <w:szCs w:val="24"/>
              </w:rPr>
              <w:t>47</w:t>
            </w:r>
          </w:p>
        </w:tc>
        <w:tc>
          <w:tcPr>
            <w:tcW w:w="1050" w:type="pct"/>
            <w:noWrap/>
          </w:tcPr>
          <w:p w:rsidR="00B231CB" w:rsidRDefault="00C71431">
            <w:pPr>
              <w:spacing w:after="120"/>
              <w:jc w:val="center"/>
              <w:rPr>
                <w:noProof/>
                <w:szCs w:val="24"/>
              </w:rPr>
            </w:pPr>
            <w:r>
              <w:rPr>
                <w:noProof/>
                <w:szCs w:val="24"/>
              </w:rPr>
              <w:t>203</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w:t>
            </w:r>
          </w:p>
        </w:tc>
        <w:tc>
          <w:tcPr>
            <w:tcW w:w="1050" w:type="pct"/>
            <w:noWrap/>
          </w:tcPr>
          <w:p w:rsidR="00B231CB" w:rsidRDefault="00C71431">
            <w:pPr>
              <w:spacing w:after="120"/>
              <w:jc w:val="center"/>
              <w:rPr>
                <w:noProof/>
                <w:szCs w:val="24"/>
              </w:rPr>
            </w:pPr>
            <w:r>
              <w:rPr>
                <w:noProof/>
                <w:szCs w:val="24"/>
              </w:rPr>
              <w:t>-124</w:t>
            </w:r>
          </w:p>
        </w:tc>
        <w:tc>
          <w:tcPr>
            <w:tcW w:w="1050" w:type="pct"/>
            <w:noWrap/>
          </w:tcPr>
          <w:p w:rsidR="00B231CB" w:rsidRDefault="00C71431">
            <w:pPr>
              <w:spacing w:after="120"/>
              <w:jc w:val="center"/>
              <w:rPr>
                <w:noProof/>
                <w:szCs w:val="24"/>
              </w:rPr>
            </w:pPr>
            <w:r>
              <w:rPr>
                <w:noProof/>
                <w:szCs w:val="24"/>
              </w:rPr>
              <w:t>-221</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1,002</w:t>
            </w:r>
          </w:p>
        </w:tc>
        <w:tc>
          <w:tcPr>
            <w:tcW w:w="1050" w:type="pct"/>
            <w:tcBorders>
              <w:bottom w:val="single" w:sz="24" w:space="0" w:color="auto"/>
            </w:tcBorders>
            <w:noWrap/>
          </w:tcPr>
          <w:p w:rsidR="00B231CB" w:rsidRDefault="00C71431">
            <w:pPr>
              <w:spacing w:after="120"/>
              <w:jc w:val="center"/>
              <w:rPr>
                <w:noProof/>
                <w:szCs w:val="24"/>
              </w:rPr>
            </w:pPr>
            <w:r>
              <w:rPr>
                <w:noProof/>
                <w:szCs w:val="24"/>
              </w:rPr>
              <w:t>498</w:t>
            </w:r>
          </w:p>
        </w:tc>
        <w:tc>
          <w:tcPr>
            <w:tcW w:w="1050" w:type="pct"/>
            <w:tcBorders>
              <w:bottom w:val="single" w:sz="24" w:space="0" w:color="auto"/>
            </w:tcBorders>
            <w:noWrap/>
          </w:tcPr>
          <w:p w:rsidR="00B231CB" w:rsidRDefault="00C71431">
            <w:pPr>
              <w:spacing w:after="120"/>
              <w:jc w:val="center"/>
              <w:rPr>
                <w:noProof/>
                <w:szCs w:val="24"/>
              </w:rPr>
            </w:pPr>
            <w:r>
              <w:rPr>
                <w:noProof/>
                <w:szCs w:val="24"/>
              </w:rPr>
              <w:t>27</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810</w:t>
            </w:r>
          </w:p>
        </w:tc>
        <w:tc>
          <w:tcPr>
            <w:tcW w:w="1050" w:type="pct"/>
            <w:noWrap/>
          </w:tcPr>
          <w:p w:rsidR="00B231CB" w:rsidRDefault="00C71431">
            <w:pPr>
              <w:spacing w:after="120"/>
              <w:jc w:val="center"/>
              <w:rPr>
                <w:i/>
                <w:noProof/>
                <w:szCs w:val="24"/>
              </w:rPr>
            </w:pPr>
            <w:r>
              <w:rPr>
                <w:i/>
                <w:noProof/>
                <w:szCs w:val="24"/>
              </w:rPr>
              <w:t>575</w:t>
            </w:r>
          </w:p>
        </w:tc>
        <w:tc>
          <w:tcPr>
            <w:tcW w:w="1050" w:type="pct"/>
            <w:noWrap/>
          </w:tcPr>
          <w:p w:rsidR="00B231CB" w:rsidRDefault="00C71431">
            <w:pPr>
              <w:spacing w:after="120"/>
              <w:jc w:val="center"/>
              <w:rPr>
                <w:i/>
                <w:noProof/>
                <w:szCs w:val="24"/>
              </w:rPr>
            </w:pPr>
            <w:r>
              <w:rPr>
                <w:i/>
                <w:noProof/>
                <w:szCs w:val="24"/>
              </w:rPr>
              <w:t>45</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LEVD_40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 xml:space="preserve">TCO-first </w:t>
            </w:r>
            <w:r>
              <w:rPr>
                <w:b/>
                <w:i/>
                <w:noProof/>
                <w:color w:val="000000" w:themeColor="text1"/>
              </w:rPr>
              <w:t>user (5 years) (EUR/van)</w:t>
            </w:r>
          </w:p>
        </w:tc>
      </w:tr>
      <w:tr w:rsidR="00B231CB">
        <w:trPr>
          <w:trHeight w:val="255"/>
        </w:trPr>
        <w:tc>
          <w:tcPr>
            <w:tcW w:w="1851" w:type="pct"/>
            <w:noWrap/>
            <w:hideMark/>
          </w:tcPr>
          <w:p w:rsidR="00B231CB" w:rsidRDefault="00C71431">
            <w:pPr>
              <w:spacing w:after="120"/>
              <w:rPr>
                <w:b/>
                <w:noProof/>
                <w:szCs w:val="24"/>
              </w:rPr>
            </w:pPr>
            <w:r>
              <w:rPr>
                <w:b/>
                <w:noProof/>
                <w:szCs w:val="24"/>
              </w:rPr>
              <w:t>TLV20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144</w:t>
            </w:r>
          </w:p>
        </w:tc>
        <w:tc>
          <w:tcPr>
            <w:tcW w:w="1050" w:type="pct"/>
            <w:noWrap/>
          </w:tcPr>
          <w:p w:rsidR="00B231CB" w:rsidRDefault="00C71431">
            <w:pPr>
              <w:spacing w:after="120"/>
              <w:jc w:val="center"/>
              <w:rPr>
                <w:noProof/>
                <w:szCs w:val="24"/>
              </w:rPr>
            </w:pPr>
            <w:r>
              <w:rPr>
                <w:noProof/>
                <w:szCs w:val="24"/>
              </w:rPr>
              <w:t>29</w:t>
            </w:r>
          </w:p>
        </w:tc>
        <w:tc>
          <w:tcPr>
            <w:tcW w:w="1050" w:type="pct"/>
            <w:noWrap/>
          </w:tcPr>
          <w:p w:rsidR="00B231CB" w:rsidRDefault="00C71431">
            <w:pPr>
              <w:spacing w:after="120"/>
              <w:jc w:val="center"/>
              <w:rPr>
                <w:noProof/>
                <w:szCs w:val="24"/>
              </w:rPr>
            </w:pPr>
            <w:r>
              <w:rPr>
                <w:noProof/>
                <w:szCs w:val="24"/>
              </w:rPr>
              <w:t>126</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-17</w:t>
            </w:r>
          </w:p>
        </w:tc>
        <w:tc>
          <w:tcPr>
            <w:tcW w:w="1050" w:type="pct"/>
            <w:noWrap/>
          </w:tcPr>
          <w:p w:rsidR="00B231CB" w:rsidRDefault="00C71431">
            <w:pPr>
              <w:spacing w:after="120"/>
              <w:jc w:val="center"/>
              <w:rPr>
                <w:noProof/>
                <w:szCs w:val="24"/>
              </w:rPr>
            </w:pPr>
            <w:r>
              <w:rPr>
                <w:noProof/>
                <w:szCs w:val="24"/>
              </w:rPr>
              <w:t>-53</w:t>
            </w:r>
          </w:p>
        </w:tc>
        <w:tc>
          <w:tcPr>
            <w:tcW w:w="1050" w:type="pct"/>
            <w:noWrap/>
          </w:tcPr>
          <w:p w:rsidR="00B231CB" w:rsidRDefault="00C71431">
            <w:pPr>
              <w:spacing w:after="120"/>
              <w:jc w:val="center"/>
              <w:rPr>
                <w:noProof/>
                <w:szCs w:val="24"/>
              </w:rPr>
            </w:pPr>
            <w:r>
              <w:rPr>
                <w:noProof/>
                <w:szCs w:val="24"/>
              </w:rPr>
              <w:t>-95</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1,016</w:t>
            </w:r>
          </w:p>
        </w:tc>
        <w:tc>
          <w:tcPr>
            <w:tcW w:w="1050" w:type="pct"/>
            <w:tcBorders>
              <w:bottom w:val="single" w:sz="24" w:space="0" w:color="auto"/>
            </w:tcBorders>
            <w:noWrap/>
          </w:tcPr>
          <w:p w:rsidR="00B231CB" w:rsidRDefault="00C71431">
            <w:pPr>
              <w:spacing w:after="120"/>
              <w:jc w:val="center"/>
              <w:rPr>
                <w:noProof/>
                <w:szCs w:val="24"/>
              </w:rPr>
            </w:pPr>
            <w:r>
              <w:rPr>
                <w:noProof/>
                <w:szCs w:val="24"/>
              </w:rPr>
              <w:t>715</w:t>
            </w:r>
          </w:p>
        </w:tc>
        <w:tc>
          <w:tcPr>
            <w:tcW w:w="1050" w:type="pct"/>
            <w:tcBorders>
              <w:bottom w:val="single" w:sz="24" w:space="0" w:color="auto"/>
            </w:tcBorders>
            <w:noWrap/>
          </w:tcPr>
          <w:p w:rsidR="00B231CB" w:rsidRDefault="00C71431">
            <w:pPr>
              <w:spacing w:after="120"/>
              <w:jc w:val="center"/>
              <w:rPr>
                <w:noProof/>
                <w:szCs w:val="24"/>
              </w:rPr>
            </w:pPr>
            <w:r>
              <w:rPr>
                <w:noProof/>
                <w:szCs w:val="24"/>
              </w:rPr>
              <w:t>435</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889</w:t>
            </w:r>
          </w:p>
        </w:tc>
        <w:tc>
          <w:tcPr>
            <w:tcW w:w="1050" w:type="pct"/>
            <w:noWrap/>
          </w:tcPr>
          <w:p w:rsidR="00B231CB" w:rsidRDefault="00C71431">
            <w:pPr>
              <w:spacing w:after="120"/>
              <w:jc w:val="center"/>
              <w:rPr>
                <w:i/>
                <w:noProof/>
                <w:szCs w:val="24"/>
              </w:rPr>
            </w:pPr>
            <w:r>
              <w:rPr>
                <w:i/>
                <w:noProof/>
                <w:szCs w:val="24"/>
              </w:rPr>
              <w:t>739</w:t>
            </w:r>
          </w:p>
        </w:tc>
        <w:tc>
          <w:tcPr>
            <w:tcW w:w="1050" w:type="pct"/>
            <w:noWrap/>
          </w:tcPr>
          <w:p w:rsidR="00B231CB" w:rsidRDefault="00C71431">
            <w:pPr>
              <w:spacing w:after="120"/>
              <w:jc w:val="center"/>
              <w:rPr>
                <w:i/>
                <w:noProof/>
                <w:szCs w:val="24"/>
              </w:rPr>
            </w:pPr>
            <w:r>
              <w:rPr>
                <w:i/>
                <w:noProof/>
                <w:szCs w:val="24"/>
              </w:rPr>
              <w:t>404</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LEVD_40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(EUR/van)</w:t>
            </w:r>
          </w:p>
        </w:tc>
      </w:tr>
      <w:tr w:rsidR="00B231CB">
        <w:trPr>
          <w:trHeight w:val="255"/>
        </w:trPr>
        <w:tc>
          <w:tcPr>
            <w:tcW w:w="1851" w:type="pct"/>
            <w:noWrap/>
            <w:hideMark/>
          </w:tcPr>
          <w:p w:rsidR="00B231CB" w:rsidRDefault="00C71431">
            <w:pPr>
              <w:spacing w:after="120"/>
              <w:rPr>
                <w:b/>
                <w:noProof/>
                <w:szCs w:val="24"/>
              </w:rPr>
            </w:pPr>
            <w:r>
              <w:rPr>
                <w:b/>
                <w:noProof/>
                <w:szCs w:val="24"/>
              </w:rPr>
              <w:t>TLV20 - 2025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69</w:t>
            </w:r>
          </w:p>
        </w:tc>
        <w:tc>
          <w:tcPr>
            <w:tcW w:w="1050" w:type="pct"/>
            <w:noWrap/>
          </w:tcPr>
          <w:p w:rsidR="00B231CB" w:rsidRDefault="00C71431">
            <w:pPr>
              <w:spacing w:after="120"/>
              <w:jc w:val="center"/>
              <w:rPr>
                <w:noProof/>
                <w:szCs w:val="24"/>
              </w:rPr>
            </w:pPr>
            <w:r>
              <w:rPr>
                <w:noProof/>
                <w:szCs w:val="24"/>
              </w:rPr>
              <w:t>14</w:t>
            </w:r>
          </w:p>
        </w:tc>
        <w:tc>
          <w:tcPr>
            <w:tcW w:w="1050" w:type="pct"/>
            <w:noWrap/>
          </w:tcPr>
          <w:p w:rsidR="00B231CB" w:rsidRDefault="00C71431">
            <w:pPr>
              <w:spacing w:after="120"/>
              <w:jc w:val="center"/>
              <w:rPr>
                <w:noProof/>
                <w:szCs w:val="24"/>
              </w:rPr>
            </w:pPr>
            <w:r>
              <w:rPr>
                <w:noProof/>
                <w:szCs w:val="24"/>
              </w:rPr>
              <w:t>61</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-17</w:t>
            </w:r>
          </w:p>
        </w:tc>
        <w:tc>
          <w:tcPr>
            <w:tcW w:w="1050" w:type="pct"/>
            <w:noWrap/>
          </w:tcPr>
          <w:p w:rsidR="00B231CB" w:rsidRDefault="00C71431">
            <w:pPr>
              <w:spacing w:after="120"/>
              <w:jc w:val="center"/>
              <w:rPr>
                <w:noProof/>
                <w:szCs w:val="24"/>
              </w:rPr>
            </w:pPr>
            <w:r>
              <w:rPr>
                <w:noProof/>
                <w:szCs w:val="24"/>
              </w:rPr>
              <w:t>-53</w:t>
            </w:r>
          </w:p>
        </w:tc>
        <w:tc>
          <w:tcPr>
            <w:tcW w:w="1050" w:type="pct"/>
            <w:noWrap/>
          </w:tcPr>
          <w:p w:rsidR="00B231CB" w:rsidRDefault="00C71431">
            <w:pPr>
              <w:spacing w:after="120"/>
              <w:jc w:val="center"/>
              <w:rPr>
                <w:noProof/>
                <w:szCs w:val="24"/>
              </w:rPr>
            </w:pPr>
            <w:r>
              <w:rPr>
                <w:noProof/>
                <w:szCs w:val="24"/>
              </w:rPr>
              <w:t>-95</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707</w:t>
            </w:r>
          </w:p>
        </w:tc>
        <w:tc>
          <w:tcPr>
            <w:tcW w:w="1050" w:type="pct"/>
            <w:tcBorders>
              <w:bottom w:val="single" w:sz="24" w:space="0" w:color="auto"/>
            </w:tcBorders>
            <w:noWrap/>
          </w:tcPr>
          <w:p w:rsidR="00B231CB" w:rsidRDefault="00C71431">
            <w:pPr>
              <w:spacing w:after="120"/>
              <w:jc w:val="center"/>
              <w:rPr>
                <w:noProof/>
                <w:szCs w:val="24"/>
              </w:rPr>
            </w:pPr>
            <w:r>
              <w:rPr>
                <w:noProof/>
                <w:szCs w:val="24"/>
              </w:rPr>
              <w:t>508</w:t>
            </w:r>
          </w:p>
        </w:tc>
        <w:tc>
          <w:tcPr>
            <w:tcW w:w="1050" w:type="pct"/>
            <w:tcBorders>
              <w:bottom w:val="single" w:sz="24" w:space="0" w:color="auto"/>
            </w:tcBorders>
            <w:noWrap/>
          </w:tcPr>
          <w:p w:rsidR="00B231CB" w:rsidRDefault="00C71431">
            <w:pPr>
              <w:spacing w:after="120"/>
              <w:jc w:val="center"/>
              <w:rPr>
                <w:noProof/>
                <w:szCs w:val="24"/>
              </w:rPr>
            </w:pPr>
            <w:r>
              <w:rPr>
                <w:noProof/>
                <w:szCs w:val="24"/>
              </w:rPr>
              <w:t>322</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655</w:t>
            </w:r>
          </w:p>
        </w:tc>
        <w:tc>
          <w:tcPr>
            <w:tcW w:w="1050" w:type="pct"/>
            <w:noWrap/>
          </w:tcPr>
          <w:p w:rsidR="00B231CB" w:rsidRDefault="00C71431">
            <w:pPr>
              <w:spacing w:after="120"/>
              <w:jc w:val="center"/>
              <w:rPr>
                <w:i/>
                <w:noProof/>
                <w:szCs w:val="24"/>
              </w:rPr>
            </w:pPr>
            <w:r>
              <w:rPr>
                <w:i/>
                <w:noProof/>
                <w:szCs w:val="24"/>
              </w:rPr>
              <w:t>547</w:t>
            </w:r>
          </w:p>
        </w:tc>
        <w:tc>
          <w:tcPr>
            <w:tcW w:w="1050" w:type="pct"/>
            <w:noWrap/>
          </w:tcPr>
          <w:p w:rsidR="00B231CB" w:rsidRDefault="00C71431">
            <w:pPr>
              <w:spacing w:after="120"/>
              <w:jc w:val="center"/>
              <w:rPr>
                <w:i/>
                <w:noProof/>
                <w:szCs w:val="24"/>
              </w:rPr>
            </w:pPr>
            <w:r>
              <w:rPr>
                <w:i/>
                <w:noProof/>
                <w:szCs w:val="24"/>
              </w:rPr>
              <w:t>356</w:t>
            </w:r>
          </w:p>
        </w:tc>
      </w:tr>
    </w:tbl>
    <w:p w:rsidR="00B231CB" w:rsidRDefault="00C71431">
      <w:pPr>
        <w:spacing w:before="120"/>
        <w:rPr>
          <w:b/>
          <w:noProof/>
          <w:szCs w:val="24"/>
          <w:u w:val="single"/>
        </w:rPr>
      </w:pPr>
      <w:r>
        <w:rPr>
          <w:b/>
          <w:noProof/>
          <w:szCs w:val="24"/>
          <w:u w:val="single"/>
        </w:rPr>
        <w:t>TLV20 – 2030 (LEVD_40)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LEVD_40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(EUR/van)</w:t>
            </w:r>
          </w:p>
        </w:tc>
      </w:tr>
      <w:tr w:rsidR="00B231CB">
        <w:trPr>
          <w:trHeight w:val="255"/>
        </w:trPr>
        <w:tc>
          <w:tcPr>
            <w:tcW w:w="1851" w:type="pct"/>
            <w:noWrap/>
            <w:hideMark/>
          </w:tcPr>
          <w:p w:rsidR="00B231CB" w:rsidRDefault="00C71431">
            <w:pPr>
              <w:spacing w:after="120"/>
              <w:rPr>
                <w:b/>
                <w:noProof/>
                <w:szCs w:val="24"/>
              </w:rPr>
            </w:pPr>
            <w:r>
              <w:rPr>
                <w:b/>
                <w:noProof/>
                <w:szCs w:val="24"/>
              </w:rPr>
              <w:t>TLV20 - 2030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426</w:t>
            </w:r>
          </w:p>
        </w:tc>
        <w:tc>
          <w:tcPr>
            <w:tcW w:w="1050" w:type="pct"/>
            <w:noWrap/>
          </w:tcPr>
          <w:p w:rsidR="00B231CB" w:rsidRDefault="00C71431">
            <w:pPr>
              <w:spacing w:after="120"/>
              <w:jc w:val="center"/>
              <w:rPr>
                <w:noProof/>
                <w:szCs w:val="24"/>
              </w:rPr>
            </w:pPr>
            <w:r>
              <w:rPr>
                <w:noProof/>
                <w:szCs w:val="24"/>
              </w:rPr>
              <w:t>57</w:t>
            </w:r>
          </w:p>
        </w:tc>
        <w:tc>
          <w:tcPr>
            <w:tcW w:w="1049" w:type="pct"/>
            <w:noWrap/>
          </w:tcPr>
          <w:p w:rsidR="00B231CB" w:rsidRDefault="00C71431">
            <w:pPr>
              <w:spacing w:after="120"/>
              <w:jc w:val="center"/>
              <w:rPr>
                <w:noProof/>
                <w:szCs w:val="24"/>
              </w:rPr>
            </w:pPr>
            <w:r>
              <w:rPr>
                <w:noProof/>
                <w:szCs w:val="24"/>
              </w:rPr>
              <w:t>209</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-51</w:t>
            </w:r>
          </w:p>
        </w:tc>
        <w:tc>
          <w:tcPr>
            <w:tcW w:w="1050" w:type="pct"/>
            <w:noWrap/>
          </w:tcPr>
          <w:p w:rsidR="00B231CB" w:rsidRDefault="00C71431">
            <w:pPr>
              <w:spacing w:after="120"/>
              <w:jc w:val="center"/>
              <w:rPr>
                <w:noProof/>
                <w:szCs w:val="24"/>
              </w:rPr>
            </w:pPr>
            <w:r>
              <w:rPr>
                <w:noProof/>
                <w:szCs w:val="24"/>
              </w:rPr>
              <w:t>-186</w:t>
            </w:r>
          </w:p>
        </w:tc>
        <w:tc>
          <w:tcPr>
            <w:tcW w:w="1049" w:type="pct"/>
            <w:noWrap/>
          </w:tcPr>
          <w:p w:rsidR="00B231CB" w:rsidRDefault="00C71431">
            <w:pPr>
              <w:spacing w:after="120"/>
              <w:jc w:val="center"/>
              <w:rPr>
                <w:noProof/>
                <w:szCs w:val="24"/>
              </w:rPr>
            </w:pPr>
            <w:r>
              <w:rPr>
                <w:noProof/>
                <w:szCs w:val="24"/>
              </w:rPr>
              <w:t>-327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2,063</w:t>
            </w:r>
          </w:p>
        </w:tc>
        <w:tc>
          <w:tcPr>
            <w:tcW w:w="1050" w:type="pct"/>
            <w:tcBorders>
              <w:bottom w:val="single" w:sz="24" w:space="0" w:color="auto"/>
            </w:tcBorders>
            <w:noWrap/>
          </w:tcPr>
          <w:p w:rsidR="00B231CB" w:rsidRDefault="00C71431">
            <w:pPr>
              <w:spacing w:after="120"/>
              <w:jc w:val="center"/>
              <w:rPr>
                <w:noProof/>
                <w:szCs w:val="24"/>
              </w:rPr>
            </w:pPr>
            <w:r>
              <w:rPr>
                <w:noProof/>
                <w:szCs w:val="24"/>
              </w:rPr>
              <w:t>1,266</w:t>
            </w:r>
          </w:p>
        </w:tc>
        <w:tc>
          <w:tcPr>
            <w:tcW w:w="1049" w:type="pct"/>
            <w:tcBorders>
              <w:bottom w:val="single" w:sz="24" w:space="0" w:color="auto"/>
            </w:tcBorders>
            <w:noWrap/>
          </w:tcPr>
          <w:p w:rsidR="00B231CB" w:rsidRDefault="00C71431">
            <w:pPr>
              <w:spacing w:after="120"/>
              <w:jc w:val="center"/>
              <w:rPr>
                <w:noProof/>
                <w:szCs w:val="24"/>
              </w:rPr>
            </w:pPr>
            <w:r>
              <w:rPr>
                <w:noProof/>
                <w:szCs w:val="24"/>
              </w:rPr>
              <w:t>666</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1,688</w:t>
            </w:r>
          </w:p>
        </w:tc>
        <w:tc>
          <w:tcPr>
            <w:tcW w:w="1050" w:type="pct"/>
            <w:noWrap/>
          </w:tcPr>
          <w:p w:rsidR="00B231CB" w:rsidRDefault="00C71431">
            <w:pPr>
              <w:spacing w:after="120"/>
              <w:jc w:val="center"/>
              <w:rPr>
                <w:i/>
                <w:noProof/>
                <w:szCs w:val="24"/>
              </w:rPr>
            </w:pPr>
            <w:r>
              <w:rPr>
                <w:i/>
                <w:noProof/>
                <w:szCs w:val="24"/>
              </w:rPr>
              <w:t>1,395</w:t>
            </w:r>
          </w:p>
        </w:tc>
        <w:tc>
          <w:tcPr>
            <w:tcW w:w="1049" w:type="pct"/>
            <w:noWrap/>
          </w:tcPr>
          <w:p w:rsidR="00B231CB" w:rsidRDefault="00C71431">
            <w:pPr>
              <w:spacing w:after="120"/>
              <w:jc w:val="center"/>
              <w:rPr>
                <w:i/>
                <w:noProof/>
                <w:szCs w:val="24"/>
              </w:rPr>
            </w:pPr>
            <w:r>
              <w:rPr>
                <w:i/>
                <w:noProof/>
                <w:szCs w:val="24"/>
              </w:rPr>
              <w:t>784</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LEVD_40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(EUR/van)</w:t>
            </w:r>
          </w:p>
        </w:tc>
      </w:tr>
      <w:tr w:rsidR="00B231CB">
        <w:trPr>
          <w:trHeight w:val="255"/>
        </w:trPr>
        <w:tc>
          <w:tcPr>
            <w:tcW w:w="1851" w:type="pct"/>
            <w:noWrap/>
            <w:hideMark/>
          </w:tcPr>
          <w:p w:rsidR="00B231CB" w:rsidRDefault="00C71431">
            <w:pPr>
              <w:spacing w:after="120"/>
              <w:rPr>
                <w:b/>
                <w:noProof/>
                <w:szCs w:val="24"/>
              </w:rPr>
            </w:pPr>
            <w:r>
              <w:rPr>
                <w:b/>
                <w:noProof/>
                <w:szCs w:val="24"/>
              </w:rPr>
              <w:t>TLV20 - 2030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265</w:t>
            </w:r>
          </w:p>
        </w:tc>
        <w:tc>
          <w:tcPr>
            <w:tcW w:w="1050" w:type="pct"/>
            <w:noWrap/>
          </w:tcPr>
          <w:p w:rsidR="00B231CB" w:rsidRDefault="00C71431">
            <w:pPr>
              <w:spacing w:after="120"/>
              <w:jc w:val="center"/>
              <w:rPr>
                <w:noProof/>
                <w:szCs w:val="24"/>
              </w:rPr>
            </w:pPr>
            <w:r>
              <w:rPr>
                <w:noProof/>
                <w:szCs w:val="24"/>
              </w:rPr>
              <w:t>35</w:t>
            </w:r>
          </w:p>
        </w:tc>
        <w:tc>
          <w:tcPr>
            <w:tcW w:w="1049" w:type="pct"/>
            <w:noWrap/>
          </w:tcPr>
          <w:p w:rsidR="00B231CB" w:rsidRDefault="00C71431">
            <w:pPr>
              <w:spacing w:after="120"/>
              <w:jc w:val="center"/>
              <w:rPr>
                <w:noProof/>
                <w:szCs w:val="24"/>
              </w:rPr>
            </w:pPr>
            <w:r>
              <w:rPr>
                <w:noProof/>
                <w:szCs w:val="24"/>
              </w:rPr>
              <w:t>130</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O&amp;</w:t>
            </w:r>
            <w:r>
              <w:rPr>
                <w:noProof/>
                <w:color w:val="000000" w:themeColor="text1"/>
                <w:szCs w:val="24"/>
              </w:rPr>
              <w:t xml:space="preserve">M cost [2] </w:t>
            </w:r>
          </w:p>
        </w:tc>
        <w:tc>
          <w:tcPr>
            <w:tcW w:w="1050" w:type="pct"/>
            <w:noWrap/>
          </w:tcPr>
          <w:p w:rsidR="00B231CB" w:rsidRDefault="00C71431">
            <w:pPr>
              <w:spacing w:after="120"/>
              <w:jc w:val="center"/>
              <w:rPr>
                <w:noProof/>
                <w:szCs w:val="24"/>
              </w:rPr>
            </w:pPr>
            <w:r>
              <w:rPr>
                <w:noProof/>
                <w:szCs w:val="24"/>
              </w:rPr>
              <w:t>-22</w:t>
            </w:r>
          </w:p>
        </w:tc>
        <w:tc>
          <w:tcPr>
            <w:tcW w:w="1050" w:type="pct"/>
            <w:noWrap/>
          </w:tcPr>
          <w:p w:rsidR="00B231CB" w:rsidRDefault="00C71431">
            <w:pPr>
              <w:spacing w:after="120"/>
              <w:jc w:val="center"/>
              <w:rPr>
                <w:noProof/>
                <w:szCs w:val="24"/>
              </w:rPr>
            </w:pPr>
            <w:r>
              <w:rPr>
                <w:noProof/>
                <w:szCs w:val="24"/>
              </w:rPr>
              <w:t>-80</w:t>
            </w:r>
          </w:p>
        </w:tc>
        <w:tc>
          <w:tcPr>
            <w:tcW w:w="1049" w:type="pct"/>
            <w:noWrap/>
          </w:tcPr>
          <w:p w:rsidR="00B231CB" w:rsidRDefault="00C71431">
            <w:pPr>
              <w:spacing w:after="120"/>
              <w:jc w:val="center"/>
              <w:rPr>
                <w:noProof/>
                <w:szCs w:val="24"/>
              </w:rPr>
            </w:pPr>
            <w:r>
              <w:rPr>
                <w:noProof/>
                <w:szCs w:val="24"/>
              </w:rPr>
              <w:t>-140</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2,026</w:t>
            </w:r>
          </w:p>
        </w:tc>
        <w:tc>
          <w:tcPr>
            <w:tcW w:w="1050" w:type="pct"/>
            <w:tcBorders>
              <w:bottom w:val="single" w:sz="24" w:space="0" w:color="auto"/>
            </w:tcBorders>
            <w:noWrap/>
          </w:tcPr>
          <w:p w:rsidR="00B231CB" w:rsidRDefault="00C71431">
            <w:pPr>
              <w:spacing w:after="120"/>
              <w:jc w:val="center"/>
              <w:rPr>
                <w:noProof/>
                <w:szCs w:val="24"/>
              </w:rPr>
            </w:pPr>
            <w:r>
              <w:rPr>
                <w:noProof/>
                <w:szCs w:val="24"/>
              </w:rPr>
              <w:t>1,492</w:t>
            </w:r>
          </w:p>
        </w:tc>
        <w:tc>
          <w:tcPr>
            <w:tcW w:w="1049" w:type="pct"/>
            <w:tcBorders>
              <w:bottom w:val="single" w:sz="24" w:space="0" w:color="auto"/>
            </w:tcBorders>
            <w:noWrap/>
          </w:tcPr>
          <w:p w:rsidR="00B231CB" w:rsidRDefault="00C71431">
            <w:pPr>
              <w:spacing w:after="120"/>
              <w:jc w:val="center"/>
              <w:rPr>
                <w:noProof/>
                <w:szCs w:val="24"/>
              </w:rPr>
            </w:pPr>
            <w:r>
              <w:rPr>
                <w:noProof/>
                <w:szCs w:val="24"/>
              </w:rPr>
              <w:t>1,119</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1,783</w:t>
            </w:r>
          </w:p>
        </w:tc>
        <w:tc>
          <w:tcPr>
            <w:tcW w:w="1050" w:type="pct"/>
            <w:noWrap/>
          </w:tcPr>
          <w:p w:rsidR="00B231CB" w:rsidRDefault="00C71431">
            <w:pPr>
              <w:spacing w:after="120"/>
              <w:jc w:val="center"/>
              <w:rPr>
                <w:i/>
                <w:noProof/>
                <w:szCs w:val="24"/>
              </w:rPr>
            </w:pPr>
            <w:r>
              <w:rPr>
                <w:i/>
                <w:noProof/>
                <w:szCs w:val="24"/>
              </w:rPr>
              <w:t>1,537</w:t>
            </w:r>
          </w:p>
        </w:tc>
        <w:tc>
          <w:tcPr>
            <w:tcW w:w="1049" w:type="pct"/>
            <w:noWrap/>
          </w:tcPr>
          <w:p w:rsidR="00B231CB" w:rsidRDefault="00C71431">
            <w:pPr>
              <w:spacing w:after="120"/>
              <w:jc w:val="center"/>
              <w:rPr>
                <w:i/>
                <w:noProof/>
                <w:szCs w:val="24"/>
              </w:rPr>
            </w:pPr>
            <w:r>
              <w:rPr>
                <w:i/>
                <w:noProof/>
                <w:szCs w:val="24"/>
              </w:rPr>
              <w:t>1,129</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LEVD_40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(EUR/van)</w:t>
            </w:r>
          </w:p>
        </w:tc>
      </w:tr>
      <w:tr w:rsidR="00B231CB">
        <w:trPr>
          <w:trHeight w:val="255"/>
        </w:trPr>
        <w:tc>
          <w:tcPr>
            <w:tcW w:w="1851" w:type="pct"/>
            <w:noWrap/>
            <w:hideMark/>
          </w:tcPr>
          <w:p w:rsidR="00B231CB" w:rsidRDefault="00C71431">
            <w:pPr>
              <w:spacing w:after="120"/>
              <w:rPr>
                <w:b/>
                <w:noProof/>
                <w:szCs w:val="24"/>
              </w:rPr>
            </w:pPr>
            <w:r>
              <w:rPr>
                <w:b/>
                <w:noProof/>
                <w:szCs w:val="24"/>
              </w:rPr>
              <w:t>TLV20 - 2030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128</w:t>
            </w:r>
          </w:p>
        </w:tc>
        <w:tc>
          <w:tcPr>
            <w:tcW w:w="1050" w:type="pct"/>
            <w:noWrap/>
          </w:tcPr>
          <w:p w:rsidR="00B231CB" w:rsidRDefault="00C71431">
            <w:pPr>
              <w:spacing w:after="120"/>
              <w:jc w:val="center"/>
              <w:rPr>
                <w:noProof/>
                <w:szCs w:val="24"/>
              </w:rPr>
            </w:pPr>
            <w:r>
              <w:rPr>
                <w:noProof/>
                <w:szCs w:val="24"/>
              </w:rPr>
              <w:t>17</w:t>
            </w:r>
          </w:p>
        </w:tc>
        <w:tc>
          <w:tcPr>
            <w:tcW w:w="1049" w:type="pct"/>
            <w:noWrap/>
          </w:tcPr>
          <w:p w:rsidR="00B231CB" w:rsidRDefault="00C71431">
            <w:pPr>
              <w:spacing w:after="120"/>
              <w:jc w:val="center"/>
              <w:rPr>
                <w:noProof/>
                <w:szCs w:val="24"/>
              </w:rPr>
            </w:pPr>
            <w:r>
              <w:rPr>
                <w:noProof/>
                <w:szCs w:val="24"/>
              </w:rPr>
              <w:t>63</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-22</w:t>
            </w:r>
          </w:p>
        </w:tc>
        <w:tc>
          <w:tcPr>
            <w:tcW w:w="1050" w:type="pct"/>
            <w:noWrap/>
          </w:tcPr>
          <w:p w:rsidR="00B231CB" w:rsidRDefault="00C71431">
            <w:pPr>
              <w:spacing w:after="120"/>
              <w:jc w:val="center"/>
              <w:rPr>
                <w:noProof/>
                <w:szCs w:val="24"/>
              </w:rPr>
            </w:pPr>
            <w:r>
              <w:rPr>
                <w:noProof/>
                <w:szCs w:val="24"/>
              </w:rPr>
              <w:t>-80</w:t>
            </w:r>
          </w:p>
        </w:tc>
        <w:tc>
          <w:tcPr>
            <w:tcW w:w="1049" w:type="pct"/>
            <w:noWrap/>
          </w:tcPr>
          <w:p w:rsidR="00B231CB" w:rsidRDefault="00C71431">
            <w:pPr>
              <w:spacing w:after="120"/>
              <w:jc w:val="center"/>
              <w:rPr>
                <w:noProof/>
                <w:szCs w:val="24"/>
              </w:rPr>
            </w:pPr>
            <w:r>
              <w:rPr>
                <w:noProof/>
                <w:szCs w:val="24"/>
              </w:rPr>
              <w:t>-140</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 xml:space="preserve">Fuel </w:t>
            </w:r>
            <w:r>
              <w:rPr>
                <w:noProof/>
                <w:color w:val="000000" w:themeColor="text1"/>
                <w:szCs w:val="24"/>
              </w:rPr>
              <w:t>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1,388</w:t>
            </w:r>
          </w:p>
        </w:tc>
        <w:tc>
          <w:tcPr>
            <w:tcW w:w="1050" w:type="pct"/>
            <w:tcBorders>
              <w:bottom w:val="single" w:sz="24" w:space="0" w:color="auto"/>
            </w:tcBorders>
            <w:noWrap/>
          </w:tcPr>
          <w:p w:rsidR="00B231CB" w:rsidRDefault="00C71431">
            <w:pPr>
              <w:spacing w:after="120"/>
              <w:jc w:val="center"/>
              <w:rPr>
                <w:noProof/>
                <w:szCs w:val="24"/>
              </w:rPr>
            </w:pPr>
            <w:r>
              <w:rPr>
                <w:noProof/>
                <w:szCs w:val="24"/>
              </w:rPr>
              <w:t>1,032</w:t>
            </w:r>
          </w:p>
        </w:tc>
        <w:tc>
          <w:tcPr>
            <w:tcW w:w="1049" w:type="pct"/>
            <w:tcBorders>
              <w:bottom w:val="single" w:sz="24" w:space="0" w:color="auto"/>
            </w:tcBorders>
            <w:noWrap/>
          </w:tcPr>
          <w:p w:rsidR="00B231CB" w:rsidRDefault="00C71431">
            <w:pPr>
              <w:spacing w:after="120"/>
              <w:jc w:val="center"/>
              <w:rPr>
                <w:noProof/>
                <w:szCs w:val="24"/>
              </w:rPr>
            </w:pPr>
            <w:r>
              <w:rPr>
                <w:noProof/>
                <w:szCs w:val="24"/>
              </w:rPr>
              <w:t>784</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1,282</w:t>
            </w:r>
          </w:p>
        </w:tc>
        <w:tc>
          <w:tcPr>
            <w:tcW w:w="1050" w:type="pct"/>
            <w:noWrap/>
          </w:tcPr>
          <w:p w:rsidR="00B231CB" w:rsidRDefault="00C71431">
            <w:pPr>
              <w:spacing w:after="120"/>
              <w:jc w:val="center"/>
              <w:rPr>
                <w:i/>
                <w:noProof/>
                <w:szCs w:val="24"/>
              </w:rPr>
            </w:pPr>
            <w:r>
              <w:rPr>
                <w:i/>
                <w:noProof/>
                <w:szCs w:val="24"/>
              </w:rPr>
              <w:t>1,094</w:t>
            </w:r>
          </w:p>
        </w:tc>
        <w:tc>
          <w:tcPr>
            <w:tcW w:w="1049" w:type="pct"/>
            <w:noWrap/>
          </w:tcPr>
          <w:p w:rsidR="00B231CB" w:rsidRDefault="00C71431">
            <w:pPr>
              <w:spacing w:after="120"/>
              <w:jc w:val="center"/>
              <w:rPr>
                <w:i/>
                <w:noProof/>
                <w:szCs w:val="24"/>
              </w:rPr>
            </w:pPr>
            <w:r>
              <w:rPr>
                <w:i/>
                <w:noProof/>
                <w:szCs w:val="24"/>
              </w:rPr>
              <w:t>861</w:t>
            </w:r>
          </w:p>
        </w:tc>
      </w:tr>
    </w:tbl>
    <w:p w:rsidR="00B231CB" w:rsidRDefault="00B231CB">
      <w:pPr>
        <w:spacing w:before="120"/>
        <w:rPr>
          <w:b/>
          <w:noProof/>
          <w:szCs w:val="24"/>
          <w:u w:val="single"/>
        </w:rPr>
      </w:pPr>
    </w:p>
    <w:p w:rsidR="00B231CB" w:rsidRDefault="00C71431">
      <w:pPr>
        <w:rPr>
          <w:noProof/>
        </w:rPr>
      </w:pPr>
      <w:r>
        <w:rPr>
          <w:noProof/>
        </w:rPr>
        <w:br w:type="page"/>
      </w:r>
    </w:p>
    <w:p w:rsidR="00B231CB" w:rsidRDefault="00C71431">
      <w:pPr>
        <w:spacing w:before="120"/>
        <w:rPr>
          <w:b/>
          <w:noProof/>
          <w:szCs w:val="24"/>
          <w:u w:val="single"/>
        </w:rPr>
      </w:pPr>
      <w:r>
        <w:rPr>
          <w:b/>
          <w:noProof/>
          <w:szCs w:val="24"/>
          <w:u w:val="single"/>
        </w:rPr>
        <w:t>TLV25 – 2025 (LEVD_40)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LEVD_40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(EUR/van)</w:t>
            </w:r>
          </w:p>
        </w:tc>
      </w:tr>
      <w:tr w:rsidR="00B231CB">
        <w:trPr>
          <w:trHeight w:val="255"/>
        </w:trPr>
        <w:tc>
          <w:tcPr>
            <w:tcW w:w="1851" w:type="pct"/>
            <w:noWrap/>
            <w:hideMark/>
          </w:tcPr>
          <w:p w:rsidR="00B231CB" w:rsidRDefault="00C71431">
            <w:pPr>
              <w:spacing w:after="120"/>
              <w:rPr>
                <w:b/>
                <w:noProof/>
                <w:szCs w:val="24"/>
              </w:rPr>
            </w:pPr>
            <w:r>
              <w:rPr>
                <w:b/>
                <w:noProof/>
                <w:szCs w:val="24"/>
              </w:rPr>
              <w:t>TLV25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355</w:t>
            </w:r>
          </w:p>
        </w:tc>
        <w:tc>
          <w:tcPr>
            <w:tcW w:w="1050" w:type="pct"/>
            <w:noWrap/>
          </w:tcPr>
          <w:p w:rsidR="00B231CB" w:rsidRDefault="00C71431">
            <w:pPr>
              <w:spacing w:after="120"/>
              <w:jc w:val="center"/>
              <w:rPr>
                <w:noProof/>
                <w:szCs w:val="24"/>
              </w:rPr>
            </w:pPr>
            <w:r>
              <w:rPr>
                <w:noProof/>
                <w:szCs w:val="24"/>
              </w:rPr>
              <w:t>145</w:t>
            </w:r>
          </w:p>
        </w:tc>
        <w:tc>
          <w:tcPr>
            <w:tcW w:w="1050" w:type="pct"/>
            <w:noWrap/>
          </w:tcPr>
          <w:p w:rsidR="00B231CB" w:rsidRDefault="00C71431">
            <w:pPr>
              <w:spacing w:after="120"/>
              <w:jc w:val="center"/>
              <w:rPr>
                <w:noProof/>
                <w:szCs w:val="24"/>
              </w:rPr>
            </w:pPr>
            <w:r>
              <w:rPr>
                <w:noProof/>
                <w:szCs w:val="24"/>
              </w:rPr>
              <w:t>232</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w:t>
            </w:r>
          </w:p>
        </w:tc>
        <w:tc>
          <w:tcPr>
            <w:tcW w:w="1050" w:type="pct"/>
            <w:noWrap/>
          </w:tcPr>
          <w:p w:rsidR="00B231CB" w:rsidRDefault="00C71431">
            <w:pPr>
              <w:spacing w:after="120"/>
              <w:jc w:val="center"/>
              <w:rPr>
                <w:noProof/>
                <w:szCs w:val="24"/>
              </w:rPr>
            </w:pPr>
            <w:r>
              <w:rPr>
                <w:noProof/>
                <w:szCs w:val="24"/>
              </w:rPr>
              <w:t>-142</w:t>
            </w:r>
          </w:p>
        </w:tc>
        <w:tc>
          <w:tcPr>
            <w:tcW w:w="1050" w:type="pct"/>
            <w:noWrap/>
          </w:tcPr>
          <w:p w:rsidR="00B231CB" w:rsidRDefault="00C71431">
            <w:pPr>
              <w:spacing w:after="120"/>
              <w:jc w:val="center"/>
              <w:rPr>
                <w:noProof/>
                <w:szCs w:val="24"/>
              </w:rPr>
            </w:pPr>
            <w:r>
              <w:rPr>
                <w:noProof/>
                <w:szCs w:val="24"/>
              </w:rPr>
              <w:t>-206</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 xml:space="preserve">Fuel </w:t>
            </w:r>
            <w:r>
              <w:rPr>
                <w:noProof/>
                <w:color w:val="000000" w:themeColor="text1"/>
                <w:szCs w:val="24"/>
              </w:rPr>
              <w:t>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1,265</w:t>
            </w:r>
          </w:p>
        </w:tc>
        <w:tc>
          <w:tcPr>
            <w:tcW w:w="1050" w:type="pct"/>
            <w:tcBorders>
              <w:bottom w:val="single" w:sz="24" w:space="0" w:color="auto"/>
            </w:tcBorders>
            <w:noWrap/>
          </w:tcPr>
          <w:p w:rsidR="00B231CB" w:rsidRDefault="00C71431">
            <w:pPr>
              <w:spacing w:after="120"/>
              <w:jc w:val="center"/>
              <w:rPr>
                <w:noProof/>
                <w:szCs w:val="24"/>
              </w:rPr>
            </w:pPr>
            <w:r>
              <w:rPr>
                <w:noProof/>
                <w:szCs w:val="24"/>
              </w:rPr>
              <w:t>729</w:t>
            </w:r>
          </w:p>
        </w:tc>
        <w:tc>
          <w:tcPr>
            <w:tcW w:w="1050" w:type="pct"/>
            <w:tcBorders>
              <w:bottom w:val="single" w:sz="24" w:space="0" w:color="auto"/>
            </w:tcBorders>
            <w:noWrap/>
          </w:tcPr>
          <w:p w:rsidR="00B231CB" w:rsidRDefault="00C71431">
            <w:pPr>
              <w:spacing w:after="120"/>
              <w:jc w:val="center"/>
              <w:rPr>
                <w:noProof/>
                <w:szCs w:val="24"/>
              </w:rPr>
            </w:pPr>
            <w:r>
              <w:rPr>
                <w:noProof/>
                <w:szCs w:val="24"/>
              </w:rPr>
              <w:t>420</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962</w:t>
            </w:r>
          </w:p>
        </w:tc>
        <w:tc>
          <w:tcPr>
            <w:tcW w:w="1050" w:type="pct"/>
            <w:noWrap/>
          </w:tcPr>
          <w:p w:rsidR="00B231CB" w:rsidRDefault="00C71431">
            <w:pPr>
              <w:spacing w:after="120"/>
              <w:jc w:val="center"/>
              <w:rPr>
                <w:i/>
                <w:noProof/>
                <w:szCs w:val="24"/>
              </w:rPr>
            </w:pPr>
            <w:r>
              <w:rPr>
                <w:i/>
                <w:noProof/>
                <w:szCs w:val="24"/>
              </w:rPr>
              <w:t>726</w:t>
            </w:r>
          </w:p>
        </w:tc>
        <w:tc>
          <w:tcPr>
            <w:tcW w:w="1050" w:type="pct"/>
            <w:noWrap/>
          </w:tcPr>
          <w:p w:rsidR="00B231CB" w:rsidRDefault="00C71431">
            <w:pPr>
              <w:spacing w:after="120"/>
              <w:jc w:val="center"/>
              <w:rPr>
                <w:i/>
                <w:noProof/>
                <w:szCs w:val="24"/>
              </w:rPr>
            </w:pPr>
            <w:r>
              <w:rPr>
                <w:i/>
                <w:noProof/>
                <w:szCs w:val="24"/>
              </w:rPr>
              <w:t>394</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LEVD_40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(EUR/van)</w:t>
            </w:r>
          </w:p>
        </w:tc>
      </w:tr>
      <w:tr w:rsidR="00B231CB">
        <w:trPr>
          <w:trHeight w:val="255"/>
        </w:trPr>
        <w:tc>
          <w:tcPr>
            <w:tcW w:w="1851" w:type="pct"/>
            <w:noWrap/>
            <w:hideMark/>
          </w:tcPr>
          <w:p w:rsidR="00B231CB" w:rsidRDefault="00C71431">
            <w:pPr>
              <w:spacing w:after="120"/>
              <w:rPr>
                <w:b/>
                <w:noProof/>
                <w:szCs w:val="24"/>
              </w:rPr>
            </w:pPr>
            <w:r>
              <w:rPr>
                <w:b/>
                <w:noProof/>
                <w:szCs w:val="24"/>
              </w:rPr>
              <w:t>TLV25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221</w:t>
            </w:r>
          </w:p>
        </w:tc>
        <w:tc>
          <w:tcPr>
            <w:tcW w:w="1050" w:type="pct"/>
            <w:noWrap/>
          </w:tcPr>
          <w:p w:rsidR="00B231CB" w:rsidRDefault="00C71431">
            <w:pPr>
              <w:spacing w:after="120"/>
              <w:jc w:val="center"/>
              <w:rPr>
                <w:noProof/>
                <w:szCs w:val="24"/>
              </w:rPr>
            </w:pPr>
            <w:r>
              <w:rPr>
                <w:noProof/>
                <w:szCs w:val="24"/>
              </w:rPr>
              <w:t>90</w:t>
            </w:r>
          </w:p>
        </w:tc>
        <w:tc>
          <w:tcPr>
            <w:tcW w:w="1050" w:type="pct"/>
            <w:noWrap/>
          </w:tcPr>
          <w:p w:rsidR="00B231CB" w:rsidRDefault="00C71431">
            <w:pPr>
              <w:spacing w:after="120"/>
              <w:jc w:val="center"/>
              <w:rPr>
                <w:noProof/>
                <w:szCs w:val="24"/>
              </w:rPr>
            </w:pPr>
            <w:r>
              <w:rPr>
                <w:noProof/>
                <w:szCs w:val="24"/>
              </w:rPr>
              <w:t>144</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-23</w:t>
            </w:r>
          </w:p>
        </w:tc>
        <w:tc>
          <w:tcPr>
            <w:tcW w:w="1050" w:type="pct"/>
            <w:noWrap/>
          </w:tcPr>
          <w:p w:rsidR="00B231CB" w:rsidRDefault="00C71431">
            <w:pPr>
              <w:spacing w:after="120"/>
              <w:jc w:val="center"/>
              <w:rPr>
                <w:noProof/>
                <w:szCs w:val="24"/>
              </w:rPr>
            </w:pPr>
            <w:r>
              <w:rPr>
                <w:noProof/>
                <w:szCs w:val="24"/>
              </w:rPr>
              <w:t>-61</w:t>
            </w:r>
          </w:p>
        </w:tc>
        <w:tc>
          <w:tcPr>
            <w:tcW w:w="1050" w:type="pct"/>
            <w:noWrap/>
          </w:tcPr>
          <w:p w:rsidR="00B231CB" w:rsidRDefault="00C71431">
            <w:pPr>
              <w:spacing w:after="120"/>
              <w:jc w:val="center"/>
              <w:rPr>
                <w:noProof/>
                <w:szCs w:val="24"/>
              </w:rPr>
            </w:pPr>
            <w:r>
              <w:rPr>
                <w:noProof/>
                <w:szCs w:val="24"/>
              </w:rPr>
              <w:t>-88</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1,281</w:t>
            </w:r>
          </w:p>
        </w:tc>
        <w:tc>
          <w:tcPr>
            <w:tcW w:w="1050" w:type="pct"/>
            <w:tcBorders>
              <w:bottom w:val="single" w:sz="24" w:space="0" w:color="auto"/>
            </w:tcBorders>
            <w:noWrap/>
          </w:tcPr>
          <w:p w:rsidR="00B231CB" w:rsidRDefault="00C71431">
            <w:pPr>
              <w:spacing w:after="120"/>
              <w:jc w:val="center"/>
              <w:rPr>
                <w:noProof/>
                <w:szCs w:val="24"/>
              </w:rPr>
            </w:pPr>
            <w:r>
              <w:rPr>
                <w:noProof/>
                <w:szCs w:val="24"/>
              </w:rPr>
              <w:t>961</w:t>
            </w:r>
          </w:p>
        </w:tc>
        <w:tc>
          <w:tcPr>
            <w:tcW w:w="1050" w:type="pct"/>
            <w:tcBorders>
              <w:bottom w:val="single" w:sz="24" w:space="0" w:color="auto"/>
            </w:tcBorders>
            <w:noWrap/>
          </w:tcPr>
          <w:p w:rsidR="00B231CB" w:rsidRDefault="00C71431">
            <w:pPr>
              <w:spacing w:after="120"/>
              <w:jc w:val="center"/>
              <w:rPr>
                <w:noProof/>
                <w:szCs w:val="24"/>
              </w:rPr>
            </w:pPr>
            <w:r>
              <w:rPr>
                <w:noProof/>
                <w:szCs w:val="24"/>
              </w:rPr>
              <w:t>778</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 xml:space="preserve">Net savings </w:t>
            </w:r>
            <w:r>
              <w:rPr>
                <w:i/>
                <w:noProof/>
                <w:color w:val="000000" w:themeColor="text1"/>
                <w:szCs w:val="24"/>
              </w:rPr>
              <w:t>[3]-[1]-[2]</w:t>
            </w:r>
          </w:p>
        </w:tc>
        <w:tc>
          <w:tcPr>
            <w:tcW w:w="1050" w:type="pct"/>
            <w:noWrap/>
          </w:tcPr>
          <w:p w:rsidR="00B231CB" w:rsidRDefault="00C71431">
            <w:pPr>
              <w:spacing w:after="120"/>
              <w:jc w:val="center"/>
              <w:rPr>
                <w:i/>
                <w:noProof/>
                <w:szCs w:val="24"/>
              </w:rPr>
            </w:pPr>
            <w:r>
              <w:rPr>
                <w:i/>
                <w:noProof/>
                <w:szCs w:val="24"/>
              </w:rPr>
              <w:t>1,083</w:t>
            </w:r>
          </w:p>
        </w:tc>
        <w:tc>
          <w:tcPr>
            <w:tcW w:w="1050" w:type="pct"/>
            <w:noWrap/>
          </w:tcPr>
          <w:p w:rsidR="00B231CB" w:rsidRDefault="00C71431">
            <w:pPr>
              <w:spacing w:after="120"/>
              <w:jc w:val="center"/>
              <w:rPr>
                <w:i/>
                <w:noProof/>
                <w:szCs w:val="24"/>
              </w:rPr>
            </w:pPr>
            <w:r>
              <w:rPr>
                <w:i/>
                <w:noProof/>
                <w:szCs w:val="24"/>
              </w:rPr>
              <w:t>931</w:t>
            </w:r>
          </w:p>
        </w:tc>
        <w:tc>
          <w:tcPr>
            <w:tcW w:w="1050" w:type="pct"/>
            <w:noWrap/>
          </w:tcPr>
          <w:p w:rsidR="00B231CB" w:rsidRDefault="00C71431">
            <w:pPr>
              <w:spacing w:after="120"/>
              <w:jc w:val="center"/>
              <w:rPr>
                <w:i/>
                <w:noProof/>
                <w:szCs w:val="24"/>
              </w:rPr>
            </w:pPr>
            <w:r>
              <w:rPr>
                <w:i/>
                <w:noProof/>
                <w:szCs w:val="24"/>
              </w:rPr>
              <w:t>722</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LEVD_40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(EUR/van)</w:t>
            </w:r>
          </w:p>
        </w:tc>
      </w:tr>
      <w:tr w:rsidR="00B231CB">
        <w:trPr>
          <w:trHeight w:val="255"/>
        </w:trPr>
        <w:tc>
          <w:tcPr>
            <w:tcW w:w="1851" w:type="pct"/>
            <w:noWrap/>
            <w:hideMark/>
          </w:tcPr>
          <w:p w:rsidR="00B231CB" w:rsidRDefault="00C71431">
            <w:pPr>
              <w:spacing w:after="120"/>
              <w:rPr>
                <w:b/>
                <w:noProof/>
                <w:szCs w:val="24"/>
              </w:rPr>
            </w:pPr>
            <w:r>
              <w:rPr>
                <w:b/>
                <w:noProof/>
                <w:szCs w:val="24"/>
              </w:rPr>
              <w:t>TLV25 - 2025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106</w:t>
            </w:r>
          </w:p>
        </w:tc>
        <w:tc>
          <w:tcPr>
            <w:tcW w:w="1050" w:type="pct"/>
            <w:noWrap/>
          </w:tcPr>
          <w:p w:rsidR="00B231CB" w:rsidRDefault="00C71431">
            <w:pPr>
              <w:spacing w:after="120"/>
              <w:jc w:val="center"/>
              <w:rPr>
                <w:noProof/>
                <w:szCs w:val="24"/>
              </w:rPr>
            </w:pPr>
            <w:r>
              <w:rPr>
                <w:noProof/>
                <w:szCs w:val="24"/>
              </w:rPr>
              <w:t>44</w:t>
            </w:r>
          </w:p>
        </w:tc>
        <w:tc>
          <w:tcPr>
            <w:tcW w:w="1050" w:type="pct"/>
            <w:noWrap/>
          </w:tcPr>
          <w:p w:rsidR="00B231CB" w:rsidRDefault="00C71431">
            <w:pPr>
              <w:spacing w:after="120"/>
              <w:jc w:val="center"/>
              <w:rPr>
                <w:noProof/>
                <w:szCs w:val="24"/>
              </w:rPr>
            </w:pPr>
            <w:r>
              <w:rPr>
                <w:noProof/>
                <w:szCs w:val="24"/>
              </w:rPr>
              <w:t>70</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-23</w:t>
            </w:r>
          </w:p>
        </w:tc>
        <w:tc>
          <w:tcPr>
            <w:tcW w:w="1050" w:type="pct"/>
            <w:noWrap/>
          </w:tcPr>
          <w:p w:rsidR="00B231CB" w:rsidRDefault="00C71431">
            <w:pPr>
              <w:spacing w:after="120"/>
              <w:jc w:val="center"/>
              <w:rPr>
                <w:noProof/>
                <w:szCs w:val="24"/>
              </w:rPr>
            </w:pPr>
            <w:r>
              <w:rPr>
                <w:noProof/>
                <w:szCs w:val="24"/>
              </w:rPr>
              <w:t>-61</w:t>
            </w:r>
          </w:p>
        </w:tc>
        <w:tc>
          <w:tcPr>
            <w:tcW w:w="1050" w:type="pct"/>
            <w:noWrap/>
          </w:tcPr>
          <w:p w:rsidR="00B231CB" w:rsidRDefault="00C71431">
            <w:pPr>
              <w:spacing w:after="120"/>
              <w:jc w:val="center"/>
              <w:rPr>
                <w:noProof/>
                <w:szCs w:val="24"/>
              </w:rPr>
            </w:pPr>
            <w:r>
              <w:rPr>
                <w:noProof/>
                <w:szCs w:val="24"/>
              </w:rPr>
              <w:t>-88</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893</w:t>
            </w:r>
          </w:p>
        </w:tc>
        <w:tc>
          <w:tcPr>
            <w:tcW w:w="1050" w:type="pct"/>
            <w:tcBorders>
              <w:bottom w:val="single" w:sz="24" w:space="0" w:color="auto"/>
            </w:tcBorders>
            <w:noWrap/>
          </w:tcPr>
          <w:p w:rsidR="00B231CB" w:rsidRDefault="00C71431">
            <w:pPr>
              <w:spacing w:after="120"/>
              <w:jc w:val="center"/>
              <w:rPr>
                <w:noProof/>
                <w:szCs w:val="24"/>
              </w:rPr>
            </w:pPr>
            <w:r>
              <w:rPr>
                <w:noProof/>
                <w:szCs w:val="24"/>
              </w:rPr>
              <w:t>679</w:t>
            </w:r>
          </w:p>
        </w:tc>
        <w:tc>
          <w:tcPr>
            <w:tcW w:w="1050" w:type="pct"/>
            <w:tcBorders>
              <w:bottom w:val="single" w:sz="24" w:space="0" w:color="auto"/>
            </w:tcBorders>
            <w:noWrap/>
          </w:tcPr>
          <w:p w:rsidR="00B231CB" w:rsidRDefault="00C71431">
            <w:pPr>
              <w:spacing w:after="120"/>
              <w:jc w:val="center"/>
              <w:rPr>
                <w:noProof/>
                <w:szCs w:val="24"/>
              </w:rPr>
            </w:pPr>
            <w:r>
              <w:rPr>
                <w:noProof/>
                <w:szCs w:val="24"/>
              </w:rPr>
              <w:t>558</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809</w:t>
            </w:r>
          </w:p>
        </w:tc>
        <w:tc>
          <w:tcPr>
            <w:tcW w:w="1050" w:type="pct"/>
            <w:noWrap/>
          </w:tcPr>
          <w:p w:rsidR="00B231CB" w:rsidRDefault="00C71431">
            <w:pPr>
              <w:spacing w:after="120"/>
              <w:jc w:val="center"/>
              <w:rPr>
                <w:i/>
                <w:noProof/>
                <w:szCs w:val="24"/>
              </w:rPr>
            </w:pPr>
            <w:r>
              <w:rPr>
                <w:i/>
                <w:noProof/>
                <w:szCs w:val="24"/>
              </w:rPr>
              <w:t>696</w:t>
            </w:r>
          </w:p>
        </w:tc>
        <w:tc>
          <w:tcPr>
            <w:tcW w:w="1050" w:type="pct"/>
            <w:noWrap/>
          </w:tcPr>
          <w:p w:rsidR="00B231CB" w:rsidRDefault="00C71431">
            <w:pPr>
              <w:spacing w:after="120"/>
              <w:jc w:val="center"/>
              <w:rPr>
                <w:i/>
                <w:noProof/>
                <w:szCs w:val="24"/>
              </w:rPr>
            </w:pPr>
            <w:r>
              <w:rPr>
                <w:i/>
                <w:noProof/>
                <w:szCs w:val="24"/>
              </w:rPr>
              <w:t>577</w:t>
            </w:r>
          </w:p>
        </w:tc>
      </w:tr>
    </w:tbl>
    <w:p w:rsidR="00B231CB" w:rsidRDefault="00C71431">
      <w:pPr>
        <w:spacing w:before="120"/>
        <w:rPr>
          <w:b/>
          <w:noProof/>
          <w:szCs w:val="24"/>
          <w:u w:val="single"/>
        </w:rPr>
      </w:pPr>
      <w:r>
        <w:rPr>
          <w:b/>
          <w:noProof/>
          <w:szCs w:val="24"/>
          <w:u w:val="single"/>
        </w:rPr>
        <w:t xml:space="preserve">TLV25 – 2030 </w:t>
      </w:r>
      <w:r>
        <w:rPr>
          <w:b/>
          <w:noProof/>
          <w:szCs w:val="24"/>
          <w:u w:val="single"/>
        </w:rPr>
        <w:t>(LEVD_40)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LEVD_40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(EUR/van)</w:t>
            </w:r>
          </w:p>
        </w:tc>
      </w:tr>
      <w:tr w:rsidR="00B231CB">
        <w:trPr>
          <w:trHeight w:val="255"/>
        </w:trPr>
        <w:tc>
          <w:tcPr>
            <w:tcW w:w="1851" w:type="pct"/>
            <w:noWrap/>
            <w:hideMark/>
          </w:tcPr>
          <w:p w:rsidR="00B231CB" w:rsidRDefault="00C71431">
            <w:pPr>
              <w:spacing w:after="120"/>
              <w:rPr>
                <w:b/>
                <w:noProof/>
                <w:szCs w:val="24"/>
              </w:rPr>
            </w:pPr>
            <w:r>
              <w:rPr>
                <w:b/>
                <w:noProof/>
                <w:szCs w:val="24"/>
              </w:rPr>
              <w:t>TLV25 - 2030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620</w:t>
            </w:r>
          </w:p>
        </w:tc>
        <w:tc>
          <w:tcPr>
            <w:tcW w:w="1050" w:type="pct"/>
            <w:noWrap/>
          </w:tcPr>
          <w:p w:rsidR="00B231CB" w:rsidRDefault="00C71431">
            <w:pPr>
              <w:spacing w:after="120"/>
              <w:jc w:val="center"/>
              <w:rPr>
                <w:noProof/>
                <w:szCs w:val="24"/>
              </w:rPr>
            </w:pPr>
            <w:r>
              <w:rPr>
                <w:noProof/>
                <w:szCs w:val="24"/>
              </w:rPr>
              <w:t>170</w:t>
            </w:r>
          </w:p>
        </w:tc>
        <w:tc>
          <w:tcPr>
            <w:tcW w:w="1049" w:type="pct"/>
            <w:noWrap/>
          </w:tcPr>
          <w:p w:rsidR="00B231CB" w:rsidRDefault="00C71431">
            <w:pPr>
              <w:spacing w:after="120"/>
              <w:jc w:val="center"/>
              <w:rPr>
                <w:noProof/>
                <w:szCs w:val="24"/>
              </w:rPr>
            </w:pPr>
            <w:r>
              <w:rPr>
                <w:noProof/>
                <w:szCs w:val="24"/>
              </w:rPr>
              <w:t>270</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-56</w:t>
            </w:r>
          </w:p>
        </w:tc>
        <w:tc>
          <w:tcPr>
            <w:tcW w:w="1050" w:type="pct"/>
            <w:noWrap/>
          </w:tcPr>
          <w:p w:rsidR="00B231CB" w:rsidRDefault="00C71431">
            <w:pPr>
              <w:spacing w:after="120"/>
              <w:jc w:val="center"/>
              <w:rPr>
                <w:noProof/>
                <w:szCs w:val="24"/>
              </w:rPr>
            </w:pPr>
            <w:r>
              <w:rPr>
                <w:noProof/>
                <w:szCs w:val="24"/>
              </w:rPr>
              <w:t>-176</w:t>
            </w:r>
          </w:p>
        </w:tc>
        <w:tc>
          <w:tcPr>
            <w:tcW w:w="1049" w:type="pct"/>
            <w:noWrap/>
          </w:tcPr>
          <w:p w:rsidR="00B231CB" w:rsidRDefault="00C71431">
            <w:pPr>
              <w:spacing w:after="120"/>
              <w:jc w:val="center"/>
              <w:rPr>
                <w:noProof/>
                <w:szCs w:val="24"/>
              </w:rPr>
            </w:pPr>
            <w:r>
              <w:rPr>
                <w:noProof/>
                <w:szCs w:val="24"/>
              </w:rPr>
              <w:t>-306</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2,600</w:t>
            </w:r>
          </w:p>
        </w:tc>
        <w:tc>
          <w:tcPr>
            <w:tcW w:w="1050" w:type="pct"/>
            <w:tcBorders>
              <w:bottom w:val="single" w:sz="24" w:space="0" w:color="auto"/>
            </w:tcBorders>
            <w:noWrap/>
          </w:tcPr>
          <w:p w:rsidR="00B231CB" w:rsidRDefault="00C71431">
            <w:pPr>
              <w:spacing w:after="120"/>
              <w:jc w:val="center"/>
              <w:rPr>
                <w:noProof/>
                <w:szCs w:val="24"/>
              </w:rPr>
            </w:pPr>
            <w:r>
              <w:rPr>
                <w:noProof/>
                <w:szCs w:val="24"/>
              </w:rPr>
              <w:t>1,875</w:t>
            </w:r>
          </w:p>
        </w:tc>
        <w:tc>
          <w:tcPr>
            <w:tcW w:w="1049" w:type="pct"/>
            <w:tcBorders>
              <w:bottom w:val="single" w:sz="24" w:space="0" w:color="auto"/>
            </w:tcBorders>
            <w:noWrap/>
          </w:tcPr>
          <w:p w:rsidR="00B231CB" w:rsidRDefault="00C71431">
            <w:pPr>
              <w:spacing w:after="120"/>
              <w:jc w:val="center"/>
              <w:rPr>
                <w:noProof/>
                <w:szCs w:val="24"/>
              </w:rPr>
            </w:pPr>
            <w:r>
              <w:rPr>
                <w:noProof/>
                <w:szCs w:val="24"/>
              </w:rPr>
              <w:t>1,354</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2,037</w:t>
            </w:r>
          </w:p>
        </w:tc>
        <w:tc>
          <w:tcPr>
            <w:tcW w:w="1050" w:type="pct"/>
            <w:noWrap/>
          </w:tcPr>
          <w:p w:rsidR="00B231CB" w:rsidRDefault="00C71431">
            <w:pPr>
              <w:spacing w:after="120"/>
              <w:jc w:val="center"/>
              <w:rPr>
                <w:i/>
                <w:noProof/>
                <w:szCs w:val="24"/>
              </w:rPr>
            </w:pPr>
            <w:r>
              <w:rPr>
                <w:i/>
                <w:noProof/>
                <w:szCs w:val="24"/>
              </w:rPr>
              <w:t>1,881</w:t>
            </w:r>
          </w:p>
        </w:tc>
        <w:tc>
          <w:tcPr>
            <w:tcW w:w="1049" w:type="pct"/>
            <w:noWrap/>
          </w:tcPr>
          <w:p w:rsidR="00B231CB" w:rsidRDefault="00C71431">
            <w:pPr>
              <w:spacing w:after="120"/>
              <w:jc w:val="center"/>
              <w:rPr>
                <w:i/>
                <w:noProof/>
                <w:szCs w:val="24"/>
              </w:rPr>
            </w:pPr>
            <w:r>
              <w:rPr>
                <w:i/>
                <w:noProof/>
                <w:szCs w:val="24"/>
              </w:rPr>
              <w:t>1,390</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LEVD_40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(EUR/van)</w:t>
            </w:r>
          </w:p>
        </w:tc>
      </w:tr>
      <w:tr w:rsidR="00B231CB">
        <w:trPr>
          <w:trHeight w:val="255"/>
        </w:trPr>
        <w:tc>
          <w:tcPr>
            <w:tcW w:w="1851" w:type="pct"/>
            <w:noWrap/>
            <w:hideMark/>
          </w:tcPr>
          <w:p w:rsidR="00B231CB" w:rsidRDefault="00C71431">
            <w:pPr>
              <w:spacing w:after="120"/>
              <w:rPr>
                <w:b/>
                <w:noProof/>
                <w:szCs w:val="24"/>
              </w:rPr>
            </w:pPr>
            <w:r>
              <w:rPr>
                <w:b/>
                <w:noProof/>
                <w:szCs w:val="24"/>
              </w:rPr>
              <w:t>TLV25 - 2030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386</w:t>
            </w:r>
          </w:p>
        </w:tc>
        <w:tc>
          <w:tcPr>
            <w:tcW w:w="1050" w:type="pct"/>
            <w:noWrap/>
          </w:tcPr>
          <w:p w:rsidR="00B231CB" w:rsidRDefault="00C71431">
            <w:pPr>
              <w:spacing w:after="120"/>
              <w:jc w:val="center"/>
              <w:rPr>
                <w:noProof/>
                <w:szCs w:val="24"/>
              </w:rPr>
            </w:pPr>
            <w:r>
              <w:rPr>
                <w:noProof/>
                <w:szCs w:val="24"/>
              </w:rPr>
              <w:t>105</w:t>
            </w:r>
          </w:p>
        </w:tc>
        <w:tc>
          <w:tcPr>
            <w:tcW w:w="1049" w:type="pct"/>
            <w:noWrap/>
          </w:tcPr>
          <w:p w:rsidR="00B231CB" w:rsidRDefault="00C71431">
            <w:pPr>
              <w:spacing w:after="120"/>
              <w:jc w:val="center"/>
              <w:rPr>
                <w:noProof/>
                <w:szCs w:val="24"/>
              </w:rPr>
            </w:pPr>
            <w:r>
              <w:rPr>
                <w:noProof/>
                <w:szCs w:val="24"/>
              </w:rPr>
              <w:t>168</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-24</w:t>
            </w:r>
          </w:p>
        </w:tc>
        <w:tc>
          <w:tcPr>
            <w:tcW w:w="1050" w:type="pct"/>
            <w:noWrap/>
          </w:tcPr>
          <w:p w:rsidR="00B231CB" w:rsidRDefault="00C71431">
            <w:pPr>
              <w:spacing w:after="120"/>
              <w:jc w:val="center"/>
              <w:rPr>
                <w:noProof/>
                <w:szCs w:val="24"/>
              </w:rPr>
            </w:pPr>
            <w:r>
              <w:rPr>
                <w:noProof/>
                <w:szCs w:val="24"/>
              </w:rPr>
              <w:t>-75</w:t>
            </w:r>
          </w:p>
        </w:tc>
        <w:tc>
          <w:tcPr>
            <w:tcW w:w="1049" w:type="pct"/>
            <w:noWrap/>
          </w:tcPr>
          <w:p w:rsidR="00B231CB" w:rsidRDefault="00C71431">
            <w:pPr>
              <w:spacing w:after="120"/>
              <w:jc w:val="center"/>
              <w:rPr>
                <w:noProof/>
                <w:szCs w:val="24"/>
              </w:rPr>
            </w:pPr>
            <w:r>
              <w:rPr>
                <w:noProof/>
                <w:szCs w:val="24"/>
              </w:rPr>
              <w:t>-131</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2,546</w:t>
            </w:r>
          </w:p>
        </w:tc>
        <w:tc>
          <w:tcPr>
            <w:tcW w:w="1050" w:type="pct"/>
            <w:tcBorders>
              <w:bottom w:val="single" w:sz="24" w:space="0" w:color="auto"/>
            </w:tcBorders>
            <w:noWrap/>
          </w:tcPr>
          <w:p w:rsidR="00B231CB" w:rsidRDefault="00C71431">
            <w:pPr>
              <w:spacing w:after="120"/>
              <w:jc w:val="center"/>
              <w:rPr>
                <w:noProof/>
                <w:szCs w:val="24"/>
              </w:rPr>
            </w:pPr>
            <w:r>
              <w:rPr>
                <w:noProof/>
                <w:szCs w:val="24"/>
              </w:rPr>
              <w:t>2,060</w:t>
            </w:r>
          </w:p>
        </w:tc>
        <w:tc>
          <w:tcPr>
            <w:tcW w:w="1049" w:type="pct"/>
            <w:tcBorders>
              <w:bottom w:val="single" w:sz="24" w:space="0" w:color="auto"/>
            </w:tcBorders>
            <w:noWrap/>
          </w:tcPr>
          <w:p w:rsidR="00B231CB" w:rsidRDefault="00C71431">
            <w:pPr>
              <w:spacing w:after="120"/>
              <w:jc w:val="center"/>
              <w:rPr>
                <w:noProof/>
                <w:szCs w:val="24"/>
              </w:rPr>
            </w:pPr>
            <w:r>
              <w:rPr>
                <w:noProof/>
                <w:szCs w:val="24"/>
              </w:rPr>
              <w:t>1,733</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2,184</w:t>
            </w:r>
          </w:p>
        </w:tc>
        <w:tc>
          <w:tcPr>
            <w:tcW w:w="1050" w:type="pct"/>
            <w:noWrap/>
          </w:tcPr>
          <w:p w:rsidR="00B231CB" w:rsidRDefault="00C71431">
            <w:pPr>
              <w:spacing w:after="120"/>
              <w:jc w:val="center"/>
              <w:rPr>
                <w:i/>
                <w:noProof/>
                <w:szCs w:val="24"/>
              </w:rPr>
            </w:pPr>
            <w:r>
              <w:rPr>
                <w:i/>
                <w:noProof/>
                <w:szCs w:val="24"/>
              </w:rPr>
              <w:t>2,030</w:t>
            </w:r>
          </w:p>
        </w:tc>
        <w:tc>
          <w:tcPr>
            <w:tcW w:w="1049" w:type="pct"/>
            <w:noWrap/>
          </w:tcPr>
          <w:p w:rsidR="00B231CB" w:rsidRDefault="00C71431">
            <w:pPr>
              <w:spacing w:after="120"/>
              <w:jc w:val="center"/>
              <w:rPr>
                <w:i/>
                <w:noProof/>
                <w:szCs w:val="24"/>
              </w:rPr>
            </w:pPr>
            <w:r>
              <w:rPr>
                <w:i/>
                <w:noProof/>
                <w:szCs w:val="24"/>
              </w:rPr>
              <w:t>1,696</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LEVD_40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 xml:space="preserve">TCO-second user (years 6-10) </w:t>
            </w:r>
            <w:r>
              <w:rPr>
                <w:b/>
                <w:i/>
                <w:noProof/>
                <w:color w:val="000000" w:themeColor="text1"/>
              </w:rPr>
              <w:t>(EUR/van)</w:t>
            </w:r>
          </w:p>
        </w:tc>
      </w:tr>
      <w:tr w:rsidR="00B231CB">
        <w:trPr>
          <w:trHeight w:val="255"/>
        </w:trPr>
        <w:tc>
          <w:tcPr>
            <w:tcW w:w="1851" w:type="pct"/>
            <w:noWrap/>
            <w:hideMark/>
          </w:tcPr>
          <w:p w:rsidR="00B231CB" w:rsidRDefault="00C71431">
            <w:pPr>
              <w:spacing w:after="120"/>
              <w:rPr>
                <w:b/>
                <w:noProof/>
                <w:szCs w:val="24"/>
              </w:rPr>
            </w:pPr>
            <w:r>
              <w:rPr>
                <w:b/>
                <w:noProof/>
                <w:szCs w:val="24"/>
              </w:rPr>
              <w:t>TLV25 - 2030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186</w:t>
            </w:r>
          </w:p>
        </w:tc>
        <w:tc>
          <w:tcPr>
            <w:tcW w:w="1050" w:type="pct"/>
            <w:noWrap/>
          </w:tcPr>
          <w:p w:rsidR="00B231CB" w:rsidRDefault="00C71431">
            <w:pPr>
              <w:spacing w:after="120"/>
              <w:jc w:val="center"/>
              <w:rPr>
                <w:noProof/>
                <w:szCs w:val="24"/>
              </w:rPr>
            </w:pPr>
            <w:r>
              <w:rPr>
                <w:noProof/>
                <w:szCs w:val="24"/>
              </w:rPr>
              <w:t>51</w:t>
            </w:r>
          </w:p>
        </w:tc>
        <w:tc>
          <w:tcPr>
            <w:tcW w:w="1049" w:type="pct"/>
            <w:noWrap/>
          </w:tcPr>
          <w:p w:rsidR="00B231CB" w:rsidRDefault="00C71431">
            <w:pPr>
              <w:spacing w:after="120"/>
              <w:jc w:val="center"/>
              <w:rPr>
                <w:noProof/>
                <w:szCs w:val="24"/>
              </w:rPr>
            </w:pPr>
            <w:r>
              <w:rPr>
                <w:noProof/>
                <w:szCs w:val="24"/>
              </w:rPr>
              <w:t>81</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-24</w:t>
            </w:r>
          </w:p>
        </w:tc>
        <w:tc>
          <w:tcPr>
            <w:tcW w:w="1050" w:type="pct"/>
            <w:noWrap/>
          </w:tcPr>
          <w:p w:rsidR="00B231CB" w:rsidRDefault="00C71431">
            <w:pPr>
              <w:spacing w:after="120"/>
              <w:jc w:val="center"/>
              <w:rPr>
                <w:noProof/>
                <w:szCs w:val="24"/>
              </w:rPr>
            </w:pPr>
            <w:r>
              <w:rPr>
                <w:noProof/>
                <w:szCs w:val="24"/>
              </w:rPr>
              <w:t>-75</w:t>
            </w:r>
          </w:p>
        </w:tc>
        <w:tc>
          <w:tcPr>
            <w:tcW w:w="1049" w:type="pct"/>
            <w:noWrap/>
          </w:tcPr>
          <w:p w:rsidR="00B231CB" w:rsidRDefault="00C71431">
            <w:pPr>
              <w:spacing w:after="120"/>
              <w:jc w:val="center"/>
              <w:rPr>
                <w:noProof/>
                <w:szCs w:val="24"/>
              </w:rPr>
            </w:pPr>
            <w:r>
              <w:rPr>
                <w:noProof/>
                <w:szCs w:val="24"/>
              </w:rPr>
              <w:t>-131</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1,743</w:t>
            </w:r>
          </w:p>
        </w:tc>
        <w:tc>
          <w:tcPr>
            <w:tcW w:w="1050" w:type="pct"/>
            <w:tcBorders>
              <w:bottom w:val="single" w:sz="24" w:space="0" w:color="auto"/>
            </w:tcBorders>
            <w:noWrap/>
          </w:tcPr>
          <w:p w:rsidR="00B231CB" w:rsidRDefault="00C71431">
            <w:pPr>
              <w:spacing w:after="120"/>
              <w:jc w:val="center"/>
              <w:rPr>
                <w:noProof/>
                <w:szCs w:val="24"/>
              </w:rPr>
            </w:pPr>
            <w:r>
              <w:rPr>
                <w:noProof/>
                <w:szCs w:val="24"/>
              </w:rPr>
              <w:t>1,420</w:t>
            </w:r>
          </w:p>
        </w:tc>
        <w:tc>
          <w:tcPr>
            <w:tcW w:w="1049" w:type="pct"/>
            <w:tcBorders>
              <w:bottom w:val="single" w:sz="24" w:space="0" w:color="auto"/>
            </w:tcBorders>
            <w:noWrap/>
          </w:tcPr>
          <w:p w:rsidR="00B231CB" w:rsidRDefault="00C71431">
            <w:pPr>
              <w:spacing w:after="120"/>
              <w:jc w:val="center"/>
              <w:rPr>
                <w:noProof/>
                <w:szCs w:val="24"/>
              </w:rPr>
            </w:pPr>
            <w:r>
              <w:rPr>
                <w:noProof/>
                <w:szCs w:val="24"/>
              </w:rPr>
              <w:t>1,202</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1,582</w:t>
            </w:r>
          </w:p>
        </w:tc>
        <w:tc>
          <w:tcPr>
            <w:tcW w:w="1050" w:type="pct"/>
            <w:noWrap/>
          </w:tcPr>
          <w:p w:rsidR="00B231CB" w:rsidRDefault="00C71431">
            <w:pPr>
              <w:spacing w:after="120"/>
              <w:jc w:val="center"/>
              <w:rPr>
                <w:i/>
                <w:noProof/>
                <w:szCs w:val="24"/>
              </w:rPr>
            </w:pPr>
            <w:r>
              <w:rPr>
                <w:i/>
                <w:noProof/>
                <w:szCs w:val="24"/>
              </w:rPr>
              <w:t>1,445</w:t>
            </w:r>
          </w:p>
        </w:tc>
        <w:tc>
          <w:tcPr>
            <w:tcW w:w="1049" w:type="pct"/>
            <w:noWrap/>
          </w:tcPr>
          <w:p w:rsidR="00B231CB" w:rsidRDefault="00C71431">
            <w:pPr>
              <w:spacing w:after="120"/>
              <w:jc w:val="center"/>
              <w:rPr>
                <w:i/>
                <w:noProof/>
                <w:szCs w:val="24"/>
              </w:rPr>
            </w:pPr>
            <w:r>
              <w:rPr>
                <w:i/>
                <w:noProof/>
                <w:szCs w:val="24"/>
              </w:rPr>
              <w:t>1,253</w:t>
            </w:r>
          </w:p>
        </w:tc>
      </w:tr>
    </w:tbl>
    <w:p w:rsidR="00B231CB" w:rsidRDefault="00C71431">
      <w:pPr>
        <w:spacing w:before="120"/>
        <w:rPr>
          <w:b/>
          <w:noProof/>
          <w:szCs w:val="24"/>
          <w:u w:val="single"/>
        </w:rPr>
      </w:pPr>
      <w:r>
        <w:rPr>
          <w:b/>
          <w:noProof/>
          <w:szCs w:val="24"/>
          <w:u w:val="single"/>
        </w:rPr>
        <w:t>TLV40 – 2025 (LEVD_40)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LEVD_40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 xml:space="preserve">Net savings from a societal perspective </w:t>
            </w:r>
            <w:r>
              <w:rPr>
                <w:b/>
                <w:i/>
                <w:noProof/>
                <w:color w:val="000000" w:themeColor="text1"/>
              </w:rPr>
              <w:t>(EUR/van)</w:t>
            </w:r>
          </w:p>
        </w:tc>
      </w:tr>
      <w:tr w:rsidR="00B231CB">
        <w:trPr>
          <w:trHeight w:val="255"/>
        </w:trPr>
        <w:tc>
          <w:tcPr>
            <w:tcW w:w="1851" w:type="pct"/>
            <w:noWrap/>
            <w:hideMark/>
          </w:tcPr>
          <w:p w:rsidR="00B231CB" w:rsidRDefault="00C71431">
            <w:pPr>
              <w:spacing w:after="120"/>
              <w:rPr>
                <w:b/>
                <w:noProof/>
                <w:szCs w:val="24"/>
              </w:rPr>
            </w:pPr>
            <w:r>
              <w:rPr>
                <w:b/>
                <w:noProof/>
                <w:szCs w:val="24"/>
              </w:rPr>
              <w:t>TLV40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877</w:t>
            </w:r>
          </w:p>
        </w:tc>
        <w:tc>
          <w:tcPr>
            <w:tcW w:w="1050" w:type="pct"/>
            <w:noWrap/>
          </w:tcPr>
          <w:p w:rsidR="00B231CB" w:rsidRDefault="00C71431">
            <w:pPr>
              <w:spacing w:after="120"/>
              <w:jc w:val="center"/>
              <w:rPr>
                <w:noProof/>
                <w:szCs w:val="24"/>
              </w:rPr>
            </w:pPr>
            <w:r>
              <w:rPr>
                <w:noProof/>
                <w:szCs w:val="24"/>
              </w:rPr>
              <w:t>484</w:t>
            </w:r>
          </w:p>
        </w:tc>
        <w:tc>
          <w:tcPr>
            <w:tcW w:w="1049" w:type="pct"/>
            <w:noWrap/>
          </w:tcPr>
          <w:p w:rsidR="00B231CB" w:rsidRDefault="00C71431">
            <w:pPr>
              <w:spacing w:after="120"/>
              <w:jc w:val="center"/>
              <w:rPr>
                <w:noProof/>
                <w:szCs w:val="24"/>
              </w:rPr>
            </w:pPr>
            <w:r>
              <w:rPr>
                <w:noProof/>
                <w:szCs w:val="24"/>
              </w:rPr>
              <w:t>586</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w:t>
            </w:r>
          </w:p>
        </w:tc>
        <w:tc>
          <w:tcPr>
            <w:tcW w:w="1050" w:type="pct"/>
            <w:noWrap/>
          </w:tcPr>
          <w:p w:rsidR="00B231CB" w:rsidRDefault="00C71431">
            <w:pPr>
              <w:spacing w:after="120"/>
              <w:jc w:val="center"/>
              <w:rPr>
                <w:noProof/>
                <w:szCs w:val="24"/>
              </w:rPr>
            </w:pPr>
            <w:r>
              <w:rPr>
                <w:noProof/>
                <w:szCs w:val="24"/>
              </w:rPr>
              <w:t>-265</w:t>
            </w:r>
          </w:p>
        </w:tc>
        <w:tc>
          <w:tcPr>
            <w:tcW w:w="1049" w:type="pct"/>
            <w:noWrap/>
          </w:tcPr>
          <w:p w:rsidR="00B231CB" w:rsidRDefault="00C71431">
            <w:pPr>
              <w:spacing w:after="120"/>
              <w:jc w:val="center"/>
              <w:rPr>
                <w:noProof/>
                <w:szCs w:val="24"/>
              </w:rPr>
            </w:pPr>
            <w:r>
              <w:rPr>
                <w:noProof/>
                <w:szCs w:val="24"/>
              </w:rPr>
              <w:t>-347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2,061</w:t>
            </w:r>
          </w:p>
        </w:tc>
        <w:tc>
          <w:tcPr>
            <w:tcW w:w="1050" w:type="pct"/>
            <w:tcBorders>
              <w:bottom w:val="single" w:sz="24" w:space="0" w:color="auto"/>
            </w:tcBorders>
            <w:noWrap/>
          </w:tcPr>
          <w:p w:rsidR="00B231CB" w:rsidRDefault="00C71431">
            <w:pPr>
              <w:spacing w:after="120"/>
              <w:jc w:val="center"/>
              <w:rPr>
                <w:noProof/>
                <w:szCs w:val="24"/>
              </w:rPr>
            </w:pPr>
            <w:r>
              <w:rPr>
                <w:noProof/>
                <w:szCs w:val="24"/>
              </w:rPr>
              <w:t>1,135</w:t>
            </w:r>
          </w:p>
        </w:tc>
        <w:tc>
          <w:tcPr>
            <w:tcW w:w="1049" w:type="pct"/>
            <w:tcBorders>
              <w:bottom w:val="single" w:sz="24" w:space="0" w:color="auto"/>
            </w:tcBorders>
            <w:noWrap/>
          </w:tcPr>
          <w:p w:rsidR="00B231CB" w:rsidRDefault="00C71431">
            <w:pPr>
              <w:spacing w:after="120"/>
              <w:jc w:val="center"/>
              <w:rPr>
                <w:noProof/>
                <w:szCs w:val="24"/>
              </w:rPr>
            </w:pPr>
            <w:r>
              <w:rPr>
                <w:noProof/>
                <w:szCs w:val="24"/>
              </w:rPr>
              <w:t>725</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1,291</w:t>
            </w:r>
          </w:p>
        </w:tc>
        <w:tc>
          <w:tcPr>
            <w:tcW w:w="1050" w:type="pct"/>
            <w:noWrap/>
          </w:tcPr>
          <w:p w:rsidR="00B231CB" w:rsidRDefault="00C71431">
            <w:pPr>
              <w:spacing w:after="120"/>
              <w:jc w:val="center"/>
              <w:rPr>
                <w:i/>
                <w:noProof/>
                <w:szCs w:val="24"/>
              </w:rPr>
            </w:pPr>
            <w:r>
              <w:rPr>
                <w:i/>
                <w:noProof/>
                <w:szCs w:val="24"/>
              </w:rPr>
              <w:t>916</w:t>
            </w:r>
          </w:p>
        </w:tc>
        <w:tc>
          <w:tcPr>
            <w:tcW w:w="1049" w:type="pct"/>
            <w:noWrap/>
          </w:tcPr>
          <w:p w:rsidR="00B231CB" w:rsidRDefault="00C71431">
            <w:pPr>
              <w:spacing w:after="120"/>
              <w:jc w:val="center"/>
              <w:rPr>
                <w:i/>
                <w:noProof/>
                <w:szCs w:val="24"/>
              </w:rPr>
            </w:pPr>
            <w:r>
              <w:rPr>
                <w:i/>
                <w:noProof/>
                <w:szCs w:val="24"/>
              </w:rPr>
              <w:t>485</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LEVD_40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(EUR/van)</w:t>
            </w:r>
          </w:p>
        </w:tc>
      </w:tr>
      <w:tr w:rsidR="00B231CB">
        <w:trPr>
          <w:trHeight w:val="255"/>
        </w:trPr>
        <w:tc>
          <w:tcPr>
            <w:tcW w:w="1851" w:type="pct"/>
            <w:noWrap/>
            <w:hideMark/>
          </w:tcPr>
          <w:p w:rsidR="00B231CB" w:rsidRDefault="00C71431">
            <w:pPr>
              <w:spacing w:after="120"/>
              <w:rPr>
                <w:b/>
                <w:noProof/>
                <w:szCs w:val="24"/>
              </w:rPr>
            </w:pPr>
            <w:r>
              <w:rPr>
                <w:b/>
                <w:noProof/>
                <w:szCs w:val="24"/>
              </w:rPr>
              <w:t>TLV40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545</w:t>
            </w:r>
          </w:p>
        </w:tc>
        <w:tc>
          <w:tcPr>
            <w:tcW w:w="1050" w:type="pct"/>
            <w:noWrap/>
          </w:tcPr>
          <w:p w:rsidR="00B231CB" w:rsidRDefault="00C71431">
            <w:pPr>
              <w:spacing w:after="120"/>
              <w:jc w:val="center"/>
              <w:rPr>
                <w:noProof/>
                <w:szCs w:val="24"/>
              </w:rPr>
            </w:pPr>
            <w:r>
              <w:rPr>
                <w:noProof/>
                <w:szCs w:val="24"/>
              </w:rPr>
              <w:t>301</w:t>
            </w:r>
          </w:p>
        </w:tc>
        <w:tc>
          <w:tcPr>
            <w:tcW w:w="1050" w:type="pct"/>
            <w:noWrap/>
          </w:tcPr>
          <w:p w:rsidR="00B231CB" w:rsidRDefault="00C71431">
            <w:pPr>
              <w:spacing w:after="120"/>
              <w:jc w:val="center"/>
              <w:rPr>
                <w:noProof/>
                <w:szCs w:val="24"/>
              </w:rPr>
            </w:pPr>
            <w:r>
              <w:rPr>
                <w:noProof/>
                <w:szCs w:val="24"/>
              </w:rPr>
              <w:t>364</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-46</w:t>
            </w:r>
          </w:p>
        </w:tc>
        <w:tc>
          <w:tcPr>
            <w:tcW w:w="1050" w:type="pct"/>
            <w:noWrap/>
          </w:tcPr>
          <w:p w:rsidR="00B231CB" w:rsidRDefault="00C71431">
            <w:pPr>
              <w:spacing w:after="120"/>
              <w:jc w:val="center"/>
              <w:rPr>
                <w:noProof/>
                <w:szCs w:val="24"/>
              </w:rPr>
            </w:pPr>
            <w:r>
              <w:rPr>
                <w:noProof/>
                <w:szCs w:val="24"/>
              </w:rPr>
              <w:t>-114</w:t>
            </w:r>
          </w:p>
        </w:tc>
        <w:tc>
          <w:tcPr>
            <w:tcW w:w="1050" w:type="pct"/>
            <w:noWrap/>
          </w:tcPr>
          <w:p w:rsidR="00B231CB" w:rsidRDefault="00C71431">
            <w:pPr>
              <w:spacing w:after="120"/>
              <w:jc w:val="center"/>
              <w:rPr>
                <w:noProof/>
                <w:szCs w:val="24"/>
              </w:rPr>
            </w:pPr>
            <w:r>
              <w:rPr>
                <w:noProof/>
                <w:szCs w:val="24"/>
              </w:rPr>
              <w:t>-149</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2,115</w:t>
            </w:r>
          </w:p>
        </w:tc>
        <w:tc>
          <w:tcPr>
            <w:tcW w:w="1050" w:type="pct"/>
            <w:tcBorders>
              <w:bottom w:val="single" w:sz="24" w:space="0" w:color="auto"/>
            </w:tcBorders>
            <w:noWrap/>
          </w:tcPr>
          <w:p w:rsidR="00B231CB" w:rsidRDefault="00C71431">
            <w:pPr>
              <w:spacing w:after="120"/>
              <w:jc w:val="center"/>
              <w:rPr>
                <w:noProof/>
                <w:szCs w:val="24"/>
              </w:rPr>
            </w:pPr>
            <w:r>
              <w:rPr>
                <w:noProof/>
                <w:szCs w:val="24"/>
              </w:rPr>
              <w:t>1,589</w:t>
            </w:r>
          </w:p>
        </w:tc>
        <w:tc>
          <w:tcPr>
            <w:tcW w:w="1050" w:type="pct"/>
            <w:tcBorders>
              <w:bottom w:val="single" w:sz="24" w:space="0" w:color="auto"/>
            </w:tcBorders>
            <w:noWrap/>
          </w:tcPr>
          <w:p w:rsidR="00B231CB" w:rsidRDefault="00C71431">
            <w:pPr>
              <w:spacing w:after="120"/>
              <w:jc w:val="center"/>
              <w:rPr>
                <w:noProof/>
                <w:szCs w:val="24"/>
              </w:rPr>
            </w:pPr>
            <w:r>
              <w:rPr>
                <w:noProof/>
                <w:szCs w:val="24"/>
              </w:rPr>
              <w:t>1,343</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1,616</w:t>
            </w:r>
          </w:p>
        </w:tc>
        <w:tc>
          <w:tcPr>
            <w:tcW w:w="1050" w:type="pct"/>
            <w:noWrap/>
          </w:tcPr>
          <w:p w:rsidR="00B231CB" w:rsidRDefault="00C71431">
            <w:pPr>
              <w:spacing w:after="120"/>
              <w:jc w:val="center"/>
              <w:rPr>
                <w:i/>
                <w:noProof/>
                <w:szCs w:val="24"/>
              </w:rPr>
            </w:pPr>
            <w:r>
              <w:rPr>
                <w:i/>
                <w:noProof/>
                <w:szCs w:val="24"/>
              </w:rPr>
              <w:t>1,401</w:t>
            </w:r>
          </w:p>
        </w:tc>
        <w:tc>
          <w:tcPr>
            <w:tcW w:w="1050" w:type="pct"/>
            <w:noWrap/>
          </w:tcPr>
          <w:p w:rsidR="00B231CB" w:rsidRDefault="00C71431">
            <w:pPr>
              <w:spacing w:after="120"/>
              <w:jc w:val="center"/>
              <w:rPr>
                <w:i/>
                <w:noProof/>
                <w:szCs w:val="24"/>
              </w:rPr>
            </w:pPr>
            <w:r>
              <w:rPr>
                <w:i/>
                <w:noProof/>
                <w:szCs w:val="24"/>
              </w:rPr>
              <w:t>1,127</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LEVD_40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(EUR/van)</w:t>
            </w:r>
          </w:p>
        </w:tc>
      </w:tr>
      <w:tr w:rsidR="00B231CB">
        <w:trPr>
          <w:trHeight w:val="255"/>
        </w:trPr>
        <w:tc>
          <w:tcPr>
            <w:tcW w:w="1851" w:type="pct"/>
            <w:noWrap/>
            <w:hideMark/>
          </w:tcPr>
          <w:p w:rsidR="00B231CB" w:rsidRDefault="00C71431">
            <w:pPr>
              <w:spacing w:after="120"/>
              <w:rPr>
                <w:b/>
                <w:noProof/>
                <w:szCs w:val="24"/>
              </w:rPr>
            </w:pPr>
            <w:r>
              <w:rPr>
                <w:b/>
                <w:noProof/>
                <w:szCs w:val="24"/>
              </w:rPr>
              <w:t>TLV40 - 2025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263</w:t>
            </w:r>
          </w:p>
        </w:tc>
        <w:tc>
          <w:tcPr>
            <w:tcW w:w="1050" w:type="pct"/>
            <w:noWrap/>
          </w:tcPr>
          <w:p w:rsidR="00B231CB" w:rsidRDefault="00C71431">
            <w:pPr>
              <w:spacing w:after="120"/>
              <w:jc w:val="center"/>
              <w:rPr>
                <w:noProof/>
                <w:szCs w:val="24"/>
              </w:rPr>
            </w:pPr>
            <w:r>
              <w:rPr>
                <w:noProof/>
                <w:szCs w:val="24"/>
              </w:rPr>
              <w:t>145</w:t>
            </w:r>
          </w:p>
        </w:tc>
        <w:tc>
          <w:tcPr>
            <w:tcW w:w="1050" w:type="pct"/>
            <w:noWrap/>
          </w:tcPr>
          <w:p w:rsidR="00B231CB" w:rsidRDefault="00C71431">
            <w:pPr>
              <w:spacing w:after="120"/>
              <w:jc w:val="center"/>
              <w:rPr>
                <w:noProof/>
                <w:szCs w:val="24"/>
              </w:rPr>
            </w:pPr>
            <w:r>
              <w:rPr>
                <w:noProof/>
                <w:szCs w:val="24"/>
              </w:rPr>
              <w:t>176</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-46</w:t>
            </w:r>
          </w:p>
        </w:tc>
        <w:tc>
          <w:tcPr>
            <w:tcW w:w="1050" w:type="pct"/>
            <w:noWrap/>
          </w:tcPr>
          <w:p w:rsidR="00B231CB" w:rsidRDefault="00C71431">
            <w:pPr>
              <w:spacing w:after="120"/>
              <w:jc w:val="center"/>
              <w:rPr>
                <w:noProof/>
                <w:szCs w:val="24"/>
              </w:rPr>
            </w:pPr>
            <w:r>
              <w:rPr>
                <w:noProof/>
                <w:szCs w:val="24"/>
              </w:rPr>
              <w:t>-114</w:t>
            </w:r>
          </w:p>
        </w:tc>
        <w:tc>
          <w:tcPr>
            <w:tcW w:w="1050" w:type="pct"/>
            <w:noWrap/>
          </w:tcPr>
          <w:p w:rsidR="00B231CB" w:rsidRDefault="00C71431">
            <w:pPr>
              <w:spacing w:after="120"/>
              <w:jc w:val="center"/>
              <w:rPr>
                <w:noProof/>
                <w:szCs w:val="24"/>
              </w:rPr>
            </w:pPr>
            <w:r>
              <w:rPr>
                <w:noProof/>
                <w:szCs w:val="24"/>
              </w:rPr>
              <w:t>-149</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1,475</w:t>
            </w:r>
          </w:p>
        </w:tc>
        <w:tc>
          <w:tcPr>
            <w:tcW w:w="1050" w:type="pct"/>
            <w:tcBorders>
              <w:bottom w:val="single" w:sz="24" w:space="0" w:color="auto"/>
            </w:tcBorders>
            <w:noWrap/>
          </w:tcPr>
          <w:p w:rsidR="00B231CB" w:rsidRDefault="00C71431">
            <w:pPr>
              <w:spacing w:after="120"/>
              <w:jc w:val="center"/>
              <w:rPr>
                <w:noProof/>
                <w:szCs w:val="24"/>
              </w:rPr>
            </w:pPr>
            <w:r>
              <w:rPr>
                <w:noProof/>
                <w:szCs w:val="24"/>
              </w:rPr>
              <w:t>1,126</w:t>
            </w:r>
          </w:p>
        </w:tc>
        <w:tc>
          <w:tcPr>
            <w:tcW w:w="1050" w:type="pct"/>
            <w:tcBorders>
              <w:bottom w:val="single" w:sz="24" w:space="0" w:color="auto"/>
            </w:tcBorders>
            <w:noWrap/>
          </w:tcPr>
          <w:p w:rsidR="00B231CB" w:rsidRDefault="00C71431">
            <w:pPr>
              <w:spacing w:after="120"/>
              <w:jc w:val="center"/>
              <w:rPr>
                <w:noProof/>
                <w:szCs w:val="24"/>
              </w:rPr>
            </w:pPr>
            <w:r>
              <w:rPr>
                <w:noProof/>
                <w:szCs w:val="24"/>
              </w:rPr>
              <w:t>963</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1,258</w:t>
            </w:r>
          </w:p>
        </w:tc>
        <w:tc>
          <w:tcPr>
            <w:tcW w:w="1050" w:type="pct"/>
            <w:noWrap/>
          </w:tcPr>
          <w:p w:rsidR="00B231CB" w:rsidRDefault="00C71431">
            <w:pPr>
              <w:spacing w:after="120"/>
              <w:jc w:val="center"/>
              <w:rPr>
                <w:i/>
                <w:noProof/>
                <w:szCs w:val="24"/>
              </w:rPr>
            </w:pPr>
            <w:r>
              <w:rPr>
                <w:i/>
                <w:noProof/>
                <w:szCs w:val="24"/>
              </w:rPr>
              <w:t>1,095</w:t>
            </w:r>
          </w:p>
        </w:tc>
        <w:tc>
          <w:tcPr>
            <w:tcW w:w="1050" w:type="pct"/>
            <w:noWrap/>
          </w:tcPr>
          <w:p w:rsidR="00B231CB" w:rsidRDefault="00C71431">
            <w:pPr>
              <w:spacing w:after="120"/>
              <w:jc w:val="center"/>
              <w:rPr>
                <w:i/>
                <w:noProof/>
                <w:szCs w:val="24"/>
              </w:rPr>
            </w:pPr>
            <w:r>
              <w:rPr>
                <w:i/>
                <w:noProof/>
                <w:szCs w:val="24"/>
              </w:rPr>
              <w:t>936</w:t>
            </w:r>
          </w:p>
        </w:tc>
      </w:tr>
    </w:tbl>
    <w:p w:rsidR="00B231CB" w:rsidRDefault="00C71431">
      <w:pPr>
        <w:spacing w:before="120"/>
        <w:rPr>
          <w:b/>
          <w:noProof/>
          <w:szCs w:val="24"/>
          <w:u w:val="single"/>
        </w:rPr>
      </w:pPr>
      <w:r>
        <w:rPr>
          <w:b/>
          <w:noProof/>
          <w:szCs w:val="24"/>
          <w:u w:val="single"/>
        </w:rPr>
        <w:t>TLV40 – 2030 (LEVD_40)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LEVD_40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(EUR/van)</w:t>
            </w:r>
          </w:p>
        </w:tc>
      </w:tr>
      <w:tr w:rsidR="00B231CB">
        <w:trPr>
          <w:trHeight w:val="255"/>
        </w:trPr>
        <w:tc>
          <w:tcPr>
            <w:tcW w:w="1851" w:type="pct"/>
            <w:noWrap/>
            <w:hideMark/>
          </w:tcPr>
          <w:p w:rsidR="00B231CB" w:rsidRDefault="00C71431">
            <w:pPr>
              <w:spacing w:after="120"/>
              <w:rPr>
                <w:b/>
                <w:noProof/>
                <w:szCs w:val="24"/>
              </w:rPr>
            </w:pPr>
            <w:r>
              <w:rPr>
                <w:b/>
                <w:noProof/>
                <w:szCs w:val="24"/>
              </w:rPr>
              <w:t>TLV40 - 2030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1,582</w:t>
            </w:r>
          </w:p>
        </w:tc>
        <w:tc>
          <w:tcPr>
            <w:tcW w:w="1050" w:type="pct"/>
            <w:noWrap/>
          </w:tcPr>
          <w:p w:rsidR="00B231CB" w:rsidRDefault="00C71431">
            <w:pPr>
              <w:spacing w:after="120"/>
              <w:jc w:val="center"/>
              <w:rPr>
                <w:noProof/>
                <w:szCs w:val="24"/>
              </w:rPr>
            </w:pPr>
            <w:r>
              <w:rPr>
                <w:noProof/>
                <w:szCs w:val="24"/>
              </w:rPr>
              <w:t>717</w:t>
            </w:r>
          </w:p>
        </w:tc>
        <w:tc>
          <w:tcPr>
            <w:tcW w:w="1049" w:type="pct"/>
            <w:noWrap/>
          </w:tcPr>
          <w:p w:rsidR="00B231CB" w:rsidRDefault="00C71431">
            <w:pPr>
              <w:spacing w:after="120"/>
              <w:jc w:val="center"/>
              <w:rPr>
                <w:noProof/>
                <w:szCs w:val="24"/>
              </w:rPr>
            </w:pPr>
            <w:r>
              <w:rPr>
                <w:noProof/>
                <w:szCs w:val="24"/>
              </w:rPr>
              <w:t>778</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-145</w:t>
            </w:r>
          </w:p>
        </w:tc>
        <w:tc>
          <w:tcPr>
            <w:tcW w:w="1050" w:type="pct"/>
            <w:noWrap/>
          </w:tcPr>
          <w:p w:rsidR="00B231CB" w:rsidRDefault="00C71431">
            <w:pPr>
              <w:spacing w:after="120"/>
              <w:jc w:val="center"/>
              <w:rPr>
                <w:noProof/>
                <w:szCs w:val="24"/>
              </w:rPr>
            </w:pPr>
            <w:r>
              <w:rPr>
                <w:noProof/>
                <w:szCs w:val="24"/>
              </w:rPr>
              <w:t>-359</w:t>
            </w:r>
          </w:p>
        </w:tc>
        <w:tc>
          <w:tcPr>
            <w:tcW w:w="1049" w:type="pct"/>
            <w:noWrap/>
          </w:tcPr>
          <w:p w:rsidR="00B231CB" w:rsidRDefault="00C71431">
            <w:pPr>
              <w:spacing w:after="120"/>
              <w:jc w:val="center"/>
              <w:rPr>
                <w:noProof/>
                <w:szCs w:val="24"/>
              </w:rPr>
            </w:pPr>
            <w:r>
              <w:rPr>
                <w:noProof/>
                <w:szCs w:val="24"/>
              </w:rPr>
              <w:t>-508</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3,827</w:t>
            </w:r>
          </w:p>
        </w:tc>
        <w:tc>
          <w:tcPr>
            <w:tcW w:w="1050" w:type="pct"/>
            <w:tcBorders>
              <w:bottom w:val="single" w:sz="24" w:space="0" w:color="auto"/>
            </w:tcBorders>
            <w:noWrap/>
          </w:tcPr>
          <w:p w:rsidR="00B231CB" w:rsidRDefault="00C71431">
            <w:pPr>
              <w:spacing w:after="120"/>
              <w:jc w:val="center"/>
              <w:rPr>
                <w:noProof/>
                <w:szCs w:val="24"/>
              </w:rPr>
            </w:pPr>
            <w:r>
              <w:rPr>
                <w:noProof/>
                <w:szCs w:val="24"/>
              </w:rPr>
              <w:t>2,801</w:t>
            </w:r>
          </w:p>
        </w:tc>
        <w:tc>
          <w:tcPr>
            <w:tcW w:w="1049" w:type="pct"/>
            <w:tcBorders>
              <w:bottom w:val="single" w:sz="24" w:space="0" w:color="auto"/>
            </w:tcBorders>
            <w:noWrap/>
          </w:tcPr>
          <w:p w:rsidR="00B231CB" w:rsidRDefault="00C71431">
            <w:pPr>
              <w:spacing w:after="120"/>
              <w:jc w:val="center"/>
              <w:rPr>
                <w:noProof/>
                <w:szCs w:val="24"/>
              </w:rPr>
            </w:pPr>
            <w:r>
              <w:rPr>
                <w:noProof/>
                <w:szCs w:val="24"/>
              </w:rPr>
              <w:t>2,179</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2,389</w:t>
            </w:r>
          </w:p>
        </w:tc>
        <w:tc>
          <w:tcPr>
            <w:tcW w:w="1050" w:type="pct"/>
            <w:noWrap/>
          </w:tcPr>
          <w:p w:rsidR="00B231CB" w:rsidRDefault="00C71431">
            <w:pPr>
              <w:spacing w:after="120"/>
              <w:jc w:val="center"/>
              <w:rPr>
                <w:i/>
                <w:noProof/>
                <w:szCs w:val="24"/>
              </w:rPr>
            </w:pPr>
            <w:r>
              <w:rPr>
                <w:i/>
                <w:noProof/>
                <w:szCs w:val="24"/>
              </w:rPr>
              <w:t>2,444</w:t>
            </w:r>
          </w:p>
        </w:tc>
        <w:tc>
          <w:tcPr>
            <w:tcW w:w="1049" w:type="pct"/>
            <w:noWrap/>
          </w:tcPr>
          <w:p w:rsidR="00B231CB" w:rsidRDefault="00C71431">
            <w:pPr>
              <w:spacing w:after="120"/>
              <w:jc w:val="center"/>
              <w:rPr>
                <w:i/>
                <w:noProof/>
                <w:szCs w:val="24"/>
              </w:rPr>
            </w:pPr>
            <w:r>
              <w:rPr>
                <w:i/>
                <w:noProof/>
                <w:szCs w:val="24"/>
              </w:rPr>
              <w:t>1,909</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LEVD_40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(EUR/van)</w:t>
            </w:r>
          </w:p>
        </w:tc>
      </w:tr>
      <w:tr w:rsidR="00B231CB">
        <w:trPr>
          <w:trHeight w:val="255"/>
        </w:trPr>
        <w:tc>
          <w:tcPr>
            <w:tcW w:w="1851" w:type="pct"/>
            <w:noWrap/>
            <w:hideMark/>
          </w:tcPr>
          <w:p w:rsidR="00B231CB" w:rsidRDefault="00C71431">
            <w:pPr>
              <w:spacing w:after="120"/>
              <w:rPr>
                <w:b/>
                <w:noProof/>
                <w:szCs w:val="24"/>
              </w:rPr>
            </w:pPr>
            <w:r>
              <w:rPr>
                <w:b/>
                <w:noProof/>
                <w:szCs w:val="24"/>
              </w:rPr>
              <w:t>TLV40 - 2030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984</w:t>
            </w:r>
          </w:p>
        </w:tc>
        <w:tc>
          <w:tcPr>
            <w:tcW w:w="1050" w:type="pct"/>
            <w:noWrap/>
          </w:tcPr>
          <w:p w:rsidR="00B231CB" w:rsidRDefault="00C71431">
            <w:pPr>
              <w:spacing w:after="120"/>
              <w:jc w:val="center"/>
              <w:rPr>
                <w:noProof/>
                <w:szCs w:val="24"/>
              </w:rPr>
            </w:pPr>
            <w:r>
              <w:rPr>
                <w:noProof/>
                <w:szCs w:val="24"/>
              </w:rPr>
              <w:t>446</w:t>
            </w:r>
          </w:p>
        </w:tc>
        <w:tc>
          <w:tcPr>
            <w:tcW w:w="1049" w:type="pct"/>
            <w:noWrap/>
          </w:tcPr>
          <w:p w:rsidR="00B231CB" w:rsidRDefault="00C71431">
            <w:pPr>
              <w:spacing w:after="120"/>
              <w:jc w:val="center"/>
              <w:rPr>
                <w:noProof/>
                <w:szCs w:val="24"/>
              </w:rPr>
            </w:pPr>
            <w:r>
              <w:rPr>
                <w:noProof/>
                <w:szCs w:val="24"/>
              </w:rPr>
              <w:t>483</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-62</w:t>
            </w:r>
          </w:p>
        </w:tc>
        <w:tc>
          <w:tcPr>
            <w:tcW w:w="1050" w:type="pct"/>
            <w:noWrap/>
          </w:tcPr>
          <w:p w:rsidR="00B231CB" w:rsidRDefault="00C71431">
            <w:pPr>
              <w:spacing w:after="120"/>
              <w:jc w:val="center"/>
              <w:rPr>
                <w:noProof/>
                <w:szCs w:val="24"/>
              </w:rPr>
            </w:pPr>
            <w:r>
              <w:rPr>
                <w:noProof/>
                <w:szCs w:val="24"/>
              </w:rPr>
              <w:t>-154</w:t>
            </w:r>
          </w:p>
        </w:tc>
        <w:tc>
          <w:tcPr>
            <w:tcW w:w="1049" w:type="pct"/>
            <w:noWrap/>
          </w:tcPr>
          <w:p w:rsidR="00B231CB" w:rsidRDefault="00C71431">
            <w:pPr>
              <w:spacing w:after="120"/>
              <w:jc w:val="center"/>
              <w:rPr>
                <w:noProof/>
                <w:szCs w:val="24"/>
              </w:rPr>
            </w:pPr>
            <w:r>
              <w:rPr>
                <w:noProof/>
                <w:szCs w:val="24"/>
              </w:rPr>
              <w:t>-218</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3,833</w:t>
            </w:r>
          </w:p>
        </w:tc>
        <w:tc>
          <w:tcPr>
            <w:tcW w:w="1050" w:type="pct"/>
            <w:tcBorders>
              <w:bottom w:val="single" w:sz="24" w:space="0" w:color="auto"/>
            </w:tcBorders>
            <w:noWrap/>
          </w:tcPr>
          <w:p w:rsidR="00B231CB" w:rsidRDefault="00C71431">
            <w:pPr>
              <w:spacing w:after="120"/>
              <w:jc w:val="center"/>
              <w:rPr>
                <w:noProof/>
                <w:szCs w:val="24"/>
              </w:rPr>
            </w:pPr>
            <w:r>
              <w:rPr>
                <w:noProof/>
                <w:szCs w:val="24"/>
              </w:rPr>
              <w:t>3,176</w:t>
            </w:r>
          </w:p>
        </w:tc>
        <w:tc>
          <w:tcPr>
            <w:tcW w:w="1049" w:type="pct"/>
            <w:tcBorders>
              <w:bottom w:val="single" w:sz="24" w:space="0" w:color="auto"/>
            </w:tcBorders>
            <w:noWrap/>
          </w:tcPr>
          <w:p w:rsidR="00B231CB" w:rsidRDefault="00C71431">
            <w:pPr>
              <w:spacing w:after="120"/>
              <w:jc w:val="center"/>
              <w:rPr>
                <w:noProof/>
                <w:szCs w:val="24"/>
              </w:rPr>
            </w:pPr>
            <w:r>
              <w:rPr>
                <w:noProof/>
                <w:szCs w:val="24"/>
              </w:rPr>
              <w:t>2,781</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2,912</w:t>
            </w:r>
          </w:p>
        </w:tc>
        <w:tc>
          <w:tcPr>
            <w:tcW w:w="1050" w:type="pct"/>
            <w:noWrap/>
          </w:tcPr>
          <w:p w:rsidR="00B231CB" w:rsidRDefault="00C71431">
            <w:pPr>
              <w:spacing w:after="120"/>
              <w:jc w:val="center"/>
              <w:rPr>
                <w:i/>
                <w:noProof/>
                <w:szCs w:val="24"/>
              </w:rPr>
            </w:pPr>
            <w:r>
              <w:rPr>
                <w:i/>
                <w:noProof/>
                <w:szCs w:val="24"/>
              </w:rPr>
              <w:t>2,884</w:t>
            </w:r>
          </w:p>
        </w:tc>
        <w:tc>
          <w:tcPr>
            <w:tcW w:w="1049" w:type="pct"/>
            <w:noWrap/>
          </w:tcPr>
          <w:p w:rsidR="00B231CB" w:rsidRDefault="00C71431">
            <w:pPr>
              <w:spacing w:after="120"/>
              <w:jc w:val="center"/>
              <w:rPr>
                <w:i/>
                <w:noProof/>
                <w:szCs w:val="24"/>
              </w:rPr>
            </w:pPr>
            <w:r>
              <w:rPr>
                <w:i/>
                <w:noProof/>
                <w:szCs w:val="24"/>
              </w:rPr>
              <w:t>2,516</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LEVD_40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(EUR/van)</w:t>
            </w:r>
          </w:p>
        </w:tc>
      </w:tr>
      <w:tr w:rsidR="00B231CB">
        <w:trPr>
          <w:trHeight w:val="255"/>
        </w:trPr>
        <w:tc>
          <w:tcPr>
            <w:tcW w:w="1851" w:type="pct"/>
            <w:noWrap/>
            <w:hideMark/>
          </w:tcPr>
          <w:p w:rsidR="00B231CB" w:rsidRDefault="00C71431">
            <w:pPr>
              <w:spacing w:after="120"/>
              <w:rPr>
                <w:b/>
                <w:noProof/>
                <w:szCs w:val="24"/>
              </w:rPr>
            </w:pPr>
            <w:r>
              <w:rPr>
                <w:b/>
                <w:noProof/>
                <w:szCs w:val="24"/>
              </w:rPr>
              <w:t>TLV40 - 2030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474</w:t>
            </w:r>
          </w:p>
        </w:tc>
        <w:tc>
          <w:tcPr>
            <w:tcW w:w="1050" w:type="pct"/>
            <w:noWrap/>
          </w:tcPr>
          <w:p w:rsidR="00B231CB" w:rsidRDefault="00C71431">
            <w:pPr>
              <w:spacing w:after="120"/>
              <w:jc w:val="center"/>
              <w:rPr>
                <w:noProof/>
                <w:szCs w:val="24"/>
              </w:rPr>
            </w:pPr>
            <w:r>
              <w:rPr>
                <w:noProof/>
                <w:szCs w:val="24"/>
              </w:rPr>
              <w:t>215</w:t>
            </w:r>
          </w:p>
        </w:tc>
        <w:tc>
          <w:tcPr>
            <w:tcW w:w="1049" w:type="pct"/>
            <w:noWrap/>
          </w:tcPr>
          <w:p w:rsidR="00B231CB" w:rsidRDefault="00C71431">
            <w:pPr>
              <w:spacing w:after="120"/>
              <w:jc w:val="center"/>
              <w:rPr>
                <w:noProof/>
                <w:szCs w:val="24"/>
              </w:rPr>
            </w:pPr>
            <w:r>
              <w:rPr>
                <w:noProof/>
                <w:szCs w:val="24"/>
              </w:rPr>
              <w:t>233</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-62</w:t>
            </w:r>
          </w:p>
        </w:tc>
        <w:tc>
          <w:tcPr>
            <w:tcW w:w="1050" w:type="pct"/>
            <w:noWrap/>
          </w:tcPr>
          <w:p w:rsidR="00B231CB" w:rsidRDefault="00C71431">
            <w:pPr>
              <w:spacing w:after="120"/>
              <w:jc w:val="center"/>
              <w:rPr>
                <w:noProof/>
                <w:szCs w:val="24"/>
              </w:rPr>
            </w:pPr>
            <w:r>
              <w:rPr>
                <w:noProof/>
                <w:szCs w:val="24"/>
              </w:rPr>
              <w:t>-154</w:t>
            </w:r>
          </w:p>
        </w:tc>
        <w:tc>
          <w:tcPr>
            <w:tcW w:w="1049" w:type="pct"/>
            <w:noWrap/>
          </w:tcPr>
          <w:p w:rsidR="00B231CB" w:rsidRDefault="00C71431">
            <w:pPr>
              <w:spacing w:after="120"/>
              <w:jc w:val="center"/>
              <w:rPr>
                <w:noProof/>
                <w:szCs w:val="24"/>
              </w:rPr>
            </w:pPr>
            <w:r>
              <w:rPr>
                <w:noProof/>
                <w:szCs w:val="24"/>
              </w:rPr>
              <w:t>-218</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2,629</w:t>
            </w:r>
          </w:p>
        </w:tc>
        <w:tc>
          <w:tcPr>
            <w:tcW w:w="1050" w:type="pct"/>
            <w:tcBorders>
              <w:bottom w:val="single" w:sz="24" w:space="0" w:color="auto"/>
            </w:tcBorders>
            <w:noWrap/>
          </w:tcPr>
          <w:p w:rsidR="00B231CB" w:rsidRDefault="00C71431">
            <w:pPr>
              <w:spacing w:after="120"/>
              <w:jc w:val="center"/>
              <w:rPr>
                <w:noProof/>
                <w:szCs w:val="24"/>
              </w:rPr>
            </w:pPr>
            <w:r>
              <w:rPr>
                <w:noProof/>
                <w:szCs w:val="24"/>
              </w:rPr>
              <w:t>2,192</w:t>
            </w:r>
          </w:p>
        </w:tc>
        <w:tc>
          <w:tcPr>
            <w:tcW w:w="1049" w:type="pct"/>
            <w:tcBorders>
              <w:bottom w:val="single" w:sz="24" w:space="0" w:color="auto"/>
            </w:tcBorders>
            <w:noWrap/>
          </w:tcPr>
          <w:p w:rsidR="00B231CB" w:rsidRDefault="00C71431">
            <w:pPr>
              <w:spacing w:after="120"/>
              <w:jc w:val="center"/>
              <w:rPr>
                <w:noProof/>
                <w:szCs w:val="24"/>
              </w:rPr>
            </w:pPr>
            <w:r>
              <w:rPr>
                <w:noProof/>
                <w:szCs w:val="24"/>
              </w:rPr>
              <w:t>1,930</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2,217</w:t>
            </w:r>
          </w:p>
        </w:tc>
        <w:tc>
          <w:tcPr>
            <w:tcW w:w="1050" w:type="pct"/>
            <w:noWrap/>
          </w:tcPr>
          <w:p w:rsidR="00B231CB" w:rsidRDefault="00C71431">
            <w:pPr>
              <w:spacing w:after="120"/>
              <w:jc w:val="center"/>
              <w:rPr>
                <w:i/>
                <w:noProof/>
                <w:szCs w:val="24"/>
              </w:rPr>
            </w:pPr>
            <w:r>
              <w:rPr>
                <w:i/>
                <w:noProof/>
                <w:szCs w:val="24"/>
              </w:rPr>
              <w:t>2,131</w:t>
            </w:r>
          </w:p>
        </w:tc>
        <w:tc>
          <w:tcPr>
            <w:tcW w:w="1049" w:type="pct"/>
            <w:noWrap/>
          </w:tcPr>
          <w:p w:rsidR="00B231CB" w:rsidRDefault="00C71431">
            <w:pPr>
              <w:spacing w:after="120"/>
              <w:jc w:val="center"/>
              <w:rPr>
                <w:i/>
                <w:noProof/>
                <w:szCs w:val="24"/>
              </w:rPr>
            </w:pPr>
            <w:r>
              <w:rPr>
                <w:i/>
                <w:noProof/>
                <w:szCs w:val="24"/>
              </w:rPr>
              <w:t>1,914</w:t>
            </w:r>
          </w:p>
        </w:tc>
      </w:tr>
    </w:tbl>
    <w:p w:rsidR="00B231CB" w:rsidRDefault="00B231CB">
      <w:pPr>
        <w:spacing w:before="120"/>
        <w:rPr>
          <w:b/>
          <w:noProof/>
          <w:szCs w:val="24"/>
          <w:u w:val="single"/>
        </w:rPr>
      </w:pPr>
    </w:p>
    <w:p w:rsidR="00B231CB" w:rsidRDefault="00C71431">
      <w:pPr>
        <w:rPr>
          <w:noProof/>
        </w:rPr>
      </w:pPr>
      <w:r>
        <w:rPr>
          <w:noProof/>
        </w:rPr>
        <w:br w:type="page"/>
      </w:r>
    </w:p>
    <w:p w:rsidR="00B231CB" w:rsidRDefault="00C71431">
      <w:pPr>
        <w:spacing w:before="120"/>
        <w:rPr>
          <w:b/>
          <w:noProof/>
          <w:szCs w:val="24"/>
          <w:u w:val="single"/>
        </w:rPr>
      </w:pPr>
      <w:r>
        <w:rPr>
          <w:b/>
          <w:noProof/>
          <w:szCs w:val="24"/>
          <w:u w:val="single"/>
        </w:rPr>
        <w:t>TLV20 – 2025 (LEVD_50)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(EUR/van)</w:t>
            </w:r>
          </w:p>
        </w:tc>
      </w:tr>
      <w:tr w:rsidR="00B231CB">
        <w:trPr>
          <w:trHeight w:val="255"/>
        </w:trPr>
        <w:tc>
          <w:tcPr>
            <w:tcW w:w="1851" w:type="pct"/>
            <w:noWrap/>
            <w:hideMark/>
          </w:tcPr>
          <w:p w:rsidR="00B231CB" w:rsidRDefault="00C71431">
            <w:pPr>
              <w:spacing w:after="120"/>
              <w:rPr>
                <w:b/>
                <w:noProof/>
                <w:szCs w:val="24"/>
              </w:rPr>
            </w:pPr>
            <w:r>
              <w:rPr>
                <w:b/>
                <w:noProof/>
                <w:szCs w:val="24"/>
              </w:rPr>
              <w:t>TLV20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232</w:t>
            </w:r>
          </w:p>
        </w:tc>
        <w:tc>
          <w:tcPr>
            <w:tcW w:w="1050" w:type="pct"/>
            <w:noWrap/>
          </w:tcPr>
          <w:p w:rsidR="00B231CB" w:rsidRDefault="00C71431">
            <w:pPr>
              <w:spacing w:after="120"/>
              <w:jc w:val="center"/>
              <w:rPr>
                <w:noProof/>
                <w:szCs w:val="24"/>
              </w:rPr>
            </w:pPr>
            <w:r>
              <w:rPr>
                <w:noProof/>
                <w:szCs w:val="24"/>
              </w:rPr>
              <w:t>188</w:t>
            </w:r>
          </w:p>
        </w:tc>
        <w:tc>
          <w:tcPr>
            <w:tcW w:w="1050" w:type="pct"/>
            <w:noWrap/>
          </w:tcPr>
          <w:p w:rsidR="00B231CB" w:rsidRDefault="00C71431">
            <w:pPr>
              <w:spacing w:after="120"/>
              <w:jc w:val="center"/>
              <w:rPr>
                <w:noProof/>
                <w:szCs w:val="24"/>
              </w:rPr>
            </w:pPr>
            <w:r>
              <w:rPr>
                <w:noProof/>
                <w:szCs w:val="24"/>
              </w:rPr>
              <w:t>349</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w:t>
            </w:r>
          </w:p>
        </w:tc>
        <w:tc>
          <w:tcPr>
            <w:tcW w:w="1050" w:type="pct"/>
            <w:noWrap/>
          </w:tcPr>
          <w:p w:rsidR="00B231CB" w:rsidRDefault="00C71431">
            <w:pPr>
              <w:spacing w:after="120"/>
              <w:jc w:val="center"/>
              <w:rPr>
                <w:noProof/>
                <w:szCs w:val="24"/>
              </w:rPr>
            </w:pPr>
            <w:r>
              <w:rPr>
                <w:noProof/>
                <w:szCs w:val="24"/>
              </w:rPr>
              <w:t>-242</w:t>
            </w:r>
          </w:p>
        </w:tc>
        <w:tc>
          <w:tcPr>
            <w:tcW w:w="1050" w:type="pct"/>
            <w:noWrap/>
          </w:tcPr>
          <w:p w:rsidR="00B231CB" w:rsidRDefault="00C71431">
            <w:pPr>
              <w:spacing w:after="120"/>
              <w:jc w:val="center"/>
              <w:rPr>
                <w:noProof/>
                <w:szCs w:val="24"/>
              </w:rPr>
            </w:pPr>
            <w:r>
              <w:rPr>
                <w:noProof/>
                <w:szCs w:val="24"/>
              </w:rPr>
              <w:t>-333</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1,002</w:t>
            </w:r>
          </w:p>
        </w:tc>
        <w:tc>
          <w:tcPr>
            <w:tcW w:w="1050" w:type="pct"/>
            <w:tcBorders>
              <w:bottom w:val="single" w:sz="24" w:space="0" w:color="auto"/>
            </w:tcBorders>
            <w:noWrap/>
          </w:tcPr>
          <w:p w:rsidR="00B231CB" w:rsidRDefault="00C71431">
            <w:pPr>
              <w:spacing w:after="120"/>
              <w:jc w:val="center"/>
              <w:rPr>
                <w:noProof/>
                <w:szCs w:val="24"/>
              </w:rPr>
            </w:pPr>
            <w:r>
              <w:rPr>
                <w:noProof/>
                <w:szCs w:val="24"/>
              </w:rPr>
              <w:t>-360</w:t>
            </w:r>
          </w:p>
        </w:tc>
        <w:tc>
          <w:tcPr>
            <w:tcW w:w="1050" w:type="pct"/>
            <w:tcBorders>
              <w:bottom w:val="single" w:sz="24" w:space="0" w:color="auto"/>
            </w:tcBorders>
            <w:noWrap/>
          </w:tcPr>
          <w:p w:rsidR="00B231CB" w:rsidRDefault="00C71431">
            <w:pPr>
              <w:spacing w:after="120"/>
              <w:jc w:val="center"/>
              <w:rPr>
                <w:noProof/>
                <w:szCs w:val="24"/>
              </w:rPr>
            </w:pPr>
            <w:r>
              <w:rPr>
                <w:noProof/>
                <w:szCs w:val="24"/>
              </w:rPr>
              <w:t>-931</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810</w:t>
            </w:r>
          </w:p>
        </w:tc>
        <w:tc>
          <w:tcPr>
            <w:tcW w:w="1050" w:type="pct"/>
            <w:noWrap/>
          </w:tcPr>
          <w:p w:rsidR="00B231CB" w:rsidRDefault="00C71431">
            <w:pPr>
              <w:spacing w:after="120"/>
              <w:jc w:val="center"/>
              <w:rPr>
                <w:i/>
                <w:noProof/>
                <w:szCs w:val="24"/>
              </w:rPr>
            </w:pPr>
            <w:r>
              <w:rPr>
                <w:i/>
                <w:noProof/>
                <w:szCs w:val="24"/>
              </w:rPr>
              <w:t>-306</w:t>
            </w:r>
          </w:p>
        </w:tc>
        <w:tc>
          <w:tcPr>
            <w:tcW w:w="1050" w:type="pct"/>
            <w:noWrap/>
          </w:tcPr>
          <w:p w:rsidR="00B231CB" w:rsidRDefault="00C71431">
            <w:pPr>
              <w:spacing w:after="120"/>
              <w:jc w:val="center"/>
              <w:rPr>
                <w:i/>
                <w:noProof/>
                <w:szCs w:val="24"/>
              </w:rPr>
            </w:pPr>
            <w:r>
              <w:rPr>
                <w:i/>
                <w:noProof/>
                <w:szCs w:val="24"/>
              </w:rPr>
              <w:t>-947</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(EUR/van)</w:t>
            </w:r>
          </w:p>
        </w:tc>
      </w:tr>
      <w:tr w:rsidR="00B231CB">
        <w:trPr>
          <w:trHeight w:val="255"/>
        </w:trPr>
        <w:tc>
          <w:tcPr>
            <w:tcW w:w="1851" w:type="pct"/>
            <w:noWrap/>
            <w:hideMark/>
          </w:tcPr>
          <w:p w:rsidR="00B231CB" w:rsidRDefault="00C71431">
            <w:pPr>
              <w:spacing w:after="120"/>
              <w:rPr>
                <w:b/>
                <w:noProof/>
                <w:szCs w:val="24"/>
              </w:rPr>
            </w:pPr>
            <w:r>
              <w:rPr>
                <w:b/>
                <w:noProof/>
                <w:szCs w:val="24"/>
              </w:rPr>
              <w:t>TLV20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144</w:t>
            </w:r>
          </w:p>
        </w:tc>
        <w:tc>
          <w:tcPr>
            <w:tcW w:w="1050" w:type="pct"/>
            <w:noWrap/>
          </w:tcPr>
          <w:p w:rsidR="00B231CB" w:rsidRDefault="00C71431">
            <w:pPr>
              <w:spacing w:after="120"/>
              <w:jc w:val="center"/>
              <w:rPr>
                <w:noProof/>
                <w:szCs w:val="24"/>
              </w:rPr>
            </w:pPr>
            <w:r>
              <w:rPr>
                <w:noProof/>
                <w:szCs w:val="24"/>
              </w:rPr>
              <w:t>117</w:t>
            </w:r>
          </w:p>
        </w:tc>
        <w:tc>
          <w:tcPr>
            <w:tcW w:w="1050" w:type="pct"/>
            <w:noWrap/>
          </w:tcPr>
          <w:p w:rsidR="00B231CB" w:rsidRDefault="00C71431">
            <w:pPr>
              <w:spacing w:after="120"/>
              <w:jc w:val="center"/>
              <w:rPr>
                <w:noProof/>
                <w:szCs w:val="24"/>
              </w:rPr>
            </w:pPr>
            <w:r>
              <w:rPr>
                <w:noProof/>
                <w:szCs w:val="24"/>
              </w:rPr>
              <w:t>217</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-17</w:t>
            </w:r>
          </w:p>
        </w:tc>
        <w:tc>
          <w:tcPr>
            <w:tcW w:w="1050" w:type="pct"/>
            <w:noWrap/>
          </w:tcPr>
          <w:p w:rsidR="00B231CB" w:rsidRDefault="00C71431">
            <w:pPr>
              <w:spacing w:after="120"/>
              <w:jc w:val="center"/>
              <w:rPr>
                <w:noProof/>
                <w:szCs w:val="24"/>
              </w:rPr>
            </w:pPr>
            <w:r>
              <w:rPr>
                <w:noProof/>
                <w:szCs w:val="24"/>
              </w:rPr>
              <w:t>-104</w:t>
            </w:r>
          </w:p>
        </w:tc>
        <w:tc>
          <w:tcPr>
            <w:tcW w:w="1050" w:type="pct"/>
            <w:noWrap/>
          </w:tcPr>
          <w:p w:rsidR="00B231CB" w:rsidRDefault="00C71431">
            <w:pPr>
              <w:spacing w:after="120"/>
              <w:jc w:val="center"/>
              <w:rPr>
                <w:noProof/>
                <w:szCs w:val="24"/>
              </w:rPr>
            </w:pPr>
            <w:r>
              <w:rPr>
                <w:noProof/>
                <w:szCs w:val="24"/>
              </w:rPr>
              <w:t>-143</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1,016</w:t>
            </w:r>
          </w:p>
        </w:tc>
        <w:tc>
          <w:tcPr>
            <w:tcW w:w="1050" w:type="pct"/>
            <w:tcBorders>
              <w:bottom w:val="single" w:sz="24" w:space="0" w:color="auto"/>
            </w:tcBorders>
            <w:noWrap/>
          </w:tcPr>
          <w:p w:rsidR="00B231CB" w:rsidRDefault="00C71431">
            <w:pPr>
              <w:spacing w:after="120"/>
              <w:jc w:val="center"/>
              <w:rPr>
                <w:noProof/>
                <w:szCs w:val="24"/>
              </w:rPr>
            </w:pPr>
            <w:r>
              <w:rPr>
                <w:noProof/>
                <w:szCs w:val="24"/>
              </w:rPr>
              <w:t>253</w:t>
            </w:r>
          </w:p>
        </w:tc>
        <w:tc>
          <w:tcPr>
            <w:tcW w:w="1050" w:type="pct"/>
            <w:tcBorders>
              <w:bottom w:val="single" w:sz="24" w:space="0" w:color="auto"/>
            </w:tcBorders>
            <w:noWrap/>
          </w:tcPr>
          <w:p w:rsidR="00B231CB" w:rsidRDefault="00C71431">
            <w:pPr>
              <w:spacing w:after="120"/>
              <w:jc w:val="center"/>
              <w:rPr>
                <w:noProof/>
                <w:szCs w:val="24"/>
              </w:rPr>
            </w:pPr>
            <w:r>
              <w:rPr>
                <w:noProof/>
                <w:szCs w:val="24"/>
              </w:rPr>
              <w:t>-78</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889</w:t>
            </w:r>
          </w:p>
        </w:tc>
        <w:tc>
          <w:tcPr>
            <w:tcW w:w="1050" w:type="pct"/>
            <w:noWrap/>
          </w:tcPr>
          <w:p w:rsidR="00B231CB" w:rsidRDefault="00C71431">
            <w:pPr>
              <w:spacing w:after="120"/>
              <w:jc w:val="center"/>
              <w:rPr>
                <w:i/>
                <w:noProof/>
                <w:szCs w:val="24"/>
              </w:rPr>
            </w:pPr>
            <w:r>
              <w:rPr>
                <w:i/>
                <w:noProof/>
                <w:szCs w:val="24"/>
              </w:rPr>
              <w:t>240</w:t>
            </w:r>
          </w:p>
        </w:tc>
        <w:tc>
          <w:tcPr>
            <w:tcW w:w="1050" w:type="pct"/>
            <w:noWrap/>
          </w:tcPr>
          <w:p w:rsidR="00B231CB" w:rsidRDefault="00C71431">
            <w:pPr>
              <w:spacing w:after="120"/>
              <w:jc w:val="center"/>
              <w:rPr>
                <w:i/>
                <w:noProof/>
                <w:szCs w:val="24"/>
              </w:rPr>
            </w:pPr>
            <w:r>
              <w:rPr>
                <w:i/>
                <w:noProof/>
                <w:szCs w:val="24"/>
              </w:rPr>
              <w:t>-153</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(EUR/van)</w:t>
            </w:r>
          </w:p>
        </w:tc>
      </w:tr>
      <w:tr w:rsidR="00B231CB">
        <w:trPr>
          <w:trHeight w:val="255"/>
        </w:trPr>
        <w:tc>
          <w:tcPr>
            <w:tcW w:w="1851" w:type="pct"/>
            <w:noWrap/>
            <w:hideMark/>
          </w:tcPr>
          <w:p w:rsidR="00B231CB" w:rsidRDefault="00C71431">
            <w:pPr>
              <w:spacing w:after="120"/>
              <w:rPr>
                <w:b/>
                <w:noProof/>
                <w:szCs w:val="24"/>
              </w:rPr>
            </w:pPr>
            <w:r>
              <w:rPr>
                <w:b/>
                <w:noProof/>
                <w:szCs w:val="24"/>
              </w:rPr>
              <w:t>TLV20 - 2025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69</w:t>
            </w:r>
          </w:p>
        </w:tc>
        <w:tc>
          <w:tcPr>
            <w:tcW w:w="1050" w:type="pct"/>
            <w:noWrap/>
          </w:tcPr>
          <w:p w:rsidR="00B231CB" w:rsidRDefault="00C71431">
            <w:pPr>
              <w:spacing w:after="120"/>
              <w:jc w:val="center"/>
              <w:rPr>
                <w:noProof/>
                <w:szCs w:val="24"/>
              </w:rPr>
            </w:pPr>
            <w:r>
              <w:rPr>
                <w:noProof/>
                <w:szCs w:val="24"/>
              </w:rPr>
              <w:t>56</w:t>
            </w:r>
          </w:p>
        </w:tc>
        <w:tc>
          <w:tcPr>
            <w:tcW w:w="1050" w:type="pct"/>
            <w:noWrap/>
          </w:tcPr>
          <w:p w:rsidR="00B231CB" w:rsidRDefault="00C71431">
            <w:pPr>
              <w:spacing w:after="120"/>
              <w:jc w:val="center"/>
              <w:rPr>
                <w:noProof/>
                <w:szCs w:val="24"/>
              </w:rPr>
            </w:pPr>
            <w:r>
              <w:rPr>
                <w:noProof/>
                <w:szCs w:val="24"/>
              </w:rPr>
              <w:t>105</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-17</w:t>
            </w:r>
          </w:p>
        </w:tc>
        <w:tc>
          <w:tcPr>
            <w:tcW w:w="1050" w:type="pct"/>
            <w:noWrap/>
          </w:tcPr>
          <w:p w:rsidR="00B231CB" w:rsidRDefault="00C71431">
            <w:pPr>
              <w:spacing w:after="120"/>
              <w:jc w:val="center"/>
              <w:rPr>
                <w:noProof/>
                <w:szCs w:val="24"/>
              </w:rPr>
            </w:pPr>
            <w:r>
              <w:rPr>
                <w:noProof/>
                <w:szCs w:val="24"/>
              </w:rPr>
              <w:t>-104</w:t>
            </w:r>
          </w:p>
        </w:tc>
        <w:tc>
          <w:tcPr>
            <w:tcW w:w="1050" w:type="pct"/>
            <w:noWrap/>
          </w:tcPr>
          <w:p w:rsidR="00B231CB" w:rsidRDefault="00C71431">
            <w:pPr>
              <w:spacing w:after="120"/>
              <w:jc w:val="center"/>
              <w:rPr>
                <w:noProof/>
                <w:szCs w:val="24"/>
              </w:rPr>
            </w:pPr>
            <w:r>
              <w:rPr>
                <w:noProof/>
                <w:szCs w:val="24"/>
              </w:rPr>
              <w:t>-143</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707</w:t>
            </w:r>
          </w:p>
        </w:tc>
        <w:tc>
          <w:tcPr>
            <w:tcW w:w="1050" w:type="pct"/>
            <w:tcBorders>
              <w:bottom w:val="single" w:sz="24" w:space="0" w:color="auto"/>
            </w:tcBorders>
            <w:noWrap/>
          </w:tcPr>
          <w:p w:rsidR="00B231CB" w:rsidRDefault="00C71431">
            <w:pPr>
              <w:spacing w:after="120"/>
              <w:jc w:val="center"/>
              <w:rPr>
                <w:noProof/>
                <w:szCs w:val="24"/>
              </w:rPr>
            </w:pPr>
            <w:r>
              <w:rPr>
                <w:noProof/>
                <w:szCs w:val="24"/>
              </w:rPr>
              <w:t>204</w:t>
            </w:r>
          </w:p>
        </w:tc>
        <w:tc>
          <w:tcPr>
            <w:tcW w:w="1050" w:type="pct"/>
            <w:tcBorders>
              <w:bottom w:val="single" w:sz="24" w:space="0" w:color="auto"/>
            </w:tcBorders>
            <w:noWrap/>
          </w:tcPr>
          <w:p w:rsidR="00B231CB" w:rsidRDefault="00C71431">
            <w:pPr>
              <w:spacing w:after="120"/>
              <w:jc w:val="center"/>
              <w:rPr>
                <w:noProof/>
                <w:szCs w:val="24"/>
              </w:rPr>
            </w:pPr>
            <w:r>
              <w:rPr>
                <w:noProof/>
                <w:szCs w:val="24"/>
              </w:rPr>
              <w:t>-14</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655</w:t>
            </w:r>
          </w:p>
        </w:tc>
        <w:tc>
          <w:tcPr>
            <w:tcW w:w="1050" w:type="pct"/>
            <w:noWrap/>
          </w:tcPr>
          <w:p w:rsidR="00B231CB" w:rsidRDefault="00C71431">
            <w:pPr>
              <w:spacing w:after="120"/>
              <w:jc w:val="center"/>
              <w:rPr>
                <w:i/>
                <w:noProof/>
                <w:szCs w:val="24"/>
              </w:rPr>
            </w:pPr>
            <w:r>
              <w:rPr>
                <w:i/>
                <w:noProof/>
                <w:szCs w:val="24"/>
              </w:rPr>
              <w:t>252</w:t>
            </w:r>
          </w:p>
        </w:tc>
        <w:tc>
          <w:tcPr>
            <w:tcW w:w="1050" w:type="pct"/>
            <w:noWrap/>
          </w:tcPr>
          <w:p w:rsidR="00B231CB" w:rsidRDefault="00C71431">
            <w:pPr>
              <w:spacing w:after="120"/>
              <w:jc w:val="center"/>
              <w:rPr>
                <w:i/>
                <w:noProof/>
                <w:szCs w:val="24"/>
              </w:rPr>
            </w:pPr>
            <w:r>
              <w:rPr>
                <w:i/>
                <w:noProof/>
                <w:szCs w:val="24"/>
              </w:rPr>
              <w:t>24</w:t>
            </w:r>
          </w:p>
        </w:tc>
      </w:tr>
    </w:tbl>
    <w:p w:rsidR="00B231CB" w:rsidRDefault="00C71431">
      <w:pPr>
        <w:spacing w:before="120"/>
        <w:rPr>
          <w:b/>
          <w:noProof/>
          <w:szCs w:val="24"/>
          <w:u w:val="single"/>
        </w:rPr>
      </w:pPr>
      <w:r>
        <w:rPr>
          <w:b/>
          <w:noProof/>
          <w:szCs w:val="24"/>
          <w:u w:val="single"/>
        </w:rPr>
        <w:t>TLV20 – 2030 (LEVD_50)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(EUR/van)</w:t>
            </w:r>
          </w:p>
        </w:tc>
      </w:tr>
      <w:tr w:rsidR="00B231CB">
        <w:trPr>
          <w:trHeight w:val="255"/>
        </w:trPr>
        <w:tc>
          <w:tcPr>
            <w:tcW w:w="1851" w:type="pct"/>
            <w:noWrap/>
            <w:hideMark/>
          </w:tcPr>
          <w:p w:rsidR="00B231CB" w:rsidRDefault="00C71431">
            <w:pPr>
              <w:spacing w:after="120"/>
              <w:rPr>
                <w:b/>
                <w:noProof/>
                <w:szCs w:val="24"/>
              </w:rPr>
            </w:pPr>
            <w:r>
              <w:rPr>
                <w:b/>
                <w:noProof/>
                <w:szCs w:val="24"/>
              </w:rPr>
              <w:t>TLV20 - 2030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426</w:t>
            </w:r>
          </w:p>
        </w:tc>
        <w:tc>
          <w:tcPr>
            <w:tcW w:w="1050" w:type="pct"/>
            <w:noWrap/>
          </w:tcPr>
          <w:p w:rsidR="00B231CB" w:rsidRDefault="00C71431">
            <w:pPr>
              <w:spacing w:after="120"/>
              <w:jc w:val="center"/>
              <w:rPr>
                <w:noProof/>
                <w:szCs w:val="24"/>
              </w:rPr>
            </w:pPr>
            <w:r>
              <w:rPr>
                <w:noProof/>
                <w:szCs w:val="24"/>
              </w:rPr>
              <w:t>239</w:t>
            </w:r>
          </w:p>
        </w:tc>
        <w:tc>
          <w:tcPr>
            <w:tcW w:w="1049" w:type="pct"/>
            <w:noWrap/>
          </w:tcPr>
          <w:p w:rsidR="00B231CB" w:rsidRDefault="00C71431">
            <w:pPr>
              <w:spacing w:after="120"/>
              <w:jc w:val="center"/>
              <w:rPr>
                <w:noProof/>
                <w:szCs w:val="24"/>
              </w:rPr>
            </w:pPr>
            <w:r>
              <w:rPr>
                <w:noProof/>
                <w:szCs w:val="24"/>
              </w:rPr>
              <w:t>362</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-51</w:t>
            </w:r>
          </w:p>
        </w:tc>
        <w:tc>
          <w:tcPr>
            <w:tcW w:w="1050" w:type="pct"/>
            <w:noWrap/>
          </w:tcPr>
          <w:p w:rsidR="00B231CB" w:rsidRDefault="00C71431">
            <w:pPr>
              <w:spacing w:after="120"/>
              <w:jc w:val="center"/>
              <w:rPr>
                <w:noProof/>
                <w:szCs w:val="24"/>
              </w:rPr>
            </w:pPr>
            <w:r>
              <w:rPr>
                <w:noProof/>
                <w:szCs w:val="24"/>
              </w:rPr>
              <w:t>-394</w:t>
            </w:r>
          </w:p>
        </w:tc>
        <w:tc>
          <w:tcPr>
            <w:tcW w:w="1049" w:type="pct"/>
            <w:noWrap/>
          </w:tcPr>
          <w:p w:rsidR="00B231CB" w:rsidRDefault="00C71431">
            <w:pPr>
              <w:spacing w:after="120"/>
              <w:jc w:val="center"/>
              <w:rPr>
                <w:noProof/>
                <w:szCs w:val="24"/>
              </w:rPr>
            </w:pPr>
            <w:r>
              <w:rPr>
                <w:noProof/>
                <w:szCs w:val="24"/>
              </w:rPr>
              <w:t>-497</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2,063</w:t>
            </w:r>
          </w:p>
        </w:tc>
        <w:tc>
          <w:tcPr>
            <w:tcW w:w="1050" w:type="pct"/>
            <w:tcBorders>
              <w:bottom w:val="single" w:sz="24" w:space="0" w:color="auto"/>
            </w:tcBorders>
            <w:noWrap/>
          </w:tcPr>
          <w:p w:rsidR="00B231CB" w:rsidRDefault="00C71431">
            <w:pPr>
              <w:spacing w:after="120"/>
              <w:jc w:val="center"/>
              <w:rPr>
                <w:noProof/>
                <w:szCs w:val="24"/>
              </w:rPr>
            </w:pPr>
            <w:r>
              <w:rPr>
                <w:noProof/>
                <w:szCs w:val="24"/>
              </w:rPr>
              <w:t>95</w:t>
            </w:r>
          </w:p>
        </w:tc>
        <w:tc>
          <w:tcPr>
            <w:tcW w:w="1049" w:type="pct"/>
            <w:tcBorders>
              <w:bottom w:val="single" w:sz="24" w:space="0" w:color="auto"/>
            </w:tcBorders>
            <w:noWrap/>
          </w:tcPr>
          <w:p w:rsidR="00B231CB" w:rsidRDefault="00C71431">
            <w:pPr>
              <w:spacing w:after="120"/>
              <w:jc w:val="center"/>
              <w:rPr>
                <w:noProof/>
                <w:szCs w:val="24"/>
              </w:rPr>
            </w:pPr>
            <w:r>
              <w:rPr>
                <w:noProof/>
                <w:szCs w:val="24"/>
              </w:rPr>
              <w:t>-371</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1,688</w:t>
            </w:r>
          </w:p>
        </w:tc>
        <w:tc>
          <w:tcPr>
            <w:tcW w:w="1050" w:type="pct"/>
            <w:noWrap/>
          </w:tcPr>
          <w:p w:rsidR="00B231CB" w:rsidRDefault="00C71431">
            <w:pPr>
              <w:spacing w:after="120"/>
              <w:jc w:val="center"/>
              <w:rPr>
                <w:i/>
                <w:noProof/>
                <w:szCs w:val="24"/>
              </w:rPr>
            </w:pPr>
            <w:r>
              <w:rPr>
                <w:i/>
                <w:noProof/>
                <w:szCs w:val="24"/>
              </w:rPr>
              <w:t>249</w:t>
            </w:r>
          </w:p>
        </w:tc>
        <w:tc>
          <w:tcPr>
            <w:tcW w:w="1049" w:type="pct"/>
            <w:noWrap/>
          </w:tcPr>
          <w:p w:rsidR="00B231CB" w:rsidRDefault="00C71431">
            <w:pPr>
              <w:spacing w:after="120"/>
              <w:jc w:val="center"/>
              <w:rPr>
                <w:i/>
                <w:noProof/>
                <w:szCs w:val="24"/>
              </w:rPr>
            </w:pPr>
            <w:r>
              <w:rPr>
                <w:i/>
                <w:noProof/>
                <w:szCs w:val="24"/>
              </w:rPr>
              <w:t>-236</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w:t>
            </w:r>
            <w:r>
              <w:rPr>
                <w:b/>
                <w:i/>
                <w:noProof/>
                <w:color w:val="000000" w:themeColor="text1"/>
              </w:rPr>
              <w:t xml:space="preserve"> (EUR/van)</w:t>
            </w:r>
          </w:p>
        </w:tc>
      </w:tr>
      <w:tr w:rsidR="00B231CB">
        <w:trPr>
          <w:trHeight w:val="255"/>
        </w:trPr>
        <w:tc>
          <w:tcPr>
            <w:tcW w:w="1851" w:type="pct"/>
            <w:noWrap/>
            <w:hideMark/>
          </w:tcPr>
          <w:p w:rsidR="00B231CB" w:rsidRDefault="00C71431">
            <w:pPr>
              <w:spacing w:after="120"/>
              <w:rPr>
                <w:b/>
                <w:noProof/>
                <w:szCs w:val="24"/>
              </w:rPr>
            </w:pPr>
            <w:r>
              <w:rPr>
                <w:b/>
                <w:noProof/>
                <w:szCs w:val="24"/>
              </w:rPr>
              <w:t>TLV20 - 2030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265</w:t>
            </w:r>
          </w:p>
        </w:tc>
        <w:tc>
          <w:tcPr>
            <w:tcW w:w="1050" w:type="pct"/>
            <w:noWrap/>
          </w:tcPr>
          <w:p w:rsidR="00B231CB" w:rsidRDefault="00C71431">
            <w:pPr>
              <w:spacing w:after="120"/>
              <w:jc w:val="center"/>
              <w:rPr>
                <w:noProof/>
                <w:szCs w:val="24"/>
              </w:rPr>
            </w:pPr>
            <w:r>
              <w:rPr>
                <w:noProof/>
                <w:szCs w:val="24"/>
              </w:rPr>
              <w:t>149</w:t>
            </w:r>
          </w:p>
        </w:tc>
        <w:tc>
          <w:tcPr>
            <w:tcW w:w="1049" w:type="pct"/>
            <w:noWrap/>
          </w:tcPr>
          <w:p w:rsidR="00B231CB" w:rsidRDefault="00C71431">
            <w:pPr>
              <w:spacing w:after="120"/>
              <w:jc w:val="center"/>
              <w:rPr>
                <w:noProof/>
                <w:szCs w:val="24"/>
              </w:rPr>
            </w:pPr>
            <w:r>
              <w:rPr>
                <w:noProof/>
                <w:szCs w:val="24"/>
              </w:rPr>
              <w:t>225</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-22</w:t>
            </w:r>
          </w:p>
        </w:tc>
        <w:tc>
          <w:tcPr>
            <w:tcW w:w="1050" w:type="pct"/>
            <w:noWrap/>
          </w:tcPr>
          <w:p w:rsidR="00B231CB" w:rsidRDefault="00C71431">
            <w:pPr>
              <w:spacing w:after="120"/>
              <w:jc w:val="center"/>
              <w:rPr>
                <w:noProof/>
                <w:szCs w:val="24"/>
              </w:rPr>
            </w:pPr>
            <w:r>
              <w:rPr>
                <w:noProof/>
                <w:szCs w:val="24"/>
              </w:rPr>
              <w:t>-169</w:t>
            </w:r>
          </w:p>
        </w:tc>
        <w:tc>
          <w:tcPr>
            <w:tcW w:w="1049" w:type="pct"/>
            <w:noWrap/>
          </w:tcPr>
          <w:p w:rsidR="00B231CB" w:rsidRDefault="00C71431">
            <w:pPr>
              <w:spacing w:after="120"/>
              <w:jc w:val="center"/>
              <w:rPr>
                <w:noProof/>
                <w:szCs w:val="24"/>
              </w:rPr>
            </w:pPr>
            <w:r>
              <w:rPr>
                <w:noProof/>
                <w:szCs w:val="24"/>
              </w:rPr>
              <w:t>-213</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2,026</w:t>
            </w:r>
          </w:p>
        </w:tc>
        <w:tc>
          <w:tcPr>
            <w:tcW w:w="1050" w:type="pct"/>
            <w:tcBorders>
              <w:bottom w:val="single" w:sz="24" w:space="0" w:color="auto"/>
            </w:tcBorders>
            <w:noWrap/>
          </w:tcPr>
          <w:p w:rsidR="00B231CB" w:rsidRDefault="00C71431">
            <w:pPr>
              <w:spacing w:after="120"/>
              <w:jc w:val="center"/>
              <w:rPr>
                <w:noProof/>
                <w:szCs w:val="24"/>
              </w:rPr>
            </w:pPr>
            <w:r>
              <w:rPr>
                <w:noProof/>
                <w:szCs w:val="24"/>
              </w:rPr>
              <w:t>811</w:t>
            </w:r>
          </w:p>
        </w:tc>
        <w:tc>
          <w:tcPr>
            <w:tcW w:w="1049" w:type="pct"/>
            <w:tcBorders>
              <w:bottom w:val="single" w:sz="24" w:space="0" w:color="auto"/>
            </w:tcBorders>
            <w:noWrap/>
          </w:tcPr>
          <w:p w:rsidR="00B231CB" w:rsidRDefault="00C71431">
            <w:pPr>
              <w:spacing w:after="120"/>
              <w:jc w:val="center"/>
              <w:rPr>
                <w:noProof/>
                <w:szCs w:val="24"/>
              </w:rPr>
            </w:pPr>
            <w:r>
              <w:rPr>
                <w:noProof/>
                <w:szCs w:val="24"/>
              </w:rPr>
              <w:t>542</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1,783</w:t>
            </w:r>
          </w:p>
        </w:tc>
        <w:tc>
          <w:tcPr>
            <w:tcW w:w="1050" w:type="pct"/>
            <w:noWrap/>
          </w:tcPr>
          <w:p w:rsidR="00B231CB" w:rsidRDefault="00C71431">
            <w:pPr>
              <w:spacing w:after="120"/>
              <w:jc w:val="center"/>
              <w:rPr>
                <w:i/>
                <w:noProof/>
                <w:szCs w:val="24"/>
              </w:rPr>
            </w:pPr>
            <w:r>
              <w:rPr>
                <w:i/>
                <w:noProof/>
                <w:szCs w:val="24"/>
              </w:rPr>
              <w:t>831</w:t>
            </w:r>
          </w:p>
        </w:tc>
        <w:tc>
          <w:tcPr>
            <w:tcW w:w="1049" w:type="pct"/>
            <w:noWrap/>
          </w:tcPr>
          <w:p w:rsidR="00B231CB" w:rsidRDefault="00C71431">
            <w:pPr>
              <w:spacing w:after="120"/>
              <w:jc w:val="center"/>
              <w:rPr>
                <w:i/>
                <w:noProof/>
                <w:szCs w:val="24"/>
              </w:rPr>
            </w:pPr>
            <w:r>
              <w:rPr>
                <w:i/>
                <w:noProof/>
                <w:szCs w:val="24"/>
              </w:rPr>
              <w:t>530</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(EUR/van)</w:t>
            </w:r>
          </w:p>
        </w:tc>
      </w:tr>
      <w:tr w:rsidR="00B231CB">
        <w:trPr>
          <w:trHeight w:val="255"/>
        </w:trPr>
        <w:tc>
          <w:tcPr>
            <w:tcW w:w="1851" w:type="pct"/>
            <w:noWrap/>
            <w:hideMark/>
          </w:tcPr>
          <w:p w:rsidR="00B231CB" w:rsidRDefault="00C71431">
            <w:pPr>
              <w:spacing w:after="120"/>
              <w:rPr>
                <w:b/>
                <w:noProof/>
                <w:szCs w:val="24"/>
              </w:rPr>
            </w:pPr>
            <w:r>
              <w:rPr>
                <w:b/>
                <w:noProof/>
                <w:szCs w:val="24"/>
              </w:rPr>
              <w:t>TLV20 - 2030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128</w:t>
            </w:r>
          </w:p>
        </w:tc>
        <w:tc>
          <w:tcPr>
            <w:tcW w:w="1050" w:type="pct"/>
            <w:noWrap/>
          </w:tcPr>
          <w:p w:rsidR="00B231CB" w:rsidRDefault="00C71431">
            <w:pPr>
              <w:spacing w:after="120"/>
              <w:jc w:val="center"/>
              <w:rPr>
                <w:noProof/>
                <w:szCs w:val="24"/>
              </w:rPr>
            </w:pPr>
            <w:r>
              <w:rPr>
                <w:noProof/>
                <w:szCs w:val="24"/>
              </w:rPr>
              <w:t>72</w:t>
            </w:r>
          </w:p>
        </w:tc>
        <w:tc>
          <w:tcPr>
            <w:tcW w:w="1049" w:type="pct"/>
            <w:noWrap/>
          </w:tcPr>
          <w:p w:rsidR="00B231CB" w:rsidRDefault="00C71431">
            <w:pPr>
              <w:spacing w:after="120"/>
              <w:jc w:val="center"/>
              <w:rPr>
                <w:noProof/>
                <w:szCs w:val="24"/>
              </w:rPr>
            </w:pPr>
            <w:r>
              <w:rPr>
                <w:noProof/>
                <w:szCs w:val="24"/>
              </w:rPr>
              <w:t>109</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-22</w:t>
            </w:r>
          </w:p>
        </w:tc>
        <w:tc>
          <w:tcPr>
            <w:tcW w:w="1050" w:type="pct"/>
            <w:noWrap/>
          </w:tcPr>
          <w:p w:rsidR="00B231CB" w:rsidRDefault="00C71431">
            <w:pPr>
              <w:spacing w:after="120"/>
              <w:jc w:val="center"/>
              <w:rPr>
                <w:noProof/>
                <w:szCs w:val="24"/>
              </w:rPr>
            </w:pPr>
            <w:r>
              <w:rPr>
                <w:noProof/>
                <w:szCs w:val="24"/>
              </w:rPr>
              <w:t>-169</w:t>
            </w:r>
          </w:p>
        </w:tc>
        <w:tc>
          <w:tcPr>
            <w:tcW w:w="1049" w:type="pct"/>
            <w:noWrap/>
          </w:tcPr>
          <w:p w:rsidR="00B231CB" w:rsidRDefault="00C71431">
            <w:pPr>
              <w:spacing w:after="120"/>
              <w:jc w:val="center"/>
              <w:rPr>
                <w:noProof/>
                <w:szCs w:val="24"/>
              </w:rPr>
            </w:pPr>
            <w:r>
              <w:rPr>
                <w:noProof/>
                <w:szCs w:val="24"/>
              </w:rPr>
              <w:t>-213</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1,388</w:t>
            </w:r>
          </w:p>
        </w:tc>
        <w:tc>
          <w:tcPr>
            <w:tcW w:w="1050" w:type="pct"/>
            <w:tcBorders>
              <w:bottom w:val="single" w:sz="24" w:space="0" w:color="auto"/>
            </w:tcBorders>
            <w:noWrap/>
          </w:tcPr>
          <w:p w:rsidR="00B231CB" w:rsidRDefault="00C71431">
            <w:pPr>
              <w:spacing w:after="120"/>
              <w:jc w:val="center"/>
              <w:rPr>
                <w:noProof/>
                <w:szCs w:val="24"/>
              </w:rPr>
            </w:pPr>
            <w:r>
              <w:rPr>
                <w:noProof/>
                <w:szCs w:val="24"/>
              </w:rPr>
              <w:t>587</w:t>
            </w:r>
          </w:p>
        </w:tc>
        <w:tc>
          <w:tcPr>
            <w:tcW w:w="1049" w:type="pct"/>
            <w:tcBorders>
              <w:bottom w:val="single" w:sz="24" w:space="0" w:color="auto"/>
            </w:tcBorders>
            <w:noWrap/>
          </w:tcPr>
          <w:p w:rsidR="00B231CB" w:rsidRDefault="00C71431">
            <w:pPr>
              <w:spacing w:after="120"/>
              <w:jc w:val="center"/>
              <w:rPr>
                <w:noProof/>
                <w:szCs w:val="24"/>
              </w:rPr>
            </w:pPr>
            <w:r>
              <w:rPr>
                <w:noProof/>
                <w:szCs w:val="24"/>
              </w:rPr>
              <w:t>410</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1,282</w:t>
            </w:r>
          </w:p>
        </w:tc>
        <w:tc>
          <w:tcPr>
            <w:tcW w:w="1050" w:type="pct"/>
            <w:noWrap/>
          </w:tcPr>
          <w:p w:rsidR="00B231CB" w:rsidRDefault="00C71431">
            <w:pPr>
              <w:spacing w:after="120"/>
              <w:jc w:val="center"/>
              <w:rPr>
                <w:i/>
                <w:noProof/>
                <w:szCs w:val="24"/>
              </w:rPr>
            </w:pPr>
            <w:r>
              <w:rPr>
                <w:i/>
                <w:noProof/>
                <w:szCs w:val="24"/>
              </w:rPr>
              <w:t>684</w:t>
            </w:r>
          </w:p>
        </w:tc>
        <w:tc>
          <w:tcPr>
            <w:tcW w:w="1049" w:type="pct"/>
            <w:noWrap/>
          </w:tcPr>
          <w:p w:rsidR="00B231CB" w:rsidRDefault="00C71431">
            <w:pPr>
              <w:spacing w:after="120"/>
              <w:jc w:val="center"/>
              <w:rPr>
                <w:i/>
                <w:noProof/>
                <w:szCs w:val="24"/>
              </w:rPr>
            </w:pPr>
            <w:r>
              <w:rPr>
                <w:i/>
                <w:noProof/>
                <w:szCs w:val="24"/>
              </w:rPr>
              <w:t>515</w:t>
            </w:r>
          </w:p>
        </w:tc>
      </w:tr>
    </w:tbl>
    <w:p w:rsidR="00B231CB" w:rsidRDefault="00C71431">
      <w:pPr>
        <w:spacing w:before="120"/>
        <w:rPr>
          <w:b/>
          <w:noProof/>
          <w:szCs w:val="24"/>
          <w:u w:val="single"/>
        </w:rPr>
      </w:pPr>
      <w:r>
        <w:rPr>
          <w:b/>
          <w:noProof/>
          <w:szCs w:val="24"/>
          <w:u w:val="single"/>
        </w:rPr>
        <w:t>TLV25 – 2025 (LEVD_50)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(EUR/van)</w:t>
            </w:r>
          </w:p>
        </w:tc>
      </w:tr>
      <w:tr w:rsidR="00B231CB">
        <w:trPr>
          <w:trHeight w:val="255"/>
        </w:trPr>
        <w:tc>
          <w:tcPr>
            <w:tcW w:w="1851" w:type="pct"/>
            <w:noWrap/>
            <w:hideMark/>
          </w:tcPr>
          <w:p w:rsidR="00B231CB" w:rsidRDefault="00C71431">
            <w:pPr>
              <w:spacing w:after="120"/>
              <w:rPr>
                <w:b/>
                <w:noProof/>
                <w:szCs w:val="24"/>
              </w:rPr>
            </w:pPr>
            <w:r>
              <w:rPr>
                <w:b/>
                <w:noProof/>
                <w:szCs w:val="24"/>
              </w:rPr>
              <w:t>TLV25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355</w:t>
            </w:r>
          </w:p>
        </w:tc>
        <w:tc>
          <w:tcPr>
            <w:tcW w:w="1050" w:type="pct"/>
            <w:noWrap/>
          </w:tcPr>
          <w:p w:rsidR="00B231CB" w:rsidRDefault="00C71431">
            <w:pPr>
              <w:spacing w:after="120"/>
              <w:jc w:val="center"/>
              <w:rPr>
                <w:noProof/>
                <w:szCs w:val="24"/>
              </w:rPr>
            </w:pPr>
            <w:r>
              <w:rPr>
                <w:noProof/>
                <w:szCs w:val="24"/>
              </w:rPr>
              <w:t>251</w:t>
            </w:r>
          </w:p>
        </w:tc>
        <w:tc>
          <w:tcPr>
            <w:tcW w:w="1050" w:type="pct"/>
            <w:noWrap/>
          </w:tcPr>
          <w:p w:rsidR="00B231CB" w:rsidRDefault="00C71431">
            <w:pPr>
              <w:spacing w:after="120"/>
              <w:jc w:val="center"/>
              <w:rPr>
                <w:noProof/>
                <w:szCs w:val="24"/>
              </w:rPr>
            </w:pPr>
            <w:r>
              <w:rPr>
                <w:noProof/>
                <w:szCs w:val="24"/>
              </w:rPr>
              <w:t>411</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w:t>
            </w:r>
          </w:p>
        </w:tc>
        <w:tc>
          <w:tcPr>
            <w:tcW w:w="1050" w:type="pct"/>
            <w:noWrap/>
          </w:tcPr>
          <w:p w:rsidR="00B231CB" w:rsidRDefault="00C71431">
            <w:pPr>
              <w:spacing w:after="120"/>
              <w:jc w:val="center"/>
              <w:rPr>
                <w:noProof/>
                <w:szCs w:val="24"/>
              </w:rPr>
            </w:pPr>
            <w:r>
              <w:rPr>
                <w:noProof/>
                <w:szCs w:val="24"/>
              </w:rPr>
              <w:t>-241</w:t>
            </w:r>
          </w:p>
        </w:tc>
        <w:tc>
          <w:tcPr>
            <w:tcW w:w="1050" w:type="pct"/>
            <w:noWrap/>
          </w:tcPr>
          <w:p w:rsidR="00B231CB" w:rsidRDefault="00C71431">
            <w:pPr>
              <w:spacing w:after="120"/>
              <w:jc w:val="center"/>
              <w:rPr>
                <w:noProof/>
                <w:szCs w:val="24"/>
              </w:rPr>
            </w:pPr>
            <w:r>
              <w:rPr>
                <w:noProof/>
                <w:szCs w:val="24"/>
              </w:rPr>
              <w:t>-330</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1,265</w:t>
            </w:r>
          </w:p>
        </w:tc>
        <w:tc>
          <w:tcPr>
            <w:tcW w:w="1050" w:type="pct"/>
            <w:tcBorders>
              <w:bottom w:val="single" w:sz="24" w:space="0" w:color="auto"/>
            </w:tcBorders>
            <w:noWrap/>
          </w:tcPr>
          <w:p w:rsidR="00B231CB" w:rsidRDefault="00C71431">
            <w:pPr>
              <w:spacing w:after="120"/>
              <w:jc w:val="center"/>
              <w:rPr>
                <w:noProof/>
                <w:szCs w:val="24"/>
              </w:rPr>
            </w:pPr>
            <w:r>
              <w:rPr>
                <w:noProof/>
                <w:szCs w:val="24"/>
              </w:rPr>
              <w:t>-43</w:t>
            </w:r>
          </w:p>
        </w:tc>
        <w:tc>
          <w:tcPr>
            <w:tcW w:w="1050" w:type="pct"/>
            <w:tcBorders>
              <w:bottom w:val="single" w:sz="24" w:space="0" w:color="auto"/>
            </w:tcBorders>
            <w:noWrap/>
          </w:tcPr>
          <w:p w:rsidR="00B231CB" w:rsidRDefault="00C71431">
            <w:pPr>
              <w:spacing w:after="120"/>
              <w:jc w:val="center"/>
              <w:rPr>
                <w:noProof/>
                <w:szCs w:val="24"/>
              </w:rPr>
            </w:pPr>
            <w:r>
              <w:rPr>
                <w:noProof/>
                <w:szCs w:val="24"/>
              </w:rPr>
              <w:t>-641</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962</w:t>
            </w:r>
          </w:p>
        </w:tc>
        <w:tc>
          <w:tcPr>
            <w:tcW w:w="1050" w:type="pct"/>
            <w:noWrap/>
          </w:tcPr>
          <w:p w:rsidR="00B231CB" w:rsidRDefault="00C71431">
            <w:pPr>
              <w:spacing w:after="120"/>
              <w:jc w:val="center"/>
              <w:rPr>
                <w:i/>
                <w:noProof/>
                <w:szCs w:val="24"/>
              </w:rPr>
            </w:pPr>
            <w:r>
              <w:rPr>
                <w:i/>
                <w:noProof/>
                <w:szCs w:val="24"/>
              </w:rPr>
              <w:t>-53</w:t>
            </w:r>
          </w:p>
        </w:tc>
        <w:tc>
          <w:tcPr>
            <w:tcW w:w="1050" w:type="pct"/>
            <w:noWrap/>
          </w:tcPr>
          <w:p w:rsidR="00B231CB" w:rsidRDefault="00C71431">
            <w:pPr>
              <w:spacing w:after="120"/>
              <w:jc w:val="center"/>
              <w:rPr>
                <w:i/>
                <w:noProof/>
                <w:szCs w:val="24"/>
              </w:rPr>
            </w:pPr>
            <w:r>
              <w:rPr>
                <w:i/>
                <w:noProof/>
                <w:szCs w:val="24"/>
              </w:rPr>
              <w:t>-721</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(EUR/van)</w:t>
            </w:r>
          </w:p>
        </w:tc>
      </w:tr>
      <w:tr w:rsidR="00B231CB">
        <w:trPr>
          <w:trHeight w:val="255"/>
        </w:trPr>
        <w:tc>
          <w:tcPr>
            <w:tcW w:w="1851" w:type="pct"/>
            <w:noWrap/>
            <w:hideMark/>
          </w:tcPr>
          <w:p w:rsidR="00B231CB" w:rsidRDefault="00C71431">
            <w:pPr>
              <w:spacing w:after="120"/>
              <w:rPr>
                <w:b/>
                <w:noProof/>
                <w:szCs w:val="24"/>
              </w:rPr>
            </w:pPr>
            <w:r>
              <w:rPr>
                <w:b/>
                <w:noProof/>
                <w:szCs w:val="24"/>
              </w:rPr>
              <w:t>TLV25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221</w:t>
            </w:r>
          </w:p>
        </w:tc>
        <w:tc>
          <w:tcPr>
            <w:tcW w:w="1050" w:type="pct"/>
            <w:noWrap/>
          </w:tcPr>
          <w:p w:rsidR="00B231CB" w:rsidRDefault="00C71431">
            <w:pPr>
              <w:spacing w:after="120"/>
              <w:jc w:val="center"/>
              <w:rPr>
                <w:noProof/>
                <w:szCs w:val="24"/>
              </w:rPr>
            </w:pPr>
            <w:r>
              <w:rPr>
                <w:noProof/>
                <w:szCs w:val="24"/>
              </w:rPr>
              <w:t>156</w:t>
            </w:r>
          </w:p>
        </w:tc>
        <w:tc>
          <w:tcPr>
            <w:tcW w:w="1050" w:type="pct"/>
            <w:noWrap/>
          </w:tcPr>
          <w:p w:rsidR="00B231CB" w:rsidRDefault="00C71431">
            <w:pPr>
              <w:spacing w:after="120"/>
              <w:jc w:val="center"/>
              <w:rPr>
                <w:noProof/>
                <w:szCs w:val="24"/>
              </w:rPr>
            </w:pPr>
            <w:r>
              <w:rPr>
                <w:noProof/>
                <w:szCs w:val="24"/>
              </w:rPr>
              <w:t>255</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-23</w:t>
            </w:r>
          </w:p>
        </w:tc>
        <w:tc>
          <w:tcPr>
            <w:tcW w:w="1050" w:type="pct"/>
            <w:noWrap/>
          </w:tcPr>
          <w:p w:rsidR="00B231CB" w:rsidRDefault="00C71431">
            <w:pPr>
              <w:spacing w:after="120"/>
              <w:jc w:val="center"/>
              <w:rPr>
                <w:noProof/>
                <w:szCs w:val="24"/>
              </w:rPr>
            </w:pPr>
            <w:r>
              <w:rPr>
                <w:noProof/>
                <w:szCs w:val="24"/>
              </w:rPr>
              <w:t>-103</w:t>
            </w:r>
          </w:p>
        </w:tc>
        <w:tc>
          <w:tcPr>
            <w:tcW w:w="1050" w:type="pct"/>
            <w:noWrap/>
          </w:tcPr>
          <w:p w:rsidR="00B231CB" w:rsidRDefault="00C71431">
            <w:pPr>
              <w:spacing w:after="120"/>
              <w:jc w:val="center"/>
              <w:rPr>
                <w:noProof/>
                <w:szCs w:val="24"/>
              </w:rPr>
            </w:pPr>
            <w:r>
              <w:rPr>
                <w:noProof/>
                <w:szCs w:val="24"/>
              </w:rPr>
              <w:t>-142</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1,281</w:t>
            </w:r>
          </w:p>
        </w:tc>
        <w:tc>
          <w:tcPr>
            <w:tcW w:w="1050" w:type="pct"/>
            <w:tcBorders>
              <w:bottom w:val="single" w:sz="24" w:space="0" w:color="auto"/>
            </w:tcBorders>
            <w:noWrap/>
          </w:tcPr>
          <w:p w:rsidR="00B231CB" w:rsidRDefault="00C71431">
            <w:pPr>
              <w:spacing w:after="120"/>
              <w:jc w:val="center"/>
              <w:rPr>
                <w:noProof/>
                <w:szCs w:val="24"/>
              </w:rPr>
            </w:pPr>
            <w:r>
              <w:rPr>
                <w:noProof/>
                <w:szCs w:val="24"/>
              </w:rPr>
              <w:t>553</w:t>
            </w:r>
          </w:p>
        </w:tc>
        <w:tc>
          <w:tcPr>
            <w:tcW w:w="1050" w:type="pct"/>
            <w:tcBorders>
              <w:bottom w:val="single" w:sz="24" w:space="0" w:color="auto"/>
            </w:tcBorders>
            <w:noWrap/>
          </w:tcPr>
          <w:p w:rsidR="00B231CB" w:rsidRDefault="00C71431">
            <w:pPr>
              <w:spacing w:after="120"/>
              <w:jc w:val="center"/>
              <w:rPr>
                <w:noProof/>
                <w:szCs w:val="24"/>
              </w:rPr>
            </w:pPr>
            <w:r>
              <w:rPr>
                <w:noProof/>
                <w:szCs w:val="24"/>
              </w:rPr>
              <w:t>203</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1,083</w:t>
            </w:r>
          </w:p>
        </w:tc>
        <w:tc>
          <w:tcPr>
            <w:tcW w:w="1050" w:type="pct"/>
            <w:noWrap/>
          </w:tcPr>
          <w:p w:rsidR="00B231CB" w:rsidRDefault="00C71431">
            <w:pPr>
              <w:spacing w:after="120"/>
              <w:jc w:val="center"/>
              <w:rPr>
                <w:i/>
                <w:noProof/>
                <w:szCs w:val="24"/>
              </w:rPr>
            </w:pPr>
            <w:r>
              <w:rPr>
                <w:i/>
                <w:noProof/>
                <w:szCs w:val="24"/>
              </w:rPr>
              <w:t>500</w:t>
            </w:r>
          </w:p>
        </w:tc>
        <w:tc>
          <w:tcPr>
            <w:tcW w:w="1050" w:type="pct"/>
            <w:noWrap/>
          </w:tcPr>
          <w:p w:rsidR="00B231CB" w:rsidRDefault="00C71431">
            <w:pPr>
              <w:spacing w:after="120"/>
              <w:jc w:val="center"/>
              <w:rPr>
                <w:i/>
                <w:noProof/>
                <w:szCs w:val="24"/>
              </w:rPr>
            </w:pPr>
            <w:r>
              <w:rPr>
                <w:i/>
                <w:noProof/>
                <w:szCs w:val="24"/>
              </w:rPr>
              <w:t>89</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(EUR/van)</w:t>
            </w:r>
          </w:p>
        </w:tc>
      </w:tr>
      <w:tr w:rsidR="00B231CB">
        <w:trPr>
          <w:trHeight w:val="255"/>
        </w:trPr>
        <w:tc>
          <w:tcPr>
            <w:tcW w:w="1851" w:type="pct"/>
            <w:noWrap/>
            <w:hideMark/>
          </w:tcPr>
          <w:p w:rsidR="00B231CB" w:rsidRDefault="00C71431">
            <w:pPr>
              <w:spacing w:after="120"/>
              <w:rPr>
                <w:b/>
                <w:noProof/>
                <w:szCs w:val="24"/>
              </w:rPr>
            </w:pPr>
            <w:r>
              <w:rPr>
                <w:b/>
                <w:noProof/>
                <w:szCs w:val="24"/>
              </w:rPr>
              <w:t>TLV25 - 2025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106</w:t>
            </w:r>
          </w:p>
        </w:tc>
        <w:tc>
          <w:tcPr>
            <w:tcW w:w="1050" w:type="pct"/>
            <w:noWrap/>
          </w:tcPr>
          <w:p w:rsidR="00B231CB" w:rsidRDefault="00C71431">
            <w:pPr>
              <w:spacing w:after="120"/>
              <w:jc w:val="center"/>
              <w:rPr>
                <w:noProof/>
                <w:szCs w:val="24"/>
              </w:rPr>
            </w:pPr>
            <w:r>
              <w:rPr>
                <w:noProof/>
                <w:szCs w:val="24"/>
              </w:rPr>
              <w:t>75</w:t>
            </w:r>
          </w:p>
        </w:tc>
        <w:tc>
          <w:tcPr>
            <w:tcW w:w="1050" w:type="pct"/>
            <w:noWrap/>
          </w:tcPr>
          <w:p w:rsidR="00B231CB" w:rsidRDefault="00C71431">
            <w:pPr>
              <w:spacing w:after="120"/>
              <w:jc w:val="center"/>
              <w:rPr>
                <w:noProof/>
                <w:szCs w:val="24"/>
              </w:rPr>
            </w:pPr>
            <w:r>
              <w:rPr>
                <w:noProof/>
                <w:szCs w:val="24"/>
              </w:rPr>
              <w:t>123</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-23</w:t>
            </w:r>
          </w:p>
        </w:tc>
        <w:tc>
          <w:tcPr>
            <w:tcW w:w="1050" w:type="pct"/>
            <w:noWrap/>
          </w:tcPr>
          <w:p w:rsidR="00B231CB" w:rsidRDefault="00C71431">
            <w:pPr>
              <w:spacing w:after="120"/>
              <w:jc w:val="center"/>
              <w:rPr>
                <w:noProof/>
                <w:szCs w:val="24"/>
              </w:rPr>
            </w:pPr>
            <w:r>
              <w:rPr>
                <w:noProof/>
                <w:szCs w:val="24"/>
              </w:rPr>
              <w:t>-103</w:t>
            </w:r>
          </w:p>
        </w:tc>
        <w:tc>
          <w:tcPr>
            <w:tcW w:w="1050" w:type="pct"/>
            <w:noWrap/>
          </w:tcPr>
          <w:p w:rsidR="00B231CB" w:rsidRDefault="00C71431">
            <w:pPr>
              <w:spacing w:after="120"/>
              <w:jc w:val="center"/>
              <w:rPr>
                <w:noProof/>
                <w:szCs w:val="24"/>
              </w:rPr>
            </w:pPr>
            <w:r>
              <w:rPr>
                <w:noProof/>
                <w:szCs w:val="24"/>
              </w:rPr>
              <w:t>-142</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893</w:t>
            </w:r>
          </w:p>
        </w:tc>
        <w:tc>
          <w:tcPr>
            <w:tcW w:w="1050" w:type="pct"/>
            <w:tcBorders>
              <w:bottom w:val="single" w:sz="24" w:space="0" w:color="auto"/>
            </w:tcBorders>
            <w:noWrap/>
          </w:tcPr>
          <w:p w:rsidR="00B231CB" w:rsidRDefault="00C71431">
            <w:pPr>
              <w:spacing w:after="120"/>
              <w:jc w:val="center"/>
              <w:rPr>
                <w:noProof/>
                <w:szCs w:val="24"/>
              </w:rPr>
            </w:pPr>
            <w:r>
              <w:rPr>
                <w:noProof/>
                <w:szCs w:val="24"/>
              </w:rPr>
              <w:t>412</w:t>
            </w:r>
          </w:p>
        </w:tc>
        <w:tc>
          <w:tcPr>
            <w:tcW w:w="1050" w:type="pct"/>
            <w:tcBorders>
              <w:bottom w:val="single" w:sz="24" w:space="0" w:color="auto"/>
            </w:tcBorders>
            <w:noWrap/>
          </w:tcPr>
          <w:p w:rsidR="00B231CB" w:rsidRDefault="00C71431">
            <w:pPr>
              <w:spacing w:after="120"/>
              <w:jc w:val="center"/>
              <w:rPr>
                <w:noProof/>
                <w:szCs w:val="24"/>
              </w:rPr>
            </w:pPr>
            <w:r>
              <w:rPr>
                <w:noProof/>
                <w:szCs w:val="24"/>
              </w:rPr>
              <w:t>181</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809</w:t>
            </w:r>
          </w:p>
        </w:tc>
        <w:tc>
          <w:tcPr>
            <w:tcW w:w="1050" w:type="pct"/>
            <w:noWrap/>
          </w:tcPr>
          <w:p w:rsidR="00B231CB" w:rsidRDefault="00C71431">
            <w:pPr>
              <w:spacing w:after="120"/>
              <w:jc w:val="center"/>
              <w:rPr>
                <w:i/>
                <w:noProof/>
                <w:szCs w:val="24"/>
              </w:rPr>
            </w:pPr>
            <w:r>
              <w:rPr>
                <w:i/>
                <w:noProof/>
                <w:szCs w:val="24"/>
              </w:rPr>
              <w:t>441</w:t>
            </w:r>
          </w:p>
        </w:tc>
        <w:tc>
          <w:tcPr>
            <w:tcW w:w="1050" w:type="pct"/>
            <w:noWrap/>
          </w:tcPr>
          <w:p w:rsidR="00B231CB" w:rsidRDefault="00C71431">
            <w:pPr>
              <w:spacing w:after="120"/>
              <w:jc w:val="center"/>
              <w:rPr>
                <w:i/>
                <w:noProof/>
                <w:szCs w:val="24"/>
              </w:rPr>
            </w:pPr>
            <w:r>
              <w:rPr>
                <w:i/>
                <w:noProof/>
                <w:szCs w:val="24"/>
              </w:rPr>
              <w:t>199</w:t>
            </w:r>
          </w:p>
        </w:tc>
      </w:tr>
    </w:tbl>
    <w:p w:rsidR="00B231CB" w:rsidRDefault="00C71431">
      <w:pPr>
        <w:spacing w:before="120"/>
        <w:rPr>
          <w:b/>
          <w:noProof/>
          <w:szCs w:val="24"/>
          <w:u w:val="single"/>
        </w:rPr>
      </w:pPr>
      <w:r>
        <w:rPr>
          <w:b/>
          <w:noProof/>
          <w:szCs w:val="24"/>
          <w:u w:val="single"/>
        </w:rPr>
        <w:t>TLV25 – 2030 (LEVD_50)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(EUR/van)</w:t>
            </w:r>
          </w:p>
        </w:tc>
      </w:tr>
      <w:tr w:rsidR="00B231CB">
        <w:trPr>
          <w:trHeight w:val="255"/>
        </w:trPr>
        <w:tc>
          <w:tcPr>
            <w:tcW w:w="1851" w:type="pct"/>
            <w:noWrap/>
            <w:hideMark/>
          </w:tcPr>
          <w:p w:rsidR="00B231CB" w:rsidRDefault="00C71431">
            <w:pPr>
              <w:spacing w:after="120"/>
              <w:rPr>
                <w:b/>
                <w:noProof/>
                <w:szCs w:val="24"/>
              </w:rPr>
            </w:pPr>
            <w:r>
              <w:rPr>
                <w:b/>
                <w:noProof/>
                <w:szCs w:val="24"/>
              </w:rPr>
              <w:t>TLV25 - 2030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620</w:t>
            </w:r>
          </w:p>
        </w:tc>
        <w:tc>
          <w:tcPr>
            <w:tcW w:w="1050" w:type="pct"/>
            <w:noWrap/>
          </w:tcPr>
          <w:p w:rsidR="00B231CB" w:rsidRDefault="00C71431">
            <w:pPr>
              <w:spacing w:after="120"/>
              <w:jc w:val="center"/>
              <w:rPr>
                <w:noProof/>
                <w:szCs w:val="24"/>
              </w:rPr>
            </w:pPr>
            <w:r>
              <w:rPr>
                <w:noProof/>
                <w:szCs w:val="24"/>
              </w:rPr>
              <w:t>332</w:t>
            </w:r>
          </w:p>
        </w:tc>
        <w:tc>
          <w:tcPr>
            <w:tcW w:w="1049" w:type="pct"/>
            <w:noWrap/>
          </w:tcPr>
          <w:p w:rsidR="00B231CB" w:rsidRDefault="00C71431">
            <w:pPr>
              <w:spacing w:after="120"/>
              <w:jc w:val="center"/>
              <w:rPr>
                <w:noProof/>
                <w:szCs w:val="24"/>
              </w:rPr>
            </w:pPr>
            <w:r>
              <w:rPr>
                <w:noProof/>
                <w:szCs w:val="24"/>
              </w:rPr>
              <w:t>454</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-56</w:t>
            </w:r>
          </w:p>
        </w:tc>
        <w:tc>
          <w:tcPr>
            <w:tcW w:w="1050" w:type="pct"/>
            <w:noWrap/>
          </w:tcPr>
          <w:p w:rsidR="00B231CB" w:rsidRDefault="00C71431">
            <w:pPr>
              <w:spacing w:after="120"/>
              <w:jc w:val="center"/>
              <w:rPr>
                <w:noProof/>
                <w:szCs w:val="24"/>
              </w:rPr>
            </w:pPr>
            <w:r>
              <w:rPr>
                <w:noProof/>
                <w:szCs w:val="24"/>
              </w:rPr>
              <w:t>-391</w:t>
            </w:r>
          </w:p>
        </w:tc>
        <w:tc>
          <w:tcPr>
            <w:tcW w:w="1049" w:type="pct"/>
            <w:noWrap/>
          </w:tcPr>
          <w:p w:rsidR="00B231CB" w:rsidRDefault="00C71431">
            <w:pPr>
              <w:spacing w:after="120"/>
              <w:jc w:val="center"/>
              <w:rPr>
                <w:noProof/>
                <w:szCs w:val="24"/>
              </w:rPr>
            </w:pPr>
            <w:r>
              <w:rPr>
                <w:noProof/>
                <w:szCs w:val="24"/>
              </w:rPr>
              <w:t>-500</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2,600</w:t>
            </w:r>
          </w:p>
        </w:tc>
        <w:tc>
          <w:tcPr>
            <w:tcW w:w="1050" w:type="pct"/>
            <w:tcBorders>
              <w:bottom w:val="single" w:sz="24" w:space="0" w:color="auto"/>
            </w:tcBorders>
            <w:noWrap/>
          </w:tcPr>
          <w:p w:rsidR="00B231CB" w:rsidRDefault="00C71431">
            <w:pPr>
              <w:spacing w:after="120"/>
              <w:jc w:val="center"/>
              <w:rPr>
                <w:noProof/>
                <w:szCs w:val="24"/>
              </w:rPr>
            </w:pPr>
            <w:r>
              <w:rPr>
                <w:noProof/>
                <w:szCs w:val="24"/>
              </w:rPr>
              <w:t>693</w:t>
            </w:r>
          </w:p>
        </w:tc>
        <w:tc>
          <w:tcPr>
            <w:tcW w:w="1049" w:type="pct"/>
            <w:tcBorders>
              <w:bottom w:val="single" w:sz="24" w:space="0" w:color="auto"/>
            </w:tcBorders>
            <w:noWrap/>
          </w:tcPr>
          <w:p w:rsidR="00B231CB" w:rsidRDefault="00C71431">
            <w:pPr>
              <w:spacing w:after="120"/>
              <w:jc w:val="center"/>
              <w:rPr>
                <w:noProof/>
                <w:szCs w:val="24"/>
              </w:rPr>
            </w:pPr>
            <w:r>
              <w:rPr>
                <w:noProof/>
                <w:szCs w:val="24"/>
              </w:rPr>
              <w:t>102</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2,037</w:t>
            </w:r>
          </w:p>
        </w:tc>
        <w:tc>
          <w:tcPr>
            <w:tcW w:w="1050" w:type="pct"/>
            <w:noWrap/>
          </w:tcPr>
          <w:p w:rsidR="00B231CB" w:rsidRDefault="00C71431">
            <w:pPr>
              <w:spacing w:after="120"/>
              <w:jc w:val="center"/>
              <w:rPr>
                <w:i/>
                <w:noProof/>
                <w:szCs w:val="24"/>
              </w:rPr>
            </w:pPr>
            <w:r>
              <w:rPr>
                <w:i/>
                <w:noProof/>
                <w:szCs w:val="24"/>
              </w:rPr>
              <w:t>752</w:t>
            </w:r>
          </w:p>
        </w:tc>
        <w:tc>
          <w:tcPr>
            <w:tcW w:w="1049" w:type="pct"/>
            <w:noWrap/>
          </w:tcPr>
          <w:p w:rsidR="00B231CB" w:rsidRDefault="00C71431">
            <w:pPr>
              <w:spacing w:after="120"/>
              <w:jc w:val="center"/>
              <w:rPr>
                <w:i/>
                <w:noProof/>
                <w:szCs w:val="24"/>
              </w:rPr>
            </w:pPr>
            <w:r>
              <w:rPr>
                <w:i/>
                <w:noProof/>
                <w:szCs w:val="24"/>
              </w:rPr>
              <w:t>148</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(EUR/van)</w:t>
            </w:r>
          </w:p>
        </w:tc>
      </w:tr>
      <w:tr w:rsidR="00B231CB">
        <w:trPr>
          <w:trHeight w:val="255"/>
        </w:trPr>
        <w:tc>
          <w:tcPr>
            <w:tcW w:w="1851" w:type="pct"/>
            <w:noWrap/>
            <w:hideMark/>
          </w:tcPr>
          <w:p w:rsidR="00B231CB" w:rsidRDefault="00C71431">
            <w:pPr>
              <w:spacing w:after="120"/>
              <w:rPr>
                <w:b/>
                <w:noProof/>
                <w:szCs w:val="24"/>
              </w:rPr>
            </w:pPr>
            <w:r>
              <w:rPr>
                <w:b/>
                <w:noProof/>
                <w:szCs w:val="24"/>
              </w:rPr>
              <w:t>TLV25 - 2030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386</w:t>
            </w:r>
          </w:p>
        </w:tc>
        <w:tc>
          <w:tcPr>
            <w:tcW w:w="1050" w:type="pct"/>
            <w:noWrap/>
          </w:tcPr>
          <w:p w:rsidR="00B231CB" w:rsidRDefault="00C71431">
            <w:pPr>
              <w:spacing w:after="120"/>
              <w:jc w:val="center"/>
              <w:rPr>
                <w:noProof/>
                <w:szCs w:val="24"/>
              </w:rPr>
            </w:pPr>
            <w:r>
              <w:rPr>
                <w:noProof/>
                <w:szCs w:val="24"/>
              </w:rPr>
              <w:t>206</w:t>
            </w:r>
          </w:p>
        </w:tc>
        <w:tc>
          <w:tcPr>
            <w:tcW w:w="1049" w:type="pct"/>
            <w:noWrap/>
          </w:tcPr>
          <w:p w:rsidR="00B231CB" w:rsidRDefault="00C71431">
            <w:pPr>
              <w:spacing w:after="120"/>
              <w:jc w:val="center"/>
              <w:rPr>
                <w:noProof/>
                <w:szCs w:val="24"/>
              </w:rPr>
            </w:pPr>
            <w:r>
              <w:rPr>
                <w:noProof/>
                <w:szCs w:val="24"/>
              </w:rPr>
              <w:t>282</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-24</w:t>
            </w:r>
          </w:p>
        </w:tc>
        <w:tc>
          <w:tcPr>
            <w:tcW w:w="1050" w:type="pct"/>
            <w:noWrap/>
          </w:tcPr>
          <w:p w:rsidR="00B231CB" w:rsidRDefault="00C71431">
            <w:pPr>
              <w:spacing w:after="120"/>
              <w:jc w:val="center"/>
              <w:rPr>
                <w:noProof/>
                <w:szCs w:val="24"/>
              </w:rPr>
            </w:pPr>
            <w:r>
              <w:rPr>
                <w:noProof/>
                <w:szCs w:val="24"/>
              </w:rPr>
              <w:t>-168</w:t>
            </w:r>
          </w:p>
        </w:tc>
        <w:tc>
          <w:tcPr>
            <w:tcW w:w="1049" w:type="pct"/>
            <w:noWrap/>
          </w:tcPr>
          <w:p w:rsidR="00B231CB" w:rsidRDefault="00C71431">
            <w:pPr>
              <w:spacing w:after="120"/>
              <w:jc w:val="center"/>
              <w:rPr>
                <w:noProof/>
                <w:szCs w:val="24"/>
              </w:rPr>
            </w:pPr>
            <w:r>
              <w:rPr>
                <w:noProof/>
                <w:szCs w:val="24"/>
              </w:rPr>
              <w:t>-214</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2,546</w:t>
            </w:r>
          </w:p>
        </w:tc>
        <w:tc>
          <w:tcPr>
            <w:tcW w:w="1050" w:type="pct"/>
            <w:tcBorders>
              <w:bottom w:val="single" w:sz="24" w:space="0" w:color="auto"/>
            </w:tcBorders>
            <w:noWrap/>
          </w:tcPr>
          <w:p w:rsidR="00B231CB" w:rsidRDefault="00C71431">
            <w:pPr>
              <w:spacing w:after="120"/>
              <w:jc w:val="center"/>
              <w:rPr>
                <w:noProof/>
                <w:szCs w:val="24"/>
              </w:rPr>
            </w:pPr>
            <w:r>
              <w:rPr>
                <w:noProof/>
                <w:szCs w:val="24"/>
              </w:rPr>
              <w:t>1,371</w:t>
            </w:r>
          </w:p>
        </w:tc>
        <w:tc>
          <w:tcPr>
            <w:tcW w:w="1049" w:type="pct"/>
            <w:tcBorders>
              <w:bottom w:val="single" w:sz="24" w:space="0" w:color="auto"/>
            </w:tcBorders>
            <w:noWrap/>
          </w:tcPr>
          <w:p w:rsidR="00B231CB" w:rsidRDefault="00C71431">
            <w:pPr>
              <w:spacing w:after="120"/>
              <w:jc w:val="center"/>
              <w:rPr>
                <w:noProof/>
                <w:szCs w:val="24"/>
              </w:rPr>
            </w:pPr>
            <w:r>
              <w:rPr>
                <w:noProof/>
                <w:szCs w:val="24"/>
              </w:rPr>
              <w:t>1,007</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2,184</w:t>
            </w:r>
          </w:p>
        </w:tc>
        <w:tc>
          <w:tcPr>
            <w:tcW w:w="1050" w:type="pct"/>
            <w:noWrap/>
          </w:tcPr>
          <w:p w:rsidR="00B231CB" w:rsidRDefault="00C71431">
            <w:pPr>
              <w:spacing w:after="120"/>
              <w:jc w:val="center"/>
              <w:rPr>
                <w:i/>
                <w:noProof/>
                <w:szCs w:val="24"/>
              </w:rPr>
            </w:pPr>
            <w:r>
              <w:rPr>
                <w:i/>
                <w:noProof/>
                <w:szCs w:val="24"/>
              </w:rPr>
              <w:t>1,332</w:t>
            </w:r>
          </w:p>
        </w:tc>
        <w:tc>
          <w:tcPr>
            <w:tcW w:w="1049" w:type="pct"/>
            <w:noWrap/>
          </w:tcPr>
          <w:p w:rsidR="00B231CB" w:rsidRDefault="00C71431">
            <w:pPr>
              <w:spacing w:after="120"/>
              <w:jc w:val="center"/>
              <w:rPr>
                <w:i/>
                <w:noProof/>
                <w:szCs w:val="24"/>
              </w:rPr>
            </w:pPr>
            <w:r>
              <w:rPr>
                <w:i/>
                <w:noProof/>
                <w:szCs w:val="24"/>
              </w:rPr>
              <w:t>939</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(EUR/van)</w:t>
            </w:r>
          </w:p>
        </w:tc>
      </w:tr>
      <w:tr w:rsidR="00B231CB">
        <w:trPr>
          <w:trHeight w:val="255"/>
        </w:trPr>
        <w:tc>
          <w:tcPr>
            <w:tcW w:w="1851" w:type="pct"/>
            <w:noWrap/>
            <w:hideMark/>
          </w:tcPr>
          <w:p w:rsidR="00B231CB" w:rsidRDefault="00C71431">
            <w:pPr>
              <w:spacing w:after="120"/>
              <w:rPr>
                <w:b/>
                <w:noProof/>
                <w:szCs w:val="24"/>
              </w:rPr>
            </w:pPr>
            <w:r>
              <w:rPr>
                <w:b/>
                <w:noProof/>
                <w:szCs w:val="24"/>
              </w:rPr>
              <w:t>TLV25 - 2030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186</w:t>
            </w:r>
          </w:p>
        </w:tc>
        <w:tc>
          <w:tcPr>
            <w:tcW w:w="1050" w:type="pct"/>
            <w:noWrap/>
          </w:tcPr>
          <w:p w:rsidR="00B231CB" w:rsidRDefault="00C71431">
            <w:pPr>
              <w:spacing w:after="120"/>
              <w:jc w:val="center"/>
              <w:rPr>
                <w:noProof/>
                <w:szCs w:val="24"/>
              </w:rPr>
            </w:pPr>
            <w:r>
              <w:rPr>
                <w:noProof/>
                <w:szCs w:val="24"/>
              </w:rPr>
              <w:t>99</w:t>
            </w:r>
          </w:p>
        </w:tc>
        <w:tc>
          <w:tcPr>
            <w:tcW w:w="1049" w:type="pct"/>
            <w:noWrap/>
          </w:tcPr>
          <w:p w:rsidR="00B231CB" w:rsidRDefault="00C71431">
            <w:pPr>
              <w:spacing w:after="120"/>
              <w:jc w:val="center"/>
              <w:rPr>
                <w:noProof/>
                <w:szCs w:val="24"/>
              </w:rPr>
            </w:pPr>
            <w:r>
              <w:rPr>
                <w:noProof/>
                <w:szCs w:val="24"/>
              </w:rPr>
              <w:t>136</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-24</w:t>
            </w:r>
          </w:p>
        </w:tc>
        <w:tc>
          <w:tcPr>
            <w:tcW w:w="1050" w:type="pct"/>
            <w:noWrap/>
          </w:tcPr>
          <w:p w:rsidR="00B231CB" w:rsidRDefault="00C71431">
            <w:pPr>
              <w:spacing w:after="120"/>
              <w:jc w:val="center"/>
              <w:rPr>
                <w:noProof/>
                <w:szCs w:val="24"/>
              </w:rPr>
            </w:pPr>
            <w:r>
              <w:rPr>
                <w:noProof/>
                <w:szCs w:val="24"/>
              </w:rPr>
              <w:t>-168</w:t>
            </w:r>
          </w:p>
        </w:tc>
        <w:tc>
          <w:tcPr>
            <w:tcW w:w="1049" w:type="pct"/>
            <w:noWrap/>
          </w:tcPr>
          <w:p w:rsidR="00B231CB" w:rsidRDefault="00C71431">
            <w:pPr>
              <w:spacing w:after="120"/>
              <w:jc w:val="center"/>
              <w:rPr>
                <w:noProof/>
                <w:szCs w:val="24"/>
              </w:rPr>
            </w:pPr>
            <w:r>
              <w:rPr>
                <w:noProof/>
                <w:szCs w:val="24"/>
              </w:rPr>
              <w:t>-214</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1,743</w:t>
            </w:r>
          </w:p>
        </w:tc>
        <w:tc>
          <w:tcPr>
            <w:tcW w:w="1050" w:type="pct"/>
            <w:tcBorders>
              <w:bottom w:val="single" w:sz="24" w:space="0" w:color="auto"/>
            </w:tcBorders>
            <w:noWrap/>
          </w:tcPr>
          <w:p w:rsidR="00B231CB" w:rsidRDefault="00C71431">
            <w:pPr>
              <w:spacing w:after="120"/>
              <w:jc w:val="center"/>
              <w:rPr>
                <w:noProof/>
                <w:szCs w:val="24"/>
              </w:rPr>
            </w:pPr>
            <w:r>
              <w:rPr>
                <w:noProof/>
                <w:szCs w:val="24"/>
              </w:rPr>
              <w:t>969</w:t>
            </w:r>
          </w:p>
        </w:tc>
        <w:tc>
          <w:tcPr>
            <w:tcW w:w="1049" w:type="pct"/>
            <w:tcBorders>
              <w:bottom w:val="single" w:sz="24" w:space="0" w:color="auto"/>
            </w:tcBorders>
            <w:noWrap/>
          </w:tcPr>
          <w:p w:rsidR="00B231CB" w:rsidRDefault="00C71431">
            <w:pPr>
              <w:spacing w:after="120"/>
              <w:jc w:val="center"/>
              <w:rPr>
                <w:noProof/>
                <w:szCs w:val="24"/>
              </w:rPr>
            </w:pPr>
            <w:r>
              <w:rPr>
                <w:noProof/>
                <w:szCs w:val="24"/>
              </w:rPr>
              <w:t>729</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1,582</w:t>
            </w:r>
          </w:p>
        </w:tc>
        <w:tc>
          <w:tcPr>
            <w:tcW w:w="1050" w:type="pct"/>
            <w:noWrap/>
          </w:tcPr>
          <w:p w:rsidR="00B231CB" w:rsidRDefault="00C71431">
            <w:pPr>
              <w:spacing w:after="120"/>
              <w:jc w:val="center"/>
              <w:rPr>
                <w:i/>
                <w:noProof/>
                <w:szCs w:val="24"/>
              </w:rPr>
            </w:pPr>
            <w:r>
              <w:rPr>
                <w:i/>
                <w:noProof/>
                <w:szCs w:val="24"/>
              </w:rPr>
              <w:t>1,037</w:t>
            </w:r>
          </w:p>
        </w:tc>
        <w:tc>
          <w:tcPr>
            <w:tcW w:w="1049" w:type="pct"/>
            <w:noWrap/>
          </w:tcPr>
          <w:p w:rsidR="00B231CB" w:rsidRDefault="00C71431">
            <w:pPr>
              <w:spacing w:after="120"/>
              <w:jc w:val="center"/>
              <w:rPr>
                <w:i/>
                <w:noProof/>
                <w:szCs w:val="24"/>
              </w:rPr>
            </w:pPr>
            <w:r>
              <w:rPr>
                <w:i/>
                <w:noProof/>
                <w:szCs w:val="24"/>
              </w:rPr>
              <w:t>807</w:t>
            </w:r>
          </w:p>
        </w:tc>
      </w:tr>
    </w:tbl>
    <w:p w:rsidR="00B231CB" w:rsidRDefault="00B231CB">
      <w:pPr>
        <w:spacing w:before="120"/>
        <w:rPr>
          <w:b/>
          <w:noProof/>
          <w:szCs w:val="24"/>
          <w:u w:val="single"/>
        </w:rPr>
      </w:pPr>
    </w:p>
    <w:p w:rsidR="00B231CB" w:rsidRDefault="00C71431">
      <w:pPr>
        <w:rPr>
          <w:noProof/>
        </w:rPr>
      </w:pPr>
      <w:r>
        <w:rPr>
          <w:noProof/>
        </w:rPr>
        <w:br w:type="page"/>
      </w:r>
    </w:p>
    <w:p w:rsidR="00B231CB" w:rsidRDefault="00C71431">
      <w:pPr>
        <w:spacing w:before="120"/>
        <w:rPr>
          <w:b/>
          <w:noProof/>
          <w:szCs w:val="24"/>
          <w:u w:val="single"/>
        </w:rPr>
      </w:pPr>
      <w:r>
        <w:rPr>
          <w:b/>
          <w:noProof/>
          <w:szCs w:val="24"/>
          <w:u w:val="single"/>
        </w:rPr>
        <w:t>TLV40 – 2025 (LEVD_50)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(EUR/van)</w:t>
            </w:r>
          </w:p>
        </w:tc>
      </w:tr>
      <w:tr w:rsidR="00B231CB">
        <w:trPr>
          <w:trHeight w:val="255"/>
        </w:trPr>
        <w:tc>
          <w:tcPr>
            <w:tcW w:w="1851" w:type="pct"/>
            <w:noWrap/>
            <w:hideMark/>
          </w:tcPr>
          <w:p w:rsidR="00B231CB" w:rsidRDefault="00C71431">
            <w:pPr>
              <w:spacing w:after="120"/>
              <w:rPr>
                <w:b/>
                <w:noProof/>
                <w:szCs w:val="24"/>
              </w:rPr>
            </w:pPr>
            <w:r>
              <w:rPr>
                <w:b/>
                <w:noProof/>
                <w:szCs w:val="24"/>
              </w:rPr>
              <w:t>TLV40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877</w:t>
            </w:r>
          </w:p>
        </w:tc>
        <w:tc>
          <w:tcPr>
            <w:tcW w:w="1050" w:type="pct"/>
            <w:noWrap/>
          </w:tcPr>
          <w:p w:rsidR="00B231CB" w:rsidRDefault="00C71431">
            <w:pPr>
              <w:spacing w:after="120"/>
              <w:jc w:val="center"/>
              <w:rPr>
                <w:noProof/>
                <w:szCs w:val="24"/>
              </w:rPr>
            </w:pPr>
            <w:r>
              <w:rPr>
                <w:noProof/>
                <w:szCs w:val="24"/>
              </w:rPr>
              <w:t>464</w:t>
            </w:r>
          </w:p>
        </w:tc>
        <w:tc>
          <w:tcPr>
            <w:tcW w:w="1049" w:type="pct"/>
            <w:noWrap/>
          </w:tcPr>
          <w:p w:rsidR="00B231CB" w:rsidRDefault="00C71431">
            <w:pPr>
              <w:spacing w:after="120"/>
              <w:jc w:val="center"/>
              <w:rPr>
                <w:noProof/>
                <w:szCs w:val="24"/>
              </w:rPr>
            </w:pPr>
            <w:r>
              <w:rPr>
                <w:noProof/>
                <w:szCs w:val="24"/>
              </w:rPr>
              <w:t>555</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w:t>
            </w:r>
          </w:p>
        </w:tc>
        <w:tc>
          <w:tcPr>
            <w:tcW w:w="1050" w:type="pct"/>
            <w:noWrap/>
          </w:tcPr>
          <w:p w:rsidR="00B231CB" w:rsidRDefault="00C71431">
            <w:pPr>
              <w:spacing w:after="120"/>
              <w:jc w:val="center"/>
              <w:rPr>
                <w:noProof/>
                <w:szCs w:val="24"/>
              </w:rPr>
            </w:pPr>
            <w:r>
              <w:rPr>
                <w:noProof/>
                <w:szCs w:val="24"/>
              </w:rPr>
              <w:t>-238</w:t>
            </w:r>
          </w:p>
        </w:tc>
        <w:tc>
          <w:tcPr>
            <w:tcW w:w="1049" w:type="pct"/>
            <w:noWrap/>
          </w:tcPr>
          <w:p w:rsidR="00B231CB" w:rsidRDefault="00C71431">
            <w:pPr>
              <w:spacing w:after="120"/>
              <w:jc w:val="center"/>
              <w:rPr>
                <w:noProof/>
                <w:szCs w:val="24"/>
              </w:rPr>
            </w:pPr>
            <w:r>
              <w:rPr>
                <w:noProof/>
                <w:szCs w:val="24"/>
              </w:rPr>
              <w:t>-348</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2,061</w:t>
            </w:r>
          </w:p>
        </w:tc>
        <w:tc>
          <w:tcPr>
            <w:tcW w:w="1050" w:type="pct"/>
            <w:tcBorders>
              <w:bottom w:val="single" w:sz="24" w:space="0" w:color="auto"/>
            </w:tcBorders>
            <w:noWrap/>
          </w:tcPr>
          <w:p w:rsidR="00B231CB" w:rsidRDefault="00C71431">
            <w:pPr>
              <w:spacing w:after="120"/>
              <w:jc w:val="center"/>
              <w:rPr>
                <w:noProof/>
                <w:szCs w:val="24"/>
              </w:rPr>
            </w:pPr>
            <w:r>
              <w:rPr>
                <w:noProof/>
                <w:szCs w:val="24"/>
              </w:rPr>
              <w:t>1,085</w:t>
            </w:r>
          </w:p>
        </w:tc>
        <w:tc>
          <w:tcPr>
            <w:tcW w:w="1049" w:type="pct"/>
            <w:tcBorders>
              <w:bottom w:val="single" w:sz="24" w:space="0" w:color="auto"/>
            </w:tcBorders>
            <w:noWrap/>
          </w:tcPr>
          <w:p w:rsidR="00B231CB" w:rsidRDefault="00C71431">
            <w:pPr>
              <w:spacing w:after="120"/>
              <w:jc w:val="center"/>
              <w:rPr>
                <w:noProof/>
                <w:szCs w:val="24"/>
              </w:rPr>
            </w:pPr>
            <w:r>
              <w:rPr>
                <w:noProof/>
                <w:szCs w:val="24"/>
              </w:rPr>
              <w:t>475</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1,291</w:t>
            </w:r>
          </w:p>
        </w:tc>
        <w:tc>
          <w:tcPr>
            <w:tcW w:w="1050" w:type="pct"/>
            <w:noWrap/>
          </w:tcPr>
          <w:p w:rsidR="00B231CB" w:rsidRDefault="00C71431">
            <w:pPr>
              <w:spacing w:after="120"/>
              <w:jc w:val="center"/>
              <w:rPr>
                <w:i/>
                <w:noProof/>
                <w:szCs w:val="24"/>
              </w:rPr>
            </w:pPr>
            <w:r>
              <w:rPr>
                <w:i/>
                <w:noProof/>
                <w:szCs w:val="24"/>
              </w:rPr>
              <w:t>859</w:t>
            </w:r>
          </w:p>
        </w:tc>
        <w:tc>
          <w:tcPr>
            <w:tcW w:w="1049" w:type="pct"/>
            <w:noWrap/>
          </w:tcPr>
          <w:p w:rsidR="00B231CB" w:rsidRDefault="00C71431">
            <w:pPr>
              <w:spacing w:after="120"/>
              <w:jc w:val="center"/>
              <w:rPr>
                <w:i/>
                <w:noProof/>
                <w:szCs w:val="24"/>
              </w:rPr>
            </w:pPr>
            <w:r>
              <w:rPr>
                <w:i/>
                <w:noProof/>
                <w:szCs w:val="24"/>
              </w:rPr>
              <w:t>268</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 xml:space="preserve">TCO-first user (5 </w:t>
            </w:r>
            <w:r>
              <w:rPr>
                <w:b/>
                <w:i/>
                <w:noProof/>
                <w:color w:val="000000" w:themeColor="text1"/>
              </w:rPr>
              <w:t>years) (EUR/van)</w:t>
            </w:r>
          </w:p>
        </w:tc>
      </w:tr>
      <w:tr w:rsidR="00B231CB">
        <w:trPr>
          <w:trHeight w:val="255"/>
        </w:trPr>
        <w:tc>
          <w:tcPr>
            <w:tcW w:w="1851" w:type="pct"/>
            <w:noWrap/>
            <w:hideMark/>
          </w:tcPr>
          <w:p w:rsidR="00B231CB" w:rsidRDefault="00C71431">
            <w:pPr>
              <w:spacing w:after="120"/>
              <w:rPr>
                <w:b/>
                <w:noProof/>
                <w:szCs w:val="24"/>
              </w:rPr>
            </w:pPr>
            <w:r>
              <w:rPr>
                <w:b/>
                <w:noProof/>
                <w:szCs w:val="24"/>
              </w:rPr>
              <w:t>TLV40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545</w:t>
            </w:r>
          </w:p>
        </w:tc>
        <w:tc>
          <w:tcPr>
            <w:tcW w:w="1050" w:type="pct"/>
            <w:noWrap/>
          </w:tcPr>
          <w:p w:rsidR="00B231CB" w:rsidRDefault="00C71431">
            <w:pPr>
              <w:spacing w:after="120"/>
              <w:jc w:val="center"/>
              <w:rPr>
                <w:noProof/>
                <w:szCs w:val="24"/>
              </w:rPr>
            </w:pPr>
            <w:r>
              <w:rPr>
                <w:noProof/>
                <w:szCs w:val="24"/>
              </w:rPr>
              <w:t>288</w:t>
            </w:r>
          </w:p>
        </w:tc>
        <w:tc>
          <w:tcPr>
            <w:tcW w:w="1050" w:type="pct"/>
            <w:noWrap/>
          </w:tcPr>
          <w:p w:rsidR="00B231CB" w:rsidRDefault="00C71431">
            <w:pPr>
              <w:spacing w:after="120"/>
              <w:jc w:val="center"/>
              <w:rPr>
                <w:noProof/>
                <w:szCs w:val="24"/>
              </w:rPr>
            </w:pPr>
            <w:r>
              <w:rPr>
                <w:noProof/>
                <w:szCs w:val="24"/>
              </w:rPr>
              <w:t>345</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-46</w:t>
            </w:r>
          </w:p>
        </w:tc>
        <w:tc>
          <w:tcPr>
            <w:tcW w:w="1050" w:type="pct"/>
            <w:noWrap/>
          </w:tcPr>
          <w:p w:rsidR="00B231CB" w:rsidRDefault="00C71431">
            <w:pPr>
              <w:spacing w:after="120"/>
              <w:jc w:val="center"/>
              <w:rPr>
                <w:noProof/>
                <w:szCs w:val="24"/>
              </w:rPr>
            </w:pPr>
            <w:r>
              <w:rPr>
                <w:noProof/>
                <w:szCs w:val="24"/>
              </w:rPr>
              <w:t>-102</w:t>
            </w:r>
          </w:p>
        </w:tc>
        <w:tc>
          <w:tcPr>
            <w:tcW w:w="1050" w:type="pct"/>
            <w:noWrap/>
          </w:tcPr>
          <w:p w:rsidR="00B231CB" w:rsidRDefault="00C71431">
            <w:pPr>
              <w:spacing w:after="120"/>
              <w:jc w:val="center"/>
              <w:rPr>
                <w:noProof/>
                <w:szCs w:val="24"/>
              </w:rPr>
            </w:pPr>
            <w:r>
              <w:rPr>
                <w:noProof/>
                <w:szCs w:val="24"/>
              </w:rPr>
              <w:t>-152</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2,115</w:t>
            </w:r>
          </w:p>
        </w:tc>
        <w:tc>
          <w:tcPr>
            <w:tcW w:w="1050" w:type="pct"/>
            <w:tcBorders>
              <w:bottom w:val="single" w:sz="24" w:space="0" w:color="auto"/>
            </w:tcBorders>
            <w:noWrap/>
          </w:tcPr>
          <w:p w:rsidR="00B231CB" w:rsidRDefault="00C71431">
            <w:pPr>
              <w:spacing w:after="120"/>
              <w:jc w:val="center"/>
              <w:rPr>
                <w:noProof/>
                <w:szCs w:val="24"/>
              </w:rPr>
            </w:pPr>
            <w:r>
              <w:rPr>
                <w:noProof/>
                <w:szCs w:val="24"/>
              </w:rPr>
              <w:t>1,587</w:t>
            </w:r>
          </w:p>
        </w:tc>
        <w:tc>
          <w:tcPr>
            <w:tcW w:w="1050" w:type="pct"/>
            <w:tcBorders>
              <w:bottom w:val="single" w:sz="24" w:space="0" w:color="auto"/>
            </w:tcBorders>
            <w:noWrap/>
          </w:tcPr>
          <w:p w:rsidR="00B231CB" w:rsidRDefault="00C71431">
            <w:pPr>
              <w:spacing w:after="120"/>
              <w:jc w:val="center"/>
              <w:rPr>
                <w:noProof/>
                <w:szCs w:val="24"/>
              </w:rPr>
            </w:pPr>
            <w:r>
              <w:rPr>
                <w:noProof/>
                <w:szCs w:val="24"/>
              </w:rPr>
              <w:t>1,241</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1,616</w:t>
            </w:r>
          </w:p>
        </w:tc>
        <w:tc>
          <w:tcPr>
            <w:tcW w:w="1050" w:type="pct"/>
            <w:noWrap/>
          </w:tcPr>
          <w:p w:rsidR="00B231CB" w:rsidRDefault="00C71431">
            <w:pPr>
              <w:spacing w:after="120"/>
              <w:jc w:val="center"/>
              <w:rPr>
                <w:i/>
                <w:noProof/>
                <w:szCs w:val="24"/>
              </w:rPr>
            </w:pPr>
            <w:r>
              <w:rPr>
                <w:i/>
                <w:noProof/>
                <w:szCs w:val="24"/>
              </w:rPr>
              <w:t>1,400</w:t>
            </w:r>
          </w:p>
        </w:tc>
        <w:tc>
          <w:tcPr>
            <w:tcW w:w="1050" w:type="pct"/>
            <w:noWrap/>
          </w:tcPr>
          <w:p w:rsidR="00B231CB" w:rsidRDefault="00C71431">
            <w:pPr>
              <w:spacing w:after="120"/>
              <w:jc w:val="center"/>
              <w:rPr>
                <w:i/>
                <w:noProof/>
                <w:szCs w:val="24"/>
              </w:rPr>
            </w:pPr>
            <w:r>
              <w:rPr>
                <w:i/>
                <w:noProof/>
                <w:szCs w:val="24"/>
              </w:rPr>
              <w:t>1,047</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(EUR/van)</w:t>
            </w:r>
          </w:p>
        </w:tc>
      </w:tr>
      <w:tr w:rsidR="00B231CB">
        <w:trPr>
          <w:trHeight w:val="255"/>
        </w:trPr>
        <w:tc>
          <w:tcPr>
            <w:tcW w:w="1851" w:type="pct"/>
            <w:noWrap/>
            <w:hideMark/>
          </w:tcPr>
          <w:p w:rsidR="00B231CB" w:rsidRDefault="00C71431">
            <w:pPr>
              <w:spacing w:after="120"/>
              <w:rPr>
                <w:b/>
                <w:noProof/>
                <w:szCs w:val="24"/>
              </w:rPr>
            </w:pPr>
            <w:r>
              <w:rPr>
                <w:b/>
                <w:noProof/>
                <w:szCs w:val="24"/>
              </w:rPr>
              <w:t>TLV40 - 2025</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50"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263</w:t>
            </w:r>
          </w:p>
        </w:tc>
        <w:tc>
          <w:tcPr>
            <w:tcW w:w="1050" w:type="pct"/>
            <w:noWrap/>
          </w:tcPr>
          <w:p w:rsidR="00B231CB" w:rsidRDefault="00C71431">
            <w:pPr>
              <w:spacing w:after="120"/>
              <w:jc w:val="center"/>
              <w:rPr>
                <w:noProof/>
                <w:szCs w:val="24"/>
              </w:rPr>
            </w:pPr>
            <w:r>
              <w:rPr>
                <w:noProof/>
                <w:szCs w:val="24"/>
              </w:rPr>
              <w:t>139</w:t>
            </w:r>
          </w:p>
        </w:tc>
        <w:tc>
          <w:tcPr>
            <w:tcW w:w="1050" w:type="pct"/>
            <w:noWrap/>
          </w:tcPr>
          <w:p w:rsidR="00B231CB" w:rsidRDefault="00C71431">
            <w:pPr>
              <w:spacing w:after="120"/>
              <w:jc w:val="center"/>
              <w:rPr>
                <w:noProof/>
                <w:szCs w:val="24"/>
              </w:rPr>
            </w:pPr>
            <w:r>
              <w:rPr>
                <w:noProof/>
                <w:szCs w:val="24"/>
              </w:rPr>
              <w:t>166</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-46</w:t>
            </w:r>
          </w:p>
        </w:tc>
        <w:tc>
          <w:tcPr>
            <w:tcW w:w="1050" w:type="pct"/>
            <w:noWrap/>
          </w:tcPr>
          <w:p w:rsidR="00B231CB" w:rsidRDefault="00C71431">
            <w:pPr>
              <w:spacing w:after="120"/>
              <w:jc w:val="center"/>
              <w:rPr>
                <w:noProof/>
                <w:szCs w:val="24"/>
              </w:rPr>
            </w:pPr>
            <w:r>
              <w:rPr>
                <w:noProof/>
                <w:szCs w:val="24"/>
              </w:rPr>
              <w:t>-102</w:t>
            </w:r>
          </w:p>
        </w:tc>
        <w:tc>
          <w:tcPr>
            <w:tcW w:w="1050" w:type="pct"/>
            <w:noWrap/>
          </w:tcPr>
          <w:p w:rsidR="00B231CB" w:rsidRDefault="00C71431">
            <w:pPr>
              <w:spacing w:after="120"/>
              <w:jc w:val="center"/>
              <w:rPr>
                <w:noProof/>
                <w:szCs w:val="24"/>
              </w:rPr>
            </w:pPr>
            <w:r>
              <w:rPr>
                <w:noProof/>
                <w:szCs w:val="24"/>
              </w:rPr>
              <w:t>-152</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1,475</w:t>
            </w:r>
          </w:p>
        </w:tc>
        <w:tc>
          <w:tcPr>
            <w:tcW w:w="1050" w:type="pct"/>
            <w:tcBorders>
              <w:bottom w:val="single" w:sz="24" w:space="0" w:color="auto"/>
            </w:tcBorders>
            <w:noWrap/>
          </w:tcPr>
          <w:p w:rsidR="00B231CB" w:rsidRDefault="00C71431">
            <w:pPr>
              <w:spacing w:after="120"/>
              <w:jc w:val="center"/>
              <w:rPr>
                <w:noProof/>
                <w:szCs w:val="24"/>
              </w:rPr>
            </w:pPr>
            <w:r>
              <w:rPr>
                <w:noProof/>
                <w:szCs w:val="24"/>
              </w:rPr>
              <w:t>1,127</w:t>
            </w:r>
          </w:p>
        </w:tc>
        <w:tc>
          <w:tcPr>
            <w:tcW w:w="1050" w:type="pct"/>
            <w:tcBorders>
              <w:bottom w:val="single" w:sz="24" w:space="0" w:color="auto"/>
            </w:tcBorders>
            <w:noWrap/>
          </w:tcPr>
          <w:p w:rsidR="00B231CB" w:rsidRDefault="00C71431">
            <w:pPr>
              <w:spacing w:after="120"/>
              <w:jc w:val="center"/>
              <w:rPr>
                <w:noProof/>
                <w:szCs w:val="24"/>
              </w:rPr>
            </w:pPr>
            <w:r>
              <w:rPr>
                <w:noProof/>
                <w:szCs w:val="24"/>
              </w:rPr>
              <w:t>898</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1,258</w:t>
            </w:r>
          </w:p>
        </w:tc>
        <w:tc>
          <w:tcPr>
            <w:tcW w:w="1050" w:type="pct"/>
            <w:noWrap/>
          </w:tcPr>
          <w:p w:rsidR="00B231CB" w:rsidRDefault="00C71431">
            <w:pPr>
              <w:spacing w:after="120"/>
              <w:jc w:val="center"/>
              <w:rPr>
                <w:i/>
                <w:noProof/>
                <w:szCs w:val="24"/>
              </w:rPr>
            </w:pPr>
            <w:r>
              <w:rPr>
                <w:i/>
                <w:noProof/>
                <w:szCs w:val="24"/>
              </w:rPr>
              <w:t>1,090</w:t>
            </w:r>
          </w:p>
        </w:tc>
        <w:tc>
          <w:tcPr>
            <w:tcW w:w="1050" w:type="pct"/>
            <w:noWrap/>
          </w:tcPr>
          <w:p w:rsidR="00B231CB" w:rsidRDefault="00C71431">
            <w:pPr>
              <w:spacing w:after="120"/>
              <w:jc w:val="center"/>
              <w:rPr>
                <w:i/>
                <w:noProof/>
                <w:szCs w:val="24"/>
              </w:rPr>
            </w:pPr>
            <w:r>
              <w:rPr>
                <w:i/>
                <w:noProof/>
                <w:szCs w:val="24"/>
              </w:rPr>
              <w:t>884</w:t>
            </w:r>
          </w:p>
        </w:tc>
      </w:tr>
    </w:tbl>
    <w:p w:rsidR="00B231CB" w:rsidRDefault="00B231CB">
      <w:pPr>
        <w:spacing w:before="120"/>
        <w:rPr>
          <w:b/>
          <w:noProof/>
          <w:szCs w:val="24"/>
          <w:u w:val="single"/>
        </w:rPr>
      </w:pPr>
    </w:p>
    <w:p w:rsidR="00B231CB" w:rsidRDefault="00C71431">
      <w:pPr>
        <w:spacing w:before="120"/>
        <w:rPr>
          <w:b/>
          <w:noProof/>
          <w:szCs w:val="24"/>
          <w:u w:val="single"/>
        </w:rPr>
      </w:pPr>
      <w:r>
        <w:rPr>
          <w:b/>
          <w:noProof/>
          <w:szCs w:val="24"/>
          <w:u w:val="single"/>
        </w:rPr>
        <w:t>TLV40 – 2030 (LEVD_50)</w:t>
      </w: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Net savings from a societal perspective (EUR/van)</w:t>
            </w:r>
          </w:p>
        </w:tc>
      </w:tr>
      <w:tr w:rsidR="00B231CB">
        <w:trPr>
          <w:trHeight w:val="255"/>
        </w:trPr>
        <w:tc>
          <w:tcPr>
            <w:tcW w:w="1851" w:type="pct"/>
            <w:noWrap/>
            <w:hideMark/>
          </w:tcPr>
          <w:p w:rsidR="00B231CB" w:rsidRDefault="00C71431">
            <w:pPr>
              <w:spacing w:after="120"/>
              <w:rPr>
                <w:b/>
                <w:noProof/>
                <w:szCs w:val="24"/>
              </w:rPr>
            </w:pPr>
            <w:r>
              <w:rPr>
                <w:b/>
                <w:noProof/>
                <w:szCs w:val="24"/>
              </w:rPr>
              <w:t>TLV40 - 2030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1,582</w:t>
            </w:r>
          </w:p>
        </w:tc>
        <w:tc>
          <w:tcPr>
            <w:tcW w:w="1050" w:type="pct"/>
            <w:noWrap/>
          </w:tcPr>
          <w:p w:rsidR="00B231CB" w:rsidRDefault="00C71431">
            <w:pPr>
              <w:spacing w:after="120"/>
              <w:jc w:val="center"/>
              <w:rPr>
                <w:noProof/>
                <w:szCs w:val="24"/>
              </w:rPr>
            </w:pPr>
            <w:r>
              <w:rPr>
                <w:noProof/>
                <w:szCs w:val="24"/>
              </w:rPr>
              <w:t>733</w:t>
            </w:r>
          </w:p>
        </w:tc>
        <w:tc>
          <w:tcPr>
            <w:tcW w:w="1049" w:type="pct"/>
            <w:noWrap/>
          </w:tcPr>
          <w:p w:rsidR="00B231CB" w:rsidRDefault="00C71431">
            <w:pPr>
              <w:spacing w:after="120"/>
              <w:jc w:val="center"/>
              <w:rPr>
                <w:noProof/>
                <w:szCs w:val="24"/>
              </w:rPr>
            </w:pPr>
            <w:r>
              <w:rPr>
                <w:noProof/>
                <w:szCs w:val="24"/>
              </w:rPr>
              <w:t>764</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-145</w:t>
            </w:r>
          </w:p>
        </w:tc>
        <w:tc>
          <w:tcPr>
            <w:tcW w:w="1050" w:type="pct"/>
            <w:noWrap/>
          </w:tcPr>
          <w:p w:rsidR="00B231CB" w:rsidRDefault="00C71431">
            <w:pPr>
              <w:spacing w:after="120"/>
              <w:jc w:val="center"/>
              <w:rPr>
                <w:noProof/>
                <w:szCs w:val="24"/>
              </w:rPr>
            </w:pPr>
            <w:r>
              <w:rPr>
                <w:noProof/>
                <w:szCs w:val="24"/>
              </w:rPr>
              <w:t>-394</w:t>
            </w:r>
          </w:p>
        </w:tc>
        <w:tc>
          <w:tcPr>
            <w:tcW w:w="1049" w:type="pct"/>
            <w:noWrap/>
          </w:tcPr>
          <w:p w:rsidR="00B231CB" w:rsidRDefault="00C71431">
            <w:pPr>
              <w:spacing w:after="120"/>
              <w:jc w:val="center"/>
              <w:rPr>
                <w:noProof/>
                <w:szCs w:val="24"/>
              </w:rPr>
            </w:pPr>
            <w:r>
              <w:rPr>
                <w:noProof/>
                <w:szCs w:val="24"/>
              </w:rPr>
              <w:t>-491</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3,827</w:t>
            </w:r>
          </w:p>
        </w:tc>
        <w:tc>
          <w:tcPr>
            <w:tcW w:w="1050" w:type="pct"/>
            <w:tcBorders>
              <w:bottom w:val="single" w:sz="24" w:space="0" w:color="auto"/>
            </w:tcBorders>
            <w:noWrap/>
          </w:tcPr>
          <w:p w:rsidR="00B231CB" w:rsidRDefault="00C71431">
            <w:pPr>
              <w:spacing w:after="120"/>
              <w:jc w:val="center"/>
              <w:rPr>
                <w:noProof/>
                <w:szCs w:val="24"/>
              </w:rPr>
            </w:pPr>
            <w:r>
              <w:rPr>
                <w:noProof/>
                <w:szCs w:val="24"/>
              </w:rPr>
              <w:t>2,541</w:t>
            </w:r>
          </w:p>
        </w:tc>
        <w:tc>
          <w:tcPr>
            <w:tcW w:w="1049" w:type="pct"/>
            <w:tcBorders>
              <w:bottom w:val="single" w:sz="24" w:space="0" w:color="auto"/>
            </w:tcBorders>
            <w:noWrap/>
          </w:tcPr>
          <w:p w:rsidR="00B231CB" w:rsidRDefault="00C71431">
            <w:pPr>
              <w:spacing w:after="120"/>
              <w:jc w:val="center"/>
              <w:rPr>
                <w:noProof/>
                <w:szCs w:val="24"/>
              </w:rPr>
            </w:pPr>
            <w:r>
              <w:rPr>
                <w:noProof/>
                <w:szCs w:val="24"/>
              </w:rPr>
              <w:t>2,024</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2,389</w:t>
            </w:r>
          </w:p>
        </w:tc>
        <w:tc>
          <w:tcPr>
            <w:tcW w:w="1050" w:type="pct"/>
            <w:noWrap/>
          </w:tcPr>
          <w:p w:rsidR="00B231CB" w:rsidRDefault="00C71431">
            <w:pPr>
              <w:spacing w:after="120"/>
              <w:jc w:val="center"/>
              <w:rPr>
                <w:i/>
                <w:noProof/>
                <w:szCs w:val="24"/>
              </w:rPr>
            </w:pPr>
            <w:r>
              <w:rPr>
                <w:i/>
                <w:noProof/>
                <w:szCs w:val="24"/>
              </w:rPr>
              <w:t>2,203</w:t>
            </w:r>
          </w:p>
        </w:tc>
        <w:tc>
          <w:tcPr>
            <w:tcW w:w="1049" w:type="pct"/>
            <w:noWrap/>
          </w:tcPr>
          <w:p w:rsidR="00B231CB" w:rsidRDefault="00C71431">
            <w:pPr>
              <w:spacing w:after="120"/>
              <w:jc w:val="center"/>
              <w:rPr>
                <w:i/>
                <w:noProof/>
                <w:szCs w:val="24"/>
              </w:rPr>
            </w:pPr>
            <w:r>
              <w:rPr>
                <w:i/>
                <w:noProof/>
                <w:szCs w:val="24"/>
              </w:rPr>
              <w:t>1,751</w:t>
            </w:r>
          </w:p>
        </w:tc>
      </w:tr>
    </w:tbl>
    <w:p w:rsidR="00B231CB" w:rsidRDefault="00B231CB">
      <w:pPr>
        <w:spacing w:after="0"/>
        <w:rPr>
          <w:b/>
          <w:noProof/>
          <w:color w:val="000000" w:themeColor="text1"/>
          <w:szCs w:val="24"/>
          <w:lang w:eastAsia="en-GB"/>
        </w:rPr>
      </w:pPr>
    </w:p>
    <w:p w:rsidR="00B231CB" w:rsidRDefault="00C71431">
      <w:pPr>
        <w:rPr>
          <w:noProof/>
          <w:lang w:eastAsia="en-GB"/>
        </w:rPr>
      </w:pPr>
      <w:r>
        <w:rPr>
          <w:noProof/>
          <w:lang w:eastAsia="en-GB"/>
        </w:rPr>
        <w:br w:type="page"/>
      </w:r>
    </w:p>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TCO-first user (5 years) (EUR/van)</w:t>
            </w:r>
          </w:p>
        </w:tc>
      </w:tr>
      <w:tr w:rsidR="00B231CB">
        <w:trPr>
          <w:trHeight w:val="255"/>
        </w:trPr>
        <w:tc>
          <w:tcPr>
            <w:tcW w:w="1851" w:type="pct"/>
            <w:noWrap/>
            <w:hideMark/>
          </w:tcPr>
          <w:p w:rsidR="00B231CB" w:rsidRDefault="00C71431">
            <w:pPr>
              <w:spacing w:after="120"/>
              <w:rPr>
                <w:b/>
                <w:noProof/>
                <w:szCs w:val="24"/>
              </w:rPr>
            </w:pPr>
            <w:r>
              <w:rPr>
                <w:b/>
                <w:noProof/>
                <w:szCs w:val="24"/>
              </w:rPr>
              <w:t>TLV40 - 2030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 xml:space="preserve">Capital </w:t>
            </w:r>
            <w:r>
              <w:rPr>
                <w:noProof/>
                <w:color w:val="000000" w:themeColor="text1"/>
                <w:szCs w:val="24"/>
              </w:rPr>
              <w:t>cost [1]</w:t>
            </w:r>
          </w:p>
        </w:tc>
        <w:tc>
          <w:tcPr>
            <w:tcW w:w="1050" w:type="pct"/>
            <w:noWrap/>
          </w:tcPr>
          <w:p w:rsidR="00B231CB" w:rsidRDefault="00C71431">
            <w:pPr>
              <w:spacing w:after="120"/>
              <w:jc w:val="center"/>
              <w:rPr>
                <w:noProof/>
                <w:szCs w:val="24"/>
              </w:rPr>
            </w:pPr>
            <w:r>
              <w:rPr>
                <w:noProof/>
                <w:szCs w:val="24"/>
              </w:rPr>
              <w:t>984</w:t>
            </w:r>
          </w:p>
        </w:tc>
        <w:tc>
          <w:tcPr>
            <w:tcW w:w="1050" w:type="pct"/>
            <w:noWrap/>
          </w:tcPr>
          <w:p w:rsidR="00B231CB" w:rsidRDefault="00C71431">
            <w:pPr>
              <w:spacing w:after="120"/>
              <w:jc w:val="center"/>
              <w:rPr>
                <w:noProof/>
                <w:szCs w:val="24"/>
              </w:rPr>
            </w:pPr>
            <w:r>
              <w:rPr>
                <w:noProof/>
                <w:szCs w:val="24"/>
              </w:rPr>
              <w:t>455</w:t>
            </w:r>
          </w:p>
        </w:tc>
        <w:tc>
          <w:tcPr>
            <w:tcW w:w="1049" w:type="pct"/>
            <w:noWrap/>
          </w:tcPr>
          <w:p w:rsidR="00B231CB" w:rsidRDefault="00C71431">
            <w:pPr>
              <w:spacing w:after="120"/>
              <w:jc w:val="center"/>
              <w:rPr>
                <w:noProof/>
                <w:szCs w:val="24"/>
              </w:rPr>
            </w:pPr>
            <w:r>
              <w:rPr>
                <w:noProof/>
                <w:szCs w:val="24"/>
              </w:rPr>
              <w:t>475</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 xml:space="preserve">O&amp;M cost [2] </w:t>
            </w:r>
          </w:p>
        </w:tc>
        <w:tc>
          <w:tcPr>
            <w:tcW w:w="1050" w:type="pct"/>
            <w:noWrap/>
          </w:tcPr>
          <w:p w:rsidR="00B231CB" w:rsidRDefault="00C71431">
            <w:pPr>
              <w:spacing w:after="120"/>
              <w:jc w:val="center"/>
              <w:rPr>
                <w:noProof/>
                <w:szCs w:val="24"/>
              </w:rPr>
            </w:pPr>
            <w:r>
              <w:rPr>
                <w:noProof/>
                <w:szCs w:val="24"/>
              </w:rPr>
              <w:t>-62</w:t>
            </w:r>
          </w:p>
        </w:tc>
        <w:tc>
          <w:tcPr>
            <w:tcW w:w="1050" w:type="pct"/>
            <w:noWrap/>
          </w:tcPr>
          <w:p w:rsidR="00B231CB" w:rsidRDefault="00C71431">
            <w:pPr>
              <w:spacing w:after="120"/>
              <w:jc w:val="center"/>
              <w:rPr>
                <w:noProof/>
                <w:szCs w:val="24"/>
              </w:rPr>
            </w:pPr>
            <w:r>
              <w:rPr>
                <w:noProof/>
                <w:szCs w:val="24"/>
              </w:rPr>
              <w:t>-169</w:t>
            </w:r>
          </w:p>
        </w:tc>
        <w:tc>
          <w:tcPr>
            <w:tcW w:w="1049" w:type="pct"/>
            <w:noWrap/>
          </w:tcPr>
          <w:p w:rsidR="00B231CB" w:rsidRDefault="00C71431">
            <w:pPr>
              <w:spacing w:after="120"/>
              <w:jc w:val="center"/>
              <w:rPr>
                <w:noProof/>
                <w:szCs w:val="24"/>
              </w:rPr>
            </w:pPr>
            <w:r>
              <w:rPr>
                <w:noProof/>
                <w:szCs w:val="24"/>
              </w:rPr>
              <w:t>-214</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3,833</w:t>
            </w:r>
          </w:p>
        </w:tc>
        <w:tc>
          <w:tcPr>
            <w:tcW w:w="1050" w:type="pct"/>
            <w:tcBorders>
              <w:bottom w:val="single" w:sz="24" w:space="0" w:color="auto"/>
            </w:tcBorders>
            <w:noWrap/>
          </w:tcPr>
          <w:p w:rsidR="00B231CB" w:rsidRDefault="00C71431">
            <w:pPr>
              <w:spacing w:after="120"/>
              <w:jc w:val="center"/>
              <w:rPr>
                <w:noProof/>
                <w:szCs w:val="24"/>
              </w:rPr>
            </w:pPr>
            <w:r>
              <w:rPr>
                <w:noProof/>
                <w:szCs w:val="24"/>
              </w:rPr>
              <w:t>3,051</w:t>
            </w:r>
          </w:p>
        </w:tc>
        <w:tc>
          <w:tcPr>
            <w:tcW w:w="1049" w:type="pct"/>
            <w:tcBorders>
              <w:bottom w:val="single" w:sz="24" w:space="0" w:color="auto"/>
            </w:tcBorders>
            <w:noWrap/>
          </w:tcPr>
          <w:p w:rsidR="00B231CB" w:rsidRDefault="00C71431">
            <w:pPr>
              <w:spacing w:after="120"/>
              <w:jc w:val="center"/>
              <w:rPr>
                <w:noProof/>
                <w:szCs w:val="24"/>
              </w:rPr>
            </w:pPr>
            <w:r>
              <w:rPr>
                <w:noProof/>
                <w:szCs w:val="24"/>
              </w:rPr>
              <w:t>2,740</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2,912</w:t>
            </w:r>
          </w:p>
        </w:tc>
        <w:tc>
          <w:tcPr>
            <w:tcW w:w="1050" w:type="pct"/>
            <w:noWrap/>
          </w:tcPr>
          <w:p w:rsidR="00B231CB" w:rsidRDefault="00C71431">
            <w:pPr>
              <w:spacing w:after="120"/>
              <w:jc w:val="center"/>
              <w:rPr>
                <w:i/>
                <w:noProof/>
                <w:szCs w:val="24"/>
              </w:rPr>
            </w:pPr>
            <w:r>
              <w:rPr>
                <w:i/>
                <w:noProof/>
                <w:szCs w:val="24"/>
              </w:rPr>
              <w:t>2,764</w:t>
            </w:r>
          </w:p>
        </w:tc>
        <w:tc>
          <w:tcPr>
            <w:tcW w:w="1049" w:type="pct"/>
            <w:noWrap/>
          </w:tcPr>
          <w:p w:rsidR="00B231CB" w:rsidRDefault="00C71431">
            <w:pPr>
              <w:spacing w:after="120"/>
              <w:jc w:val="center"/>
              <w:rPr>
                <w:i/>
                <w:noProof/>
                <w:szCs w:val="24"/>
              </w:rPr>
            </w:pPr>
            <w:r>
              <w:rPr>
                <w:i/>
                <w:noProof/>
                <w:szCs w:val="24"/>
              </w:rPr>
              <w:t>2,479</w:t>
            </w:r>
          </w:p>
        </w:tc>
      </w:tr>
    </w:tbl>
    <w:p w:rsidR="00B231CB" w:rsidRDefault="00B231CB">
      <w:pPr>
        <w:spacing w:after="0"/>
        <w:rPr>
          <w:b/>
          <w:noProof/>
          <w:color w:val="000000" w:themeColor="text1"/>
          <w:szCs w:val="24"/>
          <w:lang w:eastAsia="en-GB"/>
        </w:rPr>
      </w:pPr>
    </w:p>
    <w:tbl>
      <w:tblPr>
        <w:tblStyle w:val="TableGrid"/>
        <w:tblW w:w="5000" w:type="pct"/>
        <w:tblLook w:val="04A0" w:firstRow="1" w:lastRow="0" w:firstColumn="1" w:lastColumn="0" w:noHBand="0" w:noVBand="1"/>
      </w:tblPr>
      <w:tblGrid>
        <w:gridCol w:w="3439"/>
        <w:gridCol w:w="1950"/>
        <w:gridCol w:w="1950"/>
        <w:gridCol w:w="1949"/>
      </w:tblGrid>
      <w:tr w:rsidR="00B231CB">
        <w:trPr>
          <w:trHeight w:val="255"/>
        </w:trPr>
        <w:tc>
          <w:tcPr>
            <w:tcW w:w="1851" w:type="pct"/>
            <w:noWrap/>
          </w:tcPr>
          <w:p w:rsidR="00B231CB" w:rsidRDefault="00C71431">
            <w:pPr>
              <w:spacing w:after="120"/>
              <w:rPr>
                <w:b/>
                <w:noProof/>
                <w:szCs w:val="24"/>
              </w:rPr>
            </w:pPr>
            <w:r>
              <w:rPr>
                <w:b/>
                <w:noProof/>
                <w:szCs w:val="24"/>
              </w:rPr>
              <w:t>LEVD_50</w:t>
            </w:r>
          </w:p>
        </w:tc>
        <w:tc>
          <w:tcPr>
            <w:tcW w:w="3149" w:type="pct"/>
            <w:gridSpan w:val="3"/>
            <w:noWrap/>
          </w:tcPr>
          <w:p w:rsidR="00B231CB" w:rsidRDefault="00C71431">
            <w:pPr>
              <w:spacing w:after="120"/>
              <w:jc w:val="center"/>
              <w:rPr>
                <w:b/>
                <w:i/>
                <w:noProof/>
                <w:color w:val="000000" w:themeColor="text1"/>
              </w:rPr>
            </w:pPr>
            <w:r>
              <w:rPr>
                <w:b/>
                <w:i/>
                <w:noProof/>
                <w:color w:val="000000" w:themeColor="text1"/>
              </w:rPr>
              <w:t>TCO-second user (years 6-10) (EUR/van)</w:t>
            </w:r>
          </w:p>
        </w:tc>
      </w:tr>
      <w:tr w:rsidR="00B231CB">
        <w:trPr>
          <w:trHeight w:val="255"/>
        </w:trPr>
        <w:tc>
          <w:tcPr>
            <w:tcW w:w="1851" w:type="pct"/>
            <w:noWrap/>
            <w:hideMark/>
          </w:tcPr>
          <w:p w:rsidR="00B231CB" w:rsidRDefault="00C71431">
            <w:pPr>
              <w:spacing w:after="120"/>
              <w:rPr>
                <w:b/>
                <w:noProof/>
                <w:szCs w:val="24"/>
              </w:rPr>
            </w:pPr>
            <w:r>
              <w:rPr>
                <w:b/>
                <w:noProof/>
                <w:szCs w:val="24"/>
              </w:rPr>
              <w:t>TLV40 - 2030</w:t>
            </w:r>
          </w:p>
        </w:tc>
        <w:tc>
          <w:tcPr>
            <w:tcW w:w="1050" w:type="pct"/>
            <w:noWrap/>
          </w:tcPr>
          <w:p w:rsidR="00B231CB" w:rsidRDefault="00C71431">
            <w:pPr>
              <w:spacing w:after="120"/>
              <w:jc w:val="center"/>
              <w:rPr>
                <w:b/>
                <w:i/>
                <w:noProof/>
                <w:color w:val="000000" w:themeColor="text1"/>
              </w:rPr>
            </w:pPr>
            <w:r>
              <w:rPr>
                <w:b/>
                <w:i/>
                <w:noProof/>
                <w:color w:val="000000" w:themeColor="text1"/>
              </w:rPr>
              <w:t>LEV0</w:t>
            </w:r>
          </w:p>
        </w:tc>
        <w:tc>
          <w:tcPr>
            <w:tcW w:w="1050" w:type="pct"/>
            <w:noWrap/>
          </w:tcPr>
          <w:p w:rsidR="00B231CB" w:rsidRDefault="00C71431">
            <w:pPr>
              <w:spacing w:after="120"/>
              <w:jc w:val="center"/>
              <w:rPr>
                <w:b/>
                <w:i/>
                <w:noProof/>
                <w:color w:val="000000" w:themeColor="text1"/>
              </w:rPr>
            </w:pPr>
            <w:r>
              <w:rPr>
                <w:b/>
                <w:i/>
                <w:noProof/>
                <w:color w:val="000000" w:themeColor="text1"/>
              </w:rPr>
              <w:t>LEV%_A</w:t>
            </w:r>
          </w:p>
        </w:tc>
        <w:tc>
          <w:tcPr>
            <w:tcW w:w="1049" w:type="pct"/>
            <w:noWrap/>
          </w:tcPr>
          <w:p w:rsidR="00B231CB" w:rsidRDefault="00C71431">
            <w:pPr>
              <w:spacing w:after="120"/>
              <w:jc w:val="center"/>
              <w:rPr>
                <w:b/>
                <w:i/>
                <w:noProof/>
                <w:color w:val="000000" w:themeColor="text1"/>
              </w:rPr>
            </w:pPr>
            <w:r>
              <w:rPr>
                <w:b/>
                <w:i/>
                <w:noProof/>
                <w:color w:val="000000" w:themeColor="text1"/>
              </w:rPr>
              <w:t>LEV%_B</w:t>
            </w:r>
          </w:p>
        </w:tc>
      </w:tr>
      <w:tr w:rsidR="00B231CB">
        <w:trPr>
          <w:trHeight w:val="255"/>
        </w:trPr>
        <w:tc>
          <w:tcPr>
            <w:tcW w:w="1851" w:type="pct"/>
            <w:noWrap/>
            <w:hideMark/>
          </w:tcPr>
          <w:p w:rsidR="00B231CB" w:rsidRDefault="00C71431">
            <w:pPr>
              <w:spacing w:after="120"/>
              <w:rPr>
                <w:noProof/>
                <w:color w:val="000000" w:themeColor="text1"/>
                <w:szCs w:val="24"/>
              </w:rPr>
            </w:pPr>
            <w:r>
              <w:rPr>
                <w:noProof/>
                <w:color w:val="000000" w:themeColor="text1"/>
                <w:szCs w:val="24"/>
              </w:rPr>
              <w:t>Capital cost [1]</w:t>
            </w:r>
          </w:p>
        </w:tc>
        <w:tc>
          <w:tcPr>
            <w:tcW w:w="1050" w:type="pct"/>
            <w:noWrap/>
          </w:tcPr>
          <w:p w:rsidR="00B231CB" w:rsidRDefault="00C71431">
            <w:pPr>
              <w:spacing w:after="120"/>
              <w:jc w:val="center"/>
              <w:rPr>
                <w:noProof/>
                <w:szCs w:val="24"/>
              </w:rPr>
            </w:pPr>
            <w:r>
              <w:rPr>
                <w:noProof/>
                <w:szCs w:val="24"/>
              </w:rPr>
              <w:t>474</w:t>
            </w:r>
          </w:p>
        </w:tc>
        <w:tc>
          <w:tcPr>
            <w:tcW w:w="1050" w:type="pct"/>
            <w:noWrap/>
          </w:tcPr>
          <w:p w:rsidR="00B231CB" w:rsidRDefault="00C71431">
            <w:pPr>
              <w:spacing w:after="120"/>
              <w:jc w:val="center"/>
              <w:rPr>
                <w:noProof/>
                <w:szCs w:val="24"/>
              </w:rPr>
            </w:pPr>
            <w:r>
              <w:rPr>
                <w:noProof/>
                <w:szCs w:val="24"/>
              </w:rPr>
              <w:t>220</w:t>
            </w:r>
          </w:p>
        </w:tc>
        <w:tc>
          <w:tcPr>
            <w:tcW w:w="1049" w:type="pct"/>
            <w:noWrap/>
          </w:tcPr>
          <w:p w:rsidR="00B231CB" w:rsidRDefault="00C71431">
            <w:pPr>
              <w:spacing w:after="120"/>
              <w:jc w:val="center"/>
              <w:rPr>
                <w:noProof/>
                <w:szCs w:val="24"/>
              </w:rPr>
            </w:pPr>
            <w:r>
              <w:rPr>
                <w:noProof/>
                <w:szCs w:val="24"/>
              </w:rPr>
              <w:t>229</w:t>
            </w:r>
          </w:p>
        </w:tc>
      </w:tr>
      <w:tr w:rsidR="00B231CB">
        <w:trPr>
          <w:trHeight w:val="255"/>
        </w:trPr>
        <w:tc>
          <w:tcPr>
            <w:tcW w:w="1851" w:type="pct"/>
            <w:noWrap/>
          </w:tcPr>
          <w:p w:rsidR="00B231CB" w:rsidRDefault="00C71431">
            <w:pPr>
              <w:spacing w:after="120"/>
              <w:rPr>
                <w:noProof/>
                <w:color w:val="000000" w:themeColor="text1"/>
                <w:szCs w:val="24"/>
              </w:rPr>
            </w:pPr>
            <w:r>
              <w:rPr>
                <w:noProof/>
                <w:color w:val="000000" w:themeColor="text1"/>
                <w:szCs w:val="24"/>
              </w:rPr>
              <w:t>O&amp;</w:t>
            </w:r>
            <w:r>
              <w:rPr>
                <w:noProof/>
                <w:color w:val="000000" w:themeColor="text1"/>
                <w:szCs w:val="24"/>
              </w:rPr>
              <w:t xml:space="preserve">M cost [2] </w:t>
            </w:r>
          </w:p>
        </w:tc>
        <w:tc>
          <w:tcPr>
            <w:tcW w:w="1050" w:type="pct"/>
            <w:noWrap/>
          </w:tcPr>
          <w:p w:rsidR="00B231CB" w:rsidRDefault="00C71431">
            <w:pPr>
              <w:spacing w:after="120"/>
              <w:jc w:val="center"/>
              <w:rPr>
                <w:noProof/>
                <w:szCs w:val="24"/>
              </w:rPr>
            </w:pPr>
            <w:r>
              <w:rPr>
                <w:noProof/>
                <w:szCs w:val="24"/>
              </w:rPr>
              <w:t>-62</w:t>
            </w:r>
          </w:p>
        </w:tc>
        <w:tc>
          <w:tcPr>
            <w:tcW w:w="1050" w:type="pct"/>
            <w:noWrap/>
          </w:tcPr>
          <w:p w:rsidR="00B231CB" w:rsidRDefault="00C71431">
            <w:pPr>
              <w:spacing w:after="120"/>
              <w:jc w:val="center"/>
              <w:rPr>
                <w:noProof/>
                <w:szCs w:val="24"/>
              </w:rPr>
            </w:pPr>
            <w:r>
              <w:rPr>
                <w:noProof/>
                <w:szCs w:val="24"/>
              </w:rPr>
              <w:t>-169</w:t>
            </w:r>
          </w:p>
        </w:tc>
        <w:tc>
          <w:tcPr>
            <w:tcW w:w="1049" w:type="pct"/>
            <w:noWrap/>
          </w:tcPr>
          <w:p w:rsidR="00B231CB" w:rsidRDefault="00C71431">
            <w:pPr>
              <w:spacing w:after="120"/>
              <w:jc w:val="center"/>
              <w:rPr>
                <w:noProof/>
                <w:szCs w:val="24"/>
              </w:rPr>
            </w:pPr>
            <w:r>
              <w:rPr>
                <w:noProof/>
                <w:szCs w:val="24"/>
              </w:rPr>
              <w:t>-214</w:t>
            </w:r>
          </w:p>
        </w:tc>
      </w:tr>
      <w:tr w:rsidR="00B231CB">
        <w:trPr>
          <w:trHeight w:val="255"/>
        </w:trPr>
        <w:tc>
          <w:tcPr>
            <w:tcW w:w="1851" w:type="pct"/>
            <w:tcBorders>
              <w:bottom w:val="single" w:sz="24" w:space="0" w:color="auto"/>
            </w:tcBorders>
            <w:noWrap/>
          </w:tcPr>
          <w:p w:rsidR="00B231CB" w:rsidRDefault="00C71431">
            <w:pPr>
              <w:spacing w:after="120"/>
              <w:rPr>
                <w:noProof/>
                <w:color w:val="000000" w:themeColor="text1"/>
                <w:szCs w:val="24"/>
              </w:rPr>
            </w:pPr>
            <w:r>
              <w:rPr>
                <w:noProof/>
                <w:color w:val="000000" w:themeColor="text1"/>
                <w:szCs w:val="24"/>
              </w:rPr>
              <w:t>Fuel cost savings [3]</w:t>
            </w:r>
          </w:p>
        </w:tc>
        <w:tc>
          <w:tcPr>
            <w:tcW w:w="1050" w:type="pct"/>
            <w:tcBorders>
              <w:bottom w:val="single" w:sz="24" w:space="0" w:color="auto"/>
            </w:tcBorders>
            <w:noWrap/>
          </w:tcPr>
          <w:p w:rsidR="00B231CB" w:rsidRDefault="00C71431">
            <w:pPr>
              <w:spacing w:after="120"/>
              <w:jc w:val="center"/>
              <w:rPr>
                <w:noProof/>
                <w:szCs w:val="24"/>
              </w:rPr>
            </w:pPr>
            <w:r>
              <w:rPr>
                <w:noProof/>
                <w:szCs w:val="24"/>
              </w:rPr>
              <w:t>2,629</w:t>
            </w:r>
          </w:p>
        </w:tc>
        <w:tc>
          <w:tcPr>
            <w:tcW w:w="1050" w:type="pct"/>
            <w:tcBorders>
              <w:bottom w:val="single" w:sz="24" w:space="0" w:color="auto"/>
            </w:tcBorders>
            <w:noWrap/>
          </w:tcPr>
          <w:p w:rsidR="00B231CB" w:rsidRDefault="00C71431">
            <w:pPr>
              <w:spacing w:after="120"/>
              <w:jc w:val="center"/>
              <w:rPr>
                <w:noProof/>
                <w:szCs w:val="24"/>
              </w:rPr>
            </w:pPr>
            <w:r>
              <w:rPr>
                <w:noProof/>
                <w:szCs w:val="24"/>
              </w:rPr>
              <w:t>2,113</w:t>
            </w:r>
          </w:p>
        </w:tc>
        <w:tc>
          <w:tcPr>
            <w:tcW w:w="1049" w:type="pct"/>
            <w:tcBorders>
              <w:bottom w:val="single" w:sz="24" w:space="0" w:color="auto"/>
            </w:tcBorders>
            <w:noWrap/>
          </w:tcPr>
          <w:p w:rsidR="00B231CB" w:rsidRDefault="00C71431">
            <w:pPr>
              <w:spacing w:after="120"/>
              <w:jc w:val="center"/>
              <w:rPr>
                <w:noProof/>
                <w:szCs w:val="24"/>
              </w:rPr>
            </w:pPr>
            <w:r>
              <w:rPr>
                <w:noProof/>
                <w:szCs w:val="24"/>
              </w:rPr>
              <w:t>1,908</w:t>
            </w:r>
          </w:p>
        </w:tc>
      </w:tr>
      <w:tr w:rsidR="00B231CB">
        <w:trPr>
          <w:trHeight w:val="255"/>
        </w:trPr>
        <w:tc>
          <w:tcPr>
            <w:tcW w:w="1851" w:type="pct"/>
            <w:noWrap/>
            <w:hideMark/>
          </w:tcPr>
          <w:p w:rsidR="00B231CB" w:rsidRDefault="00C71431">
            <w:pPr>
              <w:spacing w:after="120"/>
              <w:rPr>
                <w:i/>
                <w:noProof/>
                <w:color w:val="000000" w:themeColor="text1"/>
                <w:szCs w:val="24"/>
              </w:rPr>
            </w:pPr>
            <w:r>
              <w:rPr>
                <w:i/>
                <w:noProof/>
                <w:color w:val="000000" w:themeColor="text1"/>
                <w:szCs w:val="24"/>
              </w:rPr>
              <w:t>Net savings [3]-[1]-[2]</w:t>
            </w:r>
          </w:p>
        </w:tc>
        <w:tc>
          <w:tcPr>
            <w:tcW w:w="1050" w:type="pct"/>
            <w:noWrap/>
          </w:tcPr>
          <w:p w:rsidR="00B231CB" w:rsidRDefault="00C71431">
            <w:pPr>
              <w:spacing w:after="120"/>
              <w:jc w:val="center"/>
              <w:rPr>
                <w:i/>
                <w:noProof/>
                <w:szCs w:val="24"/>
              </w:rPr>
            </w:pPr>
            <w:r>
              <w:rPr>
                <w:i/>
                <w:noProof/>
                <w:szCs w:val="24"/>
              </w:rPr>
              <w:t>2,217</w:t>
            </w:r>
          </w:p>
        </w:tc>
        <w:tc>
          <w:tcPr>
            <w:tcW w:w="1050" w:type="pct"/>
            <w:noWrap/>
          </w:tcPr>
          <w:p w:rsidR="00B231CB" w:rsidRDefault="00C71431">
            <w:pPr>
              <w:spacing w:after="120"/>
              <w:jc w:val="center"/>
              <w:rPr>
                <w:i/>
                <w:noProof/>
                <w:szCs w:val="24"/>
              </w:rPr>
            </w:pPr>
            <w:r>
              <w:rPr>
                <w:i/>
                <w:noProof/>
                <w:szCs w:val="24"/>
              </w:rPr>
              <w:t>2,062</w:t>
            </w:r>
          </w:p>
        </w:tc>
        <w:tc>
          <w:tcPr>
            <w:tcW w:w="1049" w:type="pct"/>
            <w:noWrap/>
          </w:tcPr>
          <w:p w:rsidR="00B231CB" w:rsidRDefault="00C71431">
            <w:pPr>
              <w:spacing w:after="120"/>
              <w:jc w:val="center"/>
              <w:rPr>
                <w:i/>
                <w:noProof/>
                <w:szCs w:val="24"/>
              </w:rPr>
            </w:pPr>
            <w:r>
              <w:rPr>
                <w:i/>
                <w:noProof/>
                <w:szCs w:val="24"/>
              </w:rPr>
              <w:t>1,894</w:t>
            </w:r>
          </w:p>
        </w:tc>
      </w:tr>
    </w:tbl>
    <w:p w:rsidR="00B231CB" w:rsidRDefault="00B231CB">
      <w:pPr>
        <w:rPr>
          <w:noProof/>
        </w:rPr>
      </w:pPr>
    </w:p>
    <w:sectPr w:rsidR="00B231CB">
      <w:headerReference w:type="even" r:id="rId51"/>
      <w:headerReference w:type="default" r:id="rId52"/>
      <w:footerReference w:type="even" r:id="rId53"/>
      <w:footerReference w:type="default" r:id="rId54"/>
      <w:headerReference w:type="first" r:id="rId55"/>
      <w:footerReference w:type="firs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1CB" w:rsidRDefault="00C71431">
      <w:pPr>
        <w:spacing w:after="0"/>
      </w:pPr>
      <w:r>
        <w:separator/>
      </w:r>
    </w:p>
  </w:endnote>
  <w:endnote w:type="continuationSeparator" w:id="0">
    <w:p w:rsidR="00B231CB" w:rsidRDefault="00C714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431" w:rsidRPr="00C71431" w:rsidRDefault="00C71431" w:rsidP="00C714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431" w:rsidRPr="00C71431" w:rsidRDefault="00C71431" w:rsidP="00C71431">
    <w:pPr>
      <w:pStyle w:val="FooterCoverPage"/>
      <w:rPr>
        <w:rFonts w:ascii="Arial" w:hAnsi="Arial" w:cs="Arial"/>
        <w:b/>
        <w:sz w:val="48"/>
      </w:rPr>
    </w:pPr>
    <w:r w:rsidRPr="00C71431">
      <w:rPr>
        <w:rFonts w:ascii="Arial" w:hAnsi="Arial" w:cs="Arial"/>
        <w:b/>
        <w:sz w:val="48"/>
      </w:rPr>
      <w:t>EN</w:t>
    </w:r>
    <w:r w:rsidRPr="00C71431">
      <w:rPr>
        <w:rFonts w:ascii="Arial" w:hAnsi="Arial" w:cs="Arial"/>
        <w:b/>
        <w:sz w:val="48"/>
      </w:rPr>
      <w:tab/>
    </w:r>
    <w:r w:rsidRPr="00C71431">
      <w:rPr>
        <w:rFonts w:ascii="Arial" w:hAnsi="Arial" w:cs="Arial"/>
        <w:b/>
        <w:sz w:val="48"/>
      </w:rPr>
      <w:tab/>
    </w:r>
    <w:r w:rsidRPr="00C71431">
      <w:tab/>
    </w:r>
    <w:r w:rsidRPr="00C71431">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431" w:rsidRPr="00C71431" w:rsidRDefault="00C71431" w:rsidP="00C71431">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1CB" w:rsidRDefault="00B231C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289198100"/>
      <w:docPartObj>
        <w:docPartGallery w:val="Page Numbers (Bottom of Page)"/>
        <w:docPartUnique/>
      </w:docPartObj>
    </w:sdtPr>
    <w:sdtEndPr>
      <w:rPr>
        <w:noProof/>
      </w:rPr>
    </w:sdtEndPr>
    <w:sdtContent>
      <w:p w:rsidR="00B231CB" w:rsidRDefault="00B231CB">
        <w:pPr>
          <w:pStyle w:val="Footer"/>
          <w:jc w:val="center"/>
          <w:rPr>
            <w:sz w:val="20"/>
          </w:rPr>
        </w:pPr>
      </w:p>
      <w:p w:rsidR="00B231CB" w:rsidRDefault="00C71431">
        <w:pPr>
          <w:pStyle w:val="Footer"/>
          <w:tabs>
            <w:tab w:val="center" w:pos="4819"/>
            <w:tab w:val="left" w:pos="5310"/>
          </w:tabs>
          <w:rPr>
            <w:sz w:val="20"/>
          </w:rPr>
        </w:pPr>
        <w:r>
          <w:rPr>
            <w:sz w:val="20"/>
          </w:rPr>
          <w:tab/>
        </w:r>
        <w:r>
          <w:rPr>
            <w:sz w:val="20"/>
          </w:rPr>
          <w:fldChar w:fldCharType="begin"/>
        </w:r>
        <w:r>
          <w:rPr>
            <w:sz w:val="20"/>
          </w:rPr>
          <w:instrText xml:space="preserve"> PAGE   \* MERGEFORMAT </w:instrText>
        </w:r>
        <w:r>
          <w:rPr>
            <w:sz w:val="20"/>
          </w:rPr>
          <w:fldChar w:fldCharType="separate"/>
        </w:r>
        <w:r>
          <w:rPr>
            <w:noProof/>
            <w:sz w:val="20"/>
          </w:rPr>
          <w:t>3</w:t>
        </w:r>
        <w:r>
          <w:rPr>
            <w:noProof/>
            <w:sz w:val="20"/>
          </w:rPr>
          <w:fldChar w:fldCharType="end"/>
        </w:r>
        <w:r>
          <w:rPr>
            <w:noProof/>
            <w:sz w:val="20"/>
          </w:rPr>
          <w:tab/>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1CB" w:rsidRDefault="00B231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1CB" w:rsidRDefault="00C71431">
      <w:pPr>
        <w:spacing w:after="0"/>
      </w:pPr>
      <w:r>
        <w:separator/>
      </w:r>
    </w:p>
  </w:footnote>
  <w:footnote w:type="continuationSeparator" w:id="0">
    <w:p w:rsidR="00B231CB" w:rsidRDefault="00C71431">
      <w:pPr>
        <w:spacing w:after="0"/>
      </w:pPr>
      <w:r>
        <w:continuationSeparator/>
      </w:r>
    </w:p>
  </w:footnote>
  <w:footnote w:id="1">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 w:history="1">
        <w:r>
          <w:rPr>
            <w:rStyle w:val="Hyperlink"/>
            <w:rFonts w:ascii="Times New Roman" w:hAnsi="Times New Roman" w:cs="Times New Roman"/>
          </w:rPr>
          <w:t>http://ec.europa.eu/clima/policies/transport/vehicles/docs/evaluation_ldv_co2_regs_en.pdf</w:t>
        </w:r>
      </w:hyperlink>
    </w:p>
  </w:footnote>
  <w:footnote w:id="2">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 w:anchor="parentfieldname-" w:history="1">
        <w:r>
          <w:rPr>
            <w:rStyle w:val="Hyperlink"/>
            <w:rFonts w:ascii="Times New Roman" w:hAnsi="Times New Roman" w:cs="Times New Roman"/>
          </w:rPr>
          <w:t>https://www.eea.europa.eu/data-and-maps/data/co2-cars-emission-12/#parentfieldname-title</w:t>
        </w:r>
      </w:hyperlink>
      <w:r>
        <w:rPr>
          <w:rFonts w:ascii="Times New Roman" w:hAnsi="Times New Roman" w:cs="Times New Roman"/>
        </w:rPr>
        <w:t xml:space="preserve"> for cars and </w:t>
      </w:r>
      <w:hyperlink r:id="rId3" w:anchor="parent-fieldname-title" w:history="1">
        <w:r>
          <w:rPr>
            <w:rStyle w:val="Hyperlink"/>
            <w:rFonts w:ascii="Times New Roman" w:hAnsi="Times New Roman" w:cs="Times New Roman"/>
          </w:rPr>
          <w:t>https://www.</w:t>
        </w:r>
        <w:r>
          <w:rPr>
            <w:rStyle w:val="Hyperlink"/>
            <w:rFonts w:ascii="Times New Roman" w:hAnsi="Times New Roman" w:cs="Times New Roman"/>
          </w:rPr>
          <w:t>eea.europa.eu/data-and-maps/data/vans-8/#parent-fieldname-title</w:t>
        </w:r>
      </w:hyperlink>
      <w:r>
        <w:rPr>
          <w:rFonts w:ascii="Times New Roman" w:hAnsi="Times New Roman" w:cs="Times New Roman"/>
        </w:rPr>
        <w:t xml:space="preserve"> for vans</w:t>
      </w:r>
    </w:p>
  </w:footnote>
  <w:footnote w:id="3">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Regulation (EC) No 443/2009 of the European Parliament and of the Council of 23 April 2009 setting emission performance standards for new passenger cars as part of the Community's i</w:t>
      </w:r>
      <w:r>
        <w:rPr>
          <w:rFonts w:ascii="Times New Roman" w:hAnsi="Times New Roman" w:cs="Times New Roman"/>
        </w:rPr>
        <w:t>ntegrated approach to reduce CO</w:t>
      </w:r>
      <w:r>
        <w:rPr>
          <w:rFonts w:ascii="Times New Roman" w:hAnsi="Times New Roman" w:cs="Times New Roman"/>
          <w:vertAlign w:val="subscript"/>
        </w:rPr>
        <w:t>2</w:t>
      </w:r>
      <w:r>
        <w:rPr>
          <w:rFonts w:ascii="Times New Roman" w:hAnsi="Times New Roman" w:cs="Times New Roman"/>
        </w:rPr>
        <w:t xml:space="preserve"> emissions from light-duty vehicles, OJ L 140, 5.6.2009, p. 1</w:t>
      </w:r>
    </w:p>
  </w:footnote>
  <w:footnote w:id="4">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Regulation (EU) No 510/2011 of the European Parliament and of the Council of 11 May 2011 setting emission performance standards for new light commercial vehicle</w:t>
      </w:r>
      <w:r>
        <w:rPr>
          <w:rFonts w:ascii="Times New Roman" w:hAnsi="Times New Roman" w:cs="Times New Roman"/>
        </w:rPr>
        <w:t>s as part of the Union's integrated approach to reduce CO</w:t>
      </w:r>
      <w:r>
        <w:rPr>
          <w:rFonts w:ascii="Times New Roman" w:hAnsi="Times New Roman" w:cs="Times New Roman"/>
          <w:vertAlign w:val="subscript"/>
        </w:rPr>
        <w:t>2</w:t>
      </w:r>
      <w:r>
        <w:rPr>
          <w:rFonts w:ascii="Times New Roman" w:hAnsi="Times New Roman" w:cs="Times New Roman"/>
        </w:rPr>
        <w:t xml:space="preserve"> emissions from light-duty vehicles, OJ L 145, 31.5.2011, p. 1</w:t>
      </w:r>
    </w:p>
  </w:footnote>
  <w:footnote w:id="5">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4" w:history="1">
        <w:r>
          <w:rPr>
            <w:rStyle w:val="Hyperlink"/>
            <w:rFonts w:ascii="Times New Roman" w:hAnsi="Times New Roman" w:cs="Times New Roman"/>
          </w:rPr>
          <w:t>https://ec.europa.eu/clima/consultations/articles/0030_en</w:t>
        </w:r>
      </w:hyperlink>
      <w:r>
        <w:rPr>
          <w:rFonts w:ascii="Times New Roman" w:hAnsi="Times New Roman" w:cs="Times New Roman"/>
        </w:rPr>
        <w:t xml:space="preserve">. </w:t>
      </w:r>
    </w:p>
  </w:footnote>
  <w:footnote w:id="6">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Car manufacturers or associations representing the car manufacturing industry.</w:t>
      </w:r>
    </w:p>
  </w:footnote>
  <w:footnote w:id="7">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Source: </w:t>
      </w:r>
      <w:hyperlink r:id="rId5" w:history="1">
        <w:r>
          <w:rPr>
            <w:rStyle w:val="Hyperlink"/>
            <w:rFonts w:ascii="Times New Roman" w:hAnsi="Times New Roman" w:cs="Times New Roman"/>
          </w:rPr>
          <w:t>http://www.e3mlab.National Technical University of Athens.gr/e3mlab/</w:t>
        </w:r>
      </w:hyperlink>
      <w:r>
        <w:rPr>
          <w:rFonts w:ascii="Times New Roman" w:hAnsi="Times New Roman" w:cs="Times New Roman"/>
        </w:rPr>
        <w:t xml:space="preserve"> </w:t>
      </w:r>
    </w:p>
  </w:footnote>
  <w:footnote w:id="8">
    <w:p w:rsidR="00B231CB" w:rsidRDefault="00C71431">
      <w:pPr>
        <w:pStyle w:val="FootnoteText"/>
        <w:spacing w:after="120"/>
        <w:ind w:left="284" w:hanging="284"/>
        <w:jc w:val="both"/>
        <w:rPr>
          <w:rFonts w:ascii="Times New Roman" w:hAnsi="Times New Roman" w:cs="Times New Roman"/>
          <w:lang w:val="fr-FR"/>
        </w:rPr>
      </w:pPr>
      <w:r>
        <w:rPr>
          <w:rStyle w:val="FootnoteReference"/>
          <w:rFonts w:ascii="Times New Roman" w:hAnsi="Times New Roman" w:cs="Times New Roman"/>
        </w:rPr>
        <w:footnoteRef/>
      </w:r>
      <w:r>
        <w:rPr>
          <w:rFonts w:ascii="Times New Roman" w:hAnsi="Times New Roman" w:cs="Times New Roman"/>
          <w:lang w:val="fr-FR"/>
        </w:rPr>
        <w:t xml:space="preserve"> </w:t>
      </w:r>
      <w:r>
        <w:rPr>
          <w:rFonts w:ascii="Times New Roman" w:hAnsi="Times New Roman" w:cs="Times New Roman"/>
          <w:lang w:val="fr-FR"/>
        </w:rPr>
        <w:tab/>
        <w:t xml:space="preserve">Source: </w:t>
      </w:r>
      <w:hyperlink r:id="rId6" w:history="1">
        <w:r>
          <w:rPr>
            <w:rStyle w:val="Hyperlink"/>
            <w:rFonts w:ascii="Times New Roman" w:hAnsi="Times New Roman" w:cs="Times New Roman"/>
            <w:lang w:val="fr-FR"/>
          </w:rPr>
          <w:t>http://www.tmleuven.be/methode/tremove/home.htm</w:t>
        </w:r>
      </w:hyperlink>
      <w:r>
        <w:rPr>
          <w:rFonts w:ascii="Times New Roman" w:hAnsi="Times New Roman" w:cs="Times New Roman"/>
          <w:lang w:val="fr-FR"/>
        </w:rPr>
        <w:t xml:space="preserve"> </w:t>
      </w:r>
    </w:p>
  </w:footnote>
  <w:footnote w:id="9">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color w:val="000000"/>
        </w:rPr>
        <w:t>Several model enhancements were made compared to the standard TREMOVE model, as for example: for the number of vintages (allowing representati</w:t>
      </w:r>
      <w:r>
        <w:rPr>
          <w:rFonts w:ascii="Times New Roman" w:hAnsi="Times New Roman" w:cs="Times New Roman"/>
          <w:color w:val="000000"/>
        </w:rPr>
        <w:t>on of the choice of second-hand cars); for the technology categories which include vehicle types using electricity from the grid and fuel cells. The model also incorporates additional fuel types, such as biofuels (when they differ from standard fossil fuel</w:t>
      </w:r>
      <w:r>
        <w:rPr>
          <w:rFonts w:ascii="Times New Roman" w:hAnsi="Times New Roman" w:cs="Times New Roman"/>
          <w:color w:val="000000"/>
        </w:rPr>
        <w:t xml:space="preserve"> technologies), LPG and LNG. In addition, representation of infrastructure for refuelling and recharging are among the model refinements, influencing fuel choices. A major model enhancement concerns the inclusion of heterogeneity in the distance of stylise</w:t>
      </w:r>
      <w:r>
        <w:rPr>
          <w:rFonts w:ascii="Times New Roman" w:hAnsi="Times New Roman" w:cs="Times New Roman"/>
          <w:color w:val="000000"/>
        </w:rPr>
        <w:t>d trips; the model considers that the trip distances follow a distribution function with different distances and frequencies. The inclusion of heterogeneity was found to be of significant influence in the choice of vehicle-fuels especially for vehicles-fue</w:t>
      </w:r>
      <w:r>
        <w:rPr>
          <w:rFonts w:ascii="Times New Roman" w:hAnsi="Times New Roman" w:cs="Times New Roman"/>
          <w:color w:val="000000"/>
        </w:rPr>
        <w:t>ls with range limitations.</w:t>
      </w:r>
    </w:p>
  </w:footnote>
  <w:footnote w:id="10">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lang w:val="en" w:eastAsia="en-GB"/>
        </w:rPr>
        <w:t>The model can be run either as a stand-alone tool (e.g. for the 2011 White Paper on Transport and for the 2016 Strategy on low-emission mobility) or fully integrated in the rest of the PRIMES energy systems model (e.g. for the</w:t>
      </w:r>
      <w:r>
        <w:rPr>
          <w:rFonts w:ascii="Times New Roman" w:hAnsi="Times New Roman" w:cs="Times New Roman"/>
          <w:lang w:val="en" w:eastAsia="en-GB"/>
        </w:rPr>
        <w:t xml:space="preserve"> </w:t>
      </w:r>
      <w:r>
        <w:rPr>
          <w:rFonts w:ascii="Times New Roman" w:hAnsi="Times New Roman" w:cs="Times New Roman"/>
        </w:rPr>
        <w:t>Low Carbon Economy and Energy 2050 Roadmaps, for the 2030 policy framework for climate and energy, for the Effort Sharing Regulation, for the review of the Energy Efficiency Directive and for the recast of the Renewables Energy Directive)</w:t>
      </w:r>
      <w:r>
        <w:rPr>
          <w:rFonts w:ascii="Times New Roman" w:hAnsi="Times New Roman" w:cs="Times New Roman"/>
          <w:lang w:val="en" w:eastAsia="en-GB"/>
        </w:rPr>
        <w:t>. When coupled wi</w:t>
      </w:r>
      <w:r>
        <w:rPr>
          <w:rFonts w:ascii="Times New Roman" w:hAnsi="Times New Roman" w:cs="Times New Roman"/>
          <w:lang w:val="en" w:eastAsia="en-GB"/>
        </w:rPr>
        <w:t>th PRIMES, interaction with the energy sector is taken into account in an iterative way.</w:t>
      </w:r>
    </w:p>
  </w:footnote>
  <w:footnote w:id="11">
    <w:p w:rsidR="00B231CB" w:rsidRDefault="00C71431">
      <w:pPr>
        <w:pStyle w:val="FootnoteText"/>
        <w:spacing w:after="120"/>
        <w:ind w:left="284" w:hanging="284"/>
        <w:jc w:val="both"/>
        <w:rPr>
          <w:rFonts w:ascii="Times New Roman" w:hAnsi="Times New Roman" w:cs="Times New Roman"/>
          <w:lang w:val="fr-FR"/>
        </w:rPr>
      </w:pPr>
      <w:r>
        <w:rPr>
          <w:rStyle w:val="FootnoteReference"/>
          <w:rFonts w:ascii="Times New Roman" w:hAnsi="Times New Roman" w:cs="Times New Roman"/>
        </w:rPr>
        <w:footnoteRef/>
      </w:r>
      <w:r>
        <w:rPr>
          <w:rFonts w:ascii="Times New Roman" w:hAnsi="Times New Roman" w:cs="Times New Roman"/>
          <w:lang w:val="fr-FR"/>
        </w:rPr>
        <w:t xml:space="preserve"> </w:t>
      </w:r>
      <w:r>
        <w:rPr>
          <w:rFonts w:ascii="Times New Roman" w:hAnsi="Times New Roman" w:cs="Times New Roman"/>
          <w:lang w:val="fr-FR"/>
        </w:rPr>
        <w:tab/>
        <w:t xml:space="preserve">Source: </w:t>
      </w:r>
      <w:hyperlink r:id="rId7" w:history="1">
        <w:r>
          <w:rPr>
            <w:rStyle w:val="Hyperlink"/>
            <w:rFonts w:ascii="Times New Roman" w:hAnsi="Times New Roman" w:cs="Times New Roman"/>
            <w:lang w:val="fr-FR"/>
          </w:rPr>
          <w:t>http://ec.europa.eu/clima/policies/strategi</w:t>
        </w:r>
        <w:r>
          <w:rPr>
            <w:rStyle w:val="Hyperlink"/>
            <w:rFonts w:ascii="Times New Roman" w:hAnsi="Times New Roman" w:cs="Times New Roman"/>
            <w:lang w:val="fr-FR"/>
          </w:rPr>
          <w:t>es/analysis/models/docs/primes_model_2013-2014_en.pdf</w:t>
        </w:r>
      </w:hyperlink>
      <w:r>
        <w:rPr>
          <w:rFonts w:ascii="Times New Roman" w:hAnsi="Times New Roman" w:cs="Times New Roman"/>
          <w:lang w:val="fr-FR"/>
        </w:rPr>
        <w:t xml:space="preserve">. </w:t>
      </w:r>
    </w:p>
  </w:footnote>
  <w:footnote w:id="12">
    <w:p w:rsidR="00B231CB" w:rsidRDefault="00C71431">
      <w:pPr>
        <w:pStyle w:val="FootnoteText"/>
        <w:spacing w:after="120"/>
        <w:ind w:left="284" w:hanging="284"/>
        <w:jc w:val="both"/>
        <w:rPr>
          <w:rFonts w:ascii="Times New Roman" w:hAnsi="Times New Roman" w:cs="Times New Roman"/>
          <w:lang w:val="fr-FR"/>
        </w:rPr>
      </w:pPr>
      <w:r>
        <w:rPr>
          <w:rStyle w:val="FootnoteReference"/>
          <w:rFonts w:ascii="Times New Roman" w:hAnsi="Times New Roman" w:cs="Times New Roman"/>
        </w:rPr>
        <w:footnoteRef/>
      </w:r>
      <w:r>
        <w:rPr>
          <w:rFonts w:ascii="Times New Roman" w:hAnsi="Times New Roman" w:cs="Times New Roman"/>
          <w:lang w:val="fr-FR"/>
        </w:rPr>
        <w:t xml:space="preserve"> </w:t>
      </w:r>
      <w:r>
        <w:rPr>
          <w:rFonts w:ascii="Times New Roman" w:hAnsi="Times New Roman" w:cs="Times New Roman"/>
          <w:lang w:val="fr-FR"/>
        </w:rPr>
        <w:tab/>
      </w:r>
      <w:hyperlink r:id="rId8" w:history="1">
        <w:r>
          <w:rPr>
            <w:rStyle w:val="Hyperlink"/>
            <w:rFonts w:ascii="Times New Roman" w:hAnsi="Times New Roman" w:cs="Times New Roman"/>
            <w:lang w:val="fr-FR"/>
          </w:rPr>
          <w:t>https://ec.europa.eu/energy/sites/ener/files/documents/sec_2011_1569_2.pdf</w:t>
        </w:r>
      </w:hyperlink>
      <w:r>
        <w:rPr>
          <w:rFonts w:ascii="Times New Roman" w:hAnsi="Times New Roman" w:cs="Times New Roman"/>
          <w:lang w:val="fr-FR"/>
        </w:rPr>
        <w:t xml:space="preserve"> </w:t>
      </w:r>
    </w:p>
  </w:footnote>
  <w:footnote w:id="13">
    <w:p w:rsidR="00B231CB" w:rsidRDefault="00C71431">
      <w:pPr>
        <w:pStyle w:val="FootnoteText"/>
        <w:jc w:val="both"/>
        <w:rPr>
          <w:rFonts w:ascii="Times New Roman" w:eastAsia="Times New Roman" w:hAnsi="Times New Roman" w:cs="Times New Roman"/>
          <w:lang w:val="fr-FR"/>
        </w:rPr>
      </w:pPr>
      <w:r>
        <w:rPr>
          <w:rStyle w:val="FootnoteReference"/>
          <w:rFonts w:ascii="Times New Roman" w:hAnsi="Times New Roman" w:cs="Times New Roman"/>
        </w:rPr>
        <w:footnoteRef/>
      </w:r>
      <w:r>
        <w:rPr>
          <w:rFonts w:ascii="Times New Roman" w:hAnsi="Times New Roman" w:cs="Times New Roman"/>
          <w:lang w:val="fr-FR"/>
        </w:rPr>
        <w:t xml:space="preserve"> </w:t>
      </w:r>
      <w:r>
        <w:rPr>
          <w:rFonts w:ascii="Times New Roman" w:eastAsia="Times New Roman" w:hAnsi="Times New Roman" w:cs="Times New Roman"/>
          <w:lang w:val="fr-FR"/>
        </w:rPr>
        <w:t>Pelopidas Siskos, Pantelis C</w:t>
      </w:r>
      <w:r>
        <w:rPr>
          <w:rFonts w:ascii="Times New Roman" w:eastAsia="Times New Roman" w:hAnsi="Times New Roman" w:cs="Times New Roman"/>
          <w:lang w:val="fr-FR"/>
        </w:rPr>
        <w:t>apros, Alessia DeVita (2015) CO</w:t>
      </w:r>
      <w:r>
        <w:rPr>
          <w:rFonts w:ascii="Times New Roman" w:eastAsia="Times New Roman" w:hAnsi="Times New Roman" w:cs="Times New Roman"/>
          <w:vertAlign w:val="subscript"/>
          <w:lang w:val="fr-FR"/>
        </w:rPr>
        <w:t>2</w:t>
      </w:r>
      <w:r>
        <w:rPr>
          <w:rFonts w:ascii="Times New Roman" w:eastAsia="Times New Roman" w:hAnsi="Times New Roman" w:cs="Times New Roman"/>
          <w:lang w:val="fr-FR"/>
        </w:rPr>
        <w:t xml:space="preserve"> and energy efficiency car standards in the EU in the context of a decarbonisation strategy: A model-based policy assessment", Energy Policy, 84 (2015) 22–34.</w:t>
      </w:r>
    </w:p>
  </w:footnote>
  <w:footnote w:id="14">
    <w:p w:rsidR="00B231CB" w:rsidRDefault="00C71431">
      <w:pPr>
        <w:pStyle w:val="FootnoteText"/>
        <w:spacing w:after="120"/>
        <w:jc w:val="both"/>
        <w:rPr>
          <w:rFonts w:ascii="Times New Roman" w:hAnsi="Times New Roman" w:cs="Times New Roman"/>
          <w:lang w:val="fr-FR"/>
        </w:rPr>
      </w:pPr>
      <w:r>
        <w:rPr>
          <w:rStyle w:val="FootnoteReference"/>
          <w:rFonts w:ascii="Times New Roman" w:hAnsi="Times New Roman" w:cs="Times New Roman"/>
        </w:rPr>
        <w:footnoteRef/>
      </w:r>
      <w:r>
        <w:rPr>
          <w:rFonts w:ascii="Times New Roman" w:hAnsi="Times New Roman" w:cs="Times New Roman"/>
          <w:lang w:val="fr-FR"/>
        </w:rPr>
        <w:t xml:space="preserve"> </w:t>
      </w:r>
      <w:hyperlink r:id="rId9" w:history="1">
        <w:r>
          <w:rPr>
            <w:rStyle w:val="Hyperlink"/>
            <w:rFonts w:ascii="Times New Roman" w:hAnsi="Times New Roman" w:cs="Times New Roman"/>
            <w:lang w:val="fr-FR"/>
          </w:rPr>
          <w:t>https://ec.europa.eu/clima/sites/clima/files/transport/vehicles/docs/technology_results_web.xlsx</w:t>
        </w:r>
      </w:hyperlink>
    </w:p>
    <w:p w:rsidR="00B231CB" w:rsidRDefault="00C71431">
      <w:pPr>
        <w:pStyle w:val="FootnoteText"/>
        <w:spacing w:after="120"/>
        <w:jc w:val="both"/>
        <w:rPr>
          <w:rFonts w:ascii="Times New Roman" w:hAnsi="Times New Roman" w:cs="Times New Roman"/>
          <w:lang w:val="fr-FR"/>
        </w:rPr>
      </w:pPr>
      <w:hyperlink r:id="rId10" w:history="1">
        <w:r>
          <w:rPr>
            <w:rStyle w:val="Hyperlink"/>
            <w:rFonts w:ascii="Times New Roman" w:hAnsi="Times New Roman" w:cs="Times New Roman"/>
            <w:lang w:val="fr-FR"/>
          </w:rPr>
          <w:t>https://ec.europa.eu/clima/sites/clima/files/transport/vehicles/docs/technology_sources_web.xlsx</w:t>
        </w:r>
      </w:hyperlink>
    </w:p>
  </w:footnote>
  <w:footnote w:id="15">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w:t>
      </w:r>
      <w:hyperlink r:id="rId11" w:history="1">
        <w:r>
          <w:rPr>
            <w:rStyle w:val="Hyperlink"/>
            <w:rFonts w:ascii="Times New Roman" w:hAnsi="Times New Roman" w:cs="Times New Roman"/>
          </w:rPr>
          <w:t>http://ec.europa.eu/smart-regulation/guidelines/tool_54_en.htm</w:t>
        </w:r>
      </w:hyperlink>
      <w:r>
        <w:rPr>
          <w:rFonts w:ascii="Times New Roman" w:hAnsi="Times New Roman" w:cs="Times New Roman"/>
        </w:rPr>
        <w:t xml:space="preserve"> </w:t>
      </w:r>
    </w:p>
  </w:footnote>
  <w:footnote w:id="16">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2" w:history="1">
        <w:r>
          <w:rPr>
            <w:rStyle w:val="Hyperlink"/>
            <w:rFonts w:ascii="Times New Roman" w:hAnsi="Times New Roman" w:cs="Times New Roman"/>
          </w:rPr>
          <w:t>http://ec.europa.eu/energy/en/data-analysis/energy-modelling</w:t>
        </w:r>
      </w:hyperlink>
    </w:p>
  </w:footnote>
  <w:footnote w:id="17">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CE Delft and TNO (2017) Assessment of the Modalities for LDV CO</w:t>
      </w:r>
      <w:r>
        <w:rPr>
          <w:rFonts w:ascii="Times New Roman" w:hAnsi="Times New Roman" w:cs="Times New Roman"/>
          <w:vertAlign w:val="subscript"/>
        </w:rPr>
        <w:t>2</w:t>
      </w:r>
      <w:r>
        <w:rPr>
          <w:rFonts w:ascii="Times New Roman" w:hAnsi="Times New Roman" w:cs="Times New Roman"/>
        </w:rPr>
        <w:t xml:space="preserve"> Regulations beyond 2020 (report for the European Comm</w:t>
      </w:r>
      <w:r>
        <w:rPr>
          <w:rFonts w:ascii="Times New Roman" w:hAnsi="Times New Roman" w:cs="Times New Roman"/>
        </w:rPr>
        <w:t>ission, DG CLIMA)</w:t>
      </w:r>
    </w:p>
  </w:footnote>
  <w:footnote w:id="18">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TNO, AEA, CE Delft, Ökopol, TML, Ricardo and IHS Global Insight (2011) Support for the revision of Regulation (EC) No 443/2009 on CO</w:t>
      </w:r>
      <w:r>
        <w:rPr>
          <w:rFonts w:ascii="Times New Roman" w:hAnsi="Times New Roman" w:cs="Times New Roman"/>
          <w:vertAlign w:val="subscript"/>
        </w:rPr>
        <w:t>2</w:t>
      </w:r>
      <w:r>
        <w:rPr>
          <w:rFonts w:ascii="Times New Roman" w:hAnsi="Times New Roman" w:cs="Times New Roman"/>
        </w:rPr>
        <w:t xml:space="preserve"> emissions from cars (report for the European Commission, DG CLIMA) - </w:t>
      </w:r>
      <w:hyperlink r:id="rId13" w:history="1">
        <w:r>
          <w:rPr>
            <w:rStyle w:val="Hyperlink"/>
            <w:rFonts w:ascii="Times New Roman" w:hAnsi="Times New Roman" w:cs="Times New Roman"/>
          </w:rPr>
          <w:t>https://ec.europa.eu/clima/sites/clima/files/transport/vehicles/cars/docs/study_car_2011_en.pdf</w:t>
        </w:r>
      </w:hyperlink>
    </w:p>
  </w:footnote>
  <w:footnote w:id="19">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AEA, TNO, CE Delft, Öko-Institut (2009) Assessment with respect to long term CO</w:t>
      </w:r>
      <w:r>
        <w:rPr>
          <w:rFonts w:ascii="Times New Roman" w:hAnsi="Times New Roman" w:cs="Times New Roman"/>
          <w:vertAlign w:val="subscript"/>
        </w:rPr>
        <w:t>2</w:t>
      </w:r>
      <w:r>
        <w:rPr>
          <w:rFonts w:ascii="Times New Roman" w:hAnsi="Times New Roman" w:cs="Times New Roman"/>
        </w:rPr>
        <w:t xml:space="preserve"> emission targets for passenger cars and vans (report for the European Commission, DG CLIMA) - </w:t>
      </w:r>
      <w:hyperlink r:id="rId14" w:history="1">
        <w:r>
          <w:rPr>
            <w:rStyle w:val="Hyperlink"/>
            <w:rFonts w:ascii="Times New Roman" w:hAnsi="Times New Roman" w:cs="Times New Roman"/>
          </w:rPr>
          <w:t>https://ec.europa.eu/clima/sites/clima/files/trans</w:t>
        </w:r>
        <w:r>
          <w:rPr>
            <w:rStyle w:val="Hyperlink"/>
            <w:rFonts w:ascii="Times New Roman" w:hAnsi="Times New Roman" w:cs="Times New Roman"/>
          </w:rPr>
          <w:t>port/vehicles/docs/2009_co2_car_vans_en.pdf</w:t>
        </w:r>
      </w:hyperlink>
    </w:p>
  </w:footnote>
  <w:footnote w:id="20">
    <w:p w:rsidR="00B231CB" w:rsidRDefault="00C7143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Sources: Aviva. (2017). Your car insurance price explained. Retrieved from Aviva: </w:t>
      </w:r>
      <w:hyperlink r:id="rId15" w:history="1">
        <w:r>
          <w:rPr>
            <w:rStyle w:val="Hyperlink"/>
            <w:rFonts w:ascii="Times New Roman" w:hAnsi="Times New Roman" w:cs="Times New Roman"/>
          </w:rPr>
          <w:t>http://www.aviva.co.uk/car-insurance/your-car-pri</w:t>
        </w:r>
        <w:r>
          <w:rPr>
            <w:rStyle w:val="Hyperlink"/>
            <w:rFonts w:ascii="Times New Roman" w:hAnsi="Times New Roman" w:cs="Times New Roman"/>
          </w:rPr>
          <w:t>ce-explained/</w:t>
        </w:r>
      </w:hyperlink>
      <w:r>
        <w:rPr>
          <w:rFonts w:ascii="Times New Roman" w:hAnsi="Times New Roman" w:cs="Times New Roman"/>
        </w:rPr>
        <w:t xml:space="preserve">; FleetNews. (2015). Electric vehicles offer big SMR cost savings. Retrieved from FleetNews: </w:t>
      </w:r>
      <w:hyperlink r:id="rId16" w:history="1">
        <w:r>
          <w:rPr>
            <w:rStyle w:val="Hyperlink"/>
            <w:rFonts w:ascii="Times New Roman" w:hAnsi="Times New Roman" w:cs="Times New Roman"/>
          </w:rPr>
          <w:t>http://www.fleetnews.co.uk/fleet-</w:t>
        </w:r>
        <w:r>
          <w:rPr>
            <w:rStyle w:val="Hyperlink"/>
            <w:rFonts w:ascii="Times New Roman" w:hAnsi="Times New Roman" w:cs="Times New Roman"/>
          </w:rPr>
          <w:t>management/environment/electric-vehicles-offer-big-smr-cost-savings</w:t>
        </w:r>
      </w:hyperlink>
      <w:r>
        <w:rPr>
          <w:rFonts w:ascii="Times New Roman" w:hAnsi="Times New Roman" w:cs="Times New Roman"/>
        </w:rPr>
        <w:t>; UBS. (2017). Q-Series: UBS Evidence Lab Electric Car Teardown – Disruption Ahead? UBS Global Research. Retrieved from https://neo.ubs.com/shared/d1BwmpNZLi/</w:t>
      </w:r>
    </w:p>
  </w:footnote>
  <w:footnote w:id="21">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Market clearance in GEM-E3</w:t>
      </w:r>
      <w:r>
        <w:rPr>
          <w:rFonts w:ascii="Times New Roman" w:hAnsi="Times New Roman" w:cs="Times New Roman"/>
          <w:lang w:eastAsia="ar-SA"/>
        </w:rPr>
        <w:t xml:space="preserve"> i</w:t>
      </w:r>
      <w:r>
        <w:rPr>
          <w:rFonts w:ascii="Times New Roman" w:hAnsi="Times New Roman" w:cs="Times New Roman"/>
          <w:lang w:eastAsia="ar-SA"/>
        </w:rPr>
        <w:t>s achieved through the full adjustment of prices which allow supply to equal demand and thus a ‘general’ equilibrium is reached and maintained throughout the system.</w:t>
      </w:r>
    </w:p>
  </w:footnote>
  <w:footnote w:id="22">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eastAsia="ar-SA"/>
        </w:rPr>
        <w:t>The degree of adjustment between supply and demand and the resulting imbalances are deri</w:t>
      </w:r>
      <w:r>
        <w:rPr>
          <w:rFonts w:ascii="Times New Roman" w:hAnsi="Times New Roman" w:cs="Times New Roman"/>
          <w:lang w:eastAsia="ar-SA"/>
        </w:rPr>
        <w:t>ved from econometric evidence of historical non-optimal behaviour based on the extensive databases and time-series underpinning the E3ME macro-econometric model.</w:t>
      </w:r>
    </w:p>
  </w:footnote>
  <w:footnote w:id="23">
    <w:p w:rsidR="00B231CB" w:rsidRDefault="00C7143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In the analysis done with both the E3ME and with GEM-E3 models, there is no assumption made </w:t>
      </w:r>
      <w:r>
        <w:rPr>
          <w:rFonts w:ascii="Times New Roman" w:hAnsi="Times New Roman" w:cs="Times New Roman"/>
          <w:lang w:val="en-US"/>
        </w:rPr>
        <w:t>in terms of policy changes outside of Europe</w:t>
      </w:r>
    </w:p>
  </w:footnote>
  <w:footnote w:id="24">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17" w:history="1">
        <w:r>
          <w:rPr>
            <w:rStyle w:val="Hyperlink"/>
            <w:rFonts w:ascii="Times New Roman" w:hAnsi="Times New Roman" w:cs="Times New Roman"/>
          </w:rPr>
          <w:t>http://www.e3mlab.National Technical University of Athens.gr/e3mlab/</w:t>
        </w:r>
      </w:hyperlink>
    </w:p>
  </w:footnote>
  <w:footnote w:id="25">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18" w:history="1">
        <w:r>
          <w:rPr>
            <w:rStyle w:val="Hyperlink"/>
            <w:rFonts w:ascii="Times New Roman" w:hAnsi="Times New Roman" w:cs="Times New Roman"/>
          </w:rPr>
          <w:t>https://ec.europa.eu/jrc/en/institutes/ipts</w:t>
        </w:r>
      </w:hyperlink>
      <w:r>
        <w:rPr>
          <w:rFonts w:ascii="Times New Roman" w:hAnsi="Times New Roman" w:cs="Times New Roman"/>
        </w:rPr>
        <w:t xml:space="preserve"> </w:t>
      </w:r>
    </w:p>
  </w:footnote>
  <w:footnote w:id="26">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In addition, amendments to two Directives only adopted in the beginning of 2015 were also considered. This concerns notably the ILUC amendment to the Renewables Directive and the Market Stability Reserve Decis</w:t>
      </w:r>
      <w:r>
        <w:rPr>
          <w:rFonts w:ascii="Times New Roman" w:hAnsi="Times New Roman" w:cs="Times New Roman"/>
        </w:rPr>
        <w:t>ion amending the ETS Directive.</w:t>
      </w:r>
    </w:p>
  </w:footnote>
  <w:footnote w:id="27">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ICCS-E3MLab et al. (2016), EU Reference Scenario 2016: Energy, transport and GHG emissions - Trends to 2050</w:t>
      </w:r>
    </w:p>
  </w:footnote>
  <w:footnote w:id="28">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SWD(2016) 247</w:t>
      </w:r>
    </w:p>
  </w:footnote>
  <w:footnote w:id="29">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SWD(2016) 405</w:t>
      </w:r>
    </w:p>
  </w:footnote>
  <w:footnote w:id="30">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SWD(2016) 244</w:t>
      </w:r>
    </w:p>
  </w:footnote>
  <w:footnote w:id="31">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European Commission/DG ECFIN (2014), The 2015 Ageing Report</w:t>
      </w:r>
      <w:r>
        <w:rPr>
          <w:rFonts w:ascii="Times New Roman" w:hAnsi="Times New Roman" w:cs="Times New Roman"/>
        </w:rPr>
        <w:t>: Underlying Assumptions and Projection Methodologies, European Economy 8/2014.</w:t>
      </w:r>
    </w:p>
  </w:footnote>
  <w:footnote w:id="32">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OPEC stands for Organization of Petroleum Exporting Countries.</w:t>
      </w:r>
    </w:p>
  </w:footnote>
  <w:footnote w:id="33">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Ricardo Energy and Environment (2016) Improving understanding of technology and costs for CO</w:t>
      </w:r>
      <w:r>
        <w:rPr>
          <w:rFonts w:ascii="Times New Roman" w:hAnsi="Times New Roman" w:cs="Times New Roman"/>
          <w:vertAlign w:val="subscript"/>
        </w:rPr>
        <w:t>2</w:t>
      </w:r>
      <w:r>
        <w:rPr>
          <w:rFonts w:ascii="Times New Roman" w:hAnsi="Times New Roman" w:cs="Times New Roman"/>
        </w:rPr>
        <w:t xml:space="preserve"> reductions fr</w:t>
      </w:r>
      <w:r>
        <w:rPr>
          <w:rFonts w:ascii="Times New Roman" w:hAnsi="Times New Roman" w:cs="Times New Roman"/>
        </w:rPr>
        <w:t>om cars and LCVs in the period to 2030 and development of cost curves (report for the European Commission, DG CLIMA)</w:t>
      </w:r>
    </w:p>
  </w:footnote>
  <w:footnote w:id="34">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For a comprehensive discussion see the Reference scenario report: “EU Reference Scenario 2016: Energy, transport and GHG emissions - Tre</w:t>
      </w:r>
      <w:r>
        <w:rPr>
          <w:rFonts w:ascii="Times New Roman" w:hAnsi="Times New Roman" w:cs="Times New Roman"/>
        </w:rPr>
        <w:t>nds to 2050”</w:t>
      </w:r>
      <w:r>
        <w:rPr>
          <w:rFonts w:ascii="Times New Roman" w:hAnsi="Times New Roman" w:cs="Times New Roman"/>
          <w:highlight w:val="yellow"/>
        </w:rPr>
        <w:t xml:space="preserve"> </w:t>
      </w:r>
    </w:p>
  </w:footnote>
  <w:footnote w:id="35">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Regulation (EU) 2017/352</w:t>
      </w:r>
    </w:p>
  </w:footnote>
  <w:footnote w:id="36">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See Annex 4.6</w:t>
      </w:r>
    </w:p>
  </w:footnote>
  <w:footnote w:id="37">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Currently, 15,000 kilometres of federal trunk road and motorways are subject to tolls.</w:t>
      </w:r>
    </w:p>
  </w:footnote>
  <w:footnote w:id="38">
    <w:p w:rsidR="00B231CB" w:rsidRDefault="00C71431">
      <w:pPr>
        <w:pStyle w:val="FootnoteText"/>
        <w:spacing w:after="120"/>
        <w:ind w:left="284" w:hanging="284"/>
        <w:jc w:val="both"/>
        <w:rPr>
          <w:rFonts w:ascii="Times New Roman" w:hAnsi="Times New Roman" w:cs="Times New Roman"/>
          <w:lang w:val="nn-NO"/>
        </w:rPr>
      </w:pPr>
      <w:r>
        <w:rPr>
          <w:rStyle w:val="FootnoteReference"/>
          <w:rFonts w:ascii="Times New Roman" w:hAnsi="Times New Roman" w:cs="Times New Roman"/>
        </w:rPr>
        <w:footnoteRef/>
      </w:r>
      <w:r>
        <w:rPr>
          <w:rFonts w:ascii="Times New Roman" w:hAnsi="Times New Roman" w:cs="Times New Roman"/>
          <w:lang w:val="nn-NO"/>
        </w:rPr>
        <w:t xml:space="preserve"> </w:t>
      </w:r>
      <w:r>
        <w:rPr>
          <w:rFonts w:ascii="Times New Roman" w:hAnsi="Times New Roman" w:cs="Times New Roman"/>
          <w:lang w:val="nn-NO"/>
        </w:rPr>
        <w:tab/>
        <w:t xml:space="preserve">E.g. </w:t>
      </w:r>
      <w:hyperlink r:id="rId19" w:history="1">
        <w:r>
          <w:rPr>
            <w:rStyle w:val="Hyperlink"/>
            <w:rFonts w:ascii="Times New Roman" w:hAnsi="Times New Roman" w:cs="Times New Roman"/>
            <w:lang w:val="nn-NO"/>
          </w:rPr>
          <w:t>http://w</w:t>
        </w:r>
        <w:r>
          <w:rPr>
            <w:rStyle w:val="Hyperlink"/>
            <w:rFonts w:ascii="Times New Roman" w:hAnsi="Times New Roman" w:cs="Times New Roman"/>
            <w:lang w:val="nn-NO"/>
          </w:rPr>
          <w:t>ww.viapass.be/fileadmin/viapass/documents/download/VlaanderenE.JPG</w:t>
        </w:r>
      </w:hyperlink>
      <w:r>
        <w:rPr>
          <w:rFonts w:ascii="Times New Roman" w:hAnsi="Times New Roman" w:cs="Times New Roman"/>
          <w:lang w:val="nn-NO"/>
        </w:rPr>
        <w:t xml:space="preserve"> </w:t>
      </w:r>
    </w:p>
  </w:footnote>
  <w:footnote w:id="39">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Projections for international maritime and international extra-EU aviation are presented separately and not included in the total passenger and freight transport activity to preserve co</w:t>
      </w:r>
      <w:r>
        <w:rPr>
          <w:rFonts w:ascii="Times New Roman" w:hAnsi="Times New Roman" w:cs="Times New Roman"/>
        </w:rPr>
        <w:t>mparability with statistics for the historical period.</w:t>
      </w:r>
    </w:p>
  </w:footnote>
  <w:footnote w:id="40">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Inland navigation covers inland waterways and national maritime. </w:t>
      </w:r>
    </w:p>
  </w:footnote>
  <w:footnote w:id="41">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Including international aviation but excluding international maritime and other transportation. </w:t>
      </w:r>
    </w:p>
  </w:footnote>
  <w:footnote w:id="42">
    <w:p w:rsidR="00B231CB" w:rsidRDefault="00C71431">
      <w:pPr>
        <w:spacing w:after="120"/>
        <w:ind w:left="284" w:hanging="284"/>
        <w:rPr>
          <w:sz w:val="20"/>
        </w:rPr>
      </w:pPr>
      <w:r>
        <w:rPr>
          <w:rStyle w:val="FootnoteReference"/>
          <w:sz w:val="20"/>
        </w:rPr>
        <w:footnoteRef/>
      </w:r>
      <w:r>
        <w:rPr>
          <w:sz w:val="20"/>
        </w:rPr>
        <w:t xml:space="preserve"> </w:t>
      </w:r>
      <w:r>
        <w:rPr>
          <w:sz w:val="20"/>
        </w:rPr>
        <w:tab/>
      </w:r>
      <w:r>
        <w:rPr>
          <w:rFonts w:eastAsia="TimesNewRoman"/>
          <w:sz w:val="20"/>
        </w:rPr>
        <w:t xml:space="preserve">The proposed method is the </w:t>
      </w:r>
      <w:r>
        <w:rPr>
          <w:rFonts w:eastAsia="TimesNewRoman"/>
          <w:sz w:val="20"/>
        </w:rPr>
        <w:t>Montgomery decomposition. For a recent application of the method see: De Boer, P.M.C. (2008) Additive Structural Decomposition Analysis and Index Number Theory: An Empirical Application of the Montgomery Decomposition, Economic Systems Research, 20(1), pp.</w:t>
      </w:r>
      <w:r>
        <w:rPr>
          <w:rFonts w:eastAsia="TimesNewRoman"/>
          <w:sz w:val="20"/>
        </w:rPr>
        <w:t xml:space="preserve"> 97-109.</w:t>
      </w:r>
    </w:p>
  </w:footnote>
  <w:footnote w:id="43">
    <w:p w:rsidR="00B231CB" w:rsidRDefault="00C71431">
      <w:pPr>
        <w:spacing w:after="120"/>
        <w:ind w:left="284" w:hanging="284"/>
        <w:rPr>
          <w:sz w:val="20"/>
        </w:rPr>
      </w:pPr>
      <w:r>
        <w:rPr>
          <w:rStyle w:val="FootnoteReference"/>
          <w:sz w:val="20"/>
        </w:rPr>
        <w:footnoteRef/>
      </w:r>
      <w:r>
        <w:rPr>
          <w:sz w:val="20"/>
        </w:rPr>
        <w:t xml:space="preserve"> </w:t>
      </w:r>
      <w:r>
        <w:rPr>
          <w:sz w:val="20"/>
        </w:rPr>
        <w:tab/>
      </w:r>
      <w:r>
        <w:rPr>
          <w:rFonts w:eastAsia="TimesNewRoman"/>
          <w:sz w:val="20"/>
        </w:rPr>
        <w:t>The decomposition analysis only takes into account the tank to wheel emissions, under the assumption that biofuels are carbon neutral.</w:t>
      </w:r>
    </w:p>
  </w:footnote>
  <w:footnote w:id="44">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External costs are expressed in 2013 prices. They cover NOx, PM2.5 and SOx emissions.</w:t>
      </w:r>
    </w:p>
  </w:footnote>
  <w:footnote w:id="45">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External costs </w:t>
      </w:r>
      <w:r>
        <w:rPr>
          <w:rFonts w:ascii="Times New Roman" w:hAnsi="Times New Roman" w:cs="Times New Roman"/>
        </w:rPr>
        <w:t>cover here air pollution, congestion, noise and accidents.</w:t>
      </w:r>
    </w:p>
  </w:footnote>
  <w:footnote w:id="46">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szCs w:val="14"/>
        </w:rPr>
        <w:footnoteRef/>
      </w:r>
      <w:r>
        <w:rPr>
          <w:rFonts w:ascii="Times New Roman" w:hAnsi="Times New Roman" w:cs="Times New Roman"/>
          <w:szCs w:val="14"/>
        </w:rPr>
        <w:t xml:space="preserve"> The </w:t>
      </w:r>
      <w:r>
        <w:rPr>
          <w:rFonts w:ascii="Times New Roman" w:hAnsi="Times New Roman" w:cs="Times New Roman"/>
          <w:i/>
          <w:szCs w:val="14"/>
        </w:rPr>
        <w:t>EUCO30</w:t>
      </w:r>
      <w:r>
        <w:rPr>
          <w:rFonts w:ascii="Times New Roman" w:hAnsi="Times New Roman" w:cs="Times New Roman"/>
          <w:szCs w:val="14"/>
        </w:rPr>
        <w:t xml:space="preserve"> scenario is a key input to several Commission documents adopted in 2016: Impact Assessment underpinning the Proposal for the Effort Sharing Regulation, Staff Working Document accompany</w:t>
      </w:r>
      <w:r>
        <w:rPr>
          <w:rFonts w:ascii="Times New Roman" w:hAnsi="Times New Roman" w:cs="Times New Roman"/>
          <w:szCs w:val="14"/>
        </w:rPr>
        <w:t>ing the Communication on the low-emission mobility strategy, Impact Assessment accompanying the proposal for recast of the Directive on the promotion of energy from renewable sources, Impact Assessment accompanying the proposal for a revised Energy Efficie</w:t>
      </w:r>
      <w:r>
        <w:rPr>
          <w:rFonts w:ascii="Times New Roman" w:hAnsi="Times New Roman" w:cs="Times New Roman"/>
          <w:szCs w:val="14"/>
        </w:rPr>
        <w:t>ncy Directive. (</w:t>
      </w:r>
      <w:hyperlink r:id="rId20" w:history="1">
        <w:r>
          <w:rPr>
            <w:rStyle w:val="Hyperlink"/>
            <w:rFonts w:ascii="Times New Roman" w:hAnsi="Times New Roman" w:cs="Times New Roman"/>
            <w:szCs w:val="14"/>
          </w:rPr>
          <w:t>https://ec.europa.eu/energy/sites/ener/files/documents/20170125_-_technical_report_on_euco_scenarios_p</w:t>
        </w:r>
        <w:r>
          <w:rPr>
            <w:rStyle w:val="Hyperlink"/>
            <w:rFonts w:ascii="Times New Roman" w:hAnsi="Times New Roman" w:cs="Times New Roman"/>
            <w:szCs w:val="14"/>
          </w:rPr>
          <w:t>rimes_corrected.pdf</w:t>
        </w:r>
      </w:hyperlink>
      <w:r>
        <w:rPr>
          <w:rFonts w:ascii="Times New Roman" w:hAnsi="Times New Roman" w:cs="Times New Roman"/>
          <w:szCs w:val="14"/>
        </w:rPr>
        <w:t>)</w:t>
      </w:r>
      <w:r>
        <w:rPr>
          <w:rFonts w:ascii="Times New Roman" w:hAnsi="Times New Roman" w:cs="Times New Roman"/>
        </w:rPr>
        <w:t xml:space="preserve"> </w:t>
      </w:r>
    </w:p>
  </w:footnote>
  <w:footnote w:id="47">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These concern eco-driving, Cooperative Intelligent Transport Systems (C-ITS), internalisation of transport externalities, road infrastructure charges for Heavy Goods Vehicles. Concerning fuel policies, the TLC30c/25v and the </w:t>
      </w:r>
      <w:r>
        <w:rPr>
          <w:rFonts w:ascii="Times New Roman" w:hAnsi="Times New Roman" w:cs="Times New Roman"/>
          <w:i/>
        </w:rPr>
        <w:t>EUCO30</w:t>
      </w:r>
      <w:r>
        <w:rPr>
          <w:rFonts w:ascii="Times New Roman" w:hAnsi="Times New Roman" w:cs="Times New Roman"/>
        </w:rPr>
        <w:t xml:space="preserve"> </w:t>
      </w:r>
      <w:r>
        <w:rPr>
          <w:rFonts w:ascii="Times New Roman" w:hAnsi="Times New Roman" w:cs="Times New Roman"/>
        </w:rPr>
        <w:t xml:space="preserve">scenario assume that the 27% target for renewable energy in 2030 is met; scenario TLC30c/25v+  assumes in addition that the specific shares for renewable energy sources used in transport set in Article 7 of the Renewable Energy Directive Proposal for post </w:t>
      </w:r>
      <w:r>
        <w:rPr>
          <w:rFonts w:ascii="Times New Roman" w:hAnsi="Times New Roman" w:cs="Times New Roman"/>
        </w:rPr>
        <w:t>2020 are also met ..</w:t>
      </w:r>
    </w:p>
  </w:footnote>
  <w:footnote w:id="48">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the comparison with the </w:t>
      </w:r>
      <w:r>
        <w:rPr>
          <w:rFonts w:ascii="Times New Roman" w:hAnsi="Times New Roman" w:cs="Times New Roman"/>
          <w:i/>
        </w:rPr>
        <w:t>EUCO30</w:t>
      </w:r>
      <w:r>
        <w:rPr>
          <w:rFonts w:ascii="Times New Roman" w:hAnsi="Times New Roman" w:cs="Times New Roman"/>
        </w:rPr>
        <w:t xml:space="preserve"> scenario, the scenario was chosen for which the CO</w:t>
      </w:r>
      <w:r>
        <w:rPr>
          <w:rFonts w:ascii="Times New Roman" w:hAnsi="Times New Roman" w:cs="Times New Roman"/>
          <w:vertAlign w:val="subscript"/>
        </w:rPr>
        <w:t>2</w:t>
      </w:r>
      <w:r>
        <w:rPr>
          <w:rFonts w:ascii="Times New Roman" w:hAnsi="Times New Roman" w:cs="Times New Roman"/>
        </w:rPr>
        <w:t xml:space="preserve"> targets for the new fleet are consistent with those applied for </w:t>
      </w:r>
      <w:r>
        <w:rPr>
          <w:rFonts w:ascii="Times New Roman" w:hAnsi="Times New Roman" w:cs="Times New Roman"/>
          <w:i/>
        </w:rPr>
        <w:t>EUCO30</w:t>
      </w:r>
      <w:r>
        <w:rPr>
          <w:rFonts w:ascii="Times New Roman" w:hAnsi="Times New Roman" w:cs="Times New Roman"/>
        </w:rPr>
        <w:t xml:space="preserve">. </w:t>
      </w:r>
    </w:p>
  </w:footnote>
  <w:footnote w:id="49">
    <w:p w:rsidR="00B231CB" w:rsidRDefault="00C71431">
      <w:pPr>
        <w:pStyle w:val="FootnoteText"/>
        <w:spacing w:after="120"/>
        <w:ind w:left="360" w:hanging="36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30% primary energy consumption reduction (i.e. achieving 1321 Mtoe in </w:t>
      </w:r>
      <w:r>
        <w:rPr>
          <w:rFonts w:ascii="Times New Roman" w:hAnsi="Times New Roman" w:cs="Times New Roman"/>
        </w:rPr>
        <w:t xml:space="preserve">2030) compared to the 2007 baseline (1887 Mtoe in 2030). This means a reduction of primary energy consumption of 23% compared to 2005 (1713 Mtoe in 2005). </w:t>
      </w:r>
    </w:p>
  </w:footnote>
  <w:footnote w:id="50">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Regulations 1152/2017 and 1153/2017</w:t>
      </w:r>
    </w:p>
  </w:footnote>
  <w:footnote w:id="51">
    <w:p w:rsidR="00B231CB" w:rsidRDefault="00C71431">
      <w:pPr>
        <w:pStyle w:val="FootnoteText"/>
        <w:spacing w:after="120"/>
        <w:ind w:left="142" w:hanging="142"/>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Commission Implementing Regulations (EU)</w:t>
      </w:r>
      <w:r>
        <w:rPr>
          <w:rFonts w:ascii="Times New Roman" w:hAnsi="Times New Roman" w:cs="Times New Roman"/>
        </w:rPr>
        <w:t xml:space="preserve"> 2017/1152 and 2017/1153 and Commission Delegated Regulations (EU) 2017/1499 and 2017/1502.</w:t>
      </w:r>
    </w:p>
  </w:footnote>
  <w:footnote w:id="52">
    <w:p w:rsidR="00B231CB" w:rsidRDefault="00C71431">
      <w:pPr>
        <w:spacing w:after="120"/>
        <w:ind w:left="142" w:hanging="142"/>
        <w:rPr>
          <w:sz w:val="20"/>
        </w:rPr>
      </w:pPr>
      <w:r>
        <w:rPr>
          <w:rStyle w:val="FootnoteReference"/>
          <w:sz w:val="20"/>
        </w:rPr>
        <w:footnoteRef/>
      </w:r>
      <w:r>
        <w:rPr>
          <w:sz w:val="20"/>
        </w:rPr>
        <w:t xml:space="preserve"> The monitoring timetable means that the data, on the basis of which the annual targets are calculated, is submitted by Member States in the year following that fo</w:t>
      </w:r>
      <w:r>
        <w:rPr>
          <w:sz w:val="20"/>
        </w:rPr>
        <w:t>r which the targets apply, e.g. the 2021 monitoring data needed for calculating the 2021 targets, will be submitted by Member States end February 2022. Following a verification of the correctness of the data, the Commission will confirm and publish the 202</w:t>
      </w:r>
      <w:r>
        <w:rPr>
          <w:sz w:val="20"/>
        </w:rPr>
        <w:t>1 targets by 31 October 2022.</w:t>
      </w:r>
    </w:p>
  </w:footnote>
  <w:footnote w:id="53">
    <w:p w:rsidR="00B231CB" w:rsidRDefault="00C71431">
      <w:pPr>
        <w:pStyle w:val="FootnoteText"/>
        <w:spacing w:after="120"/>
        <w:ind w:left="240" w:hanging="24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Scientific Advice Mechanism (SAM) (2016): Closing the gap between light-duty vehicle real-world CO2 emissions and laboratory testing, High Level Group of Scientific Advisors, Scientific Opinion 01, Brussels, 11 November 2016</w:t>
      </w:r>
    </w:p>
  </w:footnote>
  <w:footnote w:id="54">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1" w:history="1">
        <w:r>
          <w:rPr>
            <w:rStyle w:val="Hyperlink"/>
            <w:rFonts w:ascii="Times New Roman" w:hAnsi="Times New Roman" w:cs="Times New Roman"/>
          </w:rPr>
          <w:t>http://green-driving.jrc.ec.europa.eu</w:t>
        </w:r>
      </w:hyperlink>
    </w:p>
  </w:footnote>
  <w:footnote w:id="55">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Stakeholder meeting "Revision of the Regulations on CO</w:t>
      </w:r>
      <w:r>
        <w:rPr>
          <w:rFonts w:ascii="Times New Roman" w:hAnsi="Times New Roman" w:cs="Times New Roman"/>
          <w:vertAlign w:val="subscript"/>
        </w:rPr>
        <w:t>2</w:t>
      </w:r>
      <w:r>
        <w:rPr>
          <w:rFonts w:ascii="Times New Roman" w:hAnsi="Times New Roman" w:cs="Times New Roman"/>
        </w:rPr>
        <w:t xml:space="preserve"> emissions from light-duty vehicles (post-2020) – Impact on jobs and skills in the automotive sector", Brussels, 26 June 2017.</w:t>
      </w:r>
    </w:p>
  </w:footnote>
  <w:footnote w:id="56">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Deloitte: The Future of the Automotive Value Chain – 2025 and beyond, </w:t>
      </w:r>
      <w:hyperlink r:id="rId22" w:history="1">
        <w:r>
          <w:rPr>
            <w:rStyle w:val="Hyperlink"/>
            <w:rFonts w:ascii="Times New Roman" w:hAnsi="Times New Roman" w:cs="Times New Roman"/>
          </w:rPr>
          <w:t>https://www2.deloitte.com/de/de/pages/consumer-industrial-products/articles/automotiv-value-chain-2025.html</w:t>
        </w:r>
      </w:hyperlink>
      <w:r>
        <w:rPr>
          <w:rFonts w:ascii="Times New Roman" w:hAnsi="Times New Roman" w:cs="Times New Roman"/>
        </w:rPr>
        <w:t xml:space="preserve"> </w:t>
      </w:r>
    </w:p>
  </w:footnote>
  <w:footnote w:id="57">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de-DE"/>
        </w:rPr>
        <w:t xml:space="preserve"> Fraunhofer IAO (2012): Elektromobilität und Beschäftigung – Wirkungen der Elek</w:t>
      </w:r>
      <w:r>
        <w:rPr>
          <w:rFonts w:ascii="Times New Roman" w:hAnsi="Times New Roman" w:cs="Times New Roman"/>
          <w:lang w:val="de-DE"/>
        </w:rPr>
        <w:t xml:space="preserve">trifizierung des Antriebsstrangs auf Beschäftigung und Standortumgebung (ELAB), </w:t>
      </w:r>
      <w:hyperlink r:id="rId23" w:history="1">
        <w:r>
          <w:rPr>
            <w:rStyle w:val="Hyperlink"/>
            <w:rFonts w:ascii="Times New Roman" w:hAnsi="Times New Roman" w:cs="Times New Roman"/>
            <w:lang w:val="de-DE"/>
          </w:rPr>
          <w:t>http://www.muse.iao.fraunhofer.de/content/d</w:t>
        </w:r>
        <w:r>
          <w:rPr>
            <w:rStyle w:val="Hyperlink"/>
            <w:rFonts w:ascii="Times New Roman" w:hAnsi="Times New Roman" w:cs="Times New Roman"/>
            <w:lang w:val="de-DE"/>
          </w:rPr>
          <w:t>am/iao/muse/de/documents/AbgeschlosseneProjekte/elab-abschlussbericht.pdf</w:t>
        </w:r>
      </w:hyperlink>
      <w:r>
        <w:rPr>
          <w:rFonts w:ascii="Times New Roman" w:hAnsi="Times New Roman" w:cs="Times New Roman"/>
          <w:lang w:val="de-DE"/>
        </w:rPr>
        <w:t xml:space="preserve"> . </w:t>
      </w:r>
      <w:r>
        <w:rPr>
          <w:rFonts w:ascii="Times New Roman" w:hAnsi="Times New Roman" w:cs="Times New Roman"/>
        </w:rPr>
        <w:t xml:space="preserve">The study does not consider how much the workforce is affected along the value chain, e.g. component suppliers, not does it look at labour structures. These issues are assessed in </w:t>
      </w:r>
      <w:r>
        <w:rPr>
          <w:rFonts w:ascii="Times New Roman" w:hAnsi="Times New Roman" w:cs="Times New Roman"/>
        </w:rPr>
        <w:t>a follow-up study "ELAB2". Results were not available yet.</w:t>
      </w:r>
    </w:p>
  </w:footnote>
  <w:footnote w:id="58">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4" w:history="1">
        <w:r>
          <w:rPr>
            <w:rStyle w:val="Hyperlink"/>
            <w:rFonts w:ascii="Times New Roman" w:hAnsi="Times New Roman" w:cs="Times New Roman"/>
          </w:rPr>
          <w:t>https://www.camecon.com/how/our-work/fuelling-europes-future/</w:t>
        </w:r>
      </w:hyperlink>
      <w:r>
        <w:rPr>
          <w:rFonts w:ascii="Times New Roman" w:hAnsi="Times New Roman" w:cs="Times New Roman"/>
        </w:rPr>
        <w:t xml:space="preserve"> </w:t>
      </w:r>
    </w:p>
  </w:footnote>
  <w:footnote w:id="59">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FTI Consulting (2017): The impact of Electrically Ch</w:t>
      </w:r>
      <w:r>
        <w:rPr>
          <w:rFonts w:ascii="Times New Roman" w:hAnsi="Times New Roman" w:cs="Times New Roman"/>
        </w:rPr>
        <w:t xml:space="preserve">argeable Vehicles on the EU economy, A literature review and assessment. Study prepared for ACEA:  </w:t>
      </w:r>
      <w:hyperlink r:id="rId25" w:history="1">
        <w:r>
          <w:rPr>
            <w:rStyle w:val="Hyperlink"/>
            <w:rFonts w:ascii="Times New Roman" w:hAnsi="Times New Roman" w:cs="Times New Roman"/>
          </w:rPr>
          <w:t>http://www.fti</w:t>
        </w:r>
        <w:r>
          <w:rPr>
            <w:rStyle w:val="Hyperlink"/>
            <w:rFonts w:ascii="Times New Roman" w:hAnsi="Times New Roman" w:cs="Times New Roman"/>
          </w:rPr>
          <w:t>consulting.com/~/media/Files/emea--files/insights/reports/impact-electrically-chargeable-vehicles-eu-economy.pdf</w:t>
        </w:r>
      </w:hyperlink>
      <w:r>
        <w:rPr>
          <w:rFonts w:ascii="Times New Roman" w:hAnsi="Times New Roman" w:cs="Times New Roman"/>
        </w:rPr>
        <w:t xml:space="preserve"> </w:t>
      </w:r>
    </w:p>
  </w:footnote>
  <w:footnote w:id="60">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(2014): EU Skills Panorama 2014: Automotive sector and clean vehicles, </w:t>
      </w:r>
      <w:hyperlink r:id="rId26" w:history="1">
        <w:r>
          <w:rPr>
            <w:rStyle w:val="Hyperlink"/>
            <w:rFonts w:ascii="Times New Roman" w:hAnsi="Times New Roman" w:cs="Times New Roman"/>
          </w:rPr>
          <w:t>http://skillspanorama.cedefop.europa.eu/sites/default/files/EUSP_AH_Automotive_0.pdf</w:t>
        </w:r>
      </w:hyperlink>
      <w:r>
        <w:rPr>
          <w:rFonts w:ascii="Times New Roman" w:hAnsi="Times New Roman" w:cs="Times New Roman"/>
        </w:rPr>
        <w:t xml:space="preserve"> </w:t>
      </w:r>
    </w:p>
  </w:footnote>
  <w:footnote w:id="61">
    <w:p w:rsidR="00B231CB" w:rsidRDefault="00C71431">
      <w:pPr>
        <w:autoSpaceDE w:val="0"/>
        <w:autoSpaceDN w:val="0"/>
        <w:adjustRightInd w:val="0"/>
        <w:spacing w:after="120"/>
        <w:rPr>
          <w:sz w:val="20"/>
          <w:lang w:val="de-DE"/>
        </w:rPr>
      </w:pPr>
      <w:r>
        <w:rPr>
          <w:rStyle w:val="FootnoteReference"/>
          <w:sz w:val="20"/>
        </w:rPr>
        <w:footnoteRef/>
      </w:r>
      <w:r>
        <w:rPr>
          <w:sz w:val="20"/>
          <w:lang w:val="de-DE"/>
        </w:rPr>
        <w:t xml:space="preserve"> e-mobil BW GmbH – Landesagentur für Elektromobilität und Brennstoffzellentechnologie, Fraunhofer-Institut für Arbeit</w:t>
      </w:r>
      <w:r>
        <w:rPr>
          <w:sz w:val="20"/>
          <w:lang w:val="de-DE"/>
        </w:rPr>
        <w:t>swirtschaft und Organisation IAO, Ministerium für Finanzen und Wirtschaft Baden-Württemberg (2013): STRUKTURSTUDIE BWe mobil 2015 Elektromobilität in Baden-Württemberg.</w:t>
      </w:r>
    </w:p>
  </w:footnote>
  <w:footnote w:id="62">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de-DE"/>
        </w:rPr>
        <w:t xml:space="preserve"> Fraunhofer IAO (2012): Elektromobilität und Beschäftigung – Wirkungen der Elektrifizi</w:t>
      </w:r>
      <w:r>
        <w:rPr>
          <w:rFonts w:ascii="Times New Roman" w:hAnsi="Times New Roman" w:cs="Times New Roman"/>
          <w:lang w:val="de-DE"/>
        </w:rPr>
        <w:t xml:space="preserve">erung des Antriebsstrangs auf Beschäftigung und Standortumgebung (ELAB), </w:t>
      </w:r>
      <w:hyperlink r:id="rId27" w:history="1">
        <w:r>
          <w:rPr>
            <w:rStyle w:val="Hyperlink"/>
            <w:rFonts w:ascii="Times New Roman" w:hAnsi="Times New Roman" w:cs="Times New Roman"/>
            <w:lang w:val="de-DE"/>
          </w:rPr>
          <w:t>http://www.muse.iao.fraunhofer.de/content/dam/iao/</w:t>
        </w:r>
        <w:r>
          <w:rPr>
            <w:rStyle w:val="Hyperlink"/>
            <w:rFonts w:ascii="Times New Roman" w:hAnsi="Times New Roman" w:cs="Times New Roman"/>
            <w:lang w:val="de-DE"/>
          </w:rPr>
          <w:t>muse/de/documents/AbgeschlosseneProjekte/elab-abschlussbericht.pdf</w:t>
        </w:r>
      </w:hyperlink>
      <w:r>
        <w:rPr>
          <w:rFonts w:ascii="Times New Roman" w:hAnsi="Times New Roman" w:cs="Times New Roman"/>
          <w:lang w:val="de-DE"/>
        </w:rPr>
        <w:t xml:space="preserve"> . </w:t>
      </w:r>
      <w:r>
        <w:rPr>
          <w:rFonts w:ascii="Times New Roman" w:hAnsi="Times New Roman" w:cs="Times New Roman"/>
        </w:rPr>
        <w:t>The study does not consider how much the workforce is affected along the value chain, e.g. component suppliers, not does it look at labour structures. These issues are assessed in a follo</w:t>
      </w:r>
      <w:r>
        <w:rPr>
          <w:rFonts w:ascii="Times New Roman" w:hAnsi="Times New Roman" w:cs="Times New Roman"/>
        </w:rPr>
        <w:t>w-up study "ELAB2". Results were not available yet at the time of writing.</w:t>
      </w:r>
    </w:p>
  </w:footnote>
  <w:footnote w:id="63">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de-DE"/>
        </w:rPr>
        <w:t xml:space="preserve"> Fraunhofer IAO (2012): Elektromobilität und Beschäftigung – Wirkungen der Elektrifizierung des Antriebsstrangs auf Beschäftigung und Standortumgebung (ELAB), </w:t>
      </w:r>
      <w:hyperlink r:id="rId28" w:history="1">
        <w:r>
          <w:rPr>
            <w:rStyle w:val="Hyperlink"/>
            <w:rFonts w:ascii="Times New Roman" w:hAnsi="Times New Roman" w:cs="Times New Roman"/>
            <w:lang w:val="de-DE"/>
          </w:rPr>
          <w:t>http://www.muse.iao.fraunhofer.de/content/dam/iao/muse/de/documents/AbgeschlosseneProjekte/elab-abschlussbericht.pdf</w:t>
        </w:r>
      </w:hyperlink>
      <w:r>
        <w:rPr>
          <w:rFonts w:ascii="Times New Roman" w:hAnsi="Times New Roman" w:cs="Times New Roman"/>
          <w:lang w:val="de-DE"/>
        </w:rPr>
        <w:t xml:space="preserve"> . </w:t>
      </w:r>
      <w:r>
        <w:rPr>
          <w:rFonts w:ascii="Times New Roman" w:hAnsi="Times New Roman" w:cs="Times New Roman"/>
        </w:rPr>
        <w:t>The st</w:t>
      </w:r>
      <w:r>
        <w:rPr>
          <w:rFonts w:ascii="Times New Roman" w:hAnsi="Times New Roman" w:cs="Times New Roman"/>
        </w:rPr>
        <w:t>udy does not consider how much the workforce is affected along the value chain, e.g. component suppliers, not does it look at labour structures. These issues are assessed in a follow-up study "ELAB2". Results were not available yet.</w:t>
      </w:r>
    </w:p>
  </w:footnote>
  <w:footnote w:id="64">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9" w:history="1">
        <w:r>
          <w:rPr>
            <w:rStyle w:val="Hyperlink"/>
            <w:rFonts w:ascii="Times New Roman" w:hAnsi="Times New Roman" w:cs="Times New Roman"/>
          </w:rPr>
          <w:t>http://ec.europa.eu/growth/tools-databases/newsroom/cf/itemdetail.cfm?item_id=8640</w:t>
        </w:r>
      </w:hyperlink>
      <w:r>
        <w:rPr>
          <w:rFonts w:ascii="Times New Roman" w:hAnsi="Times New Roman" w:cs="Times New Roman"/>
        </w:rPr>
        <w:t xml:space="preserve"> </w:t>
      </w:r>
    </w:p>
  </w:footnote>
  <w:footnote w:id="65">
    <w:p w:rsidR="00B231CB" w:rsidRDefault="00C71431">
      <w:pPr>
        <w:autoSpaceDE w:val="0"/>
        <w:autoSpaceDN w:val="0"/>
        <w:adjustRightInd w:val="0"/>
        <w:spacing w:after="120"/>
        <w:rPr>
          <w:color w:val="131413"/>
          <w:sz w:val="20"/>
        </w:rPr>
      </w:pPr>
      <w:r>
        <w:rPr>
          <w:rStyle w:val="FootnoteReference"/>
          <w:sz w:val="20"/>
        </w:rPr>
        <w:footnoteRef/>
      </w:r>
      <w:r>
        <w:rPr>
          <w:sz w:val="20"/>
        </w:rPr>
        <w:t xml:space="preserve"> </w:t>
      </w:r>
      <w:r>
        <w:rPr>
          <w:color w:val="131413"/>
          <w:sz w:val="20"/>
        </w:rPr>
        <w:t>Moro, A., Helmers, E.: A new hybrid method for reducing the gap between WTW and LCA in the c</w:t>
      </w:r>
      <w:r>
        <w:rPr>
          <w:color w:val="131413"/>
          <w:sz w:val="20"/>
        </w:rPr>
        <w:t>arbon footprint assessment of electric vehicles. Int J Life Cycle Assess (2017)</w:t>
      </w:r>
      <w:r>
        <w:rPr>
          <w:sz w:val="20"/>
        </w:rPr>
        <w:t xml:space="preserve"> </w:t>
      </w:r>
      <w:r>
        <w:rPr>
          <w:color w:val="131413"/>
          <w:sz w:val="20"/>
        </w:rPr>
        <w:t>22: 4–14.</w:t>
      </w:r>
      <w:r>
        <w:rPr>
          <w:sz w:val="20"/>
        </w:rPr>
        <w:t xml:space="preserve"> </w:t>
      </w:r>
      <w:r>
        <w:rPr>
          <w:color w:val="131413"/>
          <w:sz w:val="20"/>
        </w:rPr>
        <w:t xml:space="preserve">DOI 10.1007/s11367-015-0954-z </w:t>
      </w:r>
    </w:p>
  </w:footnote>
  <w:footnote w:id="66">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en-IE"/>
        </w:rPr>
        <w:t xml:space="preserve"> </w:t>
      </w:r>
      <w:hyperlink r:id="rId30" w:history="1">
        <w:r>
          <w:rPr>
            <w:rStyle w:val="Hyperlink"/>
            <w:rFonts w:ascii="Times New Roman" w:hAnsi="Times New Roman" w:cs="Times New Roman"/>
          </w:rPr>
          <w:t>http://iet.jrc.ec.europa.eu/about-jec/welcome-jec-website</w:t>
        </w:r>
      </w:hyperlink>
      <w:r>
        <w:rPr>
          <w:rFonts w:ascii="Times New Roman" w:hAnsi="Times New Roman" w:cs="Times New Roman"/>
        </w:rPr>
        <w:t xml:space="preserve"> </w:t>
      </w:r>
    </w:p>
  </w:footnote>
  <w:footnote w:id="67">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JEC - JRC-EUCAR-CONCAWE collaboration (JEC 2014): </w:t>
      </w:r>
      <w:r>
        <w:rPr>
          <w:rStyle w:val="Strong"/>
          <w:rFonts w:ascii="Times New Roman" w:hAnsi="Times New Roman" w:cs="Times New Roman"/>
        </w:rPr>
        <w:t>Well-to-Tank Report - Version 4.a</w:t>
      </w:r>
    </w:p>
  </w:footnote>
  <w:footnote w:id="68">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JEC - JRC -EUCAR-CONCAWE collaboration (JEC 2014): </w:t>
      </w:r>
      <w:r>
        <w:rPr>
          <w:rStyle w:val="Strong"/>
          <w:rFonts w:ascii="Times New Roman" w:hAnsi="Times New Roman" w:cs="Times New Roman"/>
        </w:rPr>
        <w:t>Well-to-Wheels Report - Version 4.a</w:t>
      </w:r>
    </w:p>
  </w:footnote>
  <w:footnote w:id="69">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JEC - JRC -EUCAR-CONCAWE collaboration (JEC 2014): Tank-to-Wheels </w:t>
      </w:r>
      <w:r>
        <w:rPr>
          <w:rStyle w:val="Strong"/>
          <w:rFonts w:ascii="Times New Roman" w:hAnsi="Times New Roman" w:cs="Times New Roman"/>
        </w:rPr>
        <w:t>Report - Vers</w:t>
      </w:r>
      <w:r>
        <w:rPr>
          <w:rStyle w:val="Strong"/>
          <w:rFonts w:ascii="Times New Roman" w:hAnsi="Times New Roman" w:cs="Times New Roman"/>
        </w:rPr>
        <w:t>ion 4.a</w:t>
      </w:r>
    </w:p>
  </w:footnote>
  <w:footnote w:id="70">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Moro, A., Lonza, L. (2017): Electricity carbon intensity in European Member States: Impacts on GHG emissions of electric vehicles. Transportation Research Part D, http://dx.doi.org/10.1016/j.trd.2017.07.012</w:t>
      </w:r>
    </w:p>
  </w:footnote>
  <w:footnote w:id="71">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1" w:history="1">
        <w:r>
          <w:rPr>
            <w:rStyle w:val="Hyperlink"/>
            <w:rFonts w:ascii="Times New Roman" w:hAnsi="Times New Roman" w:cs="Times New Roman"/>
          </w:rPr>
          <w:t>http://eur-lex.europa.eu/legal-content/EN/TXT/PDF/?uri=CELEX:32015L0652&amp;from=EN</w:t>
        </w:r>
      </w:hyperlink>
    </w:p>
  </w:footnote>
  <w:footnote w:id="72">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2" w:history="1">
        <w:r>
          <w:rPr>
            <w:rStyle w:val="Hyperlink"/>
            <w:rFonts w:ascii="Times New Roman" w:hAnsi="Times New Roman" w:cs="Times New Roman"/>
          </w:rPr>
          <w:t>https://ec.europa.eu/energy/sites/ener/files/documents/20170125_-_technical_report_on_euco_scenarios_primes_corrected.pdf</w:t>
        </w:r>
      </w:hyperlink>
    </w:p>
  </w:footnote>
  <w:footnote w:id="73">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Lifecycle impact assessment, the step of the LCA where environmental impacts are calculated. </w:t>
      </w:r>
    </w:p>
  </w:footnote>
  <w:footnote w:id="74">
    <w:p w:rsidR="00B231CB" w:rsidRDefault="00C71431">
      <w:pPr>
        <w:autoSpaceDE w:val="0"/>
        <w:autoSpaceDN w:val="0"/>
        <w:adjustRightInd w:val="0"/>
        <w:spacing w:after="120"/>
        <w:rPr>
          <w:color w:val="131413"/>
          <w:sz w:val="20"/>
        </w:rPr>
      </w:pPr>
      <w:r>
        <w:rPr>
          <w:rStyle w:val="FootnoteReference"/>
          <w:sz w:val="20"/>
        </w:rPr>
        <w:footnoteRef/>
      </w:r>
      <w:r>
        <w:rPr>
          <w:sz w:val="20"/>
        </w:rPr>
        <w:t xml:space="preserve"> </w:t>
      </w:r>
      <w:r>
        <w:rPr>
          <w:color w:val="131413"/>
          <w:sz w:val="20"/>
        </w:rPr>
        <w:t>Nordelöf, A.,</w:t>
      </w:r>
      <w:r>
        <w:rPr>
          <w:color w:val="131413"/>
          <w:sz w:val="20"/>
        </w:rPr>
        <w:t xml:space="preserve"> Messagie, M., Tillman, A.-M., Ljunggren Söderman, M., Van Mierlo, J.: Environmental impacts of hybrid, plug-in hybrid, and battery electric vehicles—what can we learn from life cycle assessment? Int J Life Cycle Assess (2014) 19:1866–1890; see also Erratu</w:t>
      </w:r>
      <w:r>
        <w:rPr>
          <w:color w:val="131413"/>
          <w:sz w:val="20"/>
        </w:rPr>
        <w:t>m Int J Life Cycle Assess (2016) 21:134–135</w:t>
      </w:r>
    </w:p>
  </w:footnote>
  <w:footnote w:id="75">
    <w:p w:rsidR="00B231CB" w:rsidRDefault="00C71431">
      <w:pPr>
        <w:autoSpaceDE w:val="0"/>
        <w:autoSpaceDN w:val="0"/>
        <w:adjustRightInd w:val="0"/>
        <w:spacing w:after="120"/>
        <w:rPr>
          <w:sz w:val="20"/>
        </w:rPr>
      </w:pPr>
      <w:r>
        <w:rPr>
          <w:color w:val="131413"/>
          <w:sz w:val="20"/>
          <w:vertAlign w:val="superscript"/>
        </w:rPr>
        <w:footnoteRef/>
      </w:r>
      <w:r>
        <w:rPr>
          <w:color w:val="131413"/>
          <w:sz w:val="20"/>
        </w:rPr>
        <w:t xml:space="preserve"> Obviously, the contribution of the embedded emissions to the overall life cycle GHG emissions per km largely depends on the lifetime mileages (decreasing importance with increasing lifetime mileage).</w:t>
      </w:r>
    </w:p>
  </w:footnote>
  <w:footnote w:id="76">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BMVI (20</w:t>
      </w:r>
      <w:r>
        <w:rPr>
          <w:rFonts w:ascii="Times New Roman" w:hAnsi="Times New Roman" w:cs="Times New Roman"/>
        </w:rPr>
        <w:t xml:space="preserve">16), publ. (German Federal Ministry of Transport and Digital Infrastructure): Bewertung der Praxistauglichkeit und Umweltwirkungen von Elektrofahrzeugen ("Final report: Assessment of the feasibility and environmental impacts of electric vehicles"). </w:t>
      </w:r>
    </w:p>
  </w:footnote>
  <w:footnote w:id="77">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w:t>
      </w:r>
      <w:r>
        <w:rPr>
          <w:rFonts w:ascii="Times New Roman" w:hAnsi="Times New Roman" w:cs="Times New Roman"/>
        </w:rPr>
        <w:t>measured average fuel consumption in the mini class was 4.73l/100km for gasoline, 3.72 l/100km for diesel and 13.9 kWh/100km for battery electric vehicles. In the compact class, the average consumption was 5.73l/100km gasoline, 4.3l/100km diesel and 14.9kW</w:t>
      </w:r>
      <w:r>
        <w:rPr>
          <w:rFonts w:ascii="Times New Roman" w:hAnsi="Times New Roman" w:cs="Times New Roman"/>
        </w:rPr>
        <w:t xml:space="preserve">h/100 km BEV. </w:t>
      </w:r>
    </w:p>
  </w:footnote>
  <w:footnote w:id="78">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Habermacher F (2011) Modeling material inventories and environmental impacts of electric passenger cars, MS-thesis, available at: http://www.empa.ch/plugin/template/empa/*/109104/—/l=1</w:t>
      </w:r>
    </w:p>
  </w:footnote>
  <w:footnote w:id="79">
    <w:p w:rsidR="00B231CB" w:rsidRDefault="00C71431">
      <w:pPr>
        <w:pStyle w:val="FootnoteText"/>
        <w:spacing w:after="12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Romare, M., Dahllöf, L. (2017): The Life Cycle Energ</w:t>
      </w:r>
      <w:r>
        <w:rPr>
          <w:rFonts w:ascii="Times New Roman" w:hAnsi="Times New Roman" w:cs="Times New Roman"/>
        </w:rPr>
        <w:t>y Consumption and Greenhouse Gas Emissions from Lithium-Ion Batteries – A Study with Focus on Current Technology and Batteries for Light-duty Vehicles. IVL Swedish Environmental Research Institute.</w:t>
      </w:r>
    </w:p>
  </w:footnote>
  <w:footnote w:id="80">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top-down studies start with manufacturing data from </w:t>
      </w:r>
      <w:r>
        <w:rPr>
          <w:rFonts w:ascii="Times New Roman" w:hAnsi="Times New Roman" w:cs="Times New Roman"/>
        </w:rPr>
        <w:t>e.g. a plant, and allocate energy use to the processes based on information about the process. Bottom-up approaches on the other hand, collect data for each single activity in a facility. It is likely that the top-down data is more complete and includes en</w:t>
      </w:r>
      <w:r>
        <w:rPr>
          <w:rFonts w:ascii="Times New Roman" w:hAnsi="Times New Roman" w:cs="Times New Roman"/>
        </w:rPr>
        <w:t>ergy use from auxiliary processes.</w:t>
      </w:r>
    </w:p>
  </w:footnote>
  <w:footnote w:id="81">
    <w:p w:rsidR="00B231CB" w:rsidRDefault="00C71431">
      <w:pPr>
        <w:autoSpaceDE w:val="0"/>
        <w:autoSpaceDN w:val="0"/>
        <w:adjustRightInd w:val="0"/>
        <w:spacing w:after="120"/>
        <w:rPr>
          <w:color w:val="131413"/>
          <w:sz w:val="20"/>
        </w:rPr>
      </w:pPr>
      <w:r>
        <w:rPr>
          <w:rStyle w:val="FootnoteReference"/>
          <w:sz w:val="20"/>
        </w:rPr>
        <w:footnoteRef/>
      </w:r>
      <w:r>
        <w:rPr>
          <w:sz w:val="20"/>
        </w:rPr>
        <w:t xml:space="preserve"> </w:t>
      </w:r>
      <w:r>
        <w:rPr>
          <w:color w:val="131413"/>
          <w:sz w:val="20"/>
        </w:rPr>
        <w:t>Anders Nordelöf, Maarten Messagie, Anne-Marie Tillman, Maria Ljunggren Söderman, Joeri Van Mierlo: Environmental impacts of hybrid, plug-in hybrid, and battery electric vehicles—what can we learn from life cycle assessm</w:t>
      </w:r>
      <w:r>
        <w:rPr>
          <w:color w:val="131413"/>
          <w:sz w:val="20"/>
        </w:rPr>
        <w:t>ent? Int J Life Cycle Assess (2014) 19:1866–1890; see also Erratum Int J Life Cycle Assess (2016) 21:134–135</w:t>
      </w:r>
    </w:p>
  </w:footnote>
  <w:footnote w:id="82">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Refer to Ref2016 </w:t>
      </w:r>
    </w:p>
  </w:footnote>
  <w:footnote w:id="83">
    <w:p w:rsidR="00B231CB" w:rsidRDefault="00C71431">
      <w:pPr>
        <w:pStyle w:val="FootnoteText"/>
        <w:spacing w:after="1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3" w:history="1">
        <w:r>
          <w:rPr>
            <w:rStyle w:val="Hyperlink"/>
            <w:rFonts w:ascii="Times New Roman" w:hAnsi="Times New Roman" w:cs="Times New Roman"/>
          </w:rPr>
          <w:t>https://e</w:t>
        </w:r>
        <w:r>
          <w:rPr>
            <w:rStyle w:val="Hyperlink"/>
            <w:rFonts w:ascii="Times New Roman" w:hAnsi="Times New Roman" w:cs="Times New Roman"/>
          </w:rPr>
          <w:t>c.europa.eu/energy/sites/ener/files/documents/20160713%20draft_publication_REF2016_v13.pdf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431" w:rsidRPr="00C71431" w:rsidRDefault="00C71431" w:rsidP="00C714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431" w:rsidRPr="00C71431" w:rsidRDefault="00C71431" w:rsidP="00C71431">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431" w:rsidRPr="00C71431" w:rsidRDefault="00C71431" w:rsidP="00C71431">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1CB" w:rsidRDefault="00B231C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1CB" w:rsidRDefault="00B231C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1CB" w:rsidRDefault="00B231CB">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29946E6"/>
    <w:multiLevelType w:val="hybridMultilevel"/>
    <w:tmpl w:val="56184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0222EF"/>
    <w:multiLevelType w:val="multilevel"/>
    <w:tmpl w:val="7E0884D6"/>
    <w:lvl w:ilvl="0">
      <w:start w:val="1"/>
      <w:numFmt w:val="upperLetter"/>
      <w:pStyle w:val="ECHeading1"/>
      <w:lvlText w:val="%1"/>
      <w:lvlJc w:val="left"/>
      <w:pPr>
        <w:ind w:left="431" w:hanging="431"/>
      </w:pPr>
      <w:rPr>
        <w:rFonts w:ascii="Arial" w:hAnsi="Arial" w:hint="default"/>
        <w:b w:val="0"/>
        <w:i w:val="0"/>
        <w:color w:val="0070C0"/>
        <w:sz w:val="40"/>
      </w:rPr>
    </w:lvl>
    <w:lvl w:ilvl="1">
      <w:start w:val="1"/>
      <w:numFmt w:val="decimal"/>
      <w:pStyle w:val="ECHeading2"/>
      <w:lvlText w:val="%1.%2"/>
      <w:lvlJc w:val="left"/>
      <w:pPr>
        <w:ind w:left="851" w:hanging="851"/>
      </w:pPr>
      <w:rPr>
        <w:rFonts w:ascii="Arial" w:hAnsi="Arial" w:hint="default"/>
        <w:color w:val="0070C0"/>
        <w:sz w:val="36"/>
      </w:rPr>
    </w:lvl>
    <w:lvl w:ilvl="2">
      <w:start w:val="1"/>
      <w:numFmt w:val="decimal"/>
      <w:pStyle w:val="ECHeading3"/>
      <w:lvlText w:val="%1.%2.%3"/>
      <w:lvlJc w:val="left"/>
      <w:pPr>
        <w:ind w:left="851" w:hanging="851"/>
      </w:pPr>
      <w:rPr>
        <w:rFonts w:ascii="Arial" w:hAnsi="Arial" w:hint="default"/>
        <w:b w:val="0"/>
        <w:i w:val="0"/>
        <w:color w:val="0070C0"/>
        <w:sz w:val="32"/>
      </w:rPr>
    </w:lvl>
    <w:lvl w:ilvl="3">
      <w:start w:val="1"/>
      <w:numFmt w:val="decimal"/>
      <w:pStyle w:val="ECHeading4"/>
      <w:lvlText w:val="%1.%2.%3.%4"/>
      <w:lvlJc w:val="left"/>
      <w:pPr>
        <w:ind w:left="851" w:hanging="851"/>
      </w:pPr>
      <w:rPr>
        <w:rFonts w:ascii="Arial" w:hAnsi="Arial" w:hint="default"/>
        <w:b w:val="0"/>
        <w:i w:val="0"/>
        <w:color w:val="0070C0"/>
        <w:sz w:val="22"/>
        <w:u w:color="0070C0"/>
      </w:rPr>
    </w:lvl>
    <w:lvl w:ilvl="4">
      <w:start w:val="1"/>
      <w:numFmt w:val="decimal"/>
      <w:lvlText w:val="%1.%2.%3.%4.%5"/>
      <w:lvlJc w:val="left"/>
      <w:pPr>
        <w:ind w:left="1800" w:hanging="360"/>
      </w:pPr>
      <w:rPr>
        <w:rFonts w:ascii="Arial" w:hAnsi="Arial" w:hint="default"/>
        <w:b w:val="0"/>
        <w:i w:val="0"/>
        <w:color w:val="0070C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1B83985"/>
    <w:multiLevelType w:val="multilevel"/>
    <w:tmpl w:val="F468D1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4D2521D"/>
    <w:multiLevelType w:val="hybridMultilevel"/>
    <w:tmpl w:val="C2586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F74266"/>
    <w:multiLevelType w:val="hybridMultilevel"/>
    <w:tmpl w:val="F7088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FD4EFF"/>
    <w:multiLevelType w:val="hybridMultilevel"/>
    <w:tmpl w:val="9D4E66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1">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2D625475"/>
    <w:multiLevelType w:val="hybridMultilevel"/>
    <w:tmpl w:val="96C80622"/>
    <w:lvl w:ilvl="0" w:tplc="23665892">
      <w:start w:val="1"/>
      <w:numFmt w:val="decimal"/>
      <w:pStyle w:val="Appendixhead"/>
      <w:lvlText w:val="Appendix %1 - "/>
      <w:lvlJc w:val="left"/>
      <w:pPr>
        <w:tabs>
          <w:tab w:val="num" w:pos="288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355703C"/>
    <w:multiLevelType w:val="multilevel"/>
    <w:tmpl w:val="F6A235B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377D724E"/>
    <w:multiLevelType w:val="hybridMultilevel"/>
    <w:tmpl w:val="F176C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9">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0">
    <w:nsid w:val="418E19A1"/>
    <w:multiLevelType w:val="hybridMultilevel"/>
    <w:tmpl w:val="746E1758"/>
    <w:lvl w:ilvl="0" w:tplc="C6BA7720">
      <w:start w:val="1"/>
      <w:numFmt w:val="bullet"/>
      <w:pStyle w:val="AEACV-BulletGreenKeySkillssectiononly"/>
      <w:lvlText w:val=""/>
      <w:lvlJc w:val="left"/>
      <w:pPr>
        <w:ind w:left="567" w:hanging="360"/>
      </w:pPr>
      <w:rPr>
        <w:rFonts w:ascii="Symbol" w:hAnsi="Symbol" w:hint="default"/>
        <w:b/>
        <w:i w:val="0"/>
        <w:color w:val="00800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nsid w:val="446C355F"/>
    <w:multiLevelType w:val="hybridMultilevel"/>
    <w:tmpl w:val="7926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3">
    <w:nsid w:val="53301981"/>
    <w:multiLevelType w:val="hybridMultilevel"/>
    <w:tmpl w:val="32FC7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5">
    <w:nsid w:val="5B242D2F"/>
    <w:multiLevelType w:val="hybridMultilevel"/>
    <w:tmpl w:val="5BE62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B523073"/>
    <w:multiLevelType w:val="multilevel"/>
    <w:tmpl w:val="12163160"/>
    <w:lvl w:ilvl="0">
      <w:start w:val="1"/>
      <w:numFmt w:val="decimal"/>
      <w:pStyle w:val="Heading-Appendix"/>
      <w:lvlText w:val="A%1"/>
      <w:lvlJc w:val="left"/>
      <w:pPr>
        <w:tabs>
          <w:tab w:val="num" w:pos="851"/>
        </w:tabs>
        <w:ind w:left="851" w:hanging="851"/>
      </w:pPr>
      <w:rPr>
        <w:rFonts w:hint="default"/>
      </w:rPr>
    </w:lvl>
    <w:lvl w:ilvl="1">
      <w:start w:val="1"/>
      <w:numFmt w:val="decimal"/>
      <w:pStyle w:val="AppendixHeadingLevel2"/>
      <w:lvlText w:val="A%1.%2"/>
      <w:lvlJc w:val="left"/>
      <w:pPr>
        <w:tabs>
          <w:tab w:val="num" w:pos="851"/>
        </w:tabs>
        <w:ind w:left="851" w:hanging="851"/>
      </w:pPr>
      <w:rPr>
        <w:rFonts w:hint="default"/>
      </w:rPr>
    </w:lvl>
    <w:lvl w:ilvl="2">
      <w:start w:val="1"/>
      <w:numFmt w:val="decimal"/>
      <w:pStyle w:val="AppendixHeadingLevel3"/>
      <w:lvlText w:val="A%1.%2.%3"/>
      <w:lvlJc w:val="left"/>
      <w:pPr>
        <w:tabs>
          <w:tab w:val="num" w:pos="851"/>
        </w:tabs>
        <w:ind w:left="851" w:hanging="851"/>
      </w:pPr>
      <w:rPr>
        <w:rFonts w:hint="default"/>
      </w:rPr>
    </w:lvl>
    <w:lvl w:ilvl="3">
      <w:start w:val="1"/>
      <w:numFmt w:val="decimal"/>
      <w:pStyle w:val="AppendixHeading4"/>
      <w:lvlText w:val="A%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8">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9">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0">
    <w:nsid w:val="6D441ACF"/>
    <w:multiLevelType w:val="hybridMultilevel"/>
    <w:tmpl w:val="7F8823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2">
    <w:nsid w:val="6F514A18"/>
    <w:multiLevelType w:val="hybridMultilevel"/>
    <w:tmpl w:val="802EC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77F012C7"/>
    <w:multiLevelType w:val="hybridMultilevel"/>
    <w:tmpl w:val="FE2EB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79AA4451"/>
    <w:multiLevelType w:val="hybridMultilevel"/>
    <w:tmpl w:val="40348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AA60FF0"/>
    <w:multiLevelType w:val="multilevel"/>
    <w:tmpl w:val="DB805D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7EE74893"/>
    <w:multiLevelType w:val="hybridMultilevel"/>
    <w:tmpl w:val="E3A48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9"/>
  </w:num>
  <w:num w:numId="3">
    <w:abstractNumId w:val="2"/>
  </w:num>
  <w:num w:numId="4">
    <w:abstractNumId w:val="37"/>
  </w:num>
  <w:num w:numId="5">
    <w:abstractNumId w:val="21"/>
  </w:num>
  <w:num w:numId="6">
    <w:abstractNumId w:val="23"/>
  </w:num>
  <w:num w:numId="7">
    <w:abstractNumId w:val="34"/>
  </w:num>
  <w:num w:numId="8">
    <w:abstractNumId w:val="1"/>
  </w:num>
  <w:num w:numId="9">
    <w:abstractNumId w:val="0"/>
  </w:num>
  <w:num w:numId="10">
    <w:abstractNumId w:val="19"/>
  </w:num>
  <w:num w:numId="11">
    <w:abstractNumId w:val="10"/>
  </w:num>
  <w:num w:numId="12">
    <w:abstractNumId w:val="18"/>
  </w:num>
  <w:num w:numId="13">
    <w:abstractNumId w:val="29"/>
  </w:num>
  <w:num w:numId="14">
    <w:abstractNumId w:val="31"/>
  </w:num>
  <w:num w:numId="15">
    <w:abstractNumId w:val="15"/>
  </w:num>
  <w:num w:numId="16">
    <w:abstractNumId w:val="28"/>
  </w:num>
  <w:num w:numId="17">
    <w:abstractNumId w:val="27"/>
  </w:num>
  <w:num w:numId="18">
    <w:abstractNumId w:val="22"/>
  </w:num>
  <w:num w:numId="19">
    <w:abstractNumId w:val="24"/>
  </w:num>
  <w:num w:numId="20">
    <w:abstractNumId w:val="6"/>
  </w:num>
  <w:num w:numId="21">
    <w:abstractNumId w:val="16"/>
  </w:num>
  <w:num w:numId="22">
    <w:abstractNumId w:val="4"/>
  </w:num>
  <w:num w:numId="23">
    <w:abstractNumId w:val="11"/>
  </w:num>
  <w:num w:numId="24">
    <w:abstractNumId w:val="33"/>
  </w:num>
  <w:num w:numId="25">
    <w:abstractNumId w:val="12"/>
  </w:num>
  <w:num w:numId="26">
    <w:abstractNumId w:val="8"/>
  </w:num>
  <w:num w:numId="27">
    <w:abstractNumId w:val="3"/>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26"/>
  </w:num>
  <w:num w:numId="31">
    <w:abstractNumId w:val="25"/>
  </w:num>
  <w:num w:numId="32">
    <w:abstractNumId w:val="5"/>
  </w:num>
  <w:num w:numId="33">
    <w:abstractNumId w:val="17"/>
  </w:num>
  <w:num w:numId="34">
    <w:abstractNumId w:val="35"/>
  </w:num>
  <w:num w:numId="35">
    <w:abstractNumId w:val="36"/>
  </w:num>
  <w:num w:numId="36">
    <w:abstractNumId w:val="14"/>
  </w:num>
  <w:num w:numId="37">
    <w:abstractNumId w:val="32"/>
  </w:num>
  <w:num w:numId="38">
    <w:abstractNumId w:val="7"/>
  </w:num>
  <w:num w:numId="39">
    <w:abstractNumId w:val="19"/>
  </w:num>
  <w:num w:numId="40">
    <w:abstractNumId w:val="5"/>
  </w:num>
  <w:num w:numId="41">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Last" w:val="0"/>
    <w:docVar w:name="DocStatus" w:val="Green"/>
    <w:docVar w:name="LW_ACCOMPAGNANT.CP" w:val="Accompanying the document"/>
    <w:docVar w:name="LW_CORRIGENDUM" w:val="&lt;UNUSED&gt;"/>
    <w:docVar w:name="LW_COVERPAGE_EXISTS" w:val="True"/>
    <w:docVar w:name="LW_COVERPAGE_GUID" w:val="A8332D2C-BA1F-481A-B5EB-36DAC8E47962"/>
    <w:docVar w:name="LW_COVERPAGE_TYPE" w:val="1"/>
    <w:docVar w:name="LW_CROSSREFERENCE" w:val="{COM(2017) 676 final}_x000d__x000a_{SWD(2017) 651 final}"/>
    <w:docVar w:name="LW_DocType" w:val="NORMAL"/>
    <w:docVar w:name="LW_EMISSION" w:val="8.11.2017"/>
    <w:docVar w:name="LW_EMISSION_ISODATE" w:val="2017-11-08"/>
    <w:docVar w:name="LW_EMISSION_LOCATION" w:val="BRX"/>
    <w:docVar w:name="LW_EMISSION_PREFIX" w:val="Brussels,"/>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Proposal for a Regulation of the European Parliament and of the Council setting emission performance standards for new passenger cars and for new light commercial vehicles as part of the Union's integrated approach to reduce CO2 emissions from light-duty vehicles and amending Regulation (EC) No 715/2007 (recast)_x000b_"/>
    <w:docVar w:name="LW_PART_NBR" w:val="2"/>
    <w:docVar w:name="LW_PART_NBR_TOTAL" w:val="2"/>
    <w:docVar w:name="LW_REF.INST.NEW" w:val="SWD"/>
    <w:docVar w:name="LW_REF.INST.NEW_ADOPTED" w:val="final"/>
    <w:docVar w:name="LW_REF.INST.NEW_TEXT" w:val="(2017) 65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NNEXES"/>
    <w:docVar w:name="LW_TYPE.DOC.CP" w:val="COMMISSION STAFF WORKING DOCUMENT_x000b__x000b_IMPACT ASSESSMENT_x000b_"/>
    <w:docVar w:name="LW_TYPEACTEPRINCIPAL.CP" w:val="&lt;UNUSED&gt;"/>
  </w:docVars>
  <w:rsids>
    <w:rsidRoot w:val="00B231CB"/>
    <w:rsid w:val="00B231CB"/>
    <w:rsid w:val="00C714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index heading" w:uiPriority="0"/>
    <w:lsdException w:name="caption" w:uiPriority="0" w:qFormat="1"/>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aliases w:val="(Section),MOVE-it 1,Heading 11,Hoofdstuk,Heading 1 - Main Heading of Document,Sub code header,h1,l1,H1,Section heading,No numbers,Numbered - 1,Chapter Hdg,CH TITLE 1,F3 Heading 1 - Section,Επικεφαλίδα 1 ΌΧΙ,Chapter Heading,AChapter,1,L1,Chapte"/>
    <w:basedOn w:val="Normal"/>
    <w:next w:val="Normal"/>
    <w:link w:val="Heading1Char"/>
    <w:autoRedefine/>
    <w:uiPriority w:val="1"/>
    <w:qFormat/>
    <w:pPr>
      <w:keepNext/>
      <w:numPr>
        <w:numId w:val="32"/>
      </w:numPr>
      <w:spacing w:before="240"/>
      <w:outlineLvl w:val="0"/>
    </w:pPr>
    <w:rPr>
      <w:b/>
      <w:smallCaps/>
    </w:rPr>
  </w:style>
  <w:style w:type="paragraph" w:styleId="Heading2">
    <w:name w:val="heading 2"/>
    <w:next w:val="Normal"/>
    <w:link w:val="Heading2Char"/>
    <w:autoRedefine/>
    <w:uiPriority w:val="1"/>
    <w:qFormat/>
    <w:pPr>
      <w:keepNext/>
      <w:numPr>
        <w:ilvl w:val="1"/>
        <w:numId w:val="32"/>
      </w:numPr>
      <w:spacing w:before="240" w:after="240" w:line="240" w:lineRule="auto"/>
      <w:jc w:val="both"/>
      <w:outlineLvl w:val="1"/>
    </w:pPr>
    <w:rPr>
      <w:rFonts w:ascii="Times New Roman Bold" w:eastAsia="Times New Roman" w:hAnsi="Times New Roman Bold" w:cs="Times New Roman"/>
      <w:b/>
      <w:sz w:val="24"/>
      <w:szCs w:val="24"/>
      <w:lang w:eastAsia="en-GB"/>
    </w:rPr>
  </w:style>
  <w:style w:type="paragraph" w:styleId="Heading3">
    <w:name w:val="heading 3"/>
    <w:basedOn w:val="Normal"/>
    <w:next w:val="Normal"/>
    <w:link w:val="Heading3Char"/>
    <w:uiPriority w:val="1"/>
    <w:qFormat/>
    <w:pPr>
      <w:keepNext/>
      <w:numPr>
        <w:ilvl w:val="2"/>
        <w:numId w:val="32"/>
      </w:numPr>
      <w:outlineLvl w:val="2"/>
    </w:pPr>
    <w:rPr>
      <w:i/>
    </w:rPr>
  </w:style>
  <w:style w:type="paragraph" w:styleId="Heading4">
    <w:name w:val="heading 4"/>
    <w:basedOn w:val="Normal"/>
    <w:next w:val="Normal"/>
    <w:link w:val="Heading4Char"/>
    <w:uiPriority w:val="1"/>
    <w:qFormat/>
    <w:pPr>
      <w:numPr>
        <w:ilvl w:val="3"/>
        <w:numId w:val="32"/>
      </w:numPr>
      <w:spacing w:before="240"/>
      <w:outlineLvl w:val="3"/>
    </w:p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unhideWhenUsed/>
    <w:qFormat/>
    <w:pPr>
      <w:numPr>
        <w:ilvl w:val="4"/>
        <w:numId w:val="32"/>
      </w:numPr>
      <w:spacing w:before="240"/>
      <w:outlineLvl w:val="4"/>
    </w:pPr>
    <w:rPr>
      <w:rFonts w:eastAsiaTheme="majorEastAsia"/>
    </w:rPr>
  </w:style>
  <w:style w:type="paragraph" w:styleId="Heading6">
    <w:name w:val="heading 6"/>
    <w:basedOn w:val="Normal"/>
    <w:next w:val="Normal"/>
    <w:link w:val="Heading6Char"/>
    <w:unhideWhenUsed/>
    <w:qFormat/>
    <w:pPr>
      <w:keepNext/>
      <w:keepLines/>
      <w:numPr>
        <w:ilvl w:val="5"/>
        <w:numId w:val="32"/>
      </w:numPr>
      <w:spacing w:before="200" w:after="120"/>
      <w:outlineLvl w:val="5"/>
    </w:pPr>
    <w:rPr>
      <w:rFonts w:eastAsiaTheme="majorEastAsia"/>
      <w:i/>
      <w:iCs/>
      <w:color w:val="243F60" w:themeColor="accent1" w:themeShade="7F"/>
    </w:rPr>
  </w:style>
  <w:style w:type="paragraph" w:styleId="Heading7">
    <w:name w:val="heading 7"/>
    <w:aliases w:val="sub3,Heading 7 (do not use),aoua-titre annexes"/>
    <w:basedOn w:val="Normal"/>
    <w:next w:val="Normal"/>
    <w:link w:val="Heading7Char"/>
    <w:unhideWhenUsed/>
    <w:qFormat/>
    <w:pPr>
      <w:keepNext/>
      <w:keepLines/>
      <w:numPr>
        <w:ilvl w:val="6"/>
        <w:numId w:val="3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sub4,Heading 8 (do not use)"/>
    <w:basedOn w:val="Normal"/>
    <w:next w:val="Normal"/>
    <w:link w:val="Heading8Char"/>
    <w:unhideWhenUsed/>
    <w:qFormat/>
    <w:pPr>
      <w:keepNext/>
      <w:keepLines/>
      <w:numPr>
        <w:ilvl w:val="7"/>
        <w:numId w:val="32"/>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pPr>
      <w:keepNext/>
      <w:keepLines/>
      <w:numPr>
        <w:ilvl w:val="8"/>
        <w:numId w:val="32"/>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ena,Tabellengitternetz,Document Table,Table Format 1,Table_FPB"/>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 ONTENT,List Paragraph12,F5 List Paragraph,Heading 2_sj,1st level - Bullet List Paragraph,Lettre d'introduction,Numbered Para 1,Dot pt,No Spacing1,List Paragraph Char Char Char,Indicator Text,Bullet 1,List Paragraph1,Bullet Points"/>
    <w:basedOn w:val="Normal"/>
    <w:link w:val="ListParagraphChar"/>
    <w:uiPriority w:val="34"/>
    <w:qFormat/>
    <w:pPr>
      <w:ind w:left="720"/>
      <w:contextualSpacing/>
    </w:pPr>
  </w:style>
  <w:style w:type="character" w:customStyle="1" w:styleId="ListParagraphChar">
    <w:name w:val="List Paragraph Char"/>
    <w:aliases w:val="heading ONTENT Char,List Paragraph12 Char,F5 List Paragraph Char,Heading 2_sj Char,1st level - Bullet List Paragraph Char,Lettre d'introduction Char,Numbered Para 1 Char,Dot pt Char,No Spacing1 Char,List Paragraph Char Char Char Char"/>
    <w:basedOn w:val="DefaultParagraphFont"/>
    <w:link w:val="ListParagraph"/>
    <w:uiPriority w:val="34"/>
    <w:qFormat/>
    <w:rPr>
      <w:rFonts w:ascii="Times New Roman" w:eastAsia="Times New Roman" w:hAnsi="Times New Roman" w:cs="Times New Roman"/>
      <w:sz w:val="24"/>
      <w:szCs w:val="20"/>
    </w:rPr>
  </w:style>
  <w:style w:type="character" w:customStyle="1" w:styleId="Heading1Char">
    <w:name w:val="Heading 1 Char"/>
    <w:aliases w:val="(Section) Char,MOVE-it 1 Char,Heading 11 Char,Hoofdstuk Char,Heading 1 - Main Heading of Document Char,Sub code header Char,h1 Char,l1 Char,H1 Char,Section heading Char,No numbers Char,Numbered - 1 Char,Chapter Hdg Char,CH TITLE 1 Char"/>
    <w:basedOn w:val="DefaultParagraphFont"/>
    <w:link w:val="Heading1"/>
    <w:uiPriority w:val="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uiPriority w:val="1"/>
    <w:rPr>
      <w:rFonts w:ascii="Times New Roman Bold" w:eastAsia="Times New Roman" w:hAnsi="Times New Roman Bold" w:cs="Times New Roman"/>
      <w:b/>
      <w:sz w:val="24"/>
      <w:szCs w:val="24"/>
      <w:lang w:eastAsia="en-GB"/>
    </w:rPr>
  </w:style>
  <w:style w:type="character" w:customStyle="1" w:styleId="Heading3Char">
    <w:name w:val="Heading 3 Char"/>
    <w:basedOn w:val="DefaultParagraphFont"/>
    <w:link w:val="Heading3"/>
    <w:uiPriority w:val="1"/>
    <w:rPr>
      <w:rFonts w:ascii="Times New Roman" w:eastAsia="Times New Roman" w:hAnsi="Times New Roman" w:cs="Times New Roman"/>
      <w:i/>
      <w:sz w:val="24"/>
      <w:szCs w:val="20"/>
    </w:rPr>
  </w:style>
  <w:style w:type="character" w:customStyle="1" w:styleId="Heading4Char">
    <w:name w:val="Heading 4 Char"/>
    <w:basedOn w:val="DefaultParagraphFont"/>
    <w:link w:val="Heading4"/>
    <w:uiPriority w:val="1"/>
    <w:rPr>
      <w:rFonts w:ascii="Times New Roman" w:eastAsia="Times New Roman" w:hAnsi="Times New Roman" w:cs="Times New Roman"/>
      <w:sz w:val="24"/>
      <w:szCs w:val="20"/>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stile 1,Char,Fußn,f"/>
    <w:basedOn w:val="Normal"/>
    <w:link w:val="FootnoteTextChar"/>
    <w:uiPriority w:val="99"/>
    <w:unhideWhenUsed/>
    <w:qFormat/>
    <w:pPr>
      <w:spacing w:after="0"/>
      <w:jc w:val="left"/>
    </w:pPr>
    <w:rPr>
      <w:rFonts w:asciiTheme="minorHAnsi" w:eastAsiaTheme="minorHAnsi" w:hAnsiTheme="minorHAnsi" w:cstheme="minorBidi"/>
      <w:sz w:val="20"/>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qFormat/>
    <w:rPr>
      <w:sz w:val="20"/>
      <w:szCs w:val="20"/>
    </w:rPr>
  </w:style>
  <w:style w:type="character" w:styleId="FootnoteReference">
    <w:name w:val="footnote reference"/>
    <w:aliases w:val="SUPERS,Footnote symbol,Times 10 Point,Exposant 3 Point,BVI fnr,number,-E Fußnotenzeichen,Footnote reference number,note TESI,EN Footnote Reference,Footnote Reference/,Footnote Reference Number,styli,Footnote Reference Superscript,ftre"/>
    <w:basedOn w:val="DefaultParagraphFont"/>
    <w:link w:val="FootnotesymbolCarZchn"/>
    <w:uiPriority w:val="99"/>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tabfaption Char,Caption1"/>
    <w:basedOn w:val="Normal"/>
    <w:next w:val="Normal"/>
    <w:link w:val="CaptionChar"/>
    <w:unhideWhenUsed/>
    <w:qFormat/>
    <w:pPr>
      <w:spacing w:after="200"/>
      <w:jc w:val="left"/>
    </w:pPr>
    <w:rPr>
      <w:rFonts w:eastAsiaTheme="minorHAnsi"/>
      <w:b/>
      <w:bCs/>
      <w:szCs w:val="18"/>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Pr>
      <w:rFonts w:ascii="Times New Roman" w:eastAsiaTheme="majorEastAsia" w:hAnsi="Times New Roman" w:cs="Times New Roman"/>
      <w:sz w:val="24"/>
      <w:szCs w:val="20"/>
    </w:rPr>
  </w:style>
  <w:style w:type="character" w:customStyle="1" w:styleId="Heading6Char">
    <w:name w:val="Heading 6 Char"/>
    <w:basedOn w:val="DefaultParagraphFont"/>
    <w:link w:val="Heading6"/>
    <w:rPr>
      <w:rFonts w:ascii="Times New Roman" w:eastAsiaTheme="majorEastAsia" w:hAnsi="Times New Roman" w:cs="Times New Roman"/>
      <w:i/>
      <w:iCs/>
      <w:color w:val="243F60" w:themeColor="accent1" w:themeShade="7F"/>
      <w:sz w:val="24"/>
      <w:szCs w:val="20"/>
    </w:rPr>
  </w:style>
  <w:style w:type="character" w:customStyle="1" w:styleId="Heading7Char">
    <w:name w:val="Heading 7 Char"/>
    <w:aliases w:val="sub3 Char,Heading 7 (do not use) Char,aoua-titre annexes Char"/>
    <w:basedOn w:val="DefaultParagraphFont"/>
    <w:link w:val="Heading7"/>
    <w:rPr>
      <w:rFonts w:asciiTheme="majorHAnsi" w:eastAsiaTheme="majorEastAsia" w:hAnsiTheme="majorHAnsi" w:cstheme="majorBidi"/>
      <w:i/>
      <w:iCs/>
      <w:color w:val="404040" w:themeColor="text1" w:themeTint="BF"/>
      <w:sz w:val="24"/>
      <w:szCs w:val="20"/>
    </w:rPr>
  </w:style>
  <w:style w:type="character" w:customStyle="1" w:styleId="Heading8Char">
    <w:name w:val="Heading 8 Char"/>
    <w:aliases w:val="sub4 Char,Heading 8 (do not use) Char"/>
    <w:basedOn w:val="DefaultParagraphFont"/>
    <w:link w:val="Heading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Pr>
      <w:rFonts w:asciiTheme="majorHAnsi" w:eastAsiaTheme="majorEastAsia" w:hAnsiTheme="majorHAnsi" w:cstheme="majorBidi"/>
      <w:i/>
      <w:iCs/>
      <w:color w:val="404040" w:themeColor="text1" w:themeTint="BF"/>
      <w:sz w:val="20"/>
      <w:szCs w:val="20"/>
    </w:r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pPr>
      <w:ind w:left="482"/>
    </w:pPr>
  </w:style>
  <w:style w:type="paragraph" w:customStyle="1" w:styleId="Text2">
    <w:name w:val="Text 2"/>
    <w:basedOn w:val="Normal"/>
    <w:link w:val="Text2Char1"/>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uiPriority w:val="99"/>
    <w:qFormat/>
    <w:pPr>
      <w:spacing w:after="120"/>
    </w:p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basedOn w:val="DefaultParagraphFont"/>
    <w:link w:val="DocumentMap"/>
    <w:uiPriority w:val="99"/>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uiPriority w:val="99"/>
    <w:semiHidden/>
    <w:rPr>
      <w:sz w:val="20"/>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0"/>
      </w:numPr>
    </w:pPr>
  </w:style>
  <w:style w:type="paragraph" w:styleId="ListBullet2">
    <w:name w:val="List Bullet 2"/>
    <w:basedOn w:val="Text2"/>
    <w:pPr>
      <w:numPr>
        <w:numId w:val="12"/>
      </w:numPr>
      <w:tabs>
        <w:tab w:val="clear" w:pos="1485"/>
        <w:tab w:val="clear" w:pos="2302"/>
      </w:tabs>
      <w:ind w:left="720" w:hanging="360"/>
    </w:pPr>
  </w:style>
  <w:style w:type="paragraph" w:styleId="ListBullet3">
    <w:name w:val="List Bullet 3"/>
    <w:basedOn w:val="Text3"/>
    <w:pPr>
      <w:numPr>
        <w:numId w:val="13"/>
      </w:numPr>
      <w:tabs>
        <w:tab w:val="clear" w:pos="2302"/>
      </w:tabs>
    </w:pPr>
  </w:style>
  <w:style w:type="paragraph" w:styleId="ListBullet4">
    <w:name w:val="List Bullet 4"/>
    <w:basedOn w:val="Text4"/>
    <w:pPr>
      <w:numPr>
        <w:numId w:val="14"/>
      </w:numPr>
      <w:tabs>
        <w:tab w:val="clear" w:pos="2302"/>
      </w:tabs>
    </w:pPr>
  </w:style>
  <w:style w:type="paragraph" w:styleId="ListBullet5">
    <w:name w:val="List Bullet 5"/>
    <w:basedOn w:val="Normal"/>
    <w:autoRedefine/>
    <w:pPr>
      <w:numPr>
        <w:numId w:val="8"/>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uiPriority w:val="99"/>
    <w:pPr>
      <w:numPr>
        <w:numId w:val="20"/>
      </w:numPr>
    </w:pPr>
  </w:style>
  <w:style w:type="paragraph" w:styleId="ListNumber2">
    <w:name w:val="List Number 2"/>
    <w:basedOn w:val="Text2"/>
    <w:pPr>
      <w:numPr>
        <w:numId w:val="22"/>
      </w:numPr>
      <w:tabs>
        <w:tab w:val="clear" w:pos="1911"/>
        <w:tab w:val="clear" w:pos="2302"/>
      </w:tabs>
      <w:ind w:left="720" w:hanging="360"/>
    </w:pPr>
  </w:style>
  <w:style w:type="paragraph" w:styleId="ListNumber3">
    <w:name w:val="List Number 3"/>
    <w:basedOn w:val="Text3"/>
    <w:pPr>
      <w:numPr>
        <w:numId w:val="23"/>
      </w:numPr>
      <w:tabs>
        <w:tab w:val="clear" w:pos="2302"/>
      </w:tabs>
    </w:pPr>
  </w:style>
  <w:style w:type="paragraph" w:styleId="ListNumber4">
    <w:name w:val="List Number 4"/>
    <w:basedOn w:val="Text4"/>
    <w:pPr>
      <w:numPr>
        <w:numId w:val="24"/>
      </w:numPr>
      <w:tabs>
        <w:tab w:val="clear" w:pos="2302"/>
      </w:tabs>
    </w:pPr>
  </w:style>
  <w:style w:type="paragraph" w:styleId="ListNumber5">
    <w:name w:val="List Number 5"/>
    <w:basedOn w:val="Normal"/>
    <w:pPr>
      <w:numPr>
        <w:numId w:val="9"/>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numPr>
        <w:numId w:val="0"/>
      </w:numPr>
      <w:tabs>
        <w:tab w:val="num" w:pos="1911"/>
      </w:tabs>
      <w:spacing w:before="0"/>
      <w:ind w:left="1911" w:hanging="709"/>
      <w:outlineLvl w:val="9"/>
    </w:pPr>
    <w:rPr>
      <w:b w:val="0"/>
      <w:smallCaps w:val="0"/>
      <w:lang w:val="en"/>
    </w:rPr>
  </w:style>
  <w:style w:type="paragraph" w:customStyle="1" w:styleId="NumPar2">
    <w:name w:val="NumPar 2"/>
    <w:basedOn w:val="Heading2"/>
    <w:next w:val="Text2"/>
    <w:pPr>
      <w:keepNext w:val="0"/>
      <w:numPr>
        <w:ilvl w:val="0"/>
        <w:numId w:val="0"/>
      </w:numPr>
      <w:tabs>
        <w:tab w:val="num" w:pos="2619"/>
      </w:tabs>
      <w:ind w:left="2619" w:hanging="708"/>
      <w:outlineLvl w:val="9"/>
    </w:pPr>
    <w:rPr>
      <w:b w:val="0"/>
      <w:lang w:eastAsia="en-US"/>
    </w:rPr>
  </w:style>
  <w:style w:type="paragraph" w:customStyle="1" w:styleId="NumPar3">
    <w:name w:val="NumPar 3"/>
    <w:basedOn w:val="Heading3"/>
    <w:next w:val="Text3"/>
    <w:pPr>
      <w:keepNext w:val="0"/>
      <w:numPr>
        <w:ilvl w:val="0"/>
        <w:numId w:val="0"/>
      </w:numPr>
      <w:tabs>
        <w:tab w:val="num" w:pos="3328"/>
      </w:tabs>
      <w:spacing w:before="240"/>
      <w:ind w:left="3328" w:hanging="709"/>
      <w:outlineLvl w:val="9"/>
    </w:pPr>
    <w:rPr>
      <w:b/>
      <w:i w:val="0"/>
    </w:rPr>
  </w:style>
  <w:style w:type="paragraph" w:customStyle="1" w:styleId="NumPar4">
    <w:name w:val="NumPar 4"/>
    <w:basedOn w:val="Heading4"/>
    <w:next w:val="Text4"/>
    <w:pPr>
      <w:numPr>
        <w:ilvl w:val="0"/>
        <w:numId w:val="0"/>
      </w:numPr>
      <w:tabs>
        <w:tab w:val="num" w:pos="4037"/>
      </w:tabs>
      <w:ind w:left="4037" w:hanging="709"/>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11"/>
      </w:numPr>
    </w:pPr>
  </w:style>
  <w:style w:type="paragraph" w:customStyle="1" w:styleId="ListDash">
    <w:name w:val="List Dash"/>
    <w:basedOn w:val="Normal"/>
    <w:pPr>
      <w:numPr>
        <w:numId w:val="15"/>
      </w:numPr>
    </w:pPr>
  </w:style>
  <w:style w:type="paragraph" w:customStyle="1" w:styleId="ListDash1">
    <w:name w:val="List Dash 1"/>
    <w:basedOn w:val="Text1"/>
    <w:pPr>
      <w:numPr>
        <w:numId w:val="16"/>
      </w:numPr>
    </w:pPr>
  </w:style>
  <w:style w:type="paragraph" w:customStyle="1" w:styleId="ListDash2">
    <w:name w:val="List Dash 2"/>
    <w:basedOn w:val="Text2"/>
    <w:pPr>
      <w:numPr>
        <w:numId w:val="17"/>
      </w:numPr>
      <w:tabs>
        <w:tab w:val="clear" w:pos="1485"/>
        <w:tab w:val="clear" w:pos="2302"/>
      </w:tabs>
      <w:ind w:left="360" w:hanging="360"/>
    </w:pPr>
  </w:style>
  <w:style w:type="paragraph" w:customStyle="1" w:styleId="ListDash3">
    <w:name w:val="List Dash 3"/>
    <w:basedOn w:val="Text3"/>
    <w:pPr>
      <w:numPr>
        <w:numId w:val="18"/>
      </w:numPr>
      <w:tabs>
        <w:tab w:val="clear" w:pos="2302"/>
      </w:tabs>
    </w:pPr>
  </w:style>
  <w:style w:type="paragraph" w:customStyle="1" w:styleId="ListDash4">
    <w:name w:val="List Dash 4"/>
    <w:basedOn w:val="Text4"/>
    <w:pPr>
      <w:numPr>
        <w:numId w:val="19"/>
      </w:numPr>
      <w:tabs>
        <w:tab w:val="clear" w:pos="2302"/>
      </w:tabs>
    </w:pPr>
  </w:style>
  <w:style w:type="paragraph" w:customStyle="1" w:styleId="ListNumberLevel2">
    <w:name w:val="List Number (Level 2)"/>
    <w:basedOn w:val="Normal"/>
    <w:pPr>
      <w:numPr>
        <w:ilvl w:val="1"/>
        <w:numId w:val="20"/>
      </w:numPr>
    </w:pPr>
  </w:style>
  <w:style w:type="paragraph" w:customStyle="1" w:styleId="ListNumberLevel3">
    <w:name w:val="List Number (Level 3)"/>
    <w:basedOn w:val="Normal"/>
    <w:pPr>
      <w:numPr>
        <w:ilvl w:val="2"/>
        <w:numId w:val="20"/>
      </w:numPr>
    </w:pPr>
  </w:style>
  <w:style w:type="paragraph" w:customStyle="1" w:styleId="ListNumberLevel4">
    <w:name w:val="List Number (Level 4)"/>
    <w:basedOn w:val="Normal"/>
    <w:pPr>
      <w:numPr>
        <w:ilvl w:val="3"/>
        <w:numId w:val="20"/>
      </w:numPr>
    </w:pPr>
  </w:style>
  <w:style w:type="paragraph" w:customStyle="1" w:styleId="ListNumber1">
    <w:name w:val="List Number 1"/>
    <w:basedOn w:val="Text1"/>
    <w:pPr>
      <w:numPr>
        <w:numId w:val="21"/>
      </w:numPr>
    </w:pPr>
  </w:style>
  <w:style w:type="paragraph" w:customStyle="1" w:styleId="ListNumber1Level2">
    <w:name w:val="List Number 1 (Level 2)"/>
    <w:basedOn w:val="Text1"/>
    <w:pPr>
      <w:numPr>
        <w:ilvl w:val="1"/>
        <w:numId w:val="21"/>
      </w:numPr>
    </w:pPr>
  </w:style>
  <w:style w:type="paragraph" w:customStyle="1" w:styleId="ListNumber1Level3">
    <w:name w:val="List Number 1 (Level 3)"/>
    <w:basedOn w:val="Text1"/>
    <w:pPr>
      <w:numPr>
        <w:ilvl w:val="2"/>
        <w:numId w:val="21"/>
      </w:numPr>
    </w:pPr>
  </w:style>
  <w:style w:type="paragraph" w:customStyle="1" w:styleId="ListNumber1Level4">
    <w:name w:val="List Number 1 (Level 4)"/>
    <w:basedOn w:val="Text1"/>
    <w:pPr>
      <w:numPr>
        <w:ilvl w:val="3"/>
        <w:numId w:val="21"/>
      </w:numPr>
    </w:pPr>
  </w:style>
  <w:style w:type="paragraph" w:customStyle="1" w:styleId="ListNumber2Level2">
    <w:name w:val="List Number 2 (Level 2)"/>
    <w:basedOn w:val="Text2"/>
    <w:pPr>
      <w:numPr>
        <w:ilvl w:val="1"/>
        <w:numId w:val="22"/>
      </w:numPr>
      <w:tabs>
        <w:tab w:val="clear" w:pos="2302"/>
        <w:tab w:val="clear" w:pos="2619"/>
      </w:tabs>
      <w:ind w:left="1440" w:hanging="360"/>
    </w:pPr>
  </w:style>
  <w:style w:type="paragraph" w:customStyle="1" w:styleId="ListNumber2Level3">
    <w:name w:val="List Number 2 (Level 3)"/>
    <w:basedOn w:val="Text2"/>
    <w:pPr>
      <w:numPr>
        <w:ilvl w:val="2"/>
        <w:numId w:val="22"/>
      </w:numPr>
      <w:tabs>
        <w:tab w:val="clear" w:pos="2302"/>
        <w:tab w:val="clear" w:pos="3328"/>
      </w:tabs>
      <w:ind w:left="2160" w:hanging="180"/>
    </w:pPr>
  </w:style>
  <w:style w:type="paragraph" w:customStyle="1" w:styleId="ListNumber2Level4">
    <w:name w:val="List Number 2 (Level 4)"/>
    <w:basedOn w:val="Text2"/>
    <w:pPr>
      <w:numPr>
        <w:ilvl w:val="3"/>
        <w:numId w:val="22"/>
      </w:numPr>
      <w:tabs>
        <w:tab w:val="clear" w:pos="2302"/>
        <w:tab w:val="clear" w:pos="4037"/>
      </w:tabs>
      <w:ind w:left="2880" w:hanging="360"/>
    </w:pPr>
  </w:style>
  <w:style w:type="paragraph" w:customStyle="1" w:styleId="ListNumber3Level2">
    <w:name w:val="List Number 3 (Level 2)"/>
    <w:basedOn w:val="Text3"/>
    <w:pPr>
      <w:numPr>
        <w:ilvl w:val="1"/>
        <w:numId w:val="23"/>
      </w:numPr>
      <w:tabs>
        <w:tab w:val="clear" w:pos="2302"/>
      </w:tabs>
    </w:pPr>
  </w:style>
  <w:style w:type="paragraph" w:customStyle="1" w:styleId="ListNumber3Level3">
    <w:name w:val="List Number 3 (Level 3)"/>
    <w:basedOn w:val="Text3"/>
    <w:pPr>
      <w:numPr>
        <w:ilvl w:val="2"/>
        <w:numId w:val="23"/>
      </w:numPr>
      <w:tabs>
        <w:tab w:val="clear" w:pos="2302"/>
      </w:tabs>
    </w:pPr>
  </w:style>
  <w:style w:type="paragraph" w:customStyle="1" w:styleId="ListNumber3Level4">
    <w:name w:val="List Number 3 (Level 4)"/>
    <w:basedOn w:val="Text3"/>
    <w:pPr>
      <w:numPr>
        <w:ilvl w:val="3"/>
        <w:numId w:val="23"/>
      </w:numPr>
      <w:tabs>
        <w:tab w:val="clear" w:pos="2302"/>
      </w:tabs>
    </w:pPr>
  </w:style>
  <w:style w:type="paragraph" w:customStyle="1" w:styleId="ListNumber4Level2">
    <w:name w:val="List Number 4 (Level 2)"/>
    <w:basedOn w:val="Text4"/>
    <w:pPr>
      <w:numPr>
        <w:ilvl w:val="1"/>
        <w:numId w:val="24"/>
      </w:numPr>
      <w:tabs>
        <w:tab w:val="clear" w:pos="2302"/>
      </w:tabs>
    </w:pPr>
  </w:style>
  <w:style w:type="paragraph" w:customStyle="1" w:styleId="ListNumber4Level3">
    <w:name w:val="List Number 4 (Level 3)"/>
    <w:basedOn w:val="Text4"/>
    <w:pPr>
      <w:numPr>
        <w:ilvl w:val="2"/>
        <w:numId w:val="24"/>
      </w:numPr>
      <w:tabs>
        <w:tab w:val="clear" w:pos="2302"/>
      </w:tabs>
    </w:pPr>
  </w:style>
  <w:style w:type="paragraph" w:customStyle="1" w:styleId="ListNumber4Level4">
    <w:name w:val="List Number 4 (Level 4)"/>
    <w:basedOn w:val="Text4"/>
    <w:pPr>
      <w:numPr>
        <w:ilvl w:val="3"/>
        <w:numId w:val="24"/>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5"/>
      </w:numPr>
      <w:spacing w:line="360" w:lineRule="auto"/>
      <w:jc w:val="left"/>
    </w:pPr>
    <w:rPr>
      <w:rFonts w:eastAsiaTheme="minorHAnsi"/>
      <w:szCs w:val="22"/>
    </w:rPr>
  </w:style>
  <w:style w:type="paragraph" w:customStyle="1" w:styleId="LegalNumPar2">
    <w:name w:val="LegalNumPar2"/>
    <w:basedOn w:val="Normal"/>
    <w:pPr>
      <w:numPr>
        <w:ilvl w:val="1"/>
        <w:numId w:val="25"/>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25"/>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paragraph" w:customStyle="1" w:styleId="Default">
    <w:name w:val="Default"/>
    <w:link w:val="DefaultChar"/>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aptionChar">
    <w:name w:val="Caption Char"/>
    <w:aliases w:val="Tasks Char3,Beschriftung Char2 Char1,Beschriftung Char1 Char1 Char1,Beschriftung Char Char Char1 Char1,Beschriftung Char1 Char Char Char1,Beschriftung Char Char Char Char Char1,Beschriftung Char Char1 Char Char1,tabfaption Char Char"/>
    <w:link w:val="Caption"/>
    <w:uiPriority w:val="35"/>
    <w:locked/>
    <w:rPr>
      <w:rFonts w:ascii="Times New Roman" w:hAnsi="Times New Roman" w:cs="Times New Roman"/>
      <w:b/>
      <w:bCs/>
      <w:sz w:val="24"/>
      <w:szCs w:val="18"/>
    </w:rPr>
  </w:style>
  <w:style w:type="paragraph" w:customStyle="1" w:styleId="CM4">
    <w:name w:val="CM4"/>
    <w:basedOn w:val="Default"/>
    <w:next w:val="Default"/>
    <w:uiPriority w:val="99"/>
    <w:rPr>
      <w:color w:val="auto"/>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standaardnietinspringen">
    <w:name w:val="standaard niet inspringen"/>
    <w:basedOn w:val="Normal"/>
    <w:link w:val="standaardnietinspringenChar"/>
    <w:qFormat/>
    <w:pPr>
      <w:spacing w:after="0" w:line="240" w:lineRule="atLeast"/>
      <w:jc w:val="left"/>
    </w:pPr>
    <w:rPr>
      <w:rFonts w:ascii="Trebuchet MS" w:eastAsia="MS Mincho" w:hAnsi="Trebuchet MS"/>
      <w:sz w:val="20"/>
      <w:szCs w:val="22"/>
    </w:rPr>
  </w:style>
  <w:style w:type="character" w:customStyle="1" w:styleId="standaardnietinspringenChar">
    <w:name w:val="standaard niet inspringen Char"/>
    <w:link w:val="standaardnietinspringen"/>
    <w:locked/>
    <w:rPr>
      <w:rFonts w:ascii="Trebuchet MS" w:eastAsia="MS Mincho" w:hAnsi="Trebuchet MS" w:cs="Times New Roman"/>
      <w:sz w:val="20"/>
    </w:rPr>
  </w:style>
  <w:style w:type="character" w:styleId="HTMLCite">
    <w:name w:val="HTML Cite"/>
    <w:basedOn w:val="DefaultParagraphFont"/>
    <w:uiPriority w:val="99"/>
    <w:semiHidden/>
    <w:unhideWhenUsed/>
    <w:rPr>
      <w:i/>
      <w:iCs/>
    </w:rPr>
  </w:style>
  <w:style w:type="table" w:customStyle="1" w:styleId="CEeigentijds">
    <w:name w:val="CE eigentijds"/>
    <w:basedOn w:val="TableContemporary"/>
    <w:uiPriority w:val="99"/>
    <w:pPr>
      <w:spacing w:after="0" w:line="240" w:lineRule="atLeast"/>
      <w:jc w:val="left"/>
    </w:pPr>
    <w:rPr>
      <w:rFonts w:ascii="Trebuchet MS" w:eastAsia="MS Mincho" w:hAnsi="Trebuchet MS" w:cs="Times New Roman"/>
      <w:sz w:val="16"/>
      <w:szCs w:val="20"/>
      <w:lang w:val="nl-NL" w:eastAsia="nl-NL"/>
    </w:rPr>
    <w:tblPr>
      <w:tblInd w:w="2381" w:type="dxa"/>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Pr>
    <w:tblStylePr w:type="firstRow">
      <w:rPr>
        <w:b/>
        <w:bCs/>
        <w:color w:val="auto"/>
      </w:rPr>
      <w:tblPr/>
      <w:tcPr>
        <w:tcBorders>
          <w:tl2br w:val="none" w:sz="0" w:space="0" w:color="auto"/>
          <w:tr2bl w:val="none" w:sz="0" w:space="0" w:color="auto"/>
        </w:tcBorders>
        <w:shd w:val="clear" w:color="auto" w:fill="B9E4FF"/>
      </w:tcPr>
    </w:tblStylePr>
    <w:tblStylePr w:type="band1Horz">
      <w:rPr>
        <w:color w:val="auto"/>
      </w:rPr>
      <w:tblPr/>
      <w:tcPr>
        <w:tcBorders>
          <w:tl2br w:val="none" w:sz="0" w:space="0" w:color="auto"/>
          <w:tr2bl w:val="none" w:sz="0" w:space="0" w:color="auto"/>
        </w:tcBorders>
        <w:shd w:val="clear" w:color="auto" w:fill="FFFFFF" w:themeFill="background1"/>
      </w:tcPr>
    </w:tblStylePr>
    <w:tblStylePr w:type="band2Horz">
      <w:rPr>
        <w:color w:val="auto"/>
      </w:rPr>
      <w:tblPr/>
      <w:tcPr>
        <w:tcBorders>
          <w:tl2br w:val="none" w:sz="0" w:space="0" w:color="auto"/>
          <w:tr2bl w:val="none" w:sz="0" w:space="0" w:color="auto"/>
        </w:tcBorders>
        <w:shd w:val="clear" w:color="auto" w:fill="E1F4FF"/>
      </w:tcPr>
    </w:tblStylePr>
  </w:style>
  <w:style w:type="table" w:styleId="TableContemporary">
    <w:name w:val="Table Contemporary"/>
    <w:basedOn w:val="TableNormal"/>
    <w:uiPriority w:val="99"/>
    <w:semiHidden/>
    <w:unhideWhenUsed/>
    <w:pPr>
      <w:spacing w:after="240" w:line="24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semiHidden/>
    <w:unhideWhenUsed/>
    <w:pPr>
      <w:spacing w:after="150"/>
    </w:pPr>
    <w:rPr>
      <w:szCs w:val="24"/>
      <w:lang w:eastAsia="en-GB"/>
    </w:rPr>
  </w:style>
  <w:style w:type="table" w:customStyle="1" w:styleId="DocumentTable1">
    <w:name w:val="Document Table1"/>
    <w:basedOn w:val="TableNormal"/>
    <w:next w:val="TableGrid"/>
    <w:uiPriority w:val="5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paragraph" w:customStyle="1" w:styleId="BackcoverStyleRGB7015635LeftAfter10pt">
    <w:name w:val="Back cover Style (RGB(7015635)) Left After: 10 pt"/>
    <w:basedOn w:val="Normal"/>
    <w:uiPriority w:val="99"/>
    <w:pPr>
      <w:jc w:val="left"/>
    </w:pPr>
    <w:rPr>
      <w:rFonts w:ascii="Arial" w:hAnsi="Arial"/>
      <w:color w:val="469C23"/>
      <w:sz w:val="20"/>
    </w:rPr>
  </w:style>
  <w:style w:type="character" w:styleId="PageNumber">
    <w:name w:val="page number"/>
    <w:basedOn w:val="DefaultParagraphFont"/>
    <w:uiPriority w:val="99"/>
    <w:semiHidden/>
    <w:unhideWhenUsed/>
    <w:rPr>
      <w:rFonts w:ascii="Arial" w:hAnsi="Arial"/>
      <w:sz w:val="20"/>
    </w:rPr>
  </w:style>
  <w:style w:type="paragraph" w:customStyle="1" w:styleId="Tableheading">
    <w:name w:val="Table heading"/>
    <w:basedOn w:val="Normal"/>
    <w:uiPriority w:val="1"/>
    <w:pPr>
      <w:spacing w:after="120"/>
    </w:pPr>
    <w:rPr>
      <w:rFonts w:ascii="Arial" w:hAnsi="Arial"/>
      <w:b/>
      <w:sz w:val="20"/>
      <w:szCs w:val="24"/>
    </w:rPr>
  </w:style>
  <w:style w:type="paragraph" w:customStyle="1" w:styleId="Tablecolumnheading">
    <w:name w:val="Table column heading"/>
    <w:basedOn w:val="Tablecontent"/>
    <w:uiPriority w:val="1"/>
  </w:style>
  <w:style w:type="paragraph" w:customStyle="1" w:styleId="Tablecontent">
    <w:name w:val="Table content"/>
    <w:basedOn w:val="Normal"/>
    <w:uiPriority w:val="1"/>
    <w:pPr>
      <w:spacing w:after="0"/>
      <w:jc w:val="left"/>
    </w:pPr>
    <w:rPr>
      <w:rFonts w:ascii="Arial" w:hAnsi="Arial"/>
      <w:sz w:val="20"/>
    </w:rPr>
  </w:style>
  <w:style w:type="paragraph" w:customStyle="1" w:styleId="Bulletedtext">
    <w:name w:val="Bulleted text"/>
    <w:basedOn w:val="Normal"/>
    <w:uiPriority w:val="1"/>
    <w:pPr>
      <w:spacing w:after="60"/>
    </w:pPr>
    <w:rPr>
      <w:rFonts w:ascii="Arial" w:hAnsi="Arial"/>
      <w:sz w:val="20"/>
      <w:szCs w:val="24"/>
    </w:rPr>
  </w:style>
  <w:style w:type="paragraph" w:customStyle="1" w:styleId="QAQC-question">
    <w:name w:val="QA/QC - question"/>
    <w:uiPriority w:val="99"/>
    <w:pPr>
      <w:spacing w:after="120" w:line="240" w:lineRule="auto"/>
    </w:pPr>
    <w:rPr>
      <w:rFonts w:ascii="Arial" w:eastAsia="Times New Roman" w:hAnsi="Arial" w:cs="Times New Roman"/>
      <w:b/>
      <w:bCs/>
      <w:noProof/>
      <w:color w:val="008000"/>
      <w:sz w:val="20"/>
      <w:szCs w:val="20"/>
    </w:rPr>
  </w:style>
  <w:style w:type="paragraph" w:customStyle="1" w:styleId="Title-main-Coverpage">
    <w:name w:val="Title-main - Coverpage"/>
    <w:basedOn w:val="Header"/>
    <w:uiPriority w:val="3"/>
    <w:pPr>
      <w:tabs>
        <w:tab w:val="clear" w:pos="9071"/>
        <w:tab w:val="right" w:pos="9072"/>
      </w:tabs>
      <w:jc w:val="right"/>
    </w:pPr>
    <w:rPr>
      <w:rFonts w:ascii="Arial" w:hAnsi="Arial"/>
      <w:b/>
      <w:bCs/>
      <w:color w:val="4D4D4D"/>
      <w:kern w:val="72"/>
      <w:sz w:val="52"/>
    </w:rPr>
  </w:style>
  <w:style w:type="paragraph" w:customStyle="1" w:styleId="Tital-sub-Coverpage">
    <w:name w:val="Tital-sub - Coverpage"/>
    <w:basedOn w:val="Header"/>
    <w:uiPriority w:val="3"/>
    <w:pPr>
      <w:tabs>
        <w:tab w:val="clear" w:pos="9071"/>
        <w:tab w:val="right" w:pos="9072"/>
      </w:tabs>
      <w:spacing w:after="0"/>
      <w:ind w:right="-1"/>
      <w:jc w:val="right"/>
    </w:pPr>
    <w:rPr>
      <w:rFonts w:ascii="Arial" w:hAnsi="Arial"/>
      <w:color w:val="008000"/>
      <w:kern w:val="72"/>
      <w:sz w:val="40"/>
      <w:szCs w:val="40"/>
    </w:rPr>
  </w:style>
  <w:style w:type="paragraph" w:customStyle="1" w:styleId="Title-Ref-Coverpage">
    <w:name w:val="Title-Ref - Coverpage"/>
    <w:basedOn w:val="Header"/>
    <w:uiPriority w:val="3"/>
    <w:pPr>
      <w:tabs>
        <w:tab w:val="clear" w:pos="9071"/>
        <w:tab w:val="right" w:pos="9072"/>
      </w:tabs>
      <w:spacing w:after="0"/>
      <w:ind w:right="-1"/>
      <w:jc w:val="right"/>
    </w:pPr>
    <w:rPr>
      <w:rFonts w:ascii="Arial" w:hAnsi="Arial"/>
      <w:color w:val="92D050"/>
      <w:kern w:val="72"/>
      <w:sz w:val="28"/>
      <w:szCs w:val="28"/>
    </w:rPr>
  </w:style>
  <w:style w:type="character" w:customStyle="1" w:styleId="Heading-ExecSum">
    <w:name w:val="Heading - ExecSum"/>
    <w:basedOn w:val="DefaultParagraphFont"/>
    <w:uiPriority w:val="1"/>
    <w:rPr>
      <w:b/>
      <w:bCs/>
      <w:color w:val="008000"/>
      <w:sz w:val="40"/>
    </w:rPr>
  </w:style>
  <w:style w:type="paragraph" w:customStyle="1" w:styleId="Heading-Appendix">
    <w:name w:val="Heading - Appendix"/>
    <w:next w:val="Normal"/>
    <w:link w:val="Heading-AppendixChar"/>
    <w:uiPriority w:val="1"/>
    <w:qFormat/>
    <w:pPr>
      <w:keepNext/>
      <w:pageBreakBefore/>
      <w:numPr>
        <w:numId w:val="30"/>
      </w:numPr>
      <w:spacing w:before="120" w:after="240" w:line="240" w:lineRule="auto"/>
      <w:outlineLvl w:val="0"/>
    </w:pPr>
    <w:rPr>
      <w:rFonts w:ascii="Arial" w:eastAsia="Times New Roman" w:hAnsi="Arial" w:cs="Arial"/>
      <w:bCs/>
      <w:color w:val="006BB7"/>
      <w:sz w:val="40"/>
      <w:szCs w:val="32"/>
      <w:lang w:val="en"/>
    </w:rPr>
  </w:style>
  <w:style w:type="paragraph" w:customStyle="1" w:styleId="Heading-TOC">
    <w:name w:val="Heading - TOC"/>
    <w:uiPriority w:val="1"/>
    <w:pPr>
      <w:spacing w:before="120" w:after="240" w:line="240" w:lineRule="auto"/>
    </w:pPr>
    <w:rPr>
      <w:rFonts w:ascii="Arial" w:eastAsia="Times New Roman" w:hAnsi="Arial" w:cs="Arial"/>
      <w:b/>
      <w:bCs/>
      <w:color w:val="008000"/>
      <w:sz w:val="40"/>
      <w:szCs w:val="32"/>
    </w:rPr>
  </w:style>
  <w:style w:type="table" w:customStyle="1" w:styleId="Highlightbox">
    <w:name w:val="Highlight box"/>
    <w:basedOn w:val="TableNormal"/>
    <w:uiPriority w:val="99"/>
    <w:pPr>
      <w:spacing w:before="120" w:after="120" w:line="240" w:lineRule="auto"/>
    </w:pPr>
    <w:rPr>
      <w:rFonts w:ascii="Arial" w:eastAsia="Times New Roman" w:hAnsi="Arial" w:cs="Times New Roman"/>
      <w:sz w:val="20"/>
      <w:szCs w:val="20"/>
      <w:lang w:eastAsia="en-GB"/>
    </w:rP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paragraph" w:customStyle="1" w:styleId="AEAToC">
    <w:name w:val="AEA ToC"/>
    <w:uiPriority w:val="99"/>
    <w:rPr>
      <w:rFonts w:eastAsiaTheme="minorEastAsia"/>
      <w:lang w:val="en-US"/>
    </w:rPr>
  </w:style>
  <w:style w:type="character" w:styleId="PlaceholderText">
    <w:name w:val="Placeholder Text"/>
    <w:basedOn w:val="DefaultParagraphFont"/>
    <w:uiPriority w:val="99"/>
    <w:semiHidden/>
    <w:rPr>
      <w:color w:val="808080"/>
    </w:rPr>
  </w:style>
  <w:style w:type="table" w:styleId="LightShading-Accent2">
    <w:name w:val="Light Shading Accent 2"/>
    <w:basedOn w:val="TableNormal"/>
    <w:uiPriority w:val="60"/>
    <w:pPr>
      <w:spacing w:after="0" w:line="240" w:lineRule="auto"/>
    </w:pPr>
    <w:rPr>
      <w:rFonts w:ascii="Arial" w:eastAsia="Times New Roman" w:hAnsi="Arial" w:cs="Times New Roman"/>
      <w:color w:val="943634" w:themeColor="accent2" w:themeShade="BF"/>
      <w:sz w:val="20"/>
      <w:szCs w:val="20"/>
      <w:lang w:eastAsia="en-GB"/>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pPr>
      <w:spacing w:after="0" w:line="240" w:lineRule="auto"/>
    </w:pPr>
    <w:rPr>
      <w:rFonts w:ascii="Arial" w:eastAsia="Times New Roman" w:hAnsi="Arial" w:cs="Times New Roman"/>
      <w:color w:val="76923C" w:themeColor="accent3" w:themeShade="BF"/>
      <w:sz w:val="20"/>
      <w:szCs w:val="20"/>
      <w:lang w:eastAsia="en-GB"/>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pPr>
      <w:spacing w:after="0" w:line="240" w:lineRule="auto"/>
    </w:pPr>
    <w:rPr>
      <w:rFonts w:ascii="Arial" w:eastAsia="Times New Roman" w:hAnsi="Arial" w:cs="Times New Roman"/>
      <w:color w:val="5F497A" w:themeColor="accent4" w:themeShade="BF"/>
      <w:sz w:val="20"/>
      <w:szCs w:val="20"/>
      <w:lang w:eastAsia="en-GB"/>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CoverHeader2">
    <w:name w:val="CoverHeader2"/>
    <w:uiPriority w:val="2"/>
    <w:qFormat/>
    <w:rPr>
      <w:b w:val="0"/>
      <w:color w:val="006BB7"/>
      <w:sz w:val="36"/>
      <w:szCs w:val="40"/>
    </w:rPr>
  </w:style>
  <w:style w:type="character" w:customStyle="1" w:styleId="CoverHeader1">
    <w:name w:val="CoverHeader1"/>
    <w:uiPriority w:val="2"/>
    <w:qFormat/>
    <w:rPr>
      <w:b/>
      <w:color w:val="808080"/>
      <w:sz w:val="36"/>
      <w:szCs w:val="40"/>
    </w:rPr>
  </w:style>
  <w:style w:type="paragraph" w:customStyle="1" w:styleId="QA-Page">
    <w:name w:val="QA-Page"/>
    <w:uiPriority w:val="99"/>
    <w:pPr>
      <w:tabs>
        <w:tab w:val="left" w:pos="2366"/>
      </w:tabs>
      <w:spacing w:after="0" w:line="240" w:lineRule="auto"/>
    </w:pPr>
    <w:rPr>
      <w:rFonts w:ascii="Arial" w:eastAsia="Times New Roman" w:hAnsi="Arial" w:cs="Times New Roman"/>
      <w:sz w:val="20"/>
      <w:szCs w:val="24"/>
    </w:rPr>
  </w:style>
  <w:style w:type="paragraph" w:customStyle="1" w:styleId="CoverQA">
    <w:name w:val="CoverQA"/>
    <w:next w:val="Normal"/>
    <w:uiPriority w:val="99"/>
    <w:pPr>
      <w:spacing w:after="0" w:line="240" w:lineRule="auto"/>
    </w:pPr>
    <w:rPr>
      <w:rFonts w:ascii="Arial" w:eastAsia="Times New Roman" w:hAnsi="Arial" w:cs="Times New Roman"/>
      <w:color w:val="7F7F7F" w:themeColor="text1" w:themeTint="80"/>
      <w:sz w:val="20"/>
      <w:szCs w:val="24"/>
    </w:rPr>
  </w:style>
  <w:style w:type="character" w:customStyle="1" w:styleId="QuotationsCallout">
    <w:name w:val="Quotations / Callout"/>
    <w:basedOn w:val="DefaultParagraphFont"/>
    <w:uiPriority w:val="2"/>
    <w:qFormat/>
    <w:rPr>
      <w:rFonts w:asciiTheme="minorHAnsi" w:hAnsiTheme="minorHAnsi"/>
      <w:color w:val="595959" w:themeColor="text1" w:themeTint="A6"/>
      <w:sz w:val="24"/>
    </w:rPr>
  </w:style>
  <w:style w:type="paragraph" w:customStyle="1" w:styleId="StyleQAQC-questionRightBefore3ptAfter3pt">
    <w:name w:val="Style QA/QC - question + Right Before:  3 pt After:  3 pt"/>
    <w:basedOn w:val="Normal"/>
    <w:uiPriority w:val="99"/>
    <w:pPr>
      <w:spacing w:before="120" w:after="0"/>
      <w:jc w:val="left"/>
    </w:pPr>
    <w:rPr>
      <w:rFonts w:ascii="Arial" w:hAnsi="Arial"/>
      <w:b/>
      <w:bCs/>
      <w:noProof/>
      <w:color w:val="008000"/>
      <w:sz w:val="20"/>
    </w:rPr>
  </w:style>
  <w:style w:type="character" w:customStyle="1" w:styleId="subtext">
    <w:name w:val="subtext"/>
    <w:basedOn w:val="DefaultParagraphFont"/>
    <w:uiPriority w:val="1"/>
    <w:rPr>
      <w:rFonts w:ascii="Arial" w:hAnsi="Arial"/>
      <w:sz w:val="20"/>
    </w:rPr>
  </w:style>
  <w:style w:type="paragraph" w:customStyle="1" w:styleId="Covertext">
    <w:name w:val="Cover text"/>
    <w:basedOn w:val="Normal"/>
    <w:uiPriority w:val="99"/>
    <w:pPr>
      <w:spacing w:after="120"/>
      <w:jc w:val="left"/>
    </w:pPr>
    <w:rPr>
      <w:rFonts w:ascii="Arial" w:hAnsi="Arial"/>
      <w:color w:val="000000" w:themeColor="text1"/>
      <w:szCs w:val="24"/>
    </w:rPr>
  </w:style>
  <w:style w:type="character" w:customStyle="1" w:styleId="Style2">
    <w:name w:val="Style2"/>
    <w:basedOn w:val="DefaultParagraphFont"/>
    <w:uiPriority w:val="1"/>
    <w:rPr>
      <w:rFonts w:ascii="Arial" w:hAnsi="Arial"/>
      <w:sz w:val="20"/>
    </w:rPr>
  </w:style>
  <w:style w:type="character" w:customStyle="1" w:styleId="Style3">
    <w:name w:val="Style3"/>
    <w:basedOn w:val="DefaultParagraphFont"/>
    <w:uiPriority w:val="1"/>
    <w:rPr>
      <w:rFonts w:ascii="Arial" w:hAnsi="Arial"/>
      <w:color w:val="0070C0"/>
      <w:sz w:val="36"/>
    </w:rPr>
  </w:style>
  <w:style w:type="table" w:customStyle="1" w:styleId="Mainbidtables">
    <w:name w:val="Main bid tables"/>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ECHeading1">
    <w:name w:val="EC Heading 1"/>
    <w:basedOn w:val="ListParagraph"/>
    <w:link w:val="ECHeading1Char"/>
    <w:uiPriority w:val="99"/>
    <w:qFormat/>
    <w:pPr>
      <w:numPr>
        <w:numId w:val="27"/>
      </w:numPr>
      <w:spacing w:before="240"/>
      <w:contextualSpacing w:val="0"/>
      <w:outlineLvl w:val="0"/>
    </w:pPr>
    <w:rPr>
      <w:rFonts w:ascii="Arial" w:hAnsi="Arial"/>
      <w:color w:val="006BB7"/>
      <w:sz w:val="40"/>
      <w:szCs w:val="24"/>
    </w:rPr>
  </w:style>
  <w:style w:type="character" w:customStyle="1" w:styleId="ECHeading1Char">
    <w:name w:val="EC Heading 1 Char"/>
    <w:basedOn w:val="DefaultParagraphFont"/>
    <w:link w:val="ECHeading1"/>
    <w:uiPriority w:val="99"/>
    <w:rPr>
      <w:rFonts w:ascii="Arial" w:eastAsia="Times New Roman" w:hAnsi="Arial" w:cs="Times New Roman"/>
      <w:color w:val="006BB7"/>
      <w:sz w:val="40"/>
      <w:szCs w:val="24"/>
    </w:rPr>
  </w:style>
  <w:style w:type="paragraph" w:customStyle="1" w:styleId="ECHeading2">
    <w:name w:val="EC Heading 2"/>
    <w:basedOn w:val="ListParagraph"/>
    <w:link w:val="ECHeading2Char"/>
    <w:uiPriority w:val="99"/>
    <w:qFormat/>
    <w:pPr>
      <w:numPr>
        <w:ilvl w:val="1"/>
        <w:numId w:val="27"/>
      </w:numPr>
      <w:spacing w:before="240" w:after="120"/>
      <w:contextualSpacing w:val="0"/>
      <w:outlineLvl w:val="1"/>
    </w:pPr>
    <w:rPr>
      <w:rFonts w:ascii="Arial" w:hAnsi="Arial"/>
      <w:color w:val="006BB7"/>
      <w:sz w:val="32"/>
      <w:szCs w:val="24"/>
    </w:rPr>
  </w:style>
  <w:style w:type="character" w:customStyle="1" w:styleId="ECHeading2Char">
    <w:name w:val="EC Heading 2 Char"/>
    <w:basedOn w:val="DefaultParagraphFont"/>
    <w:link w:val="ECHeading2"/>
    <w:uiPriority w:val="99"/>
    <w:rPr>
      <w:rFonts w:ascii="Arial" w:eastAsia="Times New Roman" w:hAnsi="Arial" w:cs="Times New Roman"/>
      <w:color w:val="006BB7"/>
      <w:sz w:val="32"/>
      <w:szCs w:val="24"/>
    </w:rPr>
  </w:style>
  <w:style w:type="paragraph" w:customStyle="1" w:styleId="ECHeading3">
    <w:name w:val="EC Heading 3"/>
    <w:basedOn w:val="ECHeading2"/>
    <w:link w:val="ECHeading3Char"/>
    <w:uiPriority w:val="99"/>
    <w:qFormat/>
    <w:pPr>
      <w:numPr>
        <w:ilvl w:val="2"/>
      </w:numPr>
    </w:pPr>
  </w:style>
  <w:style w:type="character" w:customStyle="1" w:styleId="ECHeading3Char">
    <w:name w:val="EC Heading 3 Char"/>
    <w:basedOn w:val="ECHeading2Char"/>
    <w:link w:val="ECHeading3"/>
    <w:uiPriority w:val="99"/>
    <w:rPr>
      <w:rFonts w:ascii="Arial" w:eastAsia="Times New Roman" w:hAnsi="Arial" w:cs="Times New Roman"/>
      <w:color w:val="006BB7"/>
      <w:sz w:val="32"/>
      <w:szCs w:val="24"/>
    </w:rPr>
  </w:style>
  <w:style w:type="paragraph" w:customStyle="1" w:styleId="ECHeading4">
    <w:name w:val="EC Heading 4"/>
    <w:basedOn w:val="ECHeading3"/>
    <w:link w:val="ECHeading4Char"/>
    <w:uiPriority w:val="99"/>
    <w:qFormat/>
    <w:pPr>
      <w:numPr>
        <w:ilvl w:val="3"/>
      </w:numPr>
    </w:pPr>
  </w:style>
  <w:style w:type="character" w:customStyle="1" w:styleId="ECHeading4Char">
    <w:name w:val="EC Heading 4 Char"/>
    <w:basedOn w:val="ECHeading3Char"/>
    <w:link w:val="ECHeading4"/>
    <w:uiPriority w:val="99"/>
    <w:rPr>
      <w:rFonts w:ascii="Arial" w:eastAsia="Times New Roman" w:hAnsi="Arial" w:cs="Times New Roman"/>
      <w:color w:val="006BB7"/>
      <w:sz w:val="32"/>
      <w:szCs w:val="24"/>
    </w:rPr>
  </w:style>
  <w:style w:type="paragraph" w:customStyle="1" w:styleId="Stylingforfrontpage">
    <w:name w:val="Styling for front page"/>
    <w:link w:val="StylingforfrontpageChar"/>
    <w:uiPriority w:val="1"/>
    <w:qFormat/>
    <w:pPr>
      <w:spacing w:after="0" w:line="240" w:lineRule="auto"/>
    </w:pPr>
    <w:rPr>
      <w:rFonts w:ascii="Arial" w:eastAsia="Times New Roman" w:hAnsi="Arial" w:cs="Times New Roman"/>
      <w:color w:val="006BB7"/>
      <w:sz w:val="20"/>
      <w:szCs w:val="24"/>
    </w:rPr>
  </w:style>
  <w:style w:type="character" w:customStyle="1" w:styleId="StylingforfrontpageChar">
    <w:name w:val="Styling for front page Char"/>
    <w:basedOn w:val="DefaultParagraphFont"/>
    <w:link w:val="Stylingforfrontpage"/>
    <w:uiPriority w:val="1"/>
    <w:rPr>
      <w:rFonts w:ascii="Arial" w:eastAsia="Times New Roman" w:hAnsi="Arial" w:cs="Times New Roman"/>
      <w:color w:val="006BB7"/>
      <w:sz w:val="20"/>
      <w:szCs w:val="24"/>
    </w:rPr>
  </w:style>
  <w:style w:type="paragraph" w:customStyle="1" w:styleId="stylingforcover2">
    <w:name w:val="styling for cover 2"/>
    <w:link w:val="stylingforcover2Char"/>
    <w:qFormat/>
    <w:pPr>
      <w:spacing w:after="0" w:line="240" w:lineRule="auto"/>
    </w:pPr>
    <w:rPr>
      <w:rFonts w:ascii="Arial" w:eastAsia="Times New Roman" w:hAnsi="Arial" w:cs="Times New Roman"/>
      <w:color w:val="000000" w:themeColor="text1"/>
      <w:sz w:val="20"/>
      <w:szCs w:val="24"/>
    </w:rPr>
  </w:style>
  <w:style w:type="character" w:customStyle="1" w:styleId="stylingforcover2Char">
    <w:name w:val="styling for cover 2 Char"/>
    <w:basedOn w:val="DefaultParagraphFont"/>
    <w:link w:val="stylingforcover2"/>
    <w:rPr>
      <w:rFonts w:ascii="Arial" w:eastAsia="Times New Roman" w:hAnsi="Arial" w:cs="Times New Roman"/>
      <w:color w:val="000000" w:themeColor="text1"/>
      <w:sz w:val="20"/>
      <w:szCs w:val="24"/>
    </w:rPr>
  </w:style>
  <w:style w:type="paragraph" w:customStyle="1" w:styleId="legalnote">
    <w:name w:val="legal note"/>
    <w:basedOn w:val="Normal"/>
    <w:link w:val="legalnoteChar"/>
    <w:uiPriority w:val="2"/>
    <w:qFormat/>
    <w:pPr>
      <w:framePr w:hSpace="180" w:wrap="around" w:vAnchor="text" w:hAnchor="margin" w:y="24"/>
      <w:spacing w:before="120" w:after="120"/>
    </w:pPr>
    <w:rPr>
      <w:rFonts w:ascii="Arial" w:hAnsi="Arial"/>
      <w:sz w:val="16"/>
      <w:szCs w:val="24"/>
    </w:rPr>
  </w:style>
  <w:style w:type="character" w:customStyle="1" w:styleId="legalnoteChar">
    <w:name w:val="legal note Char"/>
    <w:basedOn w:val="DefaultParagraphFont"/>
    <w:link w:val="legalnote"/>
    <w:uiPriority w:val="2"/>
    <w:rPr>
      <w:rFonts w:ascii="Arial" w:eastAsia="Times New Roman" w:hAnsi="Arial" w:cs="Times New Roman"/>
      <w:sz w:val="16"/>
      <w:szCs w:val="24"/>
    </w:rPr>
  </w:style>
  <w:style w:type="paragraph" w:customStyle="1" w:styleId="Draft">
    <w:name w:val="Draft"/>
    <w:link w:val="DraftChar"/>
    <w:uiPriority w:val="2"/>
    <w:qFormat/>
    <w:pPr>
      <w:spacing w:after="0" w:line="240" w:lineRule="auto"/>
      <w:jc w:val="center"/>
    </w:pPr>
    <w:rPr>
      <w:rFonts w:ascii="Arial" w:eastAsia="Times New Roman" w:hAnsi="Arial" w:cs="Times New Roman"/>
      <w:color w:val="FF0000"/>
      <w:sz w:val="200"/>
      <w:szCs w:val="24"/>
    </w:rPr>
  </w:style>
  <w:style w:type="character" w:customStyle="1" w:styleId="DraftChar">
    <w:name w:val="Draft Char"/>
    <w:basedOn w:val="DefaultParagraphFont"/>
    <w:link w:val="Draft"/>
    <w:uiPriority w:val="2"/>
    <w:rPr>
      <w:rFonts w:ascii="Arial" w:eastAsia="Times New Roman" w:hAnsi="Arial" w:cs="Times New Roman"/>
      <w:color w:val="FF0000"/>
      <w:sz w:val="200"/>
      <w:szCs w:val="24"/>
    </w:rPr>
  </w:style>
  <w:style w:type="paragraph" w:customStyle="1" w:styleId="frontcoverbox">
    <w:name w:val="front cover box"/>
    <w:link w:val="frontcoverboxChar"/>
    <w:uiPriority w:val="2"/>
    <w:qFormat/>
    <w:pPr>
      <w:spacing w:before="120" w:after="0" w:line="240" w:lineRule="auto"/>
      <w:ind w:left="340" w:right="340"/>
    </w:pPr>
    <w:rPr>
      <w:rFonts w:ascii="Arial" w:eastAsia="Times New Roman" w:hAnsi="Arial" w:cs="Times New Roman"/>
      <w:sz w:val="20"/>
      <w:szCs w:val="24"/>
    </w:rPr>
  </w:style>
  <w:style w:type="character" w:customStyle="1" w:styleId="frontcoverboxChar">
    <w:name w:val="front cover box Char"/>
    <w:basedOn w:val="DefaultParagraphFont"/>
    <w:link w:val="frontcoverbox"/>
    <w:uiPriority w:val="2"/>
    <w:rPr>
      <w:rFonts w:ascii="Arial" w:eastAsia="Times New Roman" w:hAnsi="Arial" w:cs="Times New Roman"/>
      <w:sz w:val="20"/>
      <w:szCs w:val="24"/>
    </w:rPr>
  </w:style>
  <w:style w:type="character" w:customStyle="1" w:styleId="Heading5Char1">
    <w:name w:val="Heading 5 Char1"/>
    <w:aliases w:val="Heading 5(unused) Char1,Level 3 - (i) Char1,Third Level Heading Char1,h5 Char1,Response Type Char1,Response Type1 Char1,Response Type2 Char1,Response Type3 Char1,Response Type4 Char1,Response Type5 Char1,Response Type6 Char1,H5 Char"/>
    <w:basedOn w:val="DefaultParagraphFont"/>
    <w:uiPriority w:val="9"/>
    <w:semiHidden/>
    <w:rPr>
      <w:rFonts w:asciiTheme="majorHAnsi" w:eastAsiaTheme="majorEastAsia" w:hAnsiTheme="majorHAnsi" w:cstheme="majorBidi"/>
      <w:color w:val="365F91" w:themeColor="accent1" w:themeShade="BF"/>
      <w:szCs w:val="24"/>
      <w:lang w:eastAsia="en-US"/>
    </w:rPr>
  </w:style>
  <w:style w:type="character" w:customStyle="1" w:styleId="EmpasisChar">
    <w:name w:val="Empasis Char"/>
    <w:basedOn w:val="DefaultParagraphFont"/>
    <w:link w:val="Empasis"/>
    <w:uiPriority w:val="2"/>
    <w:locked/>
    <w:rPr>
      <w:b/>
      <w:color w:val="0070C0"/>
      <w:szCs w:val="24"/>
    </w:rPr>
  </w:style>
  <w:style w:type="paragraph" w:customStyle="1" w:styleId="Empasis">
    <w:name w:val="Empasis"/>
    <w:basedOn w:val="Normal"/>
    <w:link w:val="EmpasisChar"/>
    <w:uiPriority w:val="2"/>
    <w:qFormat/>
    <w:pPr>
      <w:spacing w:after="120"/>
    </w:pPr>
    <w:rPr>
      <w:rFonts w:asciiTheme="minorHAnsi" w:eastAsiaTheme="minorHAnsi" w:hAnsiTheme="minorHAnsi" w:cstheme="minorBidi"/>
      <w:b/>
      <w:color w:val="0070C0"/>
      <w:sz w:val="22"/>
      <w:szCs w:val="24"/>
    </w:rPr>
  </w:style>
  <w:style w:type="paragraph" w:customStyle="1" w:styleId="BodyTextBold">
    <w:name w:val="Body Text Bold"/>
    <w:basedOn w:val="Normal"/>
    <w:uiPriority w:val="99"/>
    <w:qFormat/>
    <w:pPr>
      <w:spacing w:before="120" w:after="120" w:line="264" w:lineRule="auto"/>
      <w:ind w:left="907"/>
    </w:pPr>
    <w:rPr>
      <w:rFonts w:ascii="Arial" w:eastAsia="Calibri" w:hAnsi="Arial"/>
      <w:b/>
      <w:sz w:val="20"/>
    </w:rPr>
  </w:style>
  <w:style w:type="paragraph" w:customStyle="1" w:styleId="Body">
    <w:name w:val="Body"/>
    <w:basedOn w:val="Normal"/>
    <w:uiPriority w:val="99"/>
    <w:pPr>
      <w:suppressAutoHyphens/>
      <w:spacing w:after="0" w:line="260" w:lineRule="atLeast"/>
      <w:jc w:val="left"/>
    </w:pPr>
    <w:rPr>
      <w:rFonts w:ascii="Arial" w:eastAsia="Arial Unicode MS" w:hAnsi="Arial"/>
      <w:sz w:val="20"/>
    </w:rPr>
  </w:style>
  <w:style w:type="character" w:customStyle="1" w:styleId="KeypointChar">
    <w:name w:val="Key point Char"/>
    <w:link w:val="Keypoint"/>
    <w:uiPriority w:val="2"/>
    <w:locked/>
    <w:rPr>
      <w:b/>
      <w:color w:val="33CC33"/>
      <w:szCs w:val="24"/>
      <w:lang w:val="x-none"/>
    </w:rPr>
  </w:style>
  <w:style w:type="paragraph" w:customStyle="1" w:styleId="Keypoint">
    <w:name w:val="Key point"/>
    <w:basedOn w:val="Normal"/>
    <w:link w:val="KeypointChar"/>
    <w:uiPriority w:val="2"/>
    <w:pPr>
      <w:spacing w:after="120"/>
    </w:pPr>
    <w:rPr>
      <w:rFonts w:asciiTheme="minorHAnsi" w:eastAsiaTheme="minorHAnsi" w:hAnsiTheme="minorHAnsi" w:cstheme="minorBidi"/>
      <w:b/>
      <w:color w:val="33CC33"/>
      <w:sz w:val="22"/>
      <w:szCs w:val="24"/>
      <w:lang w:val="x-none"/>
    </w:rPr>
  </w:style>
  <w:style w:type="paragraph" w:customStyle="1" w:styleId="Roman11">
    <w:name w:val="Roman11"/>
    <w:basedOn w:val="Normal"/>
    <w:uiPriority w:val="99"/>
    <w:pPr>
      <w:spacing w:after="0"/>
    </w:pPr>
    <w:rPr>
      <w:rFonts w:ascii="Arial" w:hAnsi="Arial"/>
      <w:sz w:val="20"/>
      <w:lang w:val="en-US"/>
    </w:rPr>
  </w:style>
  <w:style w:type="paragraph" w:customStyle="1" w:styleId="Appendixhead">
    <w:name w:val="Appendixhead"/>
    <w:basedOn w:val="Normal"/>
    <w:uiPriority w:val="99"/>
    <w:pPr>
      <w:numPr>
        <w:numId w:val="28"/>
      </w:numPr>
      <w:spacing w:after="120"/>
    </w:pPr>
    <w:rPr>
      <w:rFonts w:ascii="Arial" w:eastAsiaTheme="minorHAnsi" w:hAnsi="Arial" w:cs="Arial"/>
      <w:noProof/>
      <w:sz w:val="20"/>
      <w:lang w:eastAsia="en-GB"/>
    </w:rPr>
  </w:style>
  <w:style w:type="paragraph" w:customStyle="1" w:styleId="AEACV-BulletGreenKeySkillssectiononly">
    <w:name w:val="AEACV-Bullet Green (Key Skills section only)"/>
    <w:basedOn w:val="Normal"/>
    <w:uiPriority w:val="99"/>
    <w:qFormat/>
    <w:pPr>
      <w:numPr>
        <w:numId w:val="29"/>
      </w:numPr>
      <w:spacing w:after="60"/>
      <w:ind w:hanging="357"/>
    </w:pPr>
    <w:rPr>
      <w:rFonts w:ascii="Arial" w:eastAsiaTheme="minorHAnsi" w:hAnsi="Arial"/>
      <w:sz w:val="20"/>
      <w:szCs w:val="24"/>
    </w:rPr>
  </w:style>
  <w:style w:type="paragraph" w:customStyle="1" w:styleId="ECVSectionBullet">
    <w:name w:val="_ECV_SectionBullet"/>
    <w:basedOn w:val="Normal"/>
    <w:uiPriority w:val="99"/>
    <w:pPr>
      <w:widowControl w:val="0"/>
      <w:suppressLineNumbers/>
      <w:suppressAutoHyphens/>
      <w:autoSpaceDE w:val="0"/>
      <w:spacing w:after="0" w:line="100" w:lineRule="atLeast"/>
      <w:jc w:val="left"/>
    </w:pPr>
    <w:rPr>
      <w:rFonts w:ascii="Arial" w:eastAsia="SimSun" w:hAnsi="Arial" w:cs="Mangal"/>
      <w:color w:val="3F3A38"/>
      <w:spacing w:val="-6"/>
      <w:kern w:val="2"/>
      <w:sz w:val="18"/>
      <w:szCs w:val="24"/>
      <w:lang w:eastAsia="zh-CN" w:bidi="hi-IN"/>
    </w:rPr>
  </w:style>
  <w:style w:type="character" w:styleId="EndnoteReference">
    <w:name w:val="endnote reference"/>
    <w:basedOn w:val="DefaultParagraphFont"/>
    <w:uiPriority w:val="99"/>
    <w:semiHidden/>
    <w:unhideWhenUsed/>
    <w:rPr>
      <w:vertAlign w:val="superscript"/>
    </w:rPr>
  </w:style>
  <w:style w:type="character" w:customStyle="1" w:styleId="TasksChar2">
    <w:name w:val="Tasks Char2"/>
    <w:aliases w:val="Beschriftung Char2 Char2,Beschriftung Char1 Char1 Char2,Beschriftung Char Char Char1 Char2,Beschriftung Char1 Char Char Char2,Beschriftung Char Char Char Char Char2,Beschriftung Char Char1 Char Char2,Table legend Char,Tasks Char1"/>
    <w:uiPriority w:val="35"/>
    <w:locked/>
    <w:rPr>
      <w:b/>
      <w:bCs/>
      <w:noProof/>
      <w:sz w:val="18"/>
      <w:lang w:eastAsia="en-US"/>
    </w:rPr>
  </w:style>
  <w:style w:type="table" w:styleId="LightShading-Accent1">
    <w:name w:val="Light Shading Accent 1"/>
    <w:basedOn w:val="TableNormal"/>
    <w:uiPriority w:val="60"/>
    <w:unhideWhenUsed/>
    <w:pPr>
      <w:spacing w:after="0" w:line="240" w:lineRule="auto"/>
    </w:pPr>
    <w:rPr>
      <w:rFonts w:ascii="Arial" w:eastAsia="Times New Roman" w:hAnsi="Arial" w:cs="Times New Roman"/>
      <w:color w:val="365F91" w:themeColor="accent1" w:themeShade="BF"/>
      <w:sz w:val="20"/>
      <w:szCs w:val="20"/>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unhideWhenUsed/>
    <w:pPr>
      <w:spacing w:after="0" w:line="240" w:lineRule="auto"/>
    </w:pPr>
    <w:rPr>
      <w:rFonts w:ascii="Arial" w:eastAsia="Times New Roman" w:hAnsi="Arial" w:cs="Times New Roman"/>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dTable4-Accent11">
    <w:name w:val="Grid Table 4 - Accent 11"/>
    <w:basedOn w:val="TableNormal"/>
    <w:uiPriority w:val="49"/>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Sfondomedio1-Colore11">
    <w:name w:val="Sfondo medio 1 - Colore 11"/>
    <w:basedOn w:val="TableNormal"/>
    <w:uiPriority w:val="63"/>
    <w:pPr>
      <w:spacing w:after="0" w:line="240" w:lineRule="auto"/>
    </w:pPr>
    <w:rPr>
      <w:rFonts w:ascii="Arial" w:eastAsia="Times New Roman" w:hAnsi="Arial" w:cs="Times New Roman"/>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tyle1">
    <w:name w:val="Style1"/>
    <w:basedOn w:val="TableNormal"/>
    <w:uiPriority w:val="99"/>
    <w:pPr>
      <w:spacing w:before="120" w:after="120" w:line="240" w:lineRule="auto"/>
    </w:pPr>
    <w:rPr>
      <w:rFonts w:ascii="Arial" w:eastAsia="Times New Roman" w:hAnsi="Arial" w:cs="Times New Roman"/>
      <w:sz w:val="20"/>
      <w:szCs w:val="20"/>
      <w:lang w:eastAsia="en-GB"/>
    </w:rPr>
    <w:tblPr/>
    <w:tblStylePr w:type="firstRow">
      <w:tblPr/>
      <w:tcPr>
        <w:tcBorders>
          <w:top w:val="single" w:sz="4" w:space="0" w:color="0070C0"/>
          <w:bottom w:val="single" w:sz="4" w:space="0" w:color="0070C0"/>
        </w:tcBorders>
        <w:shd w:val="clear" w:color="auto" w:fill="E2ECF2"/>
      </w:tcPr>
    </w:tblStylePr>
  </w:style>
  <w:style w:type="table" w:customStyle="1" w:styleId="Ricardo-AEATableStyle">
    <w:name w:val="Ricardo-AEA Table Style"/>
    <w:basedOn w:val="TableNormal"/>
    <w:uiPriority w:val="99"/>
    <w:qFormat/>
    <w:pPr>
      <w:spacing w:after="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themeColor="background1"/>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
    <w:name w:val="AEA Table Style"/>
    <w:basedOn w:val="TableNormal"/>
    <w:uiPriority w:val="99"/>
    <w:qFormat/>
    <w:pPr>
      <w:spacing w:before="20" w:after="2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themeColor="background1"/>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8">
    <w:name w:val="AEA Table Style8"/>
    <w:basedOn w:val="TableNormal"/>
    <w:uiPriority w:val="99"/>
    <w:qFormat/>
    <w:pPr>
      <w:spacing w:before="20" w:after="2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themeColor="background1"/>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GridTable4-Accent511">
    <w:name w:val="Grid Table 4 - Accent 511"/>
    <w:basedOn w:val="TableNormal"/>
    <w:uiPriority w:val="49"/>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icardo-AEATableStyle2">
    <w:name w:val="Ricardo-AEA Table Style2"/>
    <w:basedOn w:val="TableNormal"/>
    <w:uiPriority w:val="99"/>
    <w:qFormat/>
    <w:pPr>
      <w:spacing w:after="0" w:line="240" w:lineRule="auto"/>
    </w:pPr>
    <w:rPr>
      <w:rFonts w:ascii="Arial" w:eastAsia="Times New Roman" w:hAnsi="Arial" w:cs="Times New Roman"/>
      <w:sz w:val="20"/>
      <w:szCs w:val="20"/>
      <w:lang w:val="en-US"/>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LightShading-Accent12">
    <w:name w:val="Light Shading - Accent 12"/>
    <w:basedOn w:val="TableNormal"/>
    <w:uiPriority w:val="60"/>
    <w:pPr>
      <w:spacing w:after="0" w:line="240" w:lineRule="auto"/>
    </w:pPr>
    <w:rPr>
      <w:rFonts w:ascii="Arial" w:eastAsia="Times New Roman" w:hAnsi="Arial" w:cs="Times New Roman"/>
      <w:color w:val="000000" w:themeColor="text1"/>
      <w:sz w:val="20"/>
      <w:szCs w:val="20"/>
      <w:lang w:eastAsia="en-GB"/>
    </w:rPr>
    <w:tblPr>
      <w:tblStyleRowBandSize w:val="1"/>
      <w:tblStyleColBandSize w:val="1"/>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pPr>
        <w:spacing w:beforeLines="0" w:before="0" w:beforeAutospacing="0" w:afterLines="0" w:after="0" w:afterAutospacing="0" w:line="240" w:lineRule="auto"/>
      </w:pPr>
      <w:rPr>
        <w:b/>
        <w:bCs/>
      </w:rPr>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shd w:val="clear" w:color="auto" w:fill="F2F2F2" w:themeFill="background1" w:themeFillShade="F2"/>
      </w:tcPr>
    </w:tblStylePr>
    <w:tblStylePr w:type="lastRow">
      <w:pPr>
        <w:spacing w:beforeLines="0" w:before="0" w:beforeAutospacing="0" w:afterLines="0" w:after="0" w:afterAutospacing="0" w:line="240" w:lineRule="auto"/>
      </w:pPr>
      <w:rPr>
        <w:b/>
        <w:bCs/>
      </w:rPr>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firstCol">
      <w:rPr>
        <w:b/>
        <w:bCs/>
      </w:rPr>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lastCol">
      <w:rPr>
        <w:b/>
        <w:bCs/>
      </w:rPr>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band1Vert">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band2Vert">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band1Horz">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shd w:val="clear" w:color="auto" w:fill="FFFFFF" w:themeFill="background1"/>
      </w:tcPr>
    </w:tblStylePr>
    <w:tblStylePr w:type="band2Horz">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shd w:val="clear" w:color="auto" w:fill="F2F2F2" w:themeFill="background1" w:themeFillShade="F2"/>
      </w:tcPr>
    </w:tblStylePr>
  </w:style>
  <w:style w:type="table" w:customStyle="1" w:styleId="TableGrid2">
    <w:name w:val="Table Grid2"/>
    <w:basedOn w:val="TableNormal"/>
    <w:uiPriority w:val="5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StylePr>
    <w:tblStylePr w:type="band1Horz">
      <w:tblPr/>
      <w:tcPr>
        <w:tcBorders>
          <w:top w:val="nil"/>
          <w:left w:val="single" w:sz="4" w:space="0" w:color="0055A0"/>
          <w:bottom w:val="nil"/>
          <w:right w:val="single" w:sz="4" w:space="0" w:color="0055A0"/>
          <w:insideH w:val="nil"/>
          <w:insideV w:val="single" w:sz="4" w:space="0" w:color="0055A0"/>
          <w:tl2br w:val="nil"/>
          <w:tr2bl w:val="nil"/>
        </w:tcBorders>
        <w:shd w:val="clear" w:color="auto" w:fill="F5F9FC"/>
      </w:tcPr>
    </w:tblStylePr>
    <w:tblStylePr w:type="band2Horz">
      <w:tblPr/>
      <w:tcPr>
        <w:tcBorders>
          <w:insideV w:val="single" w:sz="4" w:space="0" w:color="0055A0"/>
        </w:tcBorders>
        <w:shd w:val="clear" w:color="auto" w:fill="FFFFFF" w:themeFill="background1"/>
      </w:tcPr>
    </w:tblStylePr>
  </w:style>
  <w:style w:type="table" w:customStyle="1" w:styleId="Blank">
    <w:name w:val="Blank"/>
    <w:basedOn w:val="TableNormal"/>
    <w:uiPriority w:val="99"/>
    <w:pPr>
      <w:spacing w:after="0" w:line="240" w:lineRule="auto"/>
    </w:pPr>
    <w:rPr>
      <w:rFonts w:ascii="Arial" w:eastAsia="Times New Roman" w:hAnsi="Arial" w:cs="Times New Roman"/>
      <w:sz w:val="20"/>
      <w:szCs w:val="20"/>
      <w:lang w:eastAsia="en-GB"/>
    </w:rPr>
    <w:tblPr/>
  </w:style>
  <w:style w:type="paragraph" w:customStyle="1" w:styleId="Source">
    <w:name w:val="Source"/>
    <w:basedOn w:val="FootnoteText"/>
    <w:link w:val="SourceChar"/>
    <w:qFormat/>
    <w:pPr>
      <w:spacing w:before="20" w:after="120"/>
      <w:ind w:left="357" w:hanging="357"/>
      <w:contextualSpacing/>
      <w:jc w:val="both"/>
    </w:pPr>
    <w:rPr>
      <w:rFonts w:ascii="Verdana" w:eastAsia="Times New Roman" w:hAnsi="Verdana" w:cs="Times New Roman"/>
      <w:i/>
      <w:color w:val="333333"/>
      <w:sz w:val="18"/>
    </w:rPr>
  </w:style>
  <w:style w:type="character" w:customStyle="1" w:styleId="SourceChar">
    <w:name w:val="Source Char"/>
    <w:link w:val="Source"/>
    <w:rPr>
      <w:rFonts w:ascii="Verdana" w:eastAsia="Times New Roman" w:hAnsi="Verdana" w:cs="Times New Roman"/>
      <w:i/>
      <w:color w:val="333333"/>
      <w:sz w:val="18"/>
      <w:szCs w:val="20"/>
    </w:rPr>
  </w:style>
  <w:style w:type="character" w:customStyle="1" w:styleId="apple-converted-space">
    <w:name w:val="apple-converted-space"/>
    <w:basedOn w:val="DefaultParagraphFont"/>
    <w:uiPriority w:val="2"/>
  </w:style>
  <w:style w:type="character" w:styleId="Emphasis">
    <w:name w:val="Emphasis"/>
    <w:basedOn w:val="DefaultParagraphFont"/>
    <w:uiPriority w:val="20"/>
    <w:qFormat/>
    <w:rPr>
      <w:i/>
      <w:iCs/>
    </w:rPr>
  </w:style>
  <w:style w:type="table" w:customStyle="1" w:styleId="mainbidtable">
    <w:name w:val="main bid table"/>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AppendixHeadingLevel2">
    <w:name w:val="Appendix Heading Level 2"/>
    <w:basedOn w:val="Heading2"/>
    <w:next w:val="Normal"/>
    <w:link w:val="AppendixHeadingLevel2Char"/>
    <w:uiPriority w:val="1"/>
    <w:qFormat/>
    <w:pPr>
      <w:numPr>
        <w:numId w:val="30"/>
      </w:numPr>
    </w:pPr>
    <w:rPr>
      <w:rFonts w:ascii="Arial" w:hAnsi="Arial" w:cs="Arial"/>
      <w:b w:val="0"/>
      <w:bCs/>
      <w:iCs/>
      <w:color w:val="006BB7"/>
      <w:sz w:val="32"/>
      <w:szCs w:val="28"/>
    </w:rPr>
  </w:style>
  <w:style w:type="paragraph" w:customStyle="1" w:styleId="AppendixHeadingLevel3">
    <w:name w:val="Appendix Heading Level 3"/>
    <w:basedOn w:val="Heading3"/>
    <w:link w:val="AppendixHeadingLevel3Char"/>
    <w:uiPriority w:val="1"/>
    <w:qFormat/>
    <w:pPr>
      <w:numPr>
        <w:numId w:val="30"/>
      </w:numPr>
      <w:spacing w:before="120" w:after="120"/>
      <w:jc w:val="left"/>
    </w:pPr>
    <w:rPr>
      <w:rFonts w:ascii="Arial" w:hAnsi="Arial" w:cs="Arial"/>
      <w:bCs/>
      <w:i w:val="0"/>
      <w:color w:val="006BB7"/>
      <w:szCs w:val="26"/>
    </w:rPr>
  </w:style>
  <w:style w:type="character" w:customStyle="1" w:styleId="Heading-AppendixChar">
    <w:name w:val="Heading - Appendix Char"/>
    <w:basedOn w:val="Heading1Char"/>
    <w:link w:val="Heading-Appendix"/>
    <w:uiPriority w:val="1"/>
    <w:rPr>
      <w:rFonts w:ascii="Arial" w:eastAsia="Times New Roman" w:hAnsi="Arial" w:cs="Arial"/>
      <w:b w:val="0"/>
      <w:bCs/>
      <w:smallCaps w:val="0"/>
      <w:color w:val="006BB7"/>
      <w:sz w:val="40"/>
      <w:szCs w:val="32"/>
      <w:lang w:val="en"/>
    </w:rPr>
  </w:style>
  <w:style w:type="character" w:customStyle="1" w:styleId="AppendixHeadingLevel3Char">
    <w:name w:val="Appendix Heading Level 3 Char"/>
    <w:basedOn w:val="Heading4Char"/>
    <w:link w:val="AppendixHeadingLevel3"/>
    <w:uiPriority w:val="1"/>
    <w:rPr>
      <w:rFonts w:ascii="Arial" w:eastAsia="Times New Roman" w:hAnsi="Arial" w:cs="Arial"/>
      <w:bCs/>
      <w:color w:val="006BB7"/>
      <w:sz w:val="24"/>
      <w:szCs w:val="26"/>
    </w:rPr>
  </w:style>
  <w:style w:type="character" w:customStyle="1" w:styleId="AppendixHeadingLevel2Char">
    <w:name w:val="Appendix Heading Level 2 Char"/>
    <w:basedOn w:val="Heading2Char"/>
    <w:link w:val="AppendixHeadingLevel2"/>
    <w:uiPriority w:val="1"/>
    <w:rPr>
      <w:rFonts w:ascii="Arial" w:eastAsia="Times New Roman" w:hAnsi="Arial" w:cs="Arial"/>
      <w:b w:val="0"/>
      <w:bCs/>
      <w:iCs/>
      <w:color w:val="006BB7"/>
      <w:sz w:val="32"/>
      <w:szCs w:val="28"/>
      <w:lang w:eastAsia="en-GB"/>
    </w:rPr>
  </w:style>
  <w:style w:type="paragraph" w:styleId="Bibliography">
    <w:name w:val="Bibliography"/>
    <w:basedOn w:val="Normal"/>
    <w:next w:val="Normal"/>
    <w:uiPriority w:val="37"/>
    <w:unhideWhenUsed/>
    <w:pPr>
      <w:spacing w:after="120"/>
    </w:pPr>
    <w:rPr>
      <w:rFonts w:ascii="Arial" w:hAnsi="Arial"/>
      <w:sz w:val="20"/>
      <w:szCs w:val="24"/>
    </w:rPr>
  </w:style>
  <w:style w:type="character" w:customStyle="1" w:styleId="message">
    <w:name w:val="message"/>
    <w:basedOn w:val="DefaultParagraphFont"/>
  </w:style>
  <w:style w:type="paragraph" w:customStyle="1" w:styleId="AppendixHeading4">
    <w:name w:val="Appendix Heading 4"/>
    <w:basedOn w:val="AppendixHeadingLevel3"/>
    <w:link w:val="AppendixHeading4Char"/>
    <w:qFormat/>
    <w:pPr>
      <w:numPr>
        <w:ilvl w:val="3"/>
      </w:numPr>
    </w:pPr>
    <w:rPr>
      <w:bCs w:val="0"/>
      <w:sz w:val="20"/>
      <w:szCs w:val="20"/>
    </w:rPr>
  </w:style>
  <w:style w:type="character" w:customStyle="1" w:styleId="AppendixHeading4Char">
    <w:name w:val="Appendix Heading 4 Char"/>
    <w:basedOn w:val="AppendixHeadingLevel3Char"/>
    <w:link w:val="AppendixHeading4"/>
    <w:rPr>
      <w:rFonts w:ascii="Arial" w:eastAsia="Times New Roman" w:hAnsi="Arial" w:cs="Arial"/>
      <w:bCs w:val="0"/>
      <w:color w:val="006BB7"/>
      <w:sz w:val="20"/>
      <w:szCs w:val="20"/>
    </w:rPr>
  </w:style>
  <w:style w:type="paragraph" w:customStyle="1" w:styleId="gmail-msolistparagraph">
    <w:name w:val="gmail-msolistparagraph"/>
    <w:basedOn w:val="Normal"/>
    <w:uiPriority w:val="99"/>
    <w:pPr>
      <w:spacing w:before="100" w:beforeAutospacing="1" w:after="100" w:afterAutospacing="1"/>
      <w:jc w:val="left"/>
    </w:pPr>
    <w:rPr>
      <w:rFonts w:eastAsiaTheme="minorHAnsi"/>
      <w:szCs w:val="24"/>
      <w:lang w:val="en-US"/>
    </w:rPr>
  </w:style>
  <w:style w:type="character" w:customStyle="1" w:styleId="gmail-msofootnotereference">
    <w:name w:val="gmail-msofootnotereference"/>
    <w:basedOn w:val="DefaultParagraphFont"/>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basedOn w:val="DefaultParagraphFont"/>
    <w:uiPriority w:val="35"/>
    <w:locked/>
    <w:rPr>
      <w:b/>
      <w:bCs/>
      <w:i/>
      <w:sz w:val="22"/>
      <w:szCs w:val="22"/>
      <w:lang w:eastAsia="en-US"/>
    </w:rPr>
  </w:style>
  <w:style w:type="paragraph" w:styleId="NoSpacing">
    <w:name w:val="No Spacing"/>
    <w:uiPriority w:val="1"/>
    <w:qFormat/>
    <w:pPr>
      <w:spacing w:after="0" w:line="240" w:lineRule="auto"/>
      <w:jc w:val="both"/>
    </w:pPr>
    <w:rPr>
      <w:rFonts w:ascii="Times New Roman" w:eastAsia="Times New Roman" w:hAnsi="Times New Roman" w:cs="Times New Roman"/>
      <w:sz w:val="24"/>
      <w:szCs w:val="20"/>
    </w:rPr>
  </w:style>
  <w:style w:type="character" w:customStyle="1" w:styleId="Text2Char1">
    <w:name w:val="Text 2 Char1"/>
    <w:link w:val="Text2"/>
    <w:locked/>
    <w:rPr>
      <w:rFonts w:ascii="Times New Roman" w:eastAsia="Times New Roman" w:hAnsi="Times New Roman" w:cs="Times New Roman"/>
      <w:sz w:val="24"/>
      <w:szCs w:val="20"/>
    </w:rPr>
  </w:style>
  <w:style w:type="character" w:customStyle="1" w:styleId="Marker">
    <w:name w:val="Marker"/>
    <w:rPr>
      <w:rFonts w:cs="Times New Roman"/>
      <w:color w:val="0000FF"/>
      <w:shd w:val="clear" w:color="auto" w:fill="auto"/>
    </w:rPr>
  </w:style>
  <w:style w:type="paragraph" w:customStyle="1" w:styleId="Briefingspdef">
    <w:name w:val="Briefing sp/def"/>
    <w:basedOn w:val="Normal"/>
    <w:autoRedefine/>
    <w:rPr>
      <w:szCs w:val="24"/>
      <w:lang w:eastAsia="en-GB"/>
    </w:rPr>
  </w:style>
  <w:style w:type="paragraph" w:customStyle="1" w:styleId="JRCText">
    <w:name w:val="JRC_Text"/>
    <w:basedOn w:val="Normal"/>
    <w:qFormat/>
    <w:pPr>
      <w:spacing w:before="120" w:after="120"/>
    </w:pPr>
    <w:rPr>
      <w:rFonts w:ascii="Verdana" w:eastAsia="Calibri" w:hAnsi="Verdana"/>
      <w:sz w:val="20"/>
      <w:szCs w:val="22"/>
    </w:rPr>
  </w:style>
  <w:style w:type="paragraph" w:customStyle="1" w:styleId="JRCCovertitle">
    <w:name w:val="JRC_Cover_title"/>
    <w:basedOn w:val="Normal"/>
    <w:qFormat/>
    <w:pPr>
      <w:spacing w:before="600" w:after="600" w:line="640" w:lineRule="exact"/>
      <w:ind w:left="-567"/>
      <w:jc w:val="left"/>
    </w:pPr>
    <w:rPr>
      <w:rFonts w:ascii="Verdana" w:eastAsia="Calibri" w:hAnsi="Verdana"/>
      <w:noProof/>
      <w:sz w:val="56"/>
      <w:szCs w:val="56"/>
      <w:lang w:eastAsia="en-GB"/>
    </w:rPr>
  </w:style>
  <w:style w:type="paragraph" w:customStyle="1" w:styleId="JRCCoverauthor">
    <w:name w:val="JRC_Cover_author"/>
    <w:basedOn w:val="Normal"/>
    <w:qFormat/>
    <w:pPr>
      <w:spacing w:before="120" w:after="120"/>
      <w:jc w:val="left"/>
    </w:pPr>
    <w:rPr>
      <w:rFonts w:ascii="Verdana" w:hAnsi="Verdana"/>
      <w:sz w:val="20"/>
      <w:szCs w:val="22"/>
      <w:lang w:eastAsia="en-GB"/>
    </w:rPr>
  </w:style>
  <w:style w:type="paragraph" w:customStyle="1" w:styleId="JRCCoveryear">
    <w:name w:val="JRC_Cover_year"/>
    <w:basedOn w:val="Normal"/>
    <w:pPr>
      <w:spacing w:after="0"/>
      <w:jc w:val="left"/>
    </w:pPr>
    <w:rPr>
      <w:rFonts w:ascii="Verdana" w:hAnsi="Verdana"/>
      <w:sz w:val="20"/>
      <w:szCs w:val="22"/>
      <w:lang w:eastAsia="en-GB"/>
    </w:rPr>
  </w:style>
  <w:style w:type="paragraph" w:customStyle="1" w:styleId="JRCCoverEUR">
    <w:name w:val="JRC_Cover_EUR"/>
    <w:basedOn w:val="Normal"/>
    <w:pPr>
      <w:spacing w:after="0"/>
      <w:jc w:val="right"/>
    </w:pPr>
    <w:rPr>
      <w:rFonts w:ascii="Verdana" w:hAnsi="Verdana"/>
      <w:sz w:val="18"/>
      <w:szCs w:val="22"/>
      <w:lang w:eastAsia="en-GB"/>
    </w:rPr>
  </w:style>
  <w:style w:type="character" w:styleId="Strong">
    <w:name w:val="Strong"/>
    <w:basedOn w:val="DefaultParagraphFont"/>
    <w:uiPriority w:val="22"/>
    <w:qFormat/>
    <w:rPr>
      <w:b/>
      <w:bCs/>
    </w:rPr>
  </w:style>
  <w:style w:type="paragraph" w:customStyle="1" w:styleId="JRCLevel-2title">
    <w:name w:val="JRC_Level-2_title"/>
    <w:basedOn w:val="Heading2"/>
    <w:next w:val="Normal"/>
    <w:qFormat/>
    <w:pPr>
      <w:keepLines/>
      <w:numPr>
        <w:ilvl w:val="0"/>
        <w:numId w:val="0"/>
      </w:numPr>
    </w:pPr>
    <w:rPr>
      <w:rFonts w:ascii="Verdana" w:hAnsi="Verdana"/>
      <w:bCs/>
      <w:iCs/>
      <w:szCs w:val="26"/>
      <w:lang w:eastAsia="en-US"/>
    </w:rPr>
  </w:style>
  <w:style w:type="paragraph" w:customStyle="1" w:styleId="JRCFigurecaption">
    <w:name w:val="JRC_Figure_caption"/>
    <w:basedOn w:val="Normal"/>
    <w:next w:val="Normal"/>
    <w:qFormat/>
    <w:pPr>
      <w:spacing w:before="360" w:after="120"/>
      <w:jc w:val="center"/>
    </w:pPr>
    <w:rPr>
      <w:rFonts w:ascii="Verdana" w:eastAsia="Calibri" w:hAnsi="Verdana"/>
      <w:sz w:val="18"/>
      <w:szCs w:val="22"/>
    </w:rPr>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Level-3title">
    <w:name w:val="JRC_Level-3_title"/>
    <w:basedOn w:val="Heading3"/>
    <w:next w:val="Normal"/>
    <w:qFormat/>
    <w:pPr>
      <w:keepLines/>
      <w:numPr>
        <w:ilvl w:val="0"/>
        <w:numId w:val="0"/>
      </w:numPr>
      <w:spacing w:before="240" w:after="120"/>
      <w:ind w:left="2160" w:hanging="360"/>
    </w:pPr>
    <w:rPr>
      <w:rFonts w:ascii="Verdana" w:hAnsi="Verdana"/>
      <w:b/>
      <w:bCs/>
      <w:i w:val="0"/>
      <w:sz w:val="22"/>
      <w:szCs w:val="24"/>
    </w:rPr>
  </w:style>
  <w:style w:type="paragraph" w:customStyle="1" w:styleId="JRCTabletitle">
    <w:name w:val="JRC_Table_title"/>
    <w:basedOn w:val="Normal"/>
    <w:autoRedefine/>
    <w:qFormat/>
    <w:pPr>
      <w:keepNext/>
      <w:spacing w:before="240" w:after="120"/>
      <w:jc w:val="center"/>
    </w:pPr>
    <w:rPr>
      <w:rFonts w:eastAsia="Calibri"/>
      <w:b/>
      <w:szCs w:val="22"/>
    </w:rPr>
  </w:style>
  <w:style w:type="paragraph" w:customStyle="1" w:styleId="JRCLevel-1title">
    <w:name w:val="JRC_Level-1_title"/>
    <w:basedOn w:val="Heading1"/>
    <w:next w:val="Normal"/>
    <w:qFormat/>
    <w:pPr>
      <w:pageBreakBefore/>
      <w:numPr>
        <w:numId w:val="0"/>
      </w:numPr>
      <w:spacing w:before="0" w:after="120"/>
      <w:jc w:val="left"/>
    </w:pPr>
    <w:rPr>
      <w:rFonts w:ascii="Verdana" w:eastAsia="Calibri" w:hAnsi="Verdana"/>
      <w:smallCaps w:val="0"/>
      <w:sz w:val="26"/>
      <w:szCs w:val="24"/>
    </w:rPr>
  </w:style>
  <w:style w:type="paragraph" w:customStyle="1" w:styleId="Indented">
    <w:name w:val="Indented"/>
    <w:basedOn w:val="Normal"/>
    <w:qFormat/>
    <w:pPr>
      <w:spacing w:after="120"/>
      <w:ind w:left="357"/>
      <w:jc w:val="left"/>
    </w:pPr>
    <w:rPr>
      <w:rFonts w:ascii="Arial" w:eastAsiaTheme="minorHAnsi" w:hAnsi="Arial" w:cstheme="minorBidi"/>
      <w:sz w:val="22"/>
      <w:szCs w:val="22"/>
    </w:rPr>
  </w:style>
  <w:style w:type="paragraph" w:customStyle="1" w:styleId="Heding-IntroLevel2">
    <w:name w:val="Heding - Intro Level 2"/>
    <w:basedOn w:val="AppendixHeadingLevel2"/>
    <w:link w:val="Heding-IntroLevel2Char"/>
    <w:qFormat/>
    <w:pPr>
      <w:numPr>
        <w:ilvl w:val="0"/>
        <w:numId w:val="0"/>
      </w:numPr>
      <w:jc w:val="left"/>
    </w:pPr>
  </w:style>
  <w:style w:type="character" w:customStyle="1" w:styleId="Heding-IntroLevel2Char">
    <w:name w:val="Heding - Intro Level 2 Char"/>
    <w:basedOn w:val="AppendixHeadingLevel2Char"/>
    <w:link w:val="Heding-IntroLevel2"/>
    <w:rPr>
      <w:rFonts w:ascii="Arial" w:eastAsia="Times New Roman" w:hAnsi="Arial" w:cs="Arial"/>
      <w:b w:val="0"/>
      <w:bCs/>
      <w:iCs/>
      <w:color w:val="006BB7"/>
      <w:sz w:val="32"/>
      <w:szCs w:val="28"/>
      <w:lang w:eastAsia="en-GB"/>
    </w:rPr>
  </w:style>
  <w:style w:type="character" w:customStyle="1" w:styleId="DefaultChar">
    <w:name w:val="Default Char"/>
    <w:basedOn w:val="DefaultParagraphFont"/>
    <w:link w:val="Default"/>
    <w:rPr>
      <w:rFonts w:ascii="Times New Roman" w:hAnsi="Times New Roman" w:cs="Times New Roman"/>
      <w:color w:val="000000"/>
      <w:sz w:val="24"/>
      <w:szCs w:val="24"/>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index heading" w:uiPriority="0"/>
    <w:lsdException w:name="caption" w:uiPriority="0" w:qFormat="1"/>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aliases w:val="(Section),MOVE-it 1,Heading 11,Hoofdstuk,Heading 1 - Main Heading of Document,Sub code header,h1,l1,H1,Section heading,No numbers,Numbered - 1,Chapter Hdg,CH TITLE 1,F3 Heading 1 - Section,Επικεφαλίδα 1 ΌΧΙ,Chapter Heading,AChapter,1,L1,Chapte"/>
    <w:basedOn w:val="Normal"/>
    <w:next w:val="Normal"/>
    <w:link w:val="Heading1Char"/>
    <w:autoRedefine/>
    <w:uiPriority w:val="1"/>
    <w:qFormat/>
    <w:pPr>
      <w:keepNext/>
      <w:numPr>
        <w:numId w:val="32"/>
      </w:numPr>
      <w:spacing w:before="240"/>
      <w:outlineLvl w:val="0"/>
    </w:pPr>
    <w:rPr>
      <w:b/>
      <w:smallCaps/>
    </w:rPr>
  </w:style>
  <w:style w:type="paragraph" w:styleId="Heading2">
    <w:name w:val="heading 2"/>
    <w:next w:val="Normal"/>
    <w:link w:val="Heading2Char"/>
    <w:autoRedefine/>
    <w:uiPriority w:val="1"/>
    <w:qFormat/>
    <w:pPr>
      <w:keepNext/>
      <w:numPr>
        <w:ilvl w:val="1"/>
        <w:numId w:val="32"/>
      </w:numPr>
      <w:spacing w:before="240" w:after="240" w:line="240" w:lineRule="auto"/>
      <w:jc w:val="both"/>
      <w:outlineLvl w:val="1"/>
    </w:pPr>
    <w:rPr>
      <w:rFonts w:ascii="Times New Roman Bold" w:eastAsia="Times New Roman" w:hAnsi="Times New Roman Bold" w:cs="Times New Roman"/>
      <w:b/>
      <w:sz w:val="24"/>
      <w:szCs w:val="24"/>
      <w:lang w:eastAsia="en-GB"/>
    </w:rPr>
  </w:style>
  <w:style w:type="paragraph" w:styleId="Heading3">
    <w:name w:val="heading 3"/>
    <w:basedOn w:val="Normal"/>
    <w:next w:val="Normal"/>
    <w:link w:val="Heading3Char"/>
    <w:uiPriority w:val="1"/>
    <w:qFormat/>
    <w:pPr>
      <w:keepNext/>
      <w:numPr>
        <w:ilvl w:val="2"/>
        <w:numId w:val="32"/>
      </w:numPr>
      <w:outlineLvl w:val="2"/>
    </w:pPr>
    <w:rPr>
      <w:i/>
    </w:rPr>
  </w:style>
  <w:style w:type="paragraph" w:styleId="Heading4">
    <w:name w:val="heading 4"/>
    <w:basedOn w:val="Normal"/>
    <w:next w:val="Normal"/>
    <w:link w:val="Heading4Char"/>
    <w:uiPriority w:val="1"/>
    <w:qFormat/>
    <w:pPr>
      <w:numPr>
        <w:ilvl w:val="3"/>
        <w:numId w:val="32"/>
      </w:numPr>
      <w:spacing w:before="240"/>
      <w:outlineLvl w:val="3"/>
    </w:p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unhideWhenUsed/>
    <w:qFormat/>
    <w:pPr>
      <w:numPr>
        <w:ilvl w:val="4"/>
        <w:numId w:val="32"/>
      </w:numPr>
      <w:spacing w:before="240"/>
      <w:outlineLvl w:val="4"/>
    </w:pPr>
    <w:rPr>
      <w:rFonts w:eastAsiaTheme="majorEastAsia"/>
    </w:rPr>
  </w:style>
  <w:style w:type="paragraph" w:styleId="Heading6">
    <w:name w:val="heading 6"/>
    <w:basedOn w:val="Normal"/>
    <w:next w:val="Normal"/>
    <w:link w:val="Heading6Char"/>
    <w:unhideWhenUsed/>
    <w:qFormat/>
    <w:pPr>
      <w:keepNext/>
      <w:keepLines/>
      <w:numPr>
        <w:ilvl w:val="5"/>
        <w:numId w:val="32"/>
      </w:numPr>
      <w:spacing w:before="200" w:after="120"/>
      <w:outlineLvl w:val="5"/>
    </w:pPr>
    <w:rPr>
      <w:rFonts w:eastAsiaTheme="majorEastAsia"/>
      <w:i/>
      <w:iCs/>
      <w:color w:val="243F60" w:themeColor="accent1" w:themeShade="7F"/>
    </w:rPr>
  </w:style>
  <w:style w:type="paragraph" w:styleId="Heading7">
    <w:name w:val="heading 7"/>
    <w:aliases w:val="sub3,Heading 7 (do not use),aoua-titre annexes"/>
    <w:basedOn w:val="Normal"/>
    <w:next w:val="Normal"/>
    <w:link w:val="Heading7Char"/>
    <w:unhideWhenUsed/>
    <w:qFormat/>
    <w:pPr>
      <w:keepNext/>
      <w:keepLines/>
      <w:numPr>
        <w:ilvl w:val="6"/>
        <w:numId w:val="3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sub4,Heading 8 (do not use)"/>
    <w:basedOn w:val="Normal"/>
    <w:next w:val="Normal"/>
    <w:link w:val="Heading8Char"/>
    <w:unhideWhenUsed/>
    <w:qFormat/>
    <w:pPr>
      <w:keepNext/>
      <w:keepLines/>
      <w:numPr>
        <w:ilvl w:val="7"/>
        <w:numId w:val="32"/>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pPr>
      <w:keepNext/>
      <w:keepLines/>
      <w:numPr>
        <w:ilvl w:val="8"/>
        <w:numId w:val="32"/>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ena,Tabellengitternetz,Document Table,Table Format 1,Table_FPB"/>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 ONTENT,List Paragraph12,F5 List Paragraph,Heading 2_sj,1st level - Bullet List Paragraph,Lettre d'introduction,Numbered Para 1,Dot pt,No Spacing1,List Paragraph Char Char Char,Indicator Text,Bullet 1,List Paragraph1,Bullet Points"/>
    <w:basedOn w:val="Normal"/>
    <w:link w:val="ListParagraphChar"/>
    <w:uiPriority w:val="34"/>
    <w:qFormat/>
    <w:pPr>
      <w:ind w:left="720"/>
      <w:contextualSpacing/>
    </w:pPr>
  </w:style>
  <w:style w:type="character" w:customStyle="1" w:styleId="ListParagraphChar">
    <w:name w:val="List Paragraph Char"/>
    <w:aliases w:val="heading ONTENT Char,List Paragraph12 Char,F5 List Paragraph Char,Heading 2_sj Char,1st level - Bullet List Paragraph Char,Lettre d'introduction Char,Numbered Para 1 Char,Dot pt Char,No Spacing1 Char,List Paragraph Char Char Char Char"/>
    <w:basedOn w:val="DefaultParagraphFont"/>
    <w:link w:val="ListParagraph"/>
    <w:uiPriority w:val="34"/>
    <w:qFormat/>
    <w:rPr>
      <w:rFonts w:ascii="Times New Roman" w:eastAsia="Times New Roman" w:hAnsi="Times New Roman" w:cs="Times New Roman"/>
      <w:sz w:val="24"/>
      <w:szCs w:val="20"/>
    </w:rPr>
  </w:style>
  <w:style w:type="character" w:customStyle="1" w:styleId="Heading1Char">
    <w:name w:val="Heading 1 Char"/>
    <w:aliases w:val="(Section) Char,MOVE-it 1 Char,Heading 11 Char,Hoofdstuk Char,Heading 1 - Main Heading of Document Char,Sub code header Char,h1 Char,l1 Char,H1 Char,Section heading Char,No numbers Char,Numbered - 1 Char,Chapter Hdg Char,CH TITLE 1 Char"/>
    <w:basedOn w:val="DefaultParagraphFont"/>
    <w:link w:val="Heading1"/>
    <w:uiPriority w:val="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uiPriority w:val="1"/>
    <w:rPr>
      <w:rFonts w:ascii="Times New Roman Bold" w:eastAsia="Times New Roman" w:hAnsi="Times New Roman Bold" w:cs="Times New Roman"/>
      <w:b/>
      <w:sz w:val="24"/>
      <w:szCs w:val="24"/>
      <w:lang w:eastAsia="en-GB"/>
    </w:rPr>
  </w:style>
  <w:style w:type="character" w:customStyle="1" w:styleId="Heading3Char">
    <w:name w:val="Heading 3 Char"/>
    <w:basedOn w:val="DefaultParagraphFont"/>
    <w:link w:val="Heading3"/>
    <w:uiPriority w:val="1"/>
    <w:rPr>
      <w:rFonts w:ascii="Times New Roman" w:eastAsia="Times New Roman" w:hAnsi="Times New Roman" w:cs="Times New Roman"/>
      <w:i/>
      <w:sz w:val="24"/>
      <w:szCs w:val="20"/>
    </w:rPr>
  </w:style>
  <w:style w:type="character" w:customStyle="1" w:styleId="Heading4Char">
    <w:name w:val="Heading 4 Char"/>
    <w:basedOn w:val="DefaultParagraphFont"/>
    <w:link w:val="Heading4"/>
    <w:uiPriority w:val="1"/>
    <w:rPr>
      <w:rFonts w:ascii="Times New Roman" w:eastAsia="Times New Roman" w:hAnsi="Times New Roman" w:cs="Times New Roman"/>
      <w:sz w:val="24"/>
      <w:szCs w:val="20"/>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stile 1,Char,Fußn,f"/>
    <w:basedOn w:val="Normal"/>
    <w:link w:val="FootnoteTextChar"/>
    <w:uiPriority w:val="99"/>
    <w:unhideWhenUsed/>
    <w:qFormat/>
    <w:pPr>
      <w:spacing w:after="0"/>
      <w:jc w:val="left"/>
    </w:pPr>
    <w:rPr>
      <w:rFonts w:asciiTheme="minorHAnsi" w:eastAsiaTheme="minorHAnsi" w:hAnsiTheme="minorHAnsi" w:cstheme="minorBidi"/>
      <w:sz w:val="20"/>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qFormat/>
    <w:rPr>
      <w:sz w:val="20"/>
      <w:szCs w:val="20"/>
    </w:rPr>
  </w:style>
  <w:style w:type="character" w:styleId="FootnoteReference">
    <w:name w:val="footnote reference"/>
    <w:aliases w:val="SUPERS,Footnote symbol,Times 10 Point,Exposant 3 Point,BVI fnr,number,-E Fußnotenzeichen,Footnote reference number,note TESI,EN Footnote Reference,Footnote Reference/,Footnote Reference Number,styli,Footnote Reference Superscript,ftre"/>
    <w:basedOn w:val="DefaultParagraphFont"/>
    <w:link w:val="FootnotesymbolCarZchn"/>
    <w:uiPriority w:val="99"/>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character" w:styleId="Hyperlink">
    <w:name w:val="Hyperlink"/>
    <w:uiPriority w:val="99"/>
    <w:rPr>
      <w:color w:val="0000FF"/>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tabfaption Char,Caption1"/>
    <w:basedOn w:val="Normal"/>
    <w:next w:val="Normal"/>
    <w:link w:val="CaptionChar"/>
    <w:unhideWhenUsed/>
    <w:qFormat/>
    <w:pPr>
      <w:spacing w:after="200"/>
      <w:jc w:val="left"/>
    </w:pPr>
    <w:rPr>
      <w:rFonts w:eastAsiaTheme="minorHAnsi"/>
      <w:b/>
      <w:bCs/>
      <w:szCs w:val="18"/>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Pr>
      <w:rFonts w:ascii="Times New Roman" w:eastAsiaTheme="majorEastAsia" w:hAnsi="Times New Roman" w:cs="Times New Roman"/>
      <w:sz w:val="24"/>
      <w:szCs w:val="20"/>
    </w:rPr>
  </w:style>
  <w:style w:type="character" w:customStyle="1" w:styleId="Heading6Char">
    <w:name w:val="Heading 6 Char"/>
    <w:basedOn w:val="DefaultParagraphFont"/>
    <w:link w:val="Heading6"/>
    <w:rPr>
      <w:rFonts w:ascii="Times New Roman" w:eastAsiaTheme="majorEastAsia" w:hAnsi="Times New Roman" w:cs="Times New Roman"/>
      <w:i/>
      <w:iCs/>
      <w:color w:val="243F60" w:themeColor="accent1" w:themeShade="7F"/>
      <w:sz w:val="24"/>
      <w:szCs w:val="20"/>
    </w:rPr>
  </w:style>
  <w:style w:type="character" w:customStyle="1" w:styleId="Heading7Char">
    <w:name w:val="Heading 7 Char"/>
    <w:aliases w:val="sub3 Char,Heading 7 (do not use) Char,aoua-titre annexes Char"/>
    <w:basedOn w:val="DefaultParagraphFont"/>
    <w:link w:val="Heading7"/>
    <w:rPr>
      <w:rFonts w:asciiTheme="majorHAnsi" w:eastAsiaTheme="majorEastAsia" w:hAnsiTheme="majorHAnsi" w:cstheme="majorBidi"/>
      <w:i/>
      <w:iCs/>
      <w:color w:val="404040" w:themeColor="text1" w:themeTint="BF"/>
      <w:sz w:val="24"/>
      <w:szCs w:val="20"/>
    </w:rPr>
  </w:style>
  <w:style w:type="character" w:customStyle="1" w:styleId="Heading8Char">
    <w:name w:val="Heading 8 Char"/>
    <w:aliases w:val="sub4 Char,Heading 8 (do not use) Char"/>
    <w:basedOn w:val="DefaultParagraphFont"/>
    <w:link w:val="Heading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Pr>
      <w:rFonts w:asciiTheme="majorHAnsi" w:eastAsiaTheme="majorEastAsia" w:hAnsiTheme="majorHAnsi" w:cstheme="majorBidi"/>
      <w:i/>
      <w:iCs/>
      <w:color w:val="404040" w:themeColor="text1" w:themeTint="BF"/>
      <w:sz w:val="20"/>
      <w:szCs w:val="20"/>
    </w:r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pPr>
      <w:ind w:left="482"/>
    </w:pPr>
  </w:style>
  <w:style w:type="paragraph" w:customStyle="1" w:styleId="Text2">
    <w:name w:val="Text 2"/>
    <w:basedOn w:val="Normal"/>
    <w:link w:val="Text2Char1"/>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uiPriority w:val="99"/>
    <w:qFormat/>
    <w:pPr>
      <w:spacing w:after="120"/>
    </w:p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basedOn w:val="DefaultParagraphFont"/>
    <w:link w:val="DocumentMap"/>
    <w:uiPriority w:val="99"/>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uiPriority w:val="99"/>
    <w:semiHidden/>
    <w:rPr>
      <w:sz w:val="20"/>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0"/>
      </w:numPr>
    </w:pPr>
  </w:style>
  <w:style w:type="paragraph" w:styleId="ListBullet2">
    <w:name w:val="List Bullet 2"/>
    <w:basedOn w:val="Text2"/>
    <w:pPr>
      <w:numPr>
        <w:numId w:val="12"/>
      </w:numPr>
      <w:tabs>
        <w:tab w:val="clear" w:pos="1485"/>
        <w:tab w:val="clear" w:pos="2302"/>
      </w:tabs>
      <w:ind w:left="720" w:hanging="360"/>
    </w:pPr>
  </w:style>
  <w:style w:type="paragraph" w:styleId="ListBullet3">
    <w:name w:val="List Bullet 3"/>
    <w:basedOn w:val="Text3"/>
    <w:pPr>
      <w:numPr>
        <w:numId w:val="13"/>
      </w:numPr>
      <w:tabs>
        <w:tab w:val="clear" w:pos="2302"/>
      </w:tabs>
    </w:pPr>
  </w:style>
  <w:style w:type="paragraph" w:styleId="ListBullet4">
    <w:name w:val="List Bullet 4"/>
    <w:basedOn w:val="Text4"/>
    <w:pPr>
      <w:numPr>
        <w:numId w:val="14"/>
      </w:numPr>
      <w:tabs>
        <w:tab w:val="clear" w:pos="2302"/>
      </w:tabs>
    </w:pPr>
  </w:style>
  <w:style w:type="paragraph" w:styleId="ListBullet5">
    <w:name w:val="List Bullet 5"/>
    <w:basedOn w:val="Normal"/>
    <w:autoRedefine/>
    <w:pPr>
      <w:numPr>
        <w:numId w:val="8"/>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uiPriority w:val="99"/>
    <w:pPr>
      <w:numPr>
        <w:numId w:val="20"/>
      </w:numPr>
    </w:pPr>
  </w:style>
  <w:style w:type="paragraph" w:styleId="ListNumber2">
    <w:name w:val="List Number 2"/>
    <w:basedOn w:val="Text2"/>
    <w:pPr>
      <w:numPr>
        <w:numId w:val="22"/>
      </w:numPr>
      <w:tabs>
        <w:tab w:val="clear" w:pos="1911"/>
        <w:tab w:val="clear" w:pos="2302"/>
      </w:tabs>
      <w:ind w:left="720" w:hanging="360"/>
    </w:pPr>
  </w:style>
  <w:style w:type="paragraph" w:styleId="ListNumber3">
    <w:name w:val="List Number 3"/>
    <w:basedOn w:val="Text3"/>
    <w:pPr>
      <w:numPr>
        <w:numId w:val="23"/>
      </w:numPr>
      <w:tabs>
        <w:tab w:val="clear" w:pos="2302"/>
      </w:tabs>
    </w:pPr>
  </w:style>
  <w:style w:type="paragraph" w:styleId="ListNumber4">
    <w:name w:val="List Number 4"/>
    <w:basedOn w:val="Text4"/>
    <w:pPr>
      <w:numPr>
        <w:numId w:val="24"/>
      </w:numPr>
      <w:tabs>
        <w:tab w:val="clear" w:pos="2302"/>
      </w:tabs>
    </w:pPr>
  </w:style>
  <w:style w:type="paragraph" w:styleId="ListNumber5">
    <w:name w:val="List Number 5"/>
    <w:basedOn w:val="Normal"/>
    <w:pPr>
      <w:numPr>
        <w:numId w:val="9"/>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numPr>
        <w:numId w:val="0"/>
      </w:numPr>
      <w:tabs>
        <w:tab w:val="num" w:pos="1911"/>
      </w:tabs>
      <w:spacing w:before="0"/>
      <w:ind w:left="1911" w:hanging="709"/>
      <w:outlineLvl w:val="9"/>
    </w:pPr>
    <w:rPr>
      <w:b w:val="0"/>
      <w:smallCaps w:val="0"/>
      <w:lang w:val="en"/>
    </w:rPr>
  </w:style>
  <w:style w:type="paragraph" w:customStyle="1" w:styleId="NumPar2">
    <w:name w:val="NumPar 2"/>
    <w:basedOn w:val="Heading2"/>
    <w:next w:val="Text2"/>
    <w:pPr>
      <w:keepNext w:val="0"/>
      <w:numPr>
        <w:ilvl w:val="0"/>
        <w:numId w:val="0"/>
      </w:numPr>
      <w:tabs>
        <w:tab w:val="num" w:pos="2619"/>
      </w:tabs>
      <w:ind w:left="2619" w:hanging="708"/>
      <w:outlineLvl w:val="9"/>
    </w:pPr>
    <w:rPr>
      <w:b w:val="0"/>
      <w:lang w:eastAsia="en-US"/>
    </w:rPr>
  </w:style>
  <w:style w:type="paragraph" w:customStyle="1" w:styleId="NumPar3">
    <w:name w:val="NumPar 3"/>
    <w:basedOn w:val="Heading3"/>
    <w:next w:val="Text3"/>
    <w:pPr>
      <w:keepNext w:val="0"/>
      <w:numPr>
        <w:ilvl w:val="0"/>
        <w:numId w:val="0"/>
      </w:numPr>
      <w:tabs>
        <w:tab w:val="num" w:pos="3328"/>
      </w:tabs>
      <w:spacing w:before="240"/>
      <w:ind w:left="3328" w:hanging="709"/>
      <w:outlineLvl w:val="9"/>
    </w:pPr>
    <w:rPr>
      <w:b/>
      <w:i w:val="0"/>
    </w:rPr>
  </w:style>
  <w:style w:type="paragraph" w:customStyle="1" w:styleId="NumPar4">
    <w:name w:val="NumPar 4"/>
    <w:basedOn w:val="Heading4"/>
    <w:next w:val="Text4"/>
    <w:pPr>
      <w:numPr>
        <w:ilvl w:val="0"/>
        <w:numId w:val="0"/>
      </w:numPr>
      <w:tabs>
        <w:tab w:val="num" w:pos="4037"/>
      </w:tabs>
      <w:ind w:left="4037" w:hanging="709"/>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11"/>
      </w:numPr>
    </w:pPr>
  </w:style>
  <w:style w:type="paragraph" w:customStyle="1" w:styleId="ListDash">
    <w:name w:val="List Dash"/>
    <w:basedOn w:val="Normal"/>
    <w:pPr>
      <w:numPr>
        <w:numId w:val="15"/>
      </w:numPr>
    </w:pPr>
  </w:style>
  <w:style w:type="paragraph" w:customStyle="1" w:styleId="ListDash1">
    <w:name w:val="List Dash 1"/>
    <w:basedOn w:val="Text1"/>
    <w:pPr>
      <w:numPr>
        <w:numId w:val="16"/>
      </w:numPr>
    </w:pPr>
  </w:style>
  <w:style w:type="paragraph" w:customStyle="1" w:styleId="ListDash2">
    <w:name w:val="List Dash 2"/>
    <w:basedOn w:val="Text2"/>
    <w:pPr>
      <w:numPr>
        <w:numId w:val="17"/>
      </w:numPr>
      <w:tabs>
        <w:tab w:val="clear" w:pos="1485"/>
        <w:tab w:val="clear" w:pos="2302"/>
      </w:tabs>
      <w:ind w:left="360" w:hanging="360"/>
    </w:pPr>
  </w:style>
  <w:style w:type="paragraph" w:customStyle="1" w:styleId="ListDash3">
    <w:name w:val="List Dash 3"/>
    <w:basedOn w:val="Text3"/>
    <w:pPr>
      <w:numPr>
        <w:numId w:val="18"/>
      </w:numPr>
      <w:tabs>
        <w:tab w:val="clear" w:pos="2302"/>
      </w:tabs>
    </w:pPr>
  </w:style>
  <w:style w:type="paragraph" w:customStyle="1" w:styleId="ListDash4">
    <w:name w:val="List Dash 4"/>
    <w:basedOn w:val="Text4"/>
    <w:pPr>
      <w:numPr>
        <w:numId w:val="19"/>
      </w:numPr>
      <w:tabs>
        <w:tab w:val="clear" w:pos="2302"/>
      </w:tabs>
    </w:pPr>
  </w:style>
  <w:style w:type="paragraph" w:customStyle="1" w:styleId="ListNumberLevel2">
    <w:name w:val="List Number (Level 2)"/>
    <w:basedOn w:val="Normal"/>
    <w:pPr>
      <w:numPr>
        <w:ilvl w:val="1"/>
        <w:numId w:val="20"/>
      </w:numPr>
    </w:pPr>
  </w:style>
  <w:style w:type="paragraph" w:customStyle="1" w:styleId="ListNumberLevel3">
    <w:name w:val="List Number (Level 3)"/>
    <w:basedOn w:val="Normal"/>
    <w:pPr>
      <w:numPr>
        <w:ilvl w:val="2"/>
        <w:numId w:val="20"/>
      </w:numPr>
    </w:pPr>
  </w:style>
  <w:style w:type="paragraph" w:customStyle="1" w:styleId="ListNumberLevel4">
    <w:name w:val="List Number (Level 4)"/>
    <w:basedOn w:val="Normal"/>
    <w:pPr>
      <w:numPr>
        <w:ilvl w:val="3"/>
        <w:numId w:val="20"/>
      </w:numPr>
    </w:pPr>
  </w:style>
  <w:style w:type="paragraph" w:customStyle="1" w:styleId="ListNumber1">
    <w:name w:val="List Number 1"/>
    <w:basedOn w:val="Text1"/>
    <w:pPr>
      <w:numPr>
        <w:numId w:val="21"/>
      </w:numPr>
    </w:pPr>
  </w:style>
  <w:style w:type="paragraph" w:customStyle="1" w:styleId="ListNumber1Level2">
    <w:name w:val="List Number 1 (Level 2)"/>
    <w:basedOn w:val="Text1"/>
    <w:pPr>
      <w:numPr>
        <w:ilvl w:val="1"/>
        <w:numId w:val="21"/>
      </w:numPr>
    </w:pPr>
  </w:style>
  <w:style w:type="paragraph" w:customStyle="1" w:styleId="ListNumber1Level3">
    <w:name w:val="List Number 1 (Level 3)"/>
    <w:basedOn w:val="Text1"/>
    <w:pPr>
      <w:numPr>
        <w:ilvl w:val="2"/>
        <w:numId w:val="21"/>
      </w:numPr>
    </w:pPr>
  </w:style>
  <w:style w:type="paragraph" w:customStyle="1" w:styleId="ListNumber1Level4">
    <w:name w:val="List Number 1 (Level 4)"/>
    <w:basedOn w:val="Text1"/>
    <w:pPr>
      <w:numPr>
        <w:ilvl w:val="3"/>
        <w:numId w:val="21"/>
      </w:numPr>
    </w:pPr>
  </w:style>
  <w:style w:type="paragraph" w:customStyle="1" w:styleId="ListNumber2Level2">
    <w:name w:val="List Number 2 (Level 2)"/>
    <w:basedOn w:val="Text2"/>
    <w:pPr>
      <w:numPr>
        <w:ilvl w:val="1"/>
        <w:numId w:val="22"/>
      </w:numPr>
      <w:tabs>
        <w:tab w:val="clear" w:pos="2302"/>
        <w:tab w:val="clear" w:pos="2619"/>
      </w:tabs>
      <w:ind w:left="1440" w:hanging="360"/>
    </w:pPr>
  </w:style>
  <w:style w:type="paragraph" w:customStyle="1" w:styleId="ListNumber2Level3">
    <w:name w:val="List Number 2 (Level 3)"/>
    <w:basedOn w:val="Text2"/>
    <w:pPr>
      <w:numPr>
        <w:ilvl w:val="2"/>
        <w:numId w:val="22"/>
      </w:numPr>
      <w:tabs>
        <w:tab w:val="clear" w:pos="2302"/>
        <w:tab w:val="clear" w:pos="3328"/>
      </w:tabs>
      <w:ind w:left="2160" w:hanging="180"/>
    </w:pPr>
  </w:style>
  <w:style w:type="paragraph" w:customStyle="1" w:styleId="ListNumber2Level4">
    <w:name w:val="List Number 2 (Level 4)"/>
    <w:basedOn w:val="Text2"/>
    <w:pPr>
      <w:numPr>
        <w:ilvl w:val="3"/>
        <w:numId w:val="22"/>
      </w:numPr>
      <w:tabs>
        <w:tab w:val="clear" w:pos="2302"/>
        <w:tab w:val="clear" w:pos="4037"/>
      </w:tabs>
      <w:ind w:left="2880" w:hanging="360"/>
    </w:pPr>
  </w:style>
  <w:style w:type="paragraph" w:customStyle="1" w:styleId="ListNumber3Level2">
    <w:name w:val="List Number 3 (Level 2)"/>
    <w:basedOn w:val="Text3"/>
    <w:pPr>
      <w:numPr>
        <w:ilvl w:val="1"/>
        <w:numId w:val="23"/>
      </w:numPr>
      <w:tabs>
        <w:tab w:val="clear" w:pos="2302"/>
      </w:tabs>
    </w:pPr>
  </w:style>
  <w:style w:type="paragraph" w:customStyle="1" w:styleId="ListNumber3Level3">
    <w:name w:val="List Number 3 (Level 3)"/>
    <w:basedOn w:val="Text3"/>
    <w:pPr>
      <w:numPr>
        <w:ilvl w:val="2"/>
        <w:numId w:val="23"/>
      </w:numPr>
      <w:tabs>
        <w:tab w:val="clear" w:pos="2302"/>
      </w:tabs>
    </w:pPr>
  </w:style>
  <w:style w:type="paragraph" w:customStyle="1" w:styleId="ListNumber3Level4">
    <w:name w:val="List Number 3 (Level 4)"/>
    <w:basedOn w:val="Text3"/>
    <w:pPr>
      <w:numPr>
        <w:ilvl w:val="3"/>
        <w:numId w:val="23"/>
      </w:numPr>
      <w:tabs>
        <w:tab w:val="clear" w:pos="2302"/>
      </w:tabs>
    </w:pPr>
  </w:style>
  <w:style w:type="paragraph" w:customStyle="1" w:styleId="ListNumber4Level2">
    <w:name w:val="List Number 4 (Level 2)"/>
    <w:basedOn w:val="Text4"/>
    <w:pPr>
      <w:numPr>
        <w:ilvl w:val="1"/>
        <w:numId w:val="24"/>
      </w:numPr>
      <w:tabs>
        <w:tab w:val="clear" w:pos="2302"/>
      </w:tabs>
    </w:pPr>
  </w:style>
  <w:style w:type="paragraph" w:customStyle="1" w:styleId="ListNumber4Level3">
    <w:name w:val="List Number 4 (Level 3)"/>
    <w:basedOn w:val="Text4"/>
    <w:pPr>
      <w:numPr>
        <w:ilvl w:val="2"/>
        <w:numId w:val="24"/>
      </w:numPr>
      <w:tabs>
        <w:tab w:val="clear" w:pos="2302"/>
      </w:tabs>
    </w:pPr>
  </w:style>
  <w:style w:type="paragraph" w:customStyle="1" w:styleId="ListNumber4Level4">
    <w:name w:val="List Number 4 (Level 4)"/>
    <w:basedOn w:val="Text4"/>
    <w:pPr>
      <w:numPr>
        <w:ilvl w:val="3"/>
        <w:numId w:val="24"/>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5"/>
      </w:numPr>
      <w:spacing w:line="360" w:lineRule="auto"/>
      <w:jc w:val="left"/>
    </w:pPr>
    <w:rPr>
      <w:rFonts w:eastAsiaTheme="minorHAnsi"/>
      <w:szCs w:val="22"/>
    </w:rPr>
  </w:style>
  <w:style w:type="paragraph" w:customStyle="1" w:styleId="LegalNumPar2">
    <w:name w:val="LegalNumPar2"/>
    <w:basedOn w:val="Normal"/>
    <w:pPr>
      <w:numPr>
        <w:ilvl w:val="1"/>
        <w:numId w:val="25"/>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25"/>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paragraph" w:customStyle="1" w:styleId="Default">
    <w:name w:val="Default"/>
    <w:link w:val="DefaultChar"/>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aptionChar">
    <w:name w:val="Caption Char"/>
    <w:aliases w:val="Tasks Char3,Beschriftung Char2 Char1,Beschriftung Char1 Char1 Char1,Beschriftung Char Char Char1 Char1,Beschriftung Char1 Char Char Char1,Beschriftung Char Char Char Char Char1,Beschriftung Char Char1 Char Char1,tabfaption Char Char"/>
    <w:link w:val="Caption"/>
    <w:uiPriority w:val="35"/>
    <w:locked/>
    <w:rPr>
      <w:rFonts w:ascii="Times New Roman" w:hAnsi="Times New Roman" w:cs="Times New Roman"/>
      <w:b/>
      <w:bCs/>
      <w:sz w:val="24"/>
      <w:szCs w:val="18"/>
    </w:rPr>
  </w:style>
  <w:style w:type="paragraph" w:customStyle="1" w:styleId="CM4">
    <w:name w:val="CM4"/>
    <w:basedOn w:val="Default"/>
    <w:next w:val="Default"/>
    <w:uiPriority w:val="99"/>
    <w:rPr>
      <w:color w:val="auto"/>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standaardnietinspringen">
    <w:name w:val="standaard niet inspringen"/>
    <w:basedOn w:val="Normal"/>
    <w:link w:val="standaardnietinspringenChar"/>
    <w:qFormat/>
    <w:pPr>
      <w:spacing w:after="0" w:line="240" w:lineRule="atLeast"/>
      <w:jc w:val="left"/>
    </w:pPr>
    <w:rPr>
      <w:rFonts w:ascii="Trebuchet MS" w:eastAsia="MS Mincho" w:hAnsi="Trebuchet MS"/>
      <w:sz w:val="20"/>
      <w:szCs w:val="22"/>
    </w:rPr>
  </w:style>
  <w:style w:type="character" w:customStyle="1" w:styleId="standaardnietinspringenChar">
    <w:name w:val="standaard niet inspringen Char"/>
    <w:link w:val="standaardnietinspringen"/>
    <w:locked/>
    <w:rPr>
      <w:rFonts w:ascii="Trebuchet MS" w:eastAsia="MS Mincho" w:hAnsi="Trebuchet MS" w:cs="Times New Roman"/>
      <w:sz w:val="20"/>
    </w:rPr>
  </w:style>
  <w:style w:type="character" w:styleId="HTMLCite">
    <w:name w:val="HTML Cite"/>
    <w:basedOn w:val="DefaultParagraphFont"/>
    <w:uiPriority w:val="99"/>
    <w:semiHidden/>
    <w:unhideWhenUsed/>
    <w:rPr>
      <w:i/>
      <w:iCs/>
    </w:rPr>
  </w:style>
  <w:style w:type="table" w:customStyle="1" w:styleId="CEeigentijds">
    <w:name w:val="CE eigentijds"/>
    <w:basedOn w:val="TableContemporary"/>
    <w:uiPriority w:val="99"/>
    <w:pPr>
      <w:spacing w:after="0" w:line="240" w:lineRule="atLeast"/>
      <w:jc w:val="left"/>
    </w:pPr>
    <w:rPr>
      <w:rFonts w:ascii="Trebuchet MS" w:eastAsia="MS Mincho" w:hAnsi="Trebuchet MS" w:cs="Times New Roman"/>
      <w:sz w:val="16"/>
      <w:szCs w:val="20"/>
      <w:lang w:val="nl-NL" w:eastAsia="nl-NL"/>
    </w:rPr>
    <w:tblPr>
      <w:tblInd w:w="2381" w:type="dxa"/>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Pr>
    <w:tblStylePr w:type="firstRow">
      <w:rPr>
        <w:b/>
        <w:bCs/>
        <w:color w:val="auto"/>
      </w:rPr>
      <w:tblPr/>
      <w:tcPr>
        <w:tcBorders>
          <w:tl2br w:val="none" w:sz="0" w:space="0" w:color="auto"/>
          <w:tr2bl w:val="none" w:sz="0" w:space="0" w:color="auto"/>
        </w:tcBorders>
        <w:shd w:val="clear" w:color="auto" w:fill="B9E4FF"/>
      </w:tcPr>
    </w:tblStylePr>
    <w:tblStylePr w:type="band1Horz">
      <w:rPr>
        <w:color w:val="auto"/>
      </w:rPr>
      <w:tblPr/>
      <w:tcPr>
        <w:tcBorders>
          <w:tl2br w:val="none" w:sz="0" w:space="0" w:color="auto"/>
          <w:tr2bl w:val="none" w:sz="0" w:space="0" w:color="auto"/>
        </w:tcBorders>
        <w:shd w:val="clear" w:color="auto" w:fill="FFFFFF" w:themeFill="background1"/>
      </w:tcPr>
    </w:tblStylePr>
    <w:tblStylePr w:type="band2Horz">
      <w:rPr>
        <w:color w:val="auto"/>
      </w:rPr>
      <w:tblPr/>
      <w:tcPr>
        <w:tcBorders>
          <w:tl2br w:val="none" w:sz="0" w:space="0" w:color="auto"/>
          <w:tr2bl w:val="none" w:sz="0" w:space="0" w:color="auto"/>
        </w:tcBorders>
        <w:shd w:val="clear" w:color="auto" w:fill="E1F4FF"/>
      </w:tcPr>
    </w:tblStylePr>
  </w:style>
  <w:style w:type="table" w:styleId="TableContemporary">
    <w:name w:val="Table Contemporary"/>
    <w:basedOn w:val="TableNormal"/>
    <w:uiPriority w:val="99"/>
    <w:semiHidden/>
    <w:unhideWhenUsed/>
    <w:pPr>
      <w:spacing w:after="240" w:line="24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semiHidden/>
    <w:unhideWhenUsed/>
    <w:pPr>
      <w:spacing w:after="150"/>
    </w:pPr>
    <w:rPr>
      <w:szCs w:val="24"/>
      <w:lang w:eastAsia="en-GB"/>
    </w:rPr>
  </w:style>
  <w:style w:type="table" w:customStyle="1" w:styleId="DocumentTable1">
    <w:name w:val="Document Table1"/>
    <w:basedOn w:val="TableNormal"/>
    <w:next w:val="TableGrid"/>
    <w:uiPriority w:val="5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hemeFill="background1"/>
      </w:tcPr>
    </w:tblStylePr>
  </w:style>
  <w:style w:type="paragraph" w:customStyle="1" w:styleId="BackcoverStyleRGB7015635LeftAfter10pt">
    <w:name w:val="Back cover Style (RGB(7015635)) Left After: 10 pt"/>
    <w:basedOn w:val="Normal"/>
    <w:uiPriority w:val="99"/>
    <w:pPr>
      <w:jc w:val="left"/>
    </w:pPr>
    <w:rPr>
      <w:rFonts w:ascii="Arial" w:hAnsi="Arial"/>
      <w:color w:val="469C23"/>
      <w:sz w:val="20"/>
    </w:rPr>
  </w:style>
  <w:style w:type="character" w:styleId="PageNumber">
    <w:name w:val="page number"/>
    <w:basedOn w:val="DefaultParagraphFont"/>
    <w:uiPriority w:val="99"/>
    <w:semiHidden/>
    <w:unhideWhenUsed/>
    <w:rPr>
      <w:rFonts w:ascii="Arial" w:hAnsi="Arial"/>
      <w:sz w:val="20"/>
    </w:rPr>
  </w:style>
  <w:style w:type="paragraph" w:customStyle="1" w:styleId="Tableheading">
    <w:name w:val="Table heading"/>
    <w:basedOn w:val="Normal"/>
    <w:uiPriority w:val="1"/>
    <w:pPr>
      <w:spacing w:after="120"/>
    </w:pPr>
    <w:rPr>
      <w:rFonts w:ascii="Arial" w:hAnsi="Arial"/>
      <w:b/>
      <w:sz w:val="20"/>
      <w:szCs w:val="24"/>
    </w:rPr>
  </w:style>
  <w:style w:type="paragraph" w:customStyle="1" w:styleId="Tablecolumnheading">
    <w:name w:val="Table column heading"/>
    <w:basedOn w:val="Tablecontent"/>
    <w:uiPriority w:val="1"/>
  </w:style>
  <w:style w:type="paragraph" w:customStyle="1" w:styleId="Tablecontent">
    <w:name w:val="Table content"/>
    <w:basedOn w:val="Normal"/>
    <w:uiPriority w:val="1"/>
    <w:pPr>
      <w:spacing w:after="0"/>
      <w:jc w:val="left"/>
    </w:pPr>
    <w:rPr>
      <w:rFonts w:ascii="Arial" w:hAnsi="Arial"/>
      <w:sz w:val="20"/>
    </w:rPr>
  </w:style>
  <w:style w:type="paragraph" w:customStyle="1" w:styleId="Bulletedtext">
    <w:name w:val="Bulleted text"/>
    <w:basedOn w:val="Normal"/>
    <w:uiPriority w:val="1"/>
    <w:pPr>
      <w:spacing w:after="60"/>
    </w:pPr>
    <w:rPr>
      <w:rFonts w:ascii="Arial" w:hAnsi="Arial"/>
      <w:sz w:val="20"/>
      <w:szCs w:val="24"/>
    </w:rPr>
  </w:style>
  <w:style w:type="paragraph" w:customStyle="1" w:styleId="QAQC-question">
    <w:name w:val="QA/QC - question"/>
    <w:uiPriority w:val="99"/>
    <w:pPr>
      <w:spacing w:after="120" w:line="240" w:lineRule="auto"/>
    </w:pPr>
    <w:rPr>
      <w:rFonts w:ascii="Arial" w:eastAsia="Times New Roman" w:hAnsi="Arial" w:cs="Times New Roman"/>
      <w:b/>
      <w:bCs/>
      <w:noProof/>
      <w:color w:val="008000"/>
      <w:sz w:val="20"/>
      <w:szCs w:val="20"/>
    </w:rPr>
  </w:style>
  <w:style w:type="paragraph" w:customStyle="1" w:styleId="Title-main-Coverpage">
    <w:name w:val="Title-main - Coverpage"/>
    <w:basedOn w:val="Header"/>
    <w:uiPriority w:val="3"/>
    <w:pPr>
      <w:tabs>
        <w:tab w:val="clear" w:pos="9071"/>
        <w:tab w:val="right" w:pos="9072"/>
      </w:tabs>
      <w:jc w:val="right"/>
    </w:pPr>
    <w:rPr>
      <w:rFonts w:ascii="Arial" w:hAnsi="Arial"/>
      <w:b/>
      <w:bCs/>
      <w:color w:val="4D4D4D"/>
      <w:kern w:val="72"/>
      <w:sz w:val="52"/>
    </w:rPr>
  </w:style>
  <w:style w:type="paragraph" w:customStyle="1" w:styleId="Tital-sub-Coverpage">
    <w:name w:val="Tital-sub - Coverpage"/>
    <w:basedOn w:val="Header"/>
    <w:uiPriority w:val="3"/>
    <w:pPr>
      <w:tabs>
        <w:tab w:val="clear" w:pos="9071"/>
        <w:tab w:val="right" w:pos="9072"/>
      </w:tabs>
      <w:spacing w:after="0"/>
      <w:ind w:right="-1"/>
      <w:jc w:val="right"/>
    </w:pPr>
    <w:rPr>
      <w:rFonts w:ascii="Arial" w:hAnsi="Arial"/>
      <w:color w:val="008000"/>
      <w:kern w:val="72"/>
      <w:sz w:val="40"/>
      <w:szCs w:val="40"/>
    </w:rPr>
  </w:style>
  <w:style w:type="paragraph" w:customStyle="1" w:styleId="Title-Ref-Coverpage">
    <w:name w:val="Title-Ref - Coverpage"/>
    <w:basedOn w:val="Header"/>
    <w:uiPriority w:val="3"/>
    <w:pPr>
      <w:tabs>
        <w:tab w:val="clear" w:pos="9071"/>
        <w:tab w:val="right" w:pos="9072"/>
      </w:tabs>
      <w:spacing w:after="0"/>
      <w:ind w:right="-1"/>
      <w:jc w:val="right"/>
    </w:pPr>
    <w:rPr>
      <w:rFonts w:ascii="Arial" w:hAnsi="Arial"/>
      <w:color w:val="92D050"/>
      <w:kern w:val="72"/>
      <w:sz w:val="28"/>
      <w:szCs w:val="28"/>
    </w:rPr>
  </w:style>
  <w:style w:type="character" w:customStyle="1" w:styleId="Heading-ExecSum">
    <w:name w:val="Heading - ExecSum"/>
    <w:basedOn w:val="DefaultParagraphFont"/>
    <w:uiPriority w:val="1"/>
    <w:rPr>
      <w:b/>
      <w:bCs/>
      <w:color w:val="008000"/>
      <w:sz w:val="40"/>
    </w:rPr>
  </w:style>
  <w:style w:type="paragraph" w:customStyle="1" w:styleId="Heading-Appendix">
    <w:name w:val="Heading - Appendix"/>
    <w:next w:val="Normal"/>
    <w:link w:val="Heading-AppendixChar"/>
    <w:uiPriority w:val="1"/>
    <w:qFormat/>
    <w:pPr>
      <w:keepNext/>
      <w:pageBreakBefore/>
      <w:numPr>
        <w:numId w:val="30"/>
      </w:numPr>
      <w:spacing w:before="120" w:after="240" w:line="240" w:lineRule="auto"/>
      <w:outlineLvl w:val="0"/>
    </w:pPr>
    <w:rPr>
      <w:rFonts w:ascii="Arial" w:eastAsia="Times New Roman" w:hAnsi="Arial" w:cs="Arial"/>
      <w:bCs/>
      <w:color w:val="006BB7"/>
      <w:sz w:val="40"/>
      <w:szCs w:val="32"/>
      <w:lang w:val="en"/>
    </w:rPr>
  </w:style>
  <w:style w:type="paragraph" w:customStyle="1" w:styleId="Heading-TOC">
    <w:name w:val="Heading - TOC"/>
    <w:uiPriority w:val="1"/>
    <w:pPr>
      <w:spacing w:before="120" w:after="240" w:line="240" w:lineRule="auto"/>
    </w:pPr>
    <w:rPr>
      <w:rFonts w:ascii="Arial" w:eastAsia="Times New Roman" w:hAnsi="Arial" w:cs="Arial"/>
      <w:b/>
      <w:bCs/>
      <w:color w:val="008000"/>
      <w:sz w:val="40"/>
      <w:szCs w:val="32"/>
    </w:rPr>
  </w:style>
  <w:style w:type="table" w:customStyle="1" w:styleId="Highlightbox">
    <w:name w:val="Highlight box"/>
    <w:basedOn w:val="TableNormal"/>
    <w:uiPriority w:val="99"/>
    <w:pPr>
      <w:spacing w:before="120" w:after="120" w:line="240" w:lineRule="auto"/>
    </w:pPr>
    <w:rPr>
      <w:rFonts w:ascii="Arial" w:eastAsia="Times New Roman" w:hAnsi="Arial" w:cs="Times New Roman"/>
      <w:sz w:val="20"/>
      <w:szCs w:val="20"/>
      <w:lang w:eastAsia="en-GB"/>
    </w:rPr>
    <w:tblPr/>
    <w:tblStylePr w:type="firstRow">
      <w:tblPr/>
      <w:tcPr>
        <w:tcBorders>
          <w:top w:val="single" w:sz="4" w:space="0" w:color="0070C0"/>
          <w:left w:val="nil"/>
          <w:bottom w:val="single" w:sz="4" w:space="0" w:color="0070C0"/>
          <w:right w:val="nil"/>
          <w:insideH w:val="nil"/>
          <w:insideV w:val="nil"/>
        </w:tcBorders>
        <w:shd w:val="clear" w:color="auto" w:fill="E2ECF2"/>
      </w:tcPr>
    </w:tblStylePr>
  </w:style>
  <w:style w:type="paragraph" w:customStyle="1" w:styleId="AEAToC">
    <w:name w:val="AEA ToC"/>
    <w:uiPriority w:val="99"/>
    <w:rPr>
      <w:rFonts w:eastAsiaTheme="minorEastAsia"/>
      <w:lang w:val="en-US"/>
    </w:rPr>
  </w:style>
  <w:style w:type="character" w:styleId="PlaceholderText">
    <w:name w:val="Placeholder Text"/>
    <w:basedOn w:val="DefaultParagraphFont"/>
    <w:uiPriority w:val="99"/>
    <w:semiHidden/>
    <w:rPr>
      <w:color w:val="808080"/>
    </w:rPr>
  </w:style>
  <w:style w:type="table" w:styleId="LightShading-Accent2">
    <w:name w:val="Light Shading Accent 2"/>
    <w:basedOn w:val="TableNormal"/>
    <w:uiPriority w:val="60"/>
    <w:pPr>
      <w:spacing w:after="0" w:line="240" w:lineRule="auto"/>
    </w:pPr>
    <w:rPr>
      <w:rFonts w:ascii="Arial" w:eastAsia="Times New Roman" w:hAnsi="Arial" w:cs="Times New Roman"/>
      <w:color w:val="943634" w:themeColor="accent2" w:themeShade="BF"/>
      <w:sz w:val="20"/>
      <w:szCs w:val="20"/>
      <w:lang w:eastAsia="en-GB"/>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pPr>
      <w:spacing w:after="0" w:line="240" w:lineRule="auto"/>
    </w:pPr>
    <w:rPr>
      <w:rFonts w:ascii="Arial" w:eastAsia="Times New Roman" w:hAnsi="Arial" w:cs="Times New Roman"/>
      <w:color w:val="76923C" w:themeColor="accent3" w:themeShade="BF"/>
      <w:sz w:val="20"/>
      <w:szCs w:val="20"/>
      <w:lang w:eastAsia="en-GB"/>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pPr>
      <w:spacing w:after="0" w:line="240" w:lineRule="auto"/>
    </w:pPr>
    <w:rPr>
      <w:rFonts w:ascii="Arial" w:eastAsia="Times New Roman" w:hAnsi="Arial" w:cs="Times New Roman"/>
      <w:color w:val="5F497A" w:themeColor="accent4" w:themeShade="BF"/>
      <w:sz w:val="20"/>
      <w:szCs w:val="20"/>
      <w:lang w:eastAsia="en-GB"/>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CoverHeader2">
    <w:name w:val="CoverHeader2"/>
    <w:uiPriority w:val="2"/>
    <w:qFormat/>
    <w:rPr>
      <w:b w:val="0"/>
      <w:color w:val="006BB7"/>
      <w:sz w:val="36"/>
      <w:szCs w:val="40"/>
    </w:rPr>
  </w:style>
  <w:style w:type="character" w:customStyle="1" w:styleId="CoverHeader1">
    <w:name w:val="CoverHeader1"/>
    <w:uiPriority w:val="2"/>
    <w:qFormat/>
    <w:rPr>
      <w:b/>
      <w:color w:val="808080"/>
      <w:sz w:val="36"/>
      <w:szCs w:val="40"/>
    </w:rPr>
  </w:style>
  <w:style w:type="paragraph" w:customStyle="1" w:styleId="QA-Page">
    <w:name w:val="QA-Page"/>
    <w:uiPriority w:val="99"/>
    <w:pPr>
      <w:tabs>
        <w:tab w:val="left" w:pos="2366"/>
      </w:tabs>
      <w:spacing w:after="0" w:line="240" w:lineRule="auto"/>
    </w:pPr>
    <w:rPr>
      <w:rFonts w:ascii="Arial" w:eastAsia="Times New Roman" w:hAnsi="Arial" w:cs="Times New Roman"/>
      <w:sz w:val="20"/>
      <w:szCs w:val="24"/>
    </w:rPr>
  </w:style>
  <w:style w:type="paragraph" w:customStyle="1" w:styleId="CoverQA">
    <w:name w:val="CoverQA"/>
    <w:next w:val="Normal"/>
    <w:uiPriority w:val="99"/>
    <w:pPr>
      <w:spacing w:after="0" w:line="240" w:lineRule="auto"/>
    </w:pPr>
    <w:rPr>
      <w:rFonts w:ascii="Arial" w:eastAsia="Times New Roman" w:hAnsi="Arial" w:cs="Times New Roman"/>
      <w:color w:val="7F7F7F" w:themeColor="text1" w:themeTint="80"/>
      <w:sz w:val="20"/>
      <w:szCs w:val="24"/>
    </w:rPr>
  </w:style>
  <w:style w:type="character" w:customStyle="1" w:styleId="QuotationsCallout">
    <w:name w:val="Quotations / Callout"/>
    <w:basedOn w:val="DefaultParagraphFont"/>
    <w:uiPriority w:val="2"/>
    <w:qFormat/>
    <w:rPr>
      <w:rFonts w:asciiTheme="minorHAnsi" w:hAnsiTheme="minorHAnsi"/>
      <w:color w:val="595959" w:themeColor="text1" w:themeTint="A6"/>
      <w:sz w:val="24"/>
    </w:rPr>
  </w:style>
  <w:style w:type="paragraph" w:customStyle="1" w:styleId="StyleQAQC-questionRightBefore3ptAfter3pt">
    <w:name w:val="Style QA/QC - question + Right Before:  3 pt After:  3 pt"/>
    <w:basedOn w:val="Normal"/>
    <w:uiPriority w:val="99"/>
    <w:pPr>
      <w:spacing w:before="120" w:after="0"/>
      <w:jc w:val="left"/>
    </w:pPr>
    <w:rPr>
      <w:rFonts w:ascii="Arial" w:hAnsi="Arial"/>
      <w:b/>
      <w:bCs/>
      <w:noProof/>
      <w:color w:val="008000"/>
      <w:sz w:val="20"/>
    </w:rPr>
  </w:style>
  <w:style w:type="character" w:customStyle="1" w:styleId="subtext">
    <w:name w:val="subtext"/>
    <w:basedOn w:val="DefaultParagraphFont"/>
    <w:uiPriority w:val="1"/>
    <w:rPr>
      <w:rFonts w:ascii="Arial" w:hAnsi="Arial"/>
      <w:sz w:val="20"/>
    </w:rPr>
  </w:style>
  <w:style w:type="paragraph" w:customStyle="1" w:styleId="Covertext">
    <w:name w:val="Cover text"/>
    <w:basedOn w:val="Normal"/>
    <w:uiPriority w:val="99"/>
    <w:pPr>
      <w:spacing w:after="120"/>
      <w:jc w:val="left"/>
    </w:pPr>
    <w:rPr>
      <w:rFonts w:ascii="Arial" w:hAnsi="Arial"/>
      <w:color w:val="000000" w:themeColor="text1"/>
      <w:szCs w:val="24"/>
    </w:rPr>
  </w:style>
  <w:style w:type="character" w:customStyle="1" w:styleId="Style2">
    <w:name w:val="Style2"/>
    <w:basedOn w:val="DefaultParagraphFont"/>
    <w:uiPriority w:val="1"/>
    <w:rPr>
      <w:rFonts w:ascii="Arial" w:hAnsi="Arial"/>
      <w:sz w:val="20"/>
    </w:rPr>
  </w:style>
  <w:style w:type="character" w:customStyle="1" w:styleId="Style3">
    <w:name w:val="Style3"/>
    <w:basedOn w:val="DefaultParagraphFont"/>
    <w:uiPriority w:val="1"/>
    <w:rPr>
      <w:rFonts w:ascii="Arial" w:hAnsi="Arial"/>
      <w:color w:val="0070C0"/>
      <w:sz w:val="36"/>
    </w:rPr>
  </w:style>
  <w:style w:type="table" w:customStyle="1" w:styleId="Mainbidtables">
    <w:name w:val="Main bid tables"/>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ECHeading1">
    <w:name w:val="EC Heading 1"/>
    <w:basedOn w:val="ListParagraph"/>
    <w:link w:val="ECHeading1Char"/>
    <w:uiPriority w:val="99"/>
    <w:qFormat/>
    <w:pPr>
      <w:numPr>
        <w:numId w:val="27"/>
      </w:numPr>
      <w:spacing w:before="240"/>
      <w:contextualSpacing w:val="0"/>
      <w:outlineLvl w:val="0"/>
    </w:pPr>
    <w:rPr>
      <w:rFonts w:ascii="Arial" w:hAnsi="Arial"/>
      <w:color w:val="006BB7"/>
      <w:sz w:val="40"/>
      <w:szCs w:val="24"/>
    </w:rPr>
  </w:style>
  <w:style w:type="character" w:customStyle="1" w:styleId="ECHeading1Char">
    <w:name w:val="EC Heading 1 Char"/>
    <w:basedOn w:val="DefaultParagraphFont"/>
    <w:link w:val="ECHeading1"/>
    <w:uiPriority w:val="99"/>
    <w:rPr>
      <w:rFonts w:ascii="Arial" w:eastAsia="Times New Roman" w:hAnsi="Arial" w:cs="Times New Roman"/>
      <w:color w:val="006BB7"/>
      <w:sz w:val="40"/>
      <w:szCs w:val="24"/>
    </w:rPr>
  </w:style>
  <w:style w:type="paragraph" w:customStyle="1" w:styleId="ECHeading2">
    <w:name w:val="EC Heading 2"/>
    <w:basedOn w:val="ListParagraph"/>
    <w:link w:val="ECHeading2Char"/>
    <w:uiPriority w:val="99"/>
    <w:qFormat/>
    <w:pPr>
      <w:numPr>
        <w:ilvl w:val="1"/>
        <w:numId w:val="27"/>
      </w:numPr>
      <w:spacing w:before="240" w:after="120"/>
      <w:contextualSpacing w:val="0"/>
      <w:outlineLvl w:val="1"/>
    </w:pPr>
    <w:rPr>
      <w:rFonts w:ascii="Arial" w:hAnsi="Arial"/>
      <w:color w:val="006BB7"/>
      <w:sz w:val="32"/>
      <w:szCs w:val="24"/>
    </w:rPr>
  </w:style>
  <w:style w:type="character" w:customStyle="1" w:styleId="ECHeading2Char">
    <w:name w:val="EC Heading 2 Char"/>
    <w:basedOn w:val="DefaultParagraphFont"/>
    <w:link w:val="ECHeading2"/>
    <w:uiPriority w:val="99"/>
    <w:rPr>
      <w:rFonts w:ascii="Arial" w:eastAsia="Times New Roman" w:hAnsi="Arial" w:cs="Times New Roman"/>
      <w:color w:val="006BB7"/>
      <w:sz w:val="32"/>
      <w:szCs w:val="24"/>
    </w:rPr>
  </w:style>
  <w:style w:type="paragraph" w:customStyle="1" w:styleId="ECHeading3">
    <w:name w:val="EC Heading 3"/>
    <w:basedOn w:val="ECHeading2"/>
    <w:link w:val="ECHeading3Char"/>
    <w:uiPriority w:val="99"/>
    <w:qFormat/>
    <w:pPr>
      <w:numPr>
        <w:ilvl w:val="2"/>
      </w:numPr>
    </w:pPr>
  </w:style>
  <w:style w:type="character" w:customStyle="1" w:styleId="ECHeading3Char">
    <w:name w:val="EC Heading 3 Char"/>
    <w:basedOn w:val="ECHeading2Char"/>
    <w:link w:val="ECHeading3"/>
    <w:uiPriority w:val="99"/>
    <w:rPr>
      <w:rFonts w:ascii="Arial" w:eastAsia="Times New Roman" w:hAnsi="Arial" w:cs="Times New Roman"/>
      <w:color w:val="006BB7"/>
      <w:sz w:val="32"/>
      <w:szCs w:val="24"/>
    </w:rPr>
  </w:style>
  <w:style w:type="paragraph" w:customStyle="1" w:styleId="ECHeading4">
    <w:name w:val="EC Heading 4"/>
    <w:basedOn w:val="ECHeading3"/>
    <w:link w:val="ECHeading4Char"/>
    <w:uiPriority w:val="99"/>
    <w:qFormat/>
    <w:pPr>
      <w:numPr>
        <w:ilvl w:val="3"/>
      </w:numPr>
    </w:pPr>
  </w:style>
  <w:style w:type="character" w:customStyle="1" w:styleId="ECHeading4Char">
    <w:name w:val="EC Heading 4 Char"/>
    <w:basedOn w:val="ECHeading3Char"/>
    <w:link w:val="ECHeading4"/>
    <w:uiPriority w:val="99"/>
    <w:rPr>
      <w:rFonts w:ascii="Arial" w:eastAsia="Times New Roman" w:hAnsi="Arial" w:cs="Times New Roman"/>
      <w:color w:val="006BB7"/>
      <w:sz w:val="32"/>
      <w:szCs w:val="24"/>
    </w:rPr>
  </w:style>
  <w:style w:type="paragraph" w:customStyle="1" w:styleId="Stylingforfrontpage">
    <w:name w:val="Styling for front page"/>
    <w:link w:val="StylingforfrontpageChar"/>
    <w:uiPriority w:val="1"/>
    <w:qFormat/>
    <w:pPr>
      <w:spacing w:after="0" w:line="240" w:lineRule="auto"/>
    </w:pPr>
    <w:rPr>
      <w:rFonts w:ascii="Arial" w:eastAsia="Times New Roman" w:hAnsi="Arial" w:cs="Times New Roman"/>
      <w:color w:val="006BB7"/>
      <w:sz w:val="20"/>
      <w:szCs w:val="24"/>
    </w:rPr>
  </w:style>
  <w:style w:type="character" w:customStyle="1" w:styleId="StylingforfrontpageChar">
    <w:name w:val="Styling for front page Char"/>
    <w:basedOn w:val="DefaultParagraphFont"/>
    <w:link w:val="Stylingforfrontpage"/>
    <w:uiPriority w:val="1"/>
    <w:rPr>
      <w:rFonts w:ascii="Arial" w:eastAsia="Times New Roman" w:hAnsi="Arial" w:cs="Times New Roman"/>
      <w:color w:val="006BB7"/>
      <w:sz w:val="20"/>
      <w:szCs w:val="24"/>
    </w:rPr>
  </w:style>
  <w:style w:type="paragraph" w:customStyle="1" w:styleId="stylingforcover2">
    <w:name w:val="styling for cover 2"/>
    <w:link w:val="stylingforcover2Char"/>
    <w:qFormat/>
    <w:pPr>
      <w:spacing w:after="0" w:line="240" w:lineRule="auto"/>
    </w:pPr>
    <w:rPr>
      <w:rFonts w:ascii="Arial" w:eastAsia="Times New Roman" w:hAnsi="Arial" w:cs="Times New Roman"/>
      <w:color w:val="000000" w:themeColor="text1"/>
      <w:sz w:val="20"/>
      <w:szCs w:val="24"/>
    </w:rPr>
  </w:style>
  <w:style w:type="character" w:customStyle="1" w:styleId="stylingforcover2Char">
    <w:name w:val="styling for cover 2 Char"/>
    <w:basedOn w:val="DefaultParagraphFont"/>
    <w:link w:val="stylingforcover2"/>
    <w:rPr>
      <w:rFonts w:ascii="Arial" w:eastAsia="Times New Roman" w:hAnsi="Arial" w:cs="Times New Roman"/>
      <w:color w:val="000000" w:themeColor="text1"/>
      <w:sz w:val="20"/>
      <w:szCs w:val="24"/>
    </w:rPr>
  </w:style>
  <w:style w:type="paragraph" w:customStyle="1" w:styleId="legalnote">
    <w:name w:val="legal note"/>
    <w:basedOn w:val="Normal"/>
    <w:link w:val="legalnoteChar"/>
    <w:uiPriority w:val="2"/>
    <w:qFormat/>
    <w:pPr>
      <w:framePr w:hSpace="180" w:wrap="around" w:vAnchor="text" w:hAnchor="margin" w:y="24"/>
      <w:spacing w:before="120" w:after="120"/>
    </w:pPr>
    <w:rPr>
      <w:rFonts w:ascii="Arial" w:hAnsi="Arial"/>
      <w:sz w:val="16"/>
      <w:szCs w:val="24"/>
    </w:rPr>
  </w:style>
  <w:style w:type="character" w:customStyle="1" w:styleId="legalnoteChar">
    <w:name w:val="legal note Char"/>
    <w:basedOn w:val="DefaultParagraphFont"/>
    <w:link w:val="legalnote"/>
    <w:uiPriority w:val="2"/>
    <w:rPr>
      <w:rFonts w:ascii="Arial" w:eastAsia="Times New Roman" w:hAnsi="Arial" w:cs="Times New Roman"/>
      <w:sz w:val="16"/>
      <w:szCs w:val="24"/>
    </w:rPr>
  </w:style>
  <w:style w:type="paragraph" w:customStyle="1" w:styleId="Draft">
    <w:name w:val="Draft"/>
    <w:link w:val="DraftChar"/>
    <w:uiPriority w:val="2"/>
    <w:qFormat/>
    <w:pPr>
      <w:spacing w:after="0" w:line="240" w:lineRule="auto"/>
      <w:jc w:val="center"/>
    </w:pPr>
    <w:rPr>
      <w:rFonts w:ascii="Arial" w:eastAsia="Times New Roman" w:hAnsi="Arial" w:cs="Times New Roman"/>
      <w:color w:val="FF0000"/>
      <w:sz w:val="200"/>
      <w:szCs w:val="24"/>
    </w:rPr>
  </w:style>
  <w:style w:type="character" w:customStyle="1" w:styleId="DraftChar">
    <w:name w:val="Draft Char"/>
    <w:basedOn w:val="DefaultParagraphFont"/>
    <w:link w:val="Draft"/>
    <w:uiPriority w:val="2"/>
    <w:rPr>
      <w:rFonts w:ascii="Arial" w:eastAsia="Times New Roman" w:hAnsi="Arial" w:cs="Times New Roman"/>
      <w:color w:val="FF0000"/>
      <w:sz w:val="200"/>
      <w:szCs w:val="24"/>
    </w:rPr>
  </w:style>
  <w:style w:type="paragraph" w:customStyle="1" w:styleId="frontcoverbox">
    <w:name w:val="front cover box"/>
    <w:link w:val="frontcoverboxChar"/>
    <w:uiPriority w:val="2"/>
    <w:qFormat/>
    <w:pPr>
      <w:spacing w:before="120" w:after="0" w:line="240" w:lineRule="auto"/>
      <w:ind w:left="340" w:right="340"/>
    </w:pPr>
    <w:rPr>
      <w:rFonts w:ascii="Arial" w:eastAsia="Times New Roman" w:hAnsi="Arial" w:cs="Times New Roman"/>
      <w:sz w:val="20"/>
      <w:szCs w:val="24"/>
    </w:rPr>
  </w:style>
  <w:style w:type="character" w:customStyle="1" w:styleId="frontcoverboxChar">
    <w:name w:val="front cover box Char"/>
    <w:basedOn w:val="DefaultParagraphFont"/>
    <w:link w:val="frontcoverbox"/>
    <w:uiPriority w:val="2"/>
    <w:rPr>
      <w:rFonts w:ascii="Arial" w:eastAsia="Times New Roman" w:hAnsi="Arial" w:cs="Times New Roman"/>
      <w:sz w:val="20"/>
      <w:szCs w:val="24"/>
    </w:rPr>
  </w:style>
  <w:style w:type="character" w:customStyle="1" w:styleId="Heading5Char1">
    <w:name w:val="Heading 5 Char1"/>
    <w:aliases w:val="Heading 5(unused) Char1,Level 3 - (i) Char1,Third Level Heading Char1,h5 Char1,Response Type Char1,Response Type1 Char1,Response Type2 Char1,Response Type3 Char1,Response Type4 Char1,Response Type5 Char1,Response Type6 Char1,H5 Char"/>
    <w:basedOn w:val="DefaultParagraphFont"/>
    <w:uiPriority w:val="9"/>
    <w:semiHidden/>
    <w:rPr>
      <w:rFonts w:asciiTheme="majorHAnsi" w:eastAsiaTheme="majorEastAsia" w:hAnsiTheme="majorHAnsi" w:cstheme="majorBidi"/>
      <w:color w:val="365F91" w:themeColor="accent1" w:themeShade="BF"/>
      <w:szCs w:val="24"/>
      <w:lang w:eastAsia="en-US"/>
    </w:rPr>
  </w:style>
  <w:style w:type="character" w:customStyle="1" w:styleId="EmpasisChar">
    <w:name w:val="Empasis Char"/>
    <w:basedOn w:val="DefaultParagraphFont"/>
    <w:link w:val="Empasis"/>
    <w:uiPriority w:val="2"/>
    <w:locked/>
    <w:rPr>
      <w:b/>
      <w:color w:val="0070C0"/>
      <w:szCs w:val="24"/>
    </w:rPr>
  </w:style>
  <w:style w:type="paragraph" w:customStyle="1" w:styleId="Empasis">
    <w:name w:val="Empasis"/>
    <w:basedOn w:val="Normal"/>
    <w:link w:val="EmpasisChar"/>
    <w:uiPriority w:val="2"/>
    <w:qFormat/>
    <w:pPr>
      <w:spacing w:after="120"/>
    </w:pPr>
    <w:rPr>
      <w:rFonts w:asciiTheme="minorHAnsi" w:eastAsiaTheme="minorHAnsi" w:hAnsiTheme="minorHAnsi" w:cstheme="minorBidi"/>
      <w:b/>
      <w:color w:val="0070C0"/>
      <w:sz w:val="22"/>
      <w:szCs w:val="24"/>
    </w:rPr>
  </w:style>
  <w:style w:type="paragraph" w:customStyle="1" w:styleId="BodyTextBold">
    <w:name w:val="Body Text Bold"/>
    <w:basedOn w:val="Normal"/>
    <w:uiPriority w:val="99"/>
    <w:qFormat/>
    <w:pPr>
      <w:spacing w:before="120" w:after="120" w:line="264" w:lineRule="auto"/>
      <w:ind w:left="907"/>
    </w:pPr>
    <w:rPr>
      <w:rFonts w:ascii="Arial" w:eastAsia="Calibri" w:hAnsi="Arial"/>
      <w:b/>
      <w:sz w:val="20"/>
    </w:rPr>
  </w:style>
  <w:style w:type="paragraph" w:customStyle="1" w:styleId="Body">
    <w:name w:val="Body"/>
    <w:basedOn w:val="Normal"/>
    <w:uiPriority w:val="99"/>
    <w:pPr>
      <w:suppressAutoHyphens/>
      <w:spacing w:after="0" w:line="260" w:lineRule="atLeast"/>
      <w:jc w:val="left"/>
    </w:pPr>
    <w:rPr>
      <w:rFonts w:ascii="Arial" w:eastAsia="Arial Unicode MS" w:hAnsi="Arial"/>
      <w:sz w:val="20"/>
    </w:rPr>
  </w:style>
  <w:style w:type="character" w:customStyle="1" w:styleId="KeypointChar">
    <w:name w:val="Key point Char"/>
    <w:link w:val="Keypoint"/>
    <w:uiPriority w:val="2"/>
    <w:locked/>
    <w:rPr>
      <w:b/>
      <w:color w:val="33CC33"/>
      <w:szCs w:val="24"/>
      <w:lang w:val="x-none"/>
    </w:rPr>
  </w:style>
  <w:style w:type="paragraph" w:customStyle="1" w:styleId="Keypoint">
    <w:name w:val="Key point"/>
    <w:basedOn w:val="Normal"/>
    <w:link w:val="KeypointChar"/>
    <w:uiPriority w:val="2"/>
    <w:pPr>
      <w:spacing w:after="120"/>
    </w:pPr>
    <w:rPr>
      <w:rFonts w:asciiTheme="minorHAnsi" w:eastAsiaTheme="minorHAnsi" w:hAnsiTheme="minorHAnsi" w:cstheme="minorBidi"/>
      <w:b/>
      <w:color w:val="33CC33"/>
      <w:sz w:val="22"/>
      <w:szCs w:val="24"/>
      <w:lang w:val="x-none"/>
    </w:rPr>
  </w:style>
  <w:style w:type="paragraph" w:customStyle="1" w:styleId="Roman11">
    <w:name w:val="Roman11"/>
    <w:basedOn w:val="Normal"/>
    <w:uiPriority w:val="99"/>
    <w:pPr>
      <w:spacing w:after="0"/>
    </w:pPr>
    <w:rPr>
      <w:rFonts w:ascii="Arial" w:hAnsi="Arial"/>
      <w:sz w:val="20"/>
      <w:lang w:val="en-US"/>
    </w:rPr>
  </w:style>
  <w:style w:type="paragraph" w:customStyle="1" w:styleId="Appendixhead">
    <w:name w:val="Appendixhead"/>
    <w:basedOn w:val="Normal"/>
    <w:uiPriority w:val="99"/>
    <w:pPr>
      <w:numPr>
        <w:numId w:val="28"/>
      </w:numPr>
      <w:spacing w:after="120"/>
    </w:pPr>
    <w:rPr>
      <w:rFonts w:ascii="Arial" w:eastAsiaTheme="minorHAnsi" w:hAnsi="Arial" w:cs="Arial"/>
      <w:noProof/>
      <w:sz w:val="20"/>
      <w:lang w:eastAsia="en-GB"/>
    </w:rPr>
  </w:style>
  <w:style w:type="paragraph" w:customStyle="1" w:styleId="AEACV-BulletGreenKeySkillssectiononly">
    <w:name w:val="AEACV-Bullet Green (Key Skills section only)"/>
    <w:basedOn w:val="Normal"/>
    <w:uiPriority w:val="99"/>
    <w:qFormat/>
    <w:pPr>
      <w:numPr>
        <w:numId w:val="29"/>
      </w:numPr>
      <w:spacing w:after="60"/>
      <w:ind w:hanging="357"/>
    </w:pPr>
    <w:rPr>
      <w:rFonts w:ascii="Arial" w:eastAsiaTheme="minorHAnsi" w:hAnsi="Arial"/>
      <w:sz w:val="20"/>
      <w:szCs w:val="24"/>
    </w:rPr>
  </w:style>
  <w:style w:type="paragraph" w:customStyle="1" w:styleId="ECVSectionBullet">
    <w:name w:val="_ECV_SectionBullet"/>
    <w:basedOn w:val="Normal"/>
    <w:uiPriority w:val="99"/>
    <w:pPr>
      <w:widowControl w:val="0"/>
      <w:suppressLineNumbers/>
      <w:suppressAutoHyphens/>
      <w:autoSpaceDE w:val="0"/>
      <w:spacing w:after="0" w:line="100" w:lineRule="atLeast"/>
      <w:jc w:val="left"/>
    </w:pPr>
    <w:rPr>
      <w:rFonts w:ascii="Arial" w:eastAsia="SimSun" w:hAnsi="Arial" w:cs="Mangal"/>
      <w:color w:val="3F3A38"/>
      <w:spacing w:val="-6"/>
      <w:kern w:val="2"/>
      <w:sz w:val="18"/>
      <w:szCs w:val="24"/>
      <w:lang w:eastAsia="zh-CN" w:bidi="hi-IN"/>
    </w:rPr>
  </w:style>
  <w:style w:type="character" w:styleId="EndnoteReference">
    <w:name w:val="endnote reference"/>
    <w:basedOn w:val="DefaultParagraphFont"/>
    <w:uiPriority w:val="99"/>
    <w:semiHidden/>
    <w:unhideWhenUsed/>
    <w:rPr>
      <w:vertAlign w:val="superscript"/>
    </w:rPr>
  </w:style>
  <w:style w:type="character" w:customStyle="1" w:styleId="TasksChar2">
    <w:name w:val="Tasks Char2"/>
    <w:aliases w:val="Beschriftung Char2 Char2,Beschriftung Char1 Char1 Char2,Beschriftung Char Char Char1 Char2,Beschriftung Char1 Char Char Char2,Beschriftung Char Char Char Char Char2,Beschriftung Char Char1 Char Char2,Table legend Char,Tasks Char1"/>
    <w:uiPriority w:val="35"/>
    <w:locked/>
    <w:rPr>
      <w:b/>
      <w:bCs/>
      <w:noProof/>
      <w:sz w:val="18"/>
      <w:lang w:eastAsia="en-US"/>
    </w:rPr>
  </w:style>
  <w:style w:type="table" w:styleId="LightShading-Accent1">
    <w:name w:val="Light Shading Accent 1"/>
    <w:basedOn w:val="TableNormal"/>
    <w:uiPriority w:val="60"/>
    <w:unhideWhenUsed/>
    <w:pPr>
      <w:spacing w:after="0" w:line="240" w:lineRule="auto"/>
    </w:pPr>
    <w:rPr>
      <w:rFonts w:ascii="Arial" w:eastAsia="Times New Roman" w:hAnsi="Arial" w:cs="Times New Roman"/>
      <w:color w:val="365F91" w:themeColor="accent1" w:themeShade="BF"/>
      <w:sz w:val="20"/>
      <w:szCs w:val="20"/>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unhideWhenUsed/>
    <w:pPr>
      <w:spacing w:after="0" w:line="240" w:lineRule="auto"/>
    </w:pPr>
    <w:rPr>
      <w:rFonts w:ascii="Arial" w:eastAsia="Times New Roman" w:hAnsi="Arial" w:cs="Times New Roman"/>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dTable4-Accent11">
    <w:name w:val="Grid Table 4 - Accent 11"/>
    <w:basedOn w:val="TableNormal"/>
    <w:uiPriority w:val="49"/>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Sfondomedio1-Colore11">
    <w:name w:val="Sfondo medio 1 - Colore 11"/>
    <w:basedOn w:val="TableNormal"/>
    <w:uiPriority w:val="63"/>
    <w:pPr>
      <w:spacing w:after="0" w:line="240" w:lineRule="auto"/>
    </w:pPr>
    <w:rPr>
      <w:rFonts w:ascii="Arial" w:eastAsia="Times New Roman" w:hAnsi="Arial" w:cs="Times New Roman"/>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tyle1">
    <w:name w:val="Style1"/>
    <w:basedOn w:val="TableNormal"/>
    <w:uiPriority w:val="99"/>
    <w:pPr>
      <w:spacing w:before="120" w:after="120" w:line="240" w:lineRule="auto"/>
    </w:pPr>
    <w:rPr>
      <w:rFonts w:ascii="Arial" w:eastAsia="Times New Roman" w:hAnsi="Arial" w:cs="Times New Roman"/>
      <w:sz w:val="20"/>
      <w:szCs w:val="20"/>
      <w:lang w:eastAsia="en-GB"/>
    </w:rPr>
    <w:tblPr/>
    <w:tblStylePr w:type="firstRow">
      <w:tblPr/>
      <w:tcPr>
        <w:tcBorders>
          <w:top w:val="single" w:sz="4" w:space="0" w:color="0070C0"/>
          <w:bottom w:val="single" w:sz="4" w:space="0" w:color="0070C0"/>
        </w:tcBorders>
        <w:shd w:val="clear" w:color="auto" w:fill="E2ECF2"/>
      </w:tcPr>
    </w:tblStylePr>
  </w:style>
  <w:style w:type="table" w:customStyle="1" w:styleId="Ricardo-AEATableStyle">
    <w:name w:val="Ricardo-AEA Table Style"/>
    <w:basedOn w:val="TableNormal"/>
    <w:uiPriority w:val="99"/>
    <w:qFormat/>
    <w:pPr>
      <w:spacing w:after="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themeColor="background1"/>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
    <w:name w:val="AEA Table Style"/>
    <w:basedOn w:val="TableNormal"/>
    <w:uiPriority w:val="99"/>
    <w:qFormat/>
    <w:pPr>
      <w:spacing w:before="20" w:after="2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themeColor="background1"/>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AEATableStyle8">
    <w:name w:val="AEA Table Style8"/>
    <w:basedOn w:val="TableNormal"/>
    <w:uiPriority w:val="99"/>
    <w:qFormat/>
    <w:pPr>
      <w:spacing w:before="20" w:after="20" w:line="240" w:lineRule="auto"/>
    </w:pPr>
    <w:rPr>
      <w:rFonts w:ascii="Arial" w:eastAsia="Times New Roman" w:hAnsi="Arial" w:cs="Times New Roman"/>
      <w:sz w:val="20"/>
      <w:szCs w:val="20"/>
      <w:lang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themeColor="background1"/>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GridTable4-Accent511">
    <w:name w:val="Grid Table 4 - Accent 511"/>
    <w:basedOn w:val="TableNormal"/>
    <w:uiPriority w:val="49"/>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icardo-AEATableStyle2">
    <w:name w:val="Ricardo-AEA Table Style2"/>
    <w:basedOn w:val="TableNormal"/>
    <w:uiPriority w:val="99"/>
    <w:qFormat/>
    <w:pPr>
      <w:spacing w:after="0" w:line="240" w:lineRule="auto"/>
    </w:pPr>
    <w:rPr>
      <w:rFonts w:ascii="Arial" w:eastAsia="Times New Roman" w:hAnsi="Arial" w:cs="Times New Roman"/>
      <w:sz w:val="20"/>
      <w:szCs w:val="20"/>
      <w:lang w:val="en-US"/>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table" w:customStyle="1" w:styleId="LightShading-Accent12">
    <w:name w:val="Light Shading - Accent 12"/>
    <w:basedOn w:val="TableNormal"/>
    <w:uiPriority w:val="60"/>
    <w:pPr>
      <w:spacing w:after="0" w:line="240" w:lineRule="auto"/>
    </w:pPr>
    <w:rPr>
      <w:rFonts w:ascii="Arial" w:eastAsia="Times New Roman" w:hAnsi="Arial" w:cs="Times New Roman"/>
      <w:color w:val="000000" w:themeColor="text1"/>
      <w:sz w:val="20"/>
      <w:szCs w:val="20"/>
      <w:lang w:eastAsia="en-GB"/>
    </w:rPr>
    <w:tblPr>
      <w:tblStyleRowBandSize w:val="1"/>
      <w:tblStyleColBandSize w:val="1"/>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pPr>
        <w:spacing w:beforeLines="0" w:before="0" w:beforeAutospacing="0" w:afterLines="0" w:after="0" w:afterAutospacing="0" w:line="240" w:lineRule="auto"/>
      </w:pPr>
      <w:rPr>
        <w:b/>
        <w:bCs/>
      </w:rPr>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shd w:val="clear" w:color="auto" w:fill="F2F2F2" w:themeFill="background1" w:themeFillShade="F2"/>
      </w:tcPr>
    </w:tblStylePr>
    <w:tblStylePr w:type="lastRow">
      <w:pPr>
        <w:spacing w:beforeLines="0" w:before="0" w:beforeAutospacing="0" w:afterLines="0" w:after="0" w:afterAutospacing="0" w:line="240" w:lineRule="auto"/>
      </w:pPr>
      <w:rPr>
        <w:b/>
        <w:bCs/>
      </w:rPr>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firstCol">
      <w:rPr>
        <w:b/>
        <w:bCs/>
      </w:rPr>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lastCol">
      <w:rPr>
        <w:b/>
        <w:bCs/>
      </w:rPr>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band1Vert">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band2Vert">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tcPr>
    </w:tblStylePr>
    <w:tblStylePr w:type="band1Horz">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shd w:val="clear" w:color="auto" w:fill="FFFFFF" w:themeFill="background1"/>
      </w:tcPr>
    </w:tblStylePr>
    <w:tblStylePr w:type="band2Horz">
      <w:tbl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cBorders>
        <w:shd w:val="clear" w:color="auto" w:fill="F2F2F2" w:themeFill="background1" w:themeFillShade="F2"/>
      </w:tcPr>
    </w:tblStylePr>
  </w:style>
  <w:style w:type="table" w:customStyle="1" w:styleId="TableGrid2">
    <w:name w:val="Table Grid2"/>
    <w:basedOn w:val="TableNormal"/>
    <w:uiPriority w:val="5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StylePr>
    <w:tblStylePr w:type="band1Horz">
      <w:tblPr/>
      <w:tcPr>
        <w:tcBorders>
          <w:top w:val="nil"/>
          <w:left w:val="single" w:sz="4" w:space="0" w:color="0055A0"/>
          <w:bottom w:val="nil"/>
          <w:right w:val="single" w:sz="4" w:space="0" w:color="0055A0"/>
          <w:insideH w:val="nil"/>
          <w:insideV w:val="single" w:sz="4" w:space="0" w:color="0055A0"/>
          <w:tl2br w:val="nil"/>
          <w:tr2bl w:val="nil"/>
        </w:tcBorders>
        <w:shd w:val="clear" w:color="auto" w:fill="F5F9FC"/>
      </w:tcPr>
    </w:tblStylePr>
    <w:tblStylePr w:type="band2Horz">
      <w:tblPr/>
      <w:tcPr>
        <w:tcBorders>
          <w:insideV w:val="single" w:sz="4" w:space="0" w:color="0055A0"/>
        </w:tcBorders>
        <w:shd w:val="clear" w:color="auto" w:fill="FFFFFF" w:themeFill="background1"/>
      </w:tcPr>
    </w:tblStylePr>
  </w:style>
  <w:style w:type="table" w:customStyle="1" w:styleId="Blank">
    <w:name w:val="Blank"/>
    <w:basedOn w:val="TableNormal"/>
    <w:uiPriority w:val="99"/>
    <w:pPr>
      <w:spacing w:after="0" w:line="240" w:lineRule="auto"/>
    </w:pPr>
    <w:rPr>
      <w:rFonts w:ascii="Arial" w:eastAsia="Times New Roman" w:hAnsi="Arial" w:cs="Times New Roman"/>
      <w:sz w:val="20"/>
      <w:szCs w:val="20"/>
      <w:lang w:eastAsia="en-GB"/>
    </w:rPr>
    <w:tblPr/>
  </w:style>
  <w:style w:type="paragraph" w:customStyle="1" w:styleId="Source">
    <w:name w:val="Source"/>
    <w:basedOn w:val="FootnoteText"/>
    <w:link w:val="SourceChar"/>
    <w:qFormat/>
    <w:pPr>
      <w:spacing w:before="20" w:after="120"/>
      <w:ind w:left="357" w:hanging="357"/>
      <w:contextualSpacing/>
      <w:jc w:val="both"/>
    </w:pPr>
    <w:rPr>
      <w:rFonts w:ascii="Verdana" w:eastAsia="Times New Roman" w:hAnsi="Verdana" w:cs="Times New Roman"/>
      <w:i/>
      <w:color w:val="333333"/>
      <w:sz w:val="18"/>
    </w:rPr>
  </w:style>
  <w:style w:type="character" w:customStyle="1" w:styleId="SourceChar">
    <w:name w:val="Source Char"/>
    <w:link w:val="Source"/>
    <w:rPr>
      <w:rFonts w:ascii="Verdana" w:eastAsia="Times New Roman" w:hAnsi="Verdana" w:cs="Times New Roman"/>
      <w:i/>
      <w:color w:val="333333"/>
      <w:sz w:val="18"/>
      <w:szCs w:val="20"/>
    </w:rPr>
  </w:style>
  <w:style w:type="character" w:customStyle="1" w:styleId="apple-converted-space">
    <w:name w:val="apple-converted-space"/>
    <w:basedOn w:val="DefaultParagraphFont"/>
    <w:uiPriority w:val="2"/>
  </w:style>
  <w:style w:type="character" w:styleId="Emphasis">
    <w:name w:val="Emphasis"/>
    <w:basedOn w:val="DefaultParagraphFont"/>
    <w:uiPriority w:val="20"/>
    <w:qFormat/>
    <w:rPr>
      <w:i/>
      <w:iCs/>
    </w:rPr>
  </w:style>
  <w:style w:type="table" w:customStyle="1" w:styleId="mainbidtable">
    <w:name w:val="main bid table"/>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AppendixHeadingLevel2">
    <w:name w:val="Appendix Heading Level 2"/>
    <w:basedOn w:val="Heading2"/>
    <w:next w:val="Normal"/>
    <w:link w:val="AppendixHeadingLevel2Char"/>
    <w:uiPriority w:val="1"/>
    <w:qFormat/>
    <w:pPr>
      <w:numPr>
        <w:numId w:val="30"/>
      </w:numPr>
    </w:pPr>
    <w:rPr>
      <w:rFonts w:ascii="Arial" w:hAnsi="Arial" w:cs="Arial"/>
      <w:b w:val="0"/>
      <w:bCs/>
      <w:iCs/>
      <w:color w:val="006BB7"/>
      <w:sz w:val="32"/>
      <w:szCs w:val="28"/>
    </w:rPr>
  </w:style>
  <w:style w:type="paragraph" w:customStyle="1" w:styleId="AppendixHeadingLevel3">
    <w:name w:val="Appendix Heading Level 3"/>
    <w:basedOn w:val="Heading3"/>
    <w:link w:val="AppendixHeadingLevel3Char"/>
    <w:uiPriority w:val="1"/>
    <w:qFormat/>
    <w:pPr>
      <w:numPr>
        <w:numId w:val="30"/>
      </w:numPr>
      <w:spacing w:before="120" w:after="120"/>
      <w:jc w:val="left"/>
    </w:pPr>
    <w:rPr>
      <w:rFonts w:ascii="Arial" w:hAnsi="Arial" w:cs="Arial"/>
      <w:bCs/>
      <w:i w:val="0"/>
      <w:color w:val="006BB7"/>
      <w:szCs w:val="26"/>
    </w:rPr>
  </w:style>
  <w:style w:type="character" w:customStyle="1" w:styleId="Heading-AppendixChar">
    <w:name w:val="Heading - Appendix Char"/>
    <w:basedOn w:val="Heading1Char"/>
    <w:link w:val="Heading-Appendix"/>
    <w:uiPriority w:val="1"/>
    <w:rPr>
      <w:rFonts w:ascii="Arial" w:eastAsia="Times New Roman" w:hAnsi="Arial" w:cs="Arial"/>
      <w:b w:val="0"/>
      <w:bCs/>
      <w:smallCaps w:val="0"/>
      <w:color w:val="006BB7"/>
      <w:sz w:val="40"/>
      <w:szCs w:val="32"/>
      <w:lang w:val="en"/>
    </w:rPr>
  </w:style>
  <w:style w:type="character" w:customStyle="1" w:styleId="AppendixHeadingLevel3Char">
    <w:name w:val="Appendix Heading Level 3 Char"/>
    <w:basedOn w:val="Heading4Char"/>
    <w:link w:val="AppendixHeadingLevel3"/>
    <w:uiPriority w:val="1"/>
    <w:rPr>
      <w:rFonts w:ascii="Arial" w:eastAsia="Times New Roman" w:hAnsi="Arial" w:cs="Arial"/>
      <w:bCs/>
      <w:color w:val="006BB7"/>
      <w:sz w:val="24"/>
      <w:szCs w:val="26"/>
    </w:rPr>
  </w:style>
  <w:style w:type="character" w:customStyle="1" w:styleId="AppendixHeadingLevel2Char">
    <w:name w:val="Appendix Heading Level 2 Char"/>
    <w:basedOn w:val="Heading2Char"/>
    <w:link w:val="AppendixHeadingLevel2"/>
    <w:uiPriority w:val="1"/>
    <w:rPr>
      <w:rFonts w:ascii="Arial" w:eastAsia="Times New Roman" w:hAnsi="Arial" w:cs="Arial"/>
      <w:b w:val="0"/>
      <w:bCs/>
      <w:iCs/>
      <w:color w:val="006BB7"/>
      <w:sz w:val="32"/>
      <w:szCs w:val="28"/>
      <w:lang w:eastAsia="en-GB"/>
    </w:rPr>
  </w:style>
  <w:style w:type="paragraph" w:styleId="Bibliography">
    <w:name w:val="Bibliography"/>
    <w:basedOn w:val="Normal"/>
    <w:next w:val="Normal"/>
    <w:uiPriority w:val="37"/>
    <w:unhideWhenUsed/>
    <w:pPr>
      <w:spacing w:after="120"/>
    </w:pPr>
    <w:rPr>
      <w:rFonts w:ascii="Arial" w:hAnsi="Arial"/>
      <w:sz w:val="20"/>
      <w:szCs w:val="24"/>
    </w:rPr>
  </w:style>
  <w:style w:type="character" w:customStyle="1" w:styleId="message">
    <w:name w:val="message"/>
    <w:basedOn w:val="DefaultParagraphFont"/>
  </w:style>
  <w:style w:type="paragraph" w:customStyle="1" w:styleId="AppendixHeading4">
    <w:name w:val="Appendix Heading 4"/>
    <w:basedOn w:val="AppendixHeadingLevel3"/>
    <w:link w:val="AppendixHeading4Char"/>
    <w:qFormat/>
    <w:pPr>
      <w:numPr>
        <w:ilvl w:val="3"/>
      </w:numPr>
    </w:pPr>
    <w:rPr>
      <w:bCs w:val="0"/>
      <w:sz w:val="20"/>
      <w:szCs w:val="20"/>
    </w:rPr>
  </w:style>
  <w:style w:type="character" w:customStyle="1" w:styleId="AppendixHeading4Char">
    <w:name w:val="Appendix Heading 4 Char"/>
    <w:basedOn w:val="AppendixHeadingLevel3Char"/>
    <w:link w:val="AppendixHeading4"/>
    <w:rPr>
      <w:rFonts w:ascii="Arial" w:eastAsia="Times New Roman" w:hAnsi="Arial" w:cs="Arial"/>
      <w:bCs w:val="0"/>
      <w:color w:val="006BB7"/>
      <w:sz w:val="20"/>
      <w:szCs w:val="20"/>
    </w:rPr>
  </w:style>
  <w:style w:type="paragraph" w:customStyle="1" w:styleId="gmail-msolistparagraph">
    <w:name w:val="gmail-msolistparagraph"/>
    <w:basedOn w:val="Normal"/>
    <w:uiPriority w:val="99"/>
    <w:pPr>
      <w:spacing w:before="100" w:beforeAutospacing="1" w:after="100" w:afterAutospacing="1"/>
      <w:jc w:val="left"/>
    </w:pPr>
    <w:rPr>
      <w:rFonts w:eastAsiaTheme="minorHAnsi"/>
      <w:szCs w:val="24"/>
      <w:lang w:val="en-US"/>
    </w:rPr>
  </w:style>
  <w:style w:type="character" w:customStyle="1" w:styleId="gmail-msofootnotereference">
    <w:name w:val="gmail-msofootnotereference"/>
    <w:basedOn w:val="DefaultParagraphFont"/>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basedOn w:val="DefaultParagraphFont"/>
    <w:uiPriority w:val="35"/>
    <w:locked/>
    <w:rPr>
      <w:b/>
      <w:bCs/>
      <w:i/>
      <w:sz w:val="22"/>
      <w:szCs w:val="22"/>
      <w:lang w:eastAsia="en-US"/>
    </w:rPr>
  </w:style>
  <w:style w:type="paragraph" w:styleId="NoSpacing">
    <w:name w:val="No Spacing"/>
    <w:uiPriority w:val="1"/>
    <w:qFormat/>
    <w:pPr>
      <w:spacing w:after="0" w:line="240" w:lineRule="auto"/>
      <w:jc w:val="both"/>
    </w:pPr>
    <w:rPr>
      <w:rFonts w:ascii="Times New Roman" w:eastAsia="Times New Roman" w:hAnsi="Times New Roman" w:cs="Times New Roman"/>
      <w:sz w:val="24"/>
      <w:szCs w:val="20"/>
    </w:rPr>
  </w:style>
  <w:style w:type="character" w:customStyle="1" w:styleId="Text2Char1">
    <w:name w:val="Text 2 Char1"/>
    <w:link w:val="Text2"/>
    <w:locked/>
    <w:rPr>
      <w:rFonts w:ascii="Times New Roman" w:eastAsia="Times New Roman" w:hAnsi="Times New Roman" w:cs="Times New Roman"/>
      <w:sz w:val="24"/>
      <w:szCs w:val="20"/>
    </w:rPr>
  </w:style>
  <w:style w:type="character" w:customStyle="1" w:styleId="Marker">
    <w:name w:val="Marker"/>
    <w:rPr>
      <w:rFonts w:cs="Times New Roman"/>
      <w:color w:val="0000FF"/>
      <w:shd w:val="clear" w:color="auto" w:fill="auto"/>
    </w:rPr>
  </w:style>
  <w:style w:type="paragraph" w:customStyle="1" w:styleId="Briefingspdef">
    <w:name w:val="Briefing sp/def"/>
    <w:basedOn w:val="Normal"/>
    <w:autoRedefine/>
    <w:rPr>
      <w:szCs w:val="24"/>
      <w:lang w:eastAsia="en-GB"/>
    </w:rPr>
  </w:style>
  <w:style w:type="paragraph" w:customStyle="1" w:styleId="JRCText">
    <w:name w:val="JRC_Text"/>
    <w:basedOn w:val="Normal"/>
    <w:qFormat/>
    <w:pPr>
      <w:spacing w:before="120" w:after="120"/>
    </w:pPr>
    <w:rPr>
      <w:rFonts w:ascii="Verdana" w:eastAsia="Calibri" w:hAnsi="Verdana"/>
      <w:sz w:val="20"/>
      <w:szCs w:val="22"/>
    </w:rPr>
  </w:style>
  <w:style w:type="paragraph" w:customStyle="1" w:styleId="JRCCovertitle">
    <w:name w:val="JRC_Cover_title"/>
    <w:basedOn w:val="Normal"/>
    <w:qFormat/>
    <w:pPr>
      <w:spacing w:before="600" w:after="600" w:line="640" w:lineRule="exact"/>
      <w:ind w:left="-567"/>
      <w:jc w:val="left"/>
    </w:pPr>
    <w:rPr>
      <w:rFonts w:ascii="Verdana" w:eastAsia="Calibri" w:hAnsi="Verdana"/>
      <w:noProof/>
      <w:sz w:val="56"/>
      <w:szCs w:val="56"/>
      <w:lang w:eastAsia="en-GB"/>
    </w:rPr>
  </w:style>
  <w:style w:type="paragraph" w:customStyle="1" w:styleId="JRCCoverauthor">
    <w:name w:val="JRC_Cover_author"/>
    <w:basedOn w:val="Normal"/>
    <w:qFormat/>
    <w:pPr>
      <w:spacing w:before="120" w:after="120"/>
      <w:jc w:val="left"/>
    </w:pPr>
    <w:rPr>
      <w:rFonts w:ascii="Verdana" w:hAnsi="Verdana"/>
      <w:sz w:val="20"/>
      <w:szCs w:val="22"/>
      <w:lang w:eastAsia="en-GB"/>
    </w:rPr>
  </w:style>
  <w:style w:type="paragraph" w:customStyle="1" w:styleId="JRCCoveryear">
    <w:name w:val="JRC_Cover_year"/>
    <w:basedOn w:val="Normal"/>
    <w:pPr>
      <w:spacing w:after="0"/>
      <w:jc w:val="left"/>
    </w:pPr>
    <w:rPr>
      <w:rFonts w:ascii="Verdana" w:hAnsi="Verdana"/>
      <w:sz w:val="20"/>
      <w:szCs w:val="22"/>
      <w:lang w:eastAsia="en-GB"/>
    </w:rPr>
  </w:style>
  <w:style w:type="paragraph" w:customStyle="1" w:styleId="JRCCoverEUR">
    <w:name w:val="JRC_Cover_EUR"/>
    <w:basedOn w:val="Normal"/>
    <w:pPr>
      <w:spacing w:after="0"/>
      <w:jc w:val="right"/>
    </w:pPr>
    <w:rPr>
      <w:rFonts w:ascii="Verdana" w:hAnsi="Verdana"/>
      <w:sz w:val="18"/>
      <w:szCs w:val="22"/>
      <w:lang w:eastAsia="en-GB"/>
    </w:rPr>
  </w:style>
  <w:style w:type="character" w:styleId="Strong">
    <w:name w:val="Strong"/>
    <w:basedOn w:val="DefaultParagraphFont"/>
    <w:uiPriority w:val="22"/>
    <w:qFormat/>
    <w:rPr>
      <w:b/>
      <w:bCs/>
    </w:rPr>
  </w:style>
  <w:style w:type="paragraph" w:customStyle="1" w:styleId="JRCLevel-2title">
    <w:name w:val="JRC_Level-2_title"/>
    <w:basedOn w:val="Heading2"/>
    <w:next w:val="Normal"/>
    <w:qFormat/>
    <w:pPr>
      <w:keepLines/>
      <w:numPr>
        <w:ilvl w:val="0"/>
        <w:numId w:val="0"/>
      </w:numPr>
    </w:pPr>
    <w:rPr>
      <w:rFonts w:ascii="Verdana" w:hAnsi="Verdana"/>
      <w:bCs/>
      <w:iCs/>
      <w:szCs w:val="26"/>
      <w:lang w:eastAsia="en-US"/>
    </w:rPr>
  </w:style>
  <w:style w:type="paragraph" w:customStyle="1" w:styleId="JRCFigurecaption">
    <w:name w:val="JRC_Figure_caption"/>
    <w:basedOn w:val="Normal"/>
    <w:next w:val="Normal"/>
    <w:qFormat/>
    <w:pPr>
      <w:spacing w:before="360" w:after="120"/>
      <w:jc w:val="center"/>
    </w:pPr>
    <w:rPr>
      <w:rFonts w:ascii="Verdana" w:eastAsia="Calibri" w:hAnsi="Verdana"/>
      <w:sz w:val="18"/>
      <w:szCs w:val="22"/>
    </w:rPr>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Level-3title">
    <w:name w:val="JRC_Level-3_title"/>
    <w:basedOn w:val="Heading3"/>
    <w:next w:val="Normal"/>
    <w:qFormat/>
    <w:pPr>
      <w:keepLines/>
      <w:numPr>
        <w:ilvl w:val="0"/>
        <w:numId w:val="0"/>
      </w:numPr>
      <w:spacing w:before="240" w:after="120"/>
      <w:ind w:left="2160" w:hanging="360"/>
    </w:pPr>
    <w:rPr>
      <w:rFonts w:ascii="Verdana" w:hAnsi="Verdana"/>
      <w:b/>
      <w:bCs/>
      <w:i w:val="0"/>
      <w:sz w:val="22"/>
      <w:szCs w:val="24"/>
    </w:rPr>
  </w:style>
  <w:style w:type="paragraph" w:customStyle="1" w:styleId="JRCTabletitle">
    <w:name w:val="JRC_Table_title"/>
    <w:basedOn w:val="Normal"/>
    <w:autoRedefine/>
    <w:qFormat/>
    <w:pPr>
      <w:keepNext/>
      <w:spacing w:before="240" w:after="120"/>
      <w:jc w:val="center"/>
    </w:pPr>
    <w:rPr>
      <w:rFonts w:eastAsia="Calibri"/>
      <w:b/>
      <w:szCs w:val="22"/>
    </w:rPr>
  </w:style>
  <w:style w:type="paragraph" w:customStyle="1" w:styleId="JRCLevel-1title">
    <w:name w:val="JRC_Level-1_title"/>
    <w:basedOn w:val="Heading1"/>
    <w:next w:val="Normal"/>
    <w:qFormat/>
    <w:pPr>
      <w:pageBreakBefore/>
      <w:numPr>
        <w:numId w:val="0"/>
      </w:numPr>
      <w:spacing w:before="0" w:after="120"/>
      <w:jc w:val="left"/>
    </w:pPr>
    <w:rPr>
      <w:rFonts w:ascii="Verdana" w:eastAsia="Calibri" w:hAnsi="Verdana"/>
      <w:smallCaps w:val="0"/>
      <w:sz w:val="26"/>
      <w:szCs w:val="24"/>
    </w:rPr>
  </w:style>
  <w:style w:type="paragraph" w:customStyle="1" w:styleId="Indented">
    <w:name w:val="Indented"/>
    <w:basedOn w:val="Normal"/>
    <w:qFormat/>
    <w:pPr>
      <w:spacing w:after="120"/>
      <w:ind w:left="357"/>
      <w:jc w:val="left"/>
    </w:pPr>
    <w:rPr>
      <w:rFonts w:ascii="Arial" w:eastAsiaTheme="minorHAnsi" w:hAnsi="Arial" w:cstheme="minorBidi"/>
      <w:sz w:val="22"/>
      <w:szCs w:val="22"/>
    </w:rPr>
  </w:style>
  <w:style w:type="paragraph" w:customStyle="1" w:styleId="Heding-IntroLevel2">
    <w:name w:val="Heding - Intro Level 2"/>
    <w:basedOn w:val="AppendixHeadingLevel2"/>
    <w:link w:val="Heding-IntroLevel2Char"/>
    <w:qFormat/>
    <w:pPr>
      <w:numPr>
        <w:ilvl w:val="0"/>
        <w:numId w:val="0"/>
      </w:numPr>
      <w:jc w:val="left"/>
    </w:pPr>
  </w:style>
  <w:style w:type="character" w:customStyle="1" w:styleId="Heding-IntroLevel2Char">
    <w:name w:val="Heding - Intro Level 2 Char"/>
    <w:basedOn w:val="AppendixHeadingLevel2Char"/>
    <w:link w:val="Heding-IntroLevel2"/>
    <w:rPr>
      <w:rFonts w:ascii="Arial" w:eastAsia="Times New Roman" w:hAnsi="Arial" w:cs="Arial"/>
      <w:b w:val="0"/>
      <w:bCs/>
      <w:iCs/>
      <w:color w:val="006BB7"/>
      <w:sz w:val="32"/>
      <w:szCs w:val="28"/>
      <w:lang w:eastAsia="en-GB"/>
    </w:rPr>
  </w:style>
  <w:style w:type="character" w:customStyle="1" w:styleId="DefaultChar">
    <w:name w:val="Default Char"/>
    <w:basedOn w:val="DefaultParagraphFont"/>
    <w:link w:val="Default"/>
    <w:rPr>
      <w:rFonts w:ascii="Times New Roman" w:hAnsi="Times New Roman" w:cs="Times New Roman"/>
      <w:color w:val="000000"/>
      <w:sz w:val="24"/>
      <w:szCs w:val="24"/>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92894">
      <w:bodyDiv w:val="1"/>
      <w:marLeft w:val="0"/>
      <w:marRight w:val="0"/>
      <w:marTop w:val="0"/>
      <w:marBottom w:val="0"/>
      <w:divBdr>
        <w:top w:val="none" w:sz="0" w:space="0" w:color="auto"/>
        <w:left w:val="none" w:sz="0" w:space="0" w:color="auto"/>
        <w:bottom w:val="none" w:sz="0" w:space="0" w:color="auto"/>
        <w:right w:val="none" w:sz="0" w:space="0" w:color="auto"/>
      </w:divBdr>
    </w:div>
    <w:div w:id="203832890">
      <w:bodyDiv w:val="1"/>
      <w:marLeft w:val="0"/>
      <w:marRight w:val="0"/>
      <w:marTop w:val="0"/>
      <w:marBottom w:val="0"/>
      <w:divBdr>
        <w:top w:val="none" w:sz="0" w:space="0" w:color="auto"/>
        <w:left w:val="none" w:sz="0" w:space="0" w:color="auto"/>
        <w:bottom w:val="none" w:sz="0" w:space="0" w:color="auto"/>
        <w:right w:val="none" w:sz="0" w:space="0" w:color="auto"/>
      </w:divBdr>
    </w:div>
    <w:div w:id="225994178">
      <w:bodyDiv w:val="1"/>
      <w:marLeft w:val="0"/>
      <w:marRight w:val="0"/>
      <w:marTop w:val="0"/>
      <w:marBottom w:val="0"/>
      <w:divBdr>
        <w:top w:val="none" w:sz="0" w:space="0" w:color="auto"/>
        <w:left w:val="none" w:sz="0" w:space="0" w:color="auto"/>
        <w:bottom w:val="none" w:sz="0" w:space="0" w:color="auto"/>
        <w:right w:val="none" w:sz="0" w:space="0" w:color="auto"/>
      </w:divBdr>
    </w:div>
    <w:div w:id="327757909">
      <w:bodyDiv w:val="1"/>
      <w:marLeft w:val="0"/>
      <w:marRight w:val="0"/>
      <w:marTop w:val="0"/>
      <w:marBottom w:val="0"/>
      <w:divBdr>
        <w:top w:val="none" w:sz="0" w:space="0" w:color="auto"/>
        <w:left w:val="none" w:sz="0" w:space="0" w:color="auto"/>
        <w:bottom w:val="none" w:sz="0" w:space="0" w:color="auto"/>
        <w:right w:val="none" w:sz="0" w:space="0" w:color="auto"/>
      </w:divBdr>
    </w:div>
    <w:div w:id="481896535">
      <w:bodyDiv w:val="1"/>
      <w:marLeft w:val="0"/>
      <w:marRight w:val="0"/>
      <w:marTop w:val="0"/>
      <w:marBottom w:val="0"/>
      <w:divBdr>
        <w:top w:val="none" w:sz="0" w:space="0" w:color="auto"/>
        <w:left w:val="none" w:sz="0" w:space="0" w:color="auto"/>
        <w:bottom w:val="none" w:sz="0" w:space="0" w:color="auto"/>
        <w:right w:val="none" w:sz="0" w:space="0" w:color="auto"/>
      </w:divBdr>
    </w:div>
    <w:div w:id="1839493497">
      <w:bodyDiv w:val="1"/>
      <w:marLeft w:val="0"/>
      <w:marRight w:val="0"/>
      <w:marTop w:val="0"/>
      <w:marBottom w:val="0"/>
      <w:divBdr>
        <w:top w:val="none" w:sz="0" w:space="0" w:color="auto"/>
        <w:left w:val="none" w:sz="0" w:space="0" w:color="auto"/>
        <w:bottom w:val="none" w:sz="0" w:space="0" w:color="auto"/>
        <w:right w:val="none" w:sz="0" w:space="0" w:color="auto"/>
      </w:divBdr>
    </w:div>
    <w:div w:id="198635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eur-lex.europa.eu/LexUriServ/LexUriServ.do?uri=CELEX:32009R0443:EN:NOT" TargetMode="External"/><Relationship Id="rId26" Type="http://schemas.openxmlformats.org/officeDocument/2006/relationships/image" Target="media/image8.emf"/><Relationship Id="rId39" Type="http://schemas.openxmlformats.org/officeDocument/2006/relationships/image" Target="media/image21.JPG"/><Relationship Id="rId21" Type="http://schemas.openxmlformats.org/officeDocument/2006/relationships/image" Target="media/image3.emf"/><Relationship Id="rId34" Type="http://schemas.openxmlformats.org/officeDocument/2006/relationships/image" Target="media/image16.JP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ec.europa.eu/jrc/en/gem-e3/model" TargetMode="Externa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JP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s://www.camecon.com/wp-content/uploads/2016/09/E3ME-Manual.pdf" TargetMode="External"/><Relationship Id="rId20" Type="http://schemas.openxmlformats.org/officeDocument/2006/relationships/image" Target="media/image2.emf"/><Relationship Id="rId29" Type="http://schemas.openxmlformats.org/officeDocument/2006/relationships/image" Target="media/image11.png"/><Relationship Id="rId41" Type="http://schemas.openxmlformats.org/officeDocument/2006/relationships/image" Target="media/image23.emf"/><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JP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oter" Target="footer4.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image" Target="media/image18.JPG"/><Relationship Id="rId49" Type="http://schemas.openxmlformats.org/officeDocument/2006/relationships/image" Target="media/image31.pn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eur-lex.europa.eu/LexUriServ/LexUriServ.do?uri=OJ:L:2009:140:0088:0113:EN:PDF" TargetMode="External"/><Relationship Id="rId31" Type="http://schemas.openxmlformats.org/officeDocument/2006/relationships/image" Target="media/image13.emf"/><Relationship Id="rId44" Type="http://schemas.openxmlformats.org/officeDocument/2006/relationships/image" Target="media/image26.png"/><Relationship Id="rId52"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JP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nergy/sites/ener/files/documents/sec_2011_1569_2.pdf" TargetMode="External"/><Relationship Id="rId13" Type="http://schemas.openxmlformats.org/officeDocument/2006/relationships/hyperlink" Target="https://ec.europa.eu/clima/sites/clima/files/transport/vehicles/cars/docs/study_car_2011_en.pdf" TargetMode="External"/><Relationship Id="rId18" Type="http://schemas.openxmlformats.org/officeDocument/2006/relationships/hyperlink" Target="https://ec.europa.eu/jrc/en/institutes/ipts" TargetMode="External"/><Relationship Id="rId26" Type="http://schemas.openxmlformats.org/officeDocument/2006/relationships/hyperlink" Target="http://skillspanorama.cedefop.europa.eu/sites/default/files/EUSP_AH_Automotive_0.pdf" TargetMode="External"/><Relationship Id="rId3" Type="http://schemas.openxmlformats.org/officeDocument/2006/relationships/hyperlink" Target="https://www.eea.europa.eu/data-and-maps/data/vans-8/" TargetMode="External"/><Relationship Id="rId21" Type="http://schemas.openxmlformats.org/officeDocument/2006/relationships/hyperlink" Target="http://green-driving.jrc.ec.europa.eu/" TargetMode="External"/><Relationship Id="rId7" Type="http://schemas.openxmlformats.org/officeDocument/2006/relationships/hyperlink" Target="http://ec.europa.eu/clima/policies/strategies/analysis/models/docs/primes_model_2013-2014_en.pdf" TargetMode="External"/><Relationship Id="rId12" Type="http://schemas.openxmlformats.org/officeDocument/2006/relationships/hyperlink" Target="http://ec.europa.eu/energy/en/data-analysis/energy-modelling" TargetMode="External"/><Relationship Id="rId17" Type="http://schemas.openxmlformats.org/officeDocument/2006/relationships/hyperlink" Target="http://www.e3mlab.ntua.gr/e3mlab/" TargetMode="External"/><Relationship Id="rId25" Type="http://schemas.openxmlformats.org/officeDocument/2006/relationships/hyperlink" Target="http://www.fticonsulting.com/~/media/Files/emea--files/insights/reports/impact-electrically-chargeable-vehicles-eu-economy.pdf" TargetMode="External"/><Relationship Id="rId33" Type="http://schemas.openxmlformats.org/officeDocument/2006/relationships/hyperlink" Target="https://ec.europa.eu/energy/sites/ener/files/documents/20160713%20draft_publication_REF2016_v13.pdf" TargetMode="External"/><Relationship Id="rId2" Type="http://schemas.openxmlformats.org/officeDocument/2006/relationships/hyperlink" Target="https://www.eea.europa.eu/data-and-maps/data/co2-cars-emission-12/" TargetMode="External"/><Relationship Id="rId16" Type="http://schemas.openxmlformats.org/officeDocument/2006/relationships/hyperlink" Target="http://www.fleetnews.co.uk/fleet-management/environment/electric-vehicles-offer-big-smr-cost-savings" TargetMode="External"/><Relationship Id="rId20" Type="http://schemas.openxmlformats.org/officeDocument/2006/relationships/hyperlink" Target="https://ec.europa.eu/energy/sites/ener/files/documents/20170125_-_technical_report_on_euco_scenarios_primes_corrected.pdf" TargetMode="External"/><Relationship Id="rId29" Type="http://schemas.openxmlformats.org/officeDocument/2006/relationships/hyperlink" Target="http://ec.europa.eu/growth/tools-databases/newsroom/cf/itemdetail.cfm?item_id=8640" TargetMode="External"/><Relationship Id="rId1" Type="http://schemas.openxmlformats.org/officeDocument/2006/relationships/hyperlink" Target="http://ec.europa.eu/clima/policies/transport/vehicles/docs/evaluation_ldv_co2_regs_en.pdf" TargetMode="External"/><Relationship Id="rId6" Type="http://schemas.openxmlformats.org/officeDocument/2006/relationships/hyperlink" Target="http://www.tmleuven.be/methode/tremove/home.htm" TargetMode="External"/><Relationship Id="rId11" Type="http://schemas.openxmlformats.org/officeDocument/2006/relationships/hyperlink" Target="http://ec.europa.eu/smart-regulation/guidelines/tool_54_en.htm" TargetMode="External"/><Relationship Id="rId24" Type="http://schemas.openxmlformats.org/officeDocument/2006/relationships/hyperlink" Target="https://www.camecon.com/how/our-work/fuelling-europes-future/" TargetMode="External"/><Relationship Id="rId32" Type="http://schemas.openxmlformats.org/officeDocument/2006/relationships/hyperlink" Target="https://ec.europa.eu/energy/sites/ener/files/documents/20170125_-_technical_report_on_euco_scenarios_primes_corrected.pdf" TargetMode="External"/><Relationship Id="rId5" Type="http://schemas.openxmlformats.org/officeDocument/2006/relationships/hyperlink" Target="http://www.e3mlab.ntua.gr/e3mlab/" TargetMode="External"/><Relationship Id="rId15" Type="http://schemas.openxmlformats.org/officeDocument/2006/relationships/hyperlink" Target="http://www.aviva.co.uk/car-insurance/your-car-price-explained/" TargetMode="External"/><Relationship Id="rId23" Type="http://schemas.openxmlformats.org/officeDocument/2006/relationships/hyperlink" Target="http://www.muse.iao.fraunhofer.de/content/dam/iao/muse/de/documents/AbgeschlosseneProjekte/elab-abschlussbericht.pdf" TargetMode="External"/><Relationship Id="rId28" Type="http://schemas.openxmlformats.org/officeDocument/2006/relationships/hyperlink" Target="http://www.muse.iao.fraunhofer.de/content/dam/iao/muse/de/documents/AbgeschlosseneProjekte/elab-abschlussbericht.pdf" TargetMode="External"/><Relationship Id="rId10" Type="http://schemas.openxmlformats.org/officeDocument/2006/relationships/hyperlink" Target="https://ec.europa.eu/clima/sites/clima/files/transport/vehicles/docs/technology_sources_web.xlsx" TargetMode="External"/><Relationship Id="rId19" Type="http://schemas.openxmlformats.org/officeDocument/2006/relationships/hyperlink" Target="http://www.viapass.be/fileadmin/viapass/documents/download/VlaanderenE.JPG" TargetMode="External"/><Relationship Id="rId31" Type="http://schemas.openxmlformats.org/officeDocument/2006/relationships/hyperlink" Target="http://eur-lex.europa.eu/legal-content/EN/TXT/PDF/?uri=CELEX:32015L0652&amp;from=EN" TargetMode="External"/><Relationship Id="rId4" Type="http://schemas.openxmlformats.org/officeDocument/2006/relationships/hyperlink" Target="https://ec.europa.eu/clima/consultations/articles/0030_en" TargetMode="External"/><Relationship Id="rId9" Type="http://schemas.openxmlformats.org/officeDocument/2006/relationships/hyperlink" Target="https://ec.europa.eu/clima/sites/clima/files/transport/vehicles/docs/technology_results_web.xlsx" TargetMode="External"/><Relationship Id="rId14" Type="http://schemas.openxmlformats.org/officeDocument/2006/relationships/hyperlink" Target="https://ec.europa.eu/clima/sites/clima/files/transport/vehicles/docs/2009_co2_car_vans_en.pdf" TargetMode="External"/><Relationship Id="rId22" Type="http://schemas.openxmlformats.org/officeDocument/2006/relationships/hyperlink" Target="https://www2.deloitte.com/de/de/pages/consumer-industrial-products/articles/automotiv-value-chain-2025.html" TargetMode="External"/><Relationship Id="rId27" Type="http://schemas.openxmlformats.org/officeDocument/2006/relationships/hyperlink" Target="http://www.muse.iao.fraunhofer.de/content/dam/iao/muse/de/documents/AbgeschlosseneProjekte/elab-abschlussbericht.pdf" TargetMode="External"/><Relationship Id="rId30" Type="http://schemas.openxmlformats.org/officeDocument/2006/relationships/hyperlink" Target="http://iet.jrc.ec.europa.eu/about-jec/welcome-jec-webs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CEDng</b:Tag>
    <b:SourceType>Report</b:SourceType>
    <b:Guid>{B985D917-B72D-4114-9280-B349C160C7A9}</b:Guid>
    <b:Author>
      <b:Author>
        <b:Corporate>CE Delft et al.</b:Corporate>
      </b:Author>
    </b:Author>
    <b:Title>Assessment of the Modalities for LDV CO2 Regulations beyond 2020</b:Title>
    <b:Year>2017 (forthcoming)</b:Year>
    <b:Publisher>A report by CE Delft, TNO, TM Leuven and Cambridge Econometrics for the European Commission, DG Climate Action.</b:Publisher>
    <b:RefOrder>2</b:RefOrder>
  </b:Source>
  <b:Source>
    <b:Tag>Ric142</b:Tag>
    <b:SourceType>Report</b:SourceType>
    <b:Guid>{F279732D-E2FD-4163-A5EE-78A3E4697D4D}</b:Guid>
    <b:Author>
      <b:Author>
        <b:Corporate>Ricardo-AEA</b:Corporate>
      </b:Author>
    </b:Author>
    <b:Title>Improvements to the definition of lifetime mileage of light duty vehicles</b:Title>
    <b:Year>2014a</b:Year>
    <b:Publisher>A project by Ricardo-AEA for the European Comission, DG Climate Action.</b:Publisher>
    <b:URL>https://ec.europa.eu/clima/sites/clima/files/transport/vehicles/docs/ldv_mileage_improvement_en.pdf</b:URL>
    <b:RefOrder>3</b:RefOrder>
  </b:Source>
  <b:Source>
    <b:Tag>Placeholder1</b:Tag>
    <b:SourceType>Report</b:SourceType>
    <b:Guid>{ADD911A8-373C-4BDF-983C-318484D5EA9B}</b:Guid>
    <b:Author>
      <b:Author>
        <b:Corporate>CE Delft et al.</b:Corporate>
      </b:Author>
    </b:Author>
    <b:Title>Assessment of the Modalities for LDV CO2 Regulations beyond 2020</b:Title>
    <b:Year>2017</b:Year>
    <b:Publisher>A report by CE Delft, TNO, TM Leuven and Cambridge Econometrics for the European Commission, DG Climate Action.</b:Publisher>
    <b:RefOrder>1</b:RefOrder>
  </b:Source>
  <b:Source>
    <b:Tag>TNO11</b:Tag>
    <b:SourceType>Report</b:SourceType>
    <b:Guid>{0E0AA99D-466D-469D-AA6B-27D1780F747D}</b:Guid>
    <b:Author>
      <b:Author>
        <b:Corporate>TNO et al.</b:Corporate>
      </b:Author>
    </b:Author>
    <b:Title>Support for the revision of Regulation (EC) No 443/2009 on CO2 emissions from cars</b:Title>
    <b:Year>2011</b:Year>
    <b:Publisher>A report for the European Commission, DG Climate Action. Available at: http://ec.europa.eu/clima/policies/transport/vehicles/cars/docs/study_car_2011_en.pdf</b:Publisher>
    <b:RefOrder>5</b:RefOrder>
  </b:Source>
  <b:Source>
    <b:Tag>Placeholder5</b:Tag>
    <b:SourceType>InternetSite</b:SourceType>
    <b:Guid>{210E68BF-7E56-495F-A2B9-3A18BBEC078C}</b:Guid>
    <b:Author>
      <b:Author>
        <b:Corporate>AEA/TNO et al.</b:Corporate>
      </b:Author>
    </b:Author>
    <b:Title>Assessment of options for the legislation of CO2 emissions from light commercial vehicles. Updated report for the European Commission.</b:Title>
    <b:Year>2009</b:Year>
    <b:URL>https://ec.europa.eu/clima/sites/clima/files/docs/0019/final_report_lcv_co2_250209_en.pdf</b:URL>
    <b:RefOrder>19</b:RefOrder>
  </b:Source>
</b:Sources>
</file>

<file path=customXml/itemProps1.xml><?xml version="1.0" encoding="utf-8"?>
<ds:datastoreItem xmlns:ds="http://schemas.openxmlformats.org/officeDocument/2006/customXml" ds:itemID="{42869049-B0FE-4855-BDA2-B67655678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124</Pages>
  <Words>32579</Words>
  <Characters>173000</Characters>
  <Application>Microsoft Office Word</Application>
  <DocSecurity>0</DocSecurity>
  <Lines>8238</Lines>
  <Paragraphs>6852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198727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18</cp:revision>
  <cp:lastPrinted>2017-10-27T11:56:00Z</cp:lastPrinted>
  <dcterms:created xsi:type="dcterms:W3CDTF">2017-10-27T11:55:00Z</dcterms:created>
  <dcterms:modified xsi:type="dcterms:W3CDTF">2017-11-08T10:07:00Z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2</vt:lpwstr>
  </property>
  <property fmtid="{D5CDD505-2E9C-101B-9397-08002B2CF9AE}" pid="3" name="Total parts">
    <vt:lpwstr>2</vt:lpwstr>
  </property>
  <property fmtid="{D5CDD505-2E9C-101B-9397-08002B2CF9AE}" pid="4" name="DocStatus">
    <vt:lpwstr>Green</vt:lpwstr>
  </property>
  <property fmtid="{D5CDD505-2E9C-101B-9397-08002B2CF9AE}" pid="5" name="Level of sensitivity">
    <vt:lpwstr>Standard treatment</vt:lpwstr>
  </property>
</Properties>
</file>